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333-248428</w:t>
      </w:r>
    </w:p>
    <w:p>
      <w:pPr>
        <w:jc w:val="right"/>
        <w:spacing w:after="0"/>
        <w:rPr>
          <w:sz w:val="20"/>
          <w:szCs w:val="20"/>
          <w:color w:val="auto"/>
        </w:rPr>
      </w:pPr>
      <w:r>
        <w:rPr>
          <w:rFonts w:ascii="Arial" w:cs="Arial" w:eastAsia="Arial" w:hAnsi="Arial"/>
          <w:sz w:val="18"/>
          <w:szCs w:val="18"/>
          <w:b w:val="1"/>
          <w:bCs w:val="1"/>
          <w:color w:val="auto"/>
        </w:rPr>
        <w:t>and Registration No. 333-248878</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12,000,000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2216785</wp:posOffset>
            </wp:positionH>
            <wp:positionV relativeFrom="paragraph">
              <wp:posOffset>111125</wp:posOffset>
            </wp:positionV>
            <wp:extent cx="2717165" cy="13455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17165" cy="13455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171450</wp:posOffset>
            </wp:positionV>
            <wp:extent cx="16116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This is the initial public offering of shares of common stock of Athira Pharma, Inc. We are offering 12,000,000 shares of common</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stock.</w:t>
      </w:r>
    </w:p>
    <w:p>
      <w:pPr>
        <w:spacing w:after="0" w:line="190" w:lineRule="exact"/>
        <w:rPr>
          <w:sz w:val="24"/>
          <w:szCs w:val="24"/>
          <w:color w:val="auto"/>
        </w:rPr>
      </w:pPr>
    </w:p>
    <w:p>
      <w:pPr>
        <w:ind w:left="540"/>
        <w:spacing w:after="0"/>
        <w:rPr>
          <w:sz w:val="20"/>
          <w:szCs w:val="20"/>
          <w:color w:val="auto"/>
        </w:rPr>
      </w:pPr>
      <w:r>
        <w:rPr>
          <w:rFonts w:ascii="Arial" w:cs="Arial" w:eastAsia="Arial" w:hAnsi="Arial"/>
          <w:sz w:val="18"/>
          <w:szCs w:val="18"/>
          <w:color w:val="auto"/>
        </w:rPr>
        <w:t>Prior to this offering, there has been no public market for our common stock. The initial public offering price is $17.00 per share.</w:t>
      </w:r>
    </w:p>
    <w:p>
      <w:pPr>
        <w:spacing w:after="0" w:line="212"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We have been approved to list our common stock on the Nasdaq Global Select Market under the symbol “ATHA.”</w:t>
      </w:r>
    </w:p>
    <w:p>
      <w:pPr>
        <w:spacing w:after="0" w:line="212" w:lineRule="exact"/>
        <w:rPr>
          <w:sz w:val="24"/>
          <w:szCs w:val="24"/>
          <w:color w:val="auto"/>
        </w:rPr>
      </w:pPr>
    </w:p>
    <w:p>
      <w:pPr>
        <w:ind w:right="100" w:firstLine="535"/>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in this prospectus and may elect to do so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80645</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16" w:lineRule="exact"/>
        <w:rPr>
          <w:sz w:val="24"/>
          <w:szCs w:val="24"/>
          <w:color w:val="auto"/>
        </w:rPr>
      </w:pPr>
    </w:p>
    <w:p>
      <w:pPr>
        <w:ind w:right="540" w:firstLine="535"/>
        <w:spacing w:after="0" w:line="274" w:lineRule="auto"/>
        <w:rPr>
          <w:sz w:val="20"/>
          <w:szCs w:val="20"/>
          <w:color w:val="auto"/>
        </w:rPr>
      </w:pPr>
      <w:r>
        <w:rPr>
          <w:rFonts w:ascii="Arial" w:cs="Arial" w:eastAsia="Arial" w:hAnsi="Arial"/>
          <w:sz w:val="18"/>
          <w:szCs w:val="18"/>
          <w:i w:val="1"/>
          <w:iCs w:val="1"/>
          <w:color w:val="auto"/>
        </w:rPr>
        <w:t>See the section titled “</w:t>
      </w:r>
      <w:r>
        <w:rPr>
          <w:rFonts w:ascii="Arial" w:cs="Arial" w:eastAsia="Arial" w:hAnsi="Arial"/>
          <w:sz w:val="18"/>
          <w:szCs w:val="18"/>
          <w:i w:val="1"/>
          <w:iCs w:val="1"/>
          <w:u w:val="single" w:color="auto"/>
          <w:color w:val="auto"/>
        </w:rPr>
        <w:t>Risk Factors</w:t>
      </w:r>
      <w:r>
        <w:rPr>
          <w:rFonts w:ascii="Arial" w:cs="Arial" w:eastAsia="Arial" w:hAnsi="Arial"/>
          <w:sz w:val="18"/>
          <w:szCs w:val="18"/>
          <w:i w:val="1"/>
          <w:iCs w:val="1"/>
          <w:color w:val="auto"/>
        </w:rPr>
        <w:t>” beginning on page 17 to read about factors you should consider before deciding to invest in shares of our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73025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00" w:lineRule="exact"/>
        <w:rPr>
          <w:sz w:val="24"/>
          <w:szCs w:val="24"/>
          <w:color w:val="auto"/>
        </w:rPr>
      </w:pPr>
    </w:p>
    <w:p>
      <w:pPr>
        <w:jc w:val="both"/>
        <w:ind w:right="480" w:firstLine="535"/>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75565</wp:posOffset>
            </wp:positionV>
            <wp:extent cx="16116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5980" w:type="dxa"/>
            <w:vAlign w:val="bottom"/>
          </w:tcPr>
          <w:p>
            <w:pPr>
              <w:spacing w:after="0"/>
              <w:rPr>
                <w:sz w:val="21"/>
                <w:szCs w:val="21"/>
                <w:color w:val="auto"/>
              </w:rPr>
            </w:pPr>
          </w:p>
        </w:tc>
        <w:tc>
          <w:tcPr>
            <w:tcW w:w="3160" w:type="dxa"/>
            <w:vAlign w:val="bottom"/>
          </w:tcPr>
          <w:p>
            <w:pPr>
              <w:ind w:left="2120"/>
              <w:spacing w:after="0"/>
              <w:rPr>
                <w:sz w:val="20"/>
                <w:szCs w:val="20"/>
                <w:color w:val="auto"/>
              </w:rPr>
            </w:pPr>
            <w:r>
              <w:rPr>
                <w:rFonts w:ascii="Arial" w:cs="Arial" w:eastAsia="Arial" w:hAnsi="Arial"/>
                <w:sz w:val="18"/>
                <w:szCs w:val="18"/>
                <w:color w:val="auto"/>
              </w:rPr>
              <w:t>Per Share</w:t>
            </w:r>
          </w:p>
        </w:tc>
        <w:tc>
          <w:tcPr>
            <w:tcW w:w="2100" w:type="dxa"/>
            <w:vAlign w:val="bottom"/>
          </w:tcPr>
          <w:p>
            <w:pPr>
              <w:ind w:left="980"/>
              <w:spacing w:after="0"/>
              <w:rPr>
                <w:sz w:val="20"/>
                <w:szCs w:val="20"/>
                <w:color w:val="auto"/>
              </w:rPr>
            </w:pPr>
            <w:r>
              <w:rPr>
                <w:rFonts w:ascii="Arial" w:cs="Arial" w:eastAsia="Arial" w:hAnsi="Arial"/>
                <w:sz w:val="18"/>
                <w:szCs w:val="18"/>
                <w:color w:val="auto"/>
              </w:rPr>
              <w:t>Total</w:t>
            </w:r>
          </w:p>
        </w:tc>
      </w:tr>
      <w:tr>
        <w:trPr>
          <w:trHeight w:val="221"/>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Initial public offering price</w:t>
            </w:r>
          </w:p>
        </w:tc>
        <w:tc>
          <w:tcPr>
            <w:tcW w:w="3160" w:type="dxa"/>
            <w:vAlign w:val="bottom"/>
            <w:shd w:val="clear" w:color="auto" w:fill="CFF0FC"/>
          </w:tcPr>
          <w:p>
            <w:pPr>
              <w:ind w:left="1920"/>
              <w:spacing w:after="0"/>
              <w:rPr>
                <w:sz w:val="20"/>
                <w:szCs w:val="20"/>
                <w:color w:val="auto"/>
              </w:rPr>
            </w:pPr>
            <w:r>
              <w:rPr>
                <w:rFonts w:ascii="Arial" w:cs="Arial" w:eastAsia="Arial" w:hAnsi="Arial"/>
                <w:sz w:val="18"/>
                <w:szCs w:val="18"/>
                <w:color w:val="auto"/>
              </w:rPr>
              <w:t>$17.00</w:t>
            </w:r>
          </w:p>
        </w:tc>
        <w:tc>
          <w:tcPr>
            <w:tcW w:w="2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$204,000,000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160" w:type="dxa"/>
            <w:vAlign w:val="bottom"/>
          </w:tcPr>
          <w:p>
            <w:pPr>
              <w:ind w:left="1920"/>
              <w:spacing w:after="0"/>
              <w:rPr>
                <w:sz w:val="20"/>
                <w:szCs w:val="20"/>
                <w:color w:val="auto"/>
              </w:rPr>
            </w:pPr>
            <w:r>
              <w:rPr>
                <w:rFonts w:ascii="Arial" w:cs="Arial" w:eastAsia="Arial" w:hAnsi="Arial"/>
                <w:sz w:val="18"/>
                <w:szCs w:val="18"/>
                <w:color w:val="auto"/>
              </w:rPr>
              <w:t>$1.19</w:t>
            </w:r>
          </w:p>
        </w:tc>
        <w:tc>
          <w:tcPr>
            <w:tcW w:w="2100" w:type="dxa"/>
            <w:vAlign w:val="bottom"/>
          </w:tcPr>
          <w:p>
            <w:pPr>
              <w:ind w:left="240"/>
              <w:spacing w:after="0"/>
              <w:rPr>
                <w:sz w:val="20"/>
                <w:szCs w:val="20"/>
                <w:color w:val="auto"/>
              </w:rPr>
            </w:pPr>
            <w:r>
              <w:rPr>
                <w:rFonts w:ascii="Arial" w:cs="Arial" w:eastAsia="Arial" w:hAnsi="Arial"/>
                <w:sz w:val="18"/>
                <w:szCs w:val="18"/>
                <w:color w:val="auto"/>
              </w:rPr>
              <w:t>$14,280,000</w:t>
            </w:r>
          </w:p>
        </w:tc>
      </w:tr>
      <w:tr>
        <w:trPr>
          <w:trHeight w:val="216"/>
        </w:trPr>
        <w:tc>
          <w:tcPr>
            <w:tcW w:w="5980" w:type="dxa"/>
            <w:vAlign w:val="bottom"/>
            <w:shd w:val="clear" w:color="auto" w:fill="CFF0FC"/>
          </w:tcPr>
          <w:p>
            <w:pPr>
              <w:spacing w:after="0"/>
              <w:rPr>
                <w:sz w:val="20"/>
                <w:szCs w:val="20"/>
                <w:color w:val="auto"/>
              </w:rPr>
            </w:pPr>
            <w:r>
              <w:rPr>
                <w:rFonts w:ascii="Arial" w:cs="Arial" w:eastAsia="Arial" w:hAnsi="Arial"/>
                <w:sz w:val="18"/>
                <w:szCs w:val="18"/>
                <w:color w:val="auto"/>
              </w:rPr>
              <w:t>Proceeds, before expenses, to Athira Pharma, Inc.</w:t>
            </w:r>
          </w:p>
        </w:tc>
        <w:tc>
          <w:tcPr>
            <w:tcW w:w="3160" w:type="dxa"/>
            <w:vAlign w:val="bottom"/>
            <w:shd w:val="clear" w:color="auto" w:fill="CFF0FC"/>
          </w:tcPr>
          <w:p>
            <w:pPr>
              <w:ind w:left="1920"/>
              <w:spacing w:after="0"/>
              <w:rPr>
                <w:sz w:val="20"/>
                <w:szCs w:val="20"/>
                <w:color w:val="auto"/>
              </w:rPr>
            </w:pPr>
            <w:r>
              <w:rPr>
                <w:rFonts w:ascii="Arial" w:cs="Arial" w:eastAsia="Arial" w:hAnsi="Arial"/>
                <w:sz w:val="18"/>
                <w:szCs w:val="18"/>
                <w:color w:val="auto"/>
              </w:rPr>
              <w:t>$15.81</w:t>
            </w:r>
          </w:p>
        </w:tc>
        <w:tc>
          <w:tcPr>
            <w:tcW w:w="2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$189,720,000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198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spacing w:after="0" w:line="110"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5"/>
          <w:szCs w:val="15"/>
          <w:color w:val="auto"/>
        </w:rPr>
      </w:pPr>
      <w:r>
        <w:rPr>
          <w:rFonts w:ascii="Arial" w:cs="Arial" w:eastAsia="Arial" w:hAnsi="Arial"/>
          <w:sz w:val="16"/>
          <w:szCs w:val="16"/>
          <w:color w:val="auto"/>
        </w:rPr>
        <w:t>See the section titled “Underwriting” for a description of the compensation payable to the underwriters.</w:t>
      </w:r>
    </w:p>
    <w:p>
      <w:pPr>
        <w:spacing w:after="0" w:line="189" w:lineRule="exact"/>
        <w:rPr>
          <w:sz w:val="24"/>
          <w:szCs w:val="24"/>
          <w:color w:val="auto"/>
        </w:rPr>
      </w:pPr>
    </w:p>
    <w:p>
      <w:pPr>
        <w:ind w:right="240" w:firstLine="535"/>
        <w:spacing w:after="0" w:line="276" w:lineRule="auto"/>
        <w:rPr>
          <w:sz w:val="20"/>
          <w:szCs w:val="20"/>
          <w:color w:val="auto"/>
        </w:rPr>
      </w:pPr>
      <w:r>
        <w:rPr>
          <w:rFonts w:ascii="Arial" w:cs="Arial" w:eastAsia="Arial" w:hAnsi="Arial"/>
          <w:sz w:val="18"/>
          <w:szCs w:val="18"/>
          <w:color w:val="auto"/>
        </w:rPr>
        <w:t>To the extent that the underwriters sell more than 12,000,000 shares of common stock, the underwriters have an option to purchase up to an additional 1,800,000 shares from us at the initial public offering price, less the underwriting discounts and commissions.</w:t>
      </w:r>
    </w:p>
    <w:p>
      <w:pPr>
        <w:spacing w:after="0" w:line="10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The underwriters expect to deliver the shares against payment in New York, New York on September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123190</wp:posOffset>
            </wp:positionV>
            <wp:extent cx="16116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308" w:lineRule="exact"/>
        <w:rPr>
          <w:sz w:val="24"/>
          <w:szCs w:val="24"/>
          <w:color w:val="auto"/>
        </w:rPr>
      </w:pPr>
    </w:p>
    <w:p>
      <w:pPr>
        <w:spacing w:after="0"/>
        <w:tabs>
          <w:tab w:leader="none" w:pos="5120" w:val="left"/>
          <w:tab w:leader="none" w:pos="10640" w:val="left"/>
        </w:tabs>
        <w:rPr>
          <w:sz w:val="20"/>
          <w:szCs w:val="20"/>
          <w:color w:val="auto"/>
        </w:rPr>
      </w:pPr>
      <w:r>
        <w:rPr>
          <w:rFonts w:ascii="Arial" w:cs="Arial" w:eastAsia="Arial" w:hAnsi="Arial"/>
          <w:sz w:val="23"/>
          <w:szCs w:val="23"/>
          <w:b w:val="1"/>
          <w:bCs w:val="1"/>
          <w:color w:val="auto"/>
        </w:rPr>
        <w:t>Goldman Sachs &amp; Co. LLC</w:t>
      </w:r>
      <w:r>
        <w:rPr>
          <w:sz w:val="20"/>
          <w:szCs w:val="20"/>
          <w:color w:val="auto"/>
        </w:rPr>
        <w:tab/>
      </w:r>
      <w:r>
        <w:rPr>
          <w:rFonts w:ascii="Arial" w:cs="Arial" w:eastAsia="Arial" w:hAnsi="Arial"/>
          <w:sz w:val="23"/>
          <w:szCs w:val="23"/>
          <w:b w:val="1"/>
          <w:bCs w:val="1"/>
          <w:color w:val="auto"/>
        </w:rPr>
        <w:t>Jefferies</w:t>
      </w:r>
      <w:r>
        <w:rPr>
          <w:sz w:val="20"/>
          <w:szCs w:val="20"/>
          <w:color w:val="auto"/>
        </w:rPr>
        <w:tab/>
      </w:r>
      <w:r>
        <w:rPr>
          <w:rFonts w:ascii="Arial" w:cs="Arial" w:eastAsia="Arial" w:hAnsi="Arial"/>
          <w:sz w:val="23"/>
          <w:szCs w:val="23"/>
          <w:b w:val="1"/>
          <w:bCs w:val="1"/>
          <w:color w:val="auto"/>
        </w:rPr>
        <w:t>Stifel</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JMP Securities</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Prospectus dated September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4360" w:type="dxa"/>
            <w:vAlign w:val="bottom"/>
          </w:tcPr>
          <w:p>
            <w:pPr>
              <w:spacing w:after="0"/>
              <w:rPr>
                <w:sz w:val="21"/>
                <w:szCs w:val="21"/>
                <w:color w:val="auto"/>
              </w:rPr>
            </w:pPr>
          </w:p>
        </w:tc>
        <w:tc>
          <w:tcPr>
            <w:tcW w:w="5940" w:type="dxa"/>
            <w:vAlign w:val="bottom"/>
            <w:gridSpan w:val="2"/>
          </w:tcPr>
          <w:p>
            <w:pPr>
              <w:ind w:left="3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21"/>
                <w:szCs w:val="21"/>
                <w:color w:val="auto"/>
              </w:rPr>
            </w:pPr>
          </w:p>
        </w:tc>
      </w:tr>
      <w:tr>
        <w:trPr>
          <w:trHeight w:val="353"/>
        </w:trPr>
        <w:tc>
          <w:tcPr>
            <w:tcW w:w="4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9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41"/>
        </w:trPr>
        <w:tc>
          <w:tcPr>
            <w:tcW w:w="10300" w:type="dxa"/>
            <w:vAlign w:val="bottom"/>
            <w:gridSpan w:val="3"/>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Prospectus Summary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Risk Factors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Special Note Regarding Forward-Looking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Market, Industry and Other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Use of Proceeds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Dividend Policy</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Capitalization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6">
              <w:r>
                <w:rPr>
                  <w:rFonts w:ascii="Arial" w:cs="Arial" w:eastAsia="Arial" w:hAnsi="Arial"/>
                  <w:sz w:val="18"/>
                  <w:szCs w:val="18"/>
                  <w:u w:val="single" w:color="auto"/>
                  <w:color w:val="0000EE"/>
                </w:rPr>
                <w:t>Dilution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Selected Financial Data</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Management’s Discussion and Analysis of Financial Condition and Results of Operations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Business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Management</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Executive Compensation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Certain Relationships and Related Party Transactions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Principal Stockholders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85">
              <w:r>
                <w:rPr>
                  <w:rFonts w:ascii="Arial" w:cs="Arial" w:eastAsia="Arial" w:hAnsi="Arial"/>
                  <w:sz w:val="18"/>
                  <w:szCs w:val="18"/>
                  <w:u w:val="single" w:color="auto"/>
                  <w:color w:val="0000EE"/>
                </w:rPr>
                <w:t>Description of Capital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Shares Eligible for Future Sale</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4">
              <w:r>
                <w:rPr>
                  <w:rFonts w:ascii="Arial" w:cs="Arial" w:eastAsia="Arial" w:hAnsi="Arial"/>
                  <w:sz w:val="18"/>
                  <w:szCs w:val="18"/>
                  <w:u w:val="single" w:color="auto"/>
                  <w:color w:val="0000EE"/>
                </w:rPr>
                <w:t>Material U.S. Federal Income and Estate Tax Consequences for Non-U.S. Holders of Common Stock</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198">
              <w:r>
                <w:rPr>
                  <w:rFonts w:ascii="Arial" w:cs="Arial" w:eastAsia="Arial" w:hAnsi="Arial"/>
                  <w:sz w:val="18"/>
                  <w:szCs w:val="18"/>
                  <w:u w:val="single" w:color="auto"/>
                  <w:color w:val="0000EE"/>
                </w:rPr>
                <w:t>Underwriting</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Legal Matters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Experts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10300" w:type="dxa"/>
            <w:vAlign w:val="bottom"/>
            <w:gridSpan w:val="3"/>
          </w:tcPr>
          <w:p>
            <w:pPr>
              <w:spacing w:after="0"/>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Where You Can Find Additional Information</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56"/>
        </w:trPr>
        <w:tc>
          <w:tcPr>
            <w:tcW w:w="10300" w:type="dxa"/>
            <w:vAlign w:val="bottom"/>
            <w:gridSpan w:val="3"/>
          </w:tcPr>
          <w:p>
            <w:pPr>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Index to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12"/>
        </w:trPr>
        <w:tc>
          <w:tcPr>
            <w:tcW w:w="4360" w:type="dxa"/>
            <w:vAlign w:val="bottom"/>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0" w:lineRule="exact"/>
        <w:rPr>
          <w:sz w:val="20"/>
          <w:szCs w:val="20"/>
          <w:color w:val="auto"/>
        </w:rPr>
      </w:pPr>
    </w:p>
    <w:p>
      <w:pPr>
        <w:spacing w:after="0" w:line="315" w:lineRule="exact"/>
        <w:rPr>
          <w:sz w:val="20"/>
          <w:szCs w:val="20"/>
          <w:color w:val="auto"/>
        </w:rPr>
      </w:pPr>
    </w:p>
    <w:p>
      <w:pPr>
        <w:ind w:right="140" w:firstLine="501"/>
        <w:spacing w:after="0" w:line="283" w:lineRule="auto"/>
        <w:rPr>
          <w:sz w:val="20"/>
          <w:szCs w:val="20"/>
          <w:color w:val="auto"/>
        </w:rPr>
      </w:pPr>
      <w:r>
        <w:rPr>
          <w:rFonts w:ascii="Arial" w:cs="Arial" w:eastAsia="Arial" w:hAnsi="Arial"/>
          <w:sz w:val="17"/>
          <w:szCs w:val="17"/>
          <w:b w:val="1"/>
          <w:bCs w:val="1"/>
          <w:color w:val="auto"/>
        </w:rPr>
        <w:t>Through and including October 12,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4" w:lineRule="exact"/>
        <w:rPr>
          <w:sz w:val="20"/>
          <w:szCs w:val="20"/>
          <w:color w:val="auto"/>
        </w:rPr>
      </w:pPr>
    </w:p>
    <w:p>
      <w:pPr>
        <w:ind w:right="140" w:firstLine="501"/>
        <w:spacing w:after="0" w:line="243" w:lineRule="auto"/>
        <w:rPr>
          <w:sz w:val="20"/>
          <w:szCs w:val="20"/>
          <w:color w:val="auto"/>
        </w:rPr>
      </w:pPr>
      <w:r>
        <w:rPr>
          <w:rFonts w:ascii="Arial" w:cs="Arial" w:eastAsia="Arial" w:hAnsi="Arial"/>
          <w:sz w:val="18"/>
          <w:szCs w:val="18"/>
          <w:color w:val="auto"/>
        </w:rPr>
        <w:t>You should rely only on the information contained in this prospectus and any free writing prospectus prepared by or on behalf of us or to which we have referred you. Neither we nor any of the underwriters have authorized anyone to provide you with information that is different. This prospectus is an offer to sell only the securities offered hereby and only under circumstances and in jurisdictions where it is lawful to do so. The information contained in this prospectus is accurate only as of the date of this prospectus, regardless of the time of delivery of this prospectus or of any sale of the securities offered hereby. Our business, financial condition, results of operations and prospects may have changed since that date.</w:t>
      </w:r>
    </w:p>
    <w:p>
      <w:pPr>
        <w:spacing w:after="0" w:line="174" w:lineRule="exact"/>
        <w:rPr>
          <w:sz w:val="20"/>
          <w:szCs w:val="20"/>
          <w:color w:val="auto"/>
        </w:rPr>
      </w:pPr>
    </w:p>
    <w:p>
      <w:pPr>
        <w:ind w:right="560" w:firstLine="602"/>
        <w:spacing w:after="0" w:line="248" w:lineRule="auto"/>
        <w:rPr>
          <w:sz w:val="20"/>
          <w:szCs w:val="20"/>
          <w:color w:val="auto"/>
        </w:rPr>
      </w:pPr>
      <w:r>
        <w:rPr>
          <w:rFonts w:ascii="Arial" w:cs="Arial" w:eastAsia="Arial" w:hAnsi="Arial"/>
          <w:sz w:val="18"/>
          <w:szCs w:val="18"/>
          <w:color w:val="auto"/>
        </w:rPr>
        <w:t>Neither we nor any of the underwriters have taken any action that would permit this offering or possession or distribution of this prospectus in any jurisdiction where action for that purpose is required, other than in the United States. Persons who have come into possession of this prospectus in a jurisdiction outside the United States are required to inform themselves about and to observe any restrictions relating to this offering and the distribution of this prospectus.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245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7245985"/>
                    </a:xfrm>
                    <a:prstGeom prst="rect">
                      <a:avLst/>
                    </a:prstGeom>
                    <a:noFill/>
                  </pic:spPr>
                </pic:pic>
              </a:graphicData>
            </a:graphic>
          </wp:anchor>
        </w:drawing>
        <w:t>PROSPECTUS SUMMARY</w:t>
      </w:r>
    </w:p>
    <w:p>
      <w:pPr>
        <w:spacing w:after="0" w:line="216" w:lineRule="exact"/>
        <w:rPr>
          <w:sz w:val="20"/>
          <w:szCs w:val="20"/>
          <w:color w:val="auto"/>
        </w:rPr>
      </w:pPr>
    </w:p>
    <w:p>
      <w:pPr>
        <w:ind w:right="40" w:firstLine="486"/>
        <w:spacing w:after="0" w:line="242" w:lineRule="auto"/>
        <w:rPr>
          <w:sz w:val="20"/>
          <w:szCs w:val="20"/>
          <w:color w:val="auto"/>
        </w:rPr>
      </w:pPr>
      <w:r>
        <w:rPr>
          <w:rFonts w:ascii="Arial" w:cs="Arial" w:eastAsia="Arial" w:hAnsi="Arial"/>
          <w:sz w:val="18"/>
          <w:szCs w:val="18"/>
          <w:i w:val="1"/>
          <w:iCs w:val="1"/>
          <w:color w:val="auto"/>
          <w:highlight w:val="white"/>
        </w:rPr>
        <w:t>The following summary highlights information contained elsewhere in this prospectus. It may not contain all the information that may be important to you. You should read this entire prospectus carefully, including the sections of this prospectus titled “Risk Factors” and “Management’s Discussion and Analysis of Financial Condition and Results of Operations,” and our financial statements and related notes included elsewhere in this prospectus, before making an investment decision. In this prospectus, unless the context requires otherwise, all references to “we,” “our,” “us,” “Athira,” and the “Company” refer to Athira Pharma, Inc.</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380"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6" w:right="1199" w:bottom="1440" w:gutter="0" w:footer="0" w:header="0"/>
        </w:sectPr>
      </w:pPr>
    </w:p>
    <w:bookmarkStart w:id="3" w:name="page4"/>
    <w:bookmarkEnd w:id="3"/>
    <w:p>
      <w:pPr>
        <w:ind w:right="40" w:firstLine="486"/>
        <w:spacing w:after="0" w:line="24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7942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794250"/>
                    </a:xfrm>
                    <a:prstGeom prst="rect">
                      <a:avLst/>
                    </a:prstGeom>
                    <a:noFill/>
                  </pic:spPr>
                </pic:pic>
              </a:graphicData>
            </a:graphic>
          </wp:anchor>
        </w:drawing>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 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79"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We are pioneering the use of small molecules that are designed to promote the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76" w:lineRule="exact"/>
        <w:rPr>
          <w:sz w:val="20"/>
          <w:szCs w:val="20"/>
          <w:color w:val="auto"/>
        </w:rPr>
      </w:pPr>
    </w:p>
    <w:p>
      <w:pPr>
        <w:ind w:right="20" w:firstLine="486"/>
        <w:spacing w:after="0" w:line="239" w:lineRule="auto"/>
        <w:rPr>
          <w:sz w:val="20"/>
          <w:szCs w:val="20"/>
          <w:color w:val="auto"/>
        </w:rPr>
      </w:pPr>
      <w:r>
        <w:rPr>
          <w:rFonts w:ascii="Arial" w:cs="Arial" w:eastAsia="Arial" w:hAnsi="Arial"/>
          <w:sz w:val="18"/>
          <w:szCs w:val="18"/>
          <w:color w:val="auto"/>
        </w:rPr>
        <w:t>It is our goal to establish in future clinical trials that our ATH platform, which is designed to enhance the body’s repair mechanism of HGF/MET, can potentially address a wide range of clinical applications ranging from CNS disorders, such as AD, Parkinson’s disease dementia, or PDD, multiple sclerosis, or MS, and amyotrophic lateral sclerosis, or ALS, to more peripheral conditions such as neuropathy. In addition, we believe that HGF/MET biology plays a role in neuropsychiatric disorders such as depression and anxiety. We are planning to initiate a Phase 2 clinical trial for ATH-1017 for the treatment of PDD by the end of 2021.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for subcutaneous or oral route of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64" w:right="11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503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7503160"/>
                    </a:xfrm>
                    <a:prstGeom prst="rect">
                      <a:avLst/>
                    </a:prstGeom>
                    <a:noFill/>
                  </pic:spPr>
                </pic:pic>
              </a:graphicData>
            </a:graphic>
          </wp:anchor>
        </w:drawing>
        <w:t>Our Pipeline and ATH Platform</w:t>
      </w:r>
    </w:p>
    <w:p>
      <w:pPr>
        <w:spacing w:after="0" w:line="106" w:lineRule="exact"/>
        <w:rPr>
          <w:sz w:val="20"/>
          <w:szCs w:val="20"/>
          <w:color w:val="auto"/>
        </w:rPr>
      </w:pPr>
    </w:p>
    <w:p>
      <w:pPr>
        <w:ind w:right="160" w:firstLine="486"/>
        <w:spacing w:after="0" w:line="245"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400" w:hanging="398"/>
        <w:spacing w:after="0"/>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68" w:lineRule="exact"/>
        <w:rPr>
          <w:rFonts w:ascii="Arial" w:cs="Arial" w:eastAsia="Arial" w:hAnsi="Arial"/>
          <w:sz w:val="14"/>
          <w:szCs w:val="14"/>
          <w:color w:val="auto"/>
        </w:rPr>
      </w:pPr>
    </w:p>
    <w:p>
      <w:pPr>
        <w:ind w:left="400" w:right="520" w:hanging="398"/>
        <w:spacing w:after="0" w:line="281"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1" w:lineRule="exact"/>
        <w:rPr>
          <w:rFonts w:ascii="Arial" w:cs="Arial" w:eastAsia="Arial" w:hAnsi="Arial"/>
          <w:sz w:val="14"/>
          <w:szCs w:val="14"/>
          <w:color w:val="auto"/>
        </w:rPr>
      </w:pPr>
    </w:p>
    <w:p>
      <w:pPr>
        <w:ind w:left="400" w:hanging="398"/>
        <w:spacing w:after="0" w:line="266" w:lineRule="auto"/>
        <w:tabs>
          <w:tab w:leader="none" w:pos="40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84" w:lineRule="exact"/>
        <w:rPr>
          <w:sz w:val="20"/>
          <w:szCs w:val="20"/>
          <w:color w:val="auto"/>
        </w:rPr>
      </w:pPr>
    </w:p>
    <w:p>
      <w:pPr>
        <w:jc w:val="both"/>
        <w:ind w:right="360" w:firstLine="48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060" w:hanging="343"/>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small molecule focus;</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efficient and scalable manufacturing process; and</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avoids alteration of target system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370" w:right="1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5394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5394325"/>
                    </a:xfrm>
                    <a:prstGeom prst="rect">
                      <a:avLst/>
                    </a:prstGeom>
                    <a:noFill/>
                  </pic:spPr>
                </pic:pic>
              </a:graphicData>
            </a:graphic>
          </wp:anchor>
        </w:drawing>
        <w:t>ATH-1017 for the Potential Treatment of AD</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w:t>
      </w:r>
    </w:p>
    <w:p>
      <w:pPr>
        <w:spacing w:after="0" w:line="62" w:lineRule="exact"/>
        <w:rPr>
          <w:sz w:val="20"/>
          <w:szCs w:val="20"/>
          <w:color w:val="auto"/>
        </w:rPr>
      </w:pPr>
    </w:p>
    <w:p>
      <w:pPr>
        <w:ind w:left="1060" w:right="140" w:hanging="343"/>
        <w:spacing w:after="0" w:line="275" w:lineRule="auto"/>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was well tolerated with no serious adverse events across 88 subjects recruited in the study, including 11 subjects with mild-to-moderate AD, who were assigned to treatment and control groups;</w:t>
      </w:r>
    </w:p>
    <w:p>
      <w:pPr>
        <w:spacing w:after="0" w:line="37" w:lineRule="exact"/>
        <w:rPr>
          <w:rFonts w:ascii="Times New Roman" w:cs="Times New Roman" w:eastAsia="Times New Roman" w:hAnsi="Times New Roman"/>
          <w:sz w:val="18"/>
          <w:szCs w:val="18"/>
          <w:color w:val="auto"/>
        </w:rPr>
      </w:pPr>
    </w:p>
    <w:p>
      <w:pPr>
        <w:ind w:left="1060" w:right="200" w:hanging="343"/>
        <w:spacing w:after="0" w:line="275" w:lineRule="auto"/>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led to improvements in brain network activity that indicated potentially positive effects on brain function; and</w:t>
      </w:r>
    </w:p>
    <w:p>
      <w:pPr>
        <w:spacing w:after="0" w:line="37" w:lineRule="exact"/>
        <w:rPr>
          <w:rFonts w:ascii="Times New Roman" w:cs="Times New Roman" w:eastAsia="Times New Roman" w:hAnsi="Times New Roman"/>
          <w:sz w:val="18"/>
          <w:szCs w:val="18"/>
          <w:color w:val="auto"/>
        </w:rPr>
      </w:pPr>
    </w:p>
    <w:p>
      <w:pPr>
        <w:ind w:left="1060" w:right="40" w:hanging="343"/>
        <w:spacing w:after="0" w:line="255" w:lineRule="auto"/>
        <w:tabs>
          <w:tab w:leader="none" w:pos="10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demonstrated significant improvement in P300 latency, a functional measure that is highly correlated with cognition, in the AD subjects with multiple dosing; however, we have not yet established a connection between these P300 latency results and improved cognition.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from Our Phase 1b Clinical Trial</w:t>
      </w:r>
    </w:p>
    <w:p>
      <w:pPr>
        <w:spacing w:after="0" w:line="104" w:lineRule="exact"/>
        <w:rPr>
          <w:sz w:val="20"/>
          <w:szCs w:val="20"/>
          <w:color w:val="auto"/>
        </w:rPr>
      </w:pPr>
    </w:p>
    <w:p>
      <w:pPr>
        <w:ind w:right="80" w:firstLine="486"/>
        <w:spacing w:after="0" w:line="252" w:lineRule="auto"/>
        <w:rPr>
          <w:sz w:val="20"/>
          <w:szCs w:val="20"/>
          <w:color w:val="auto"/>
        </w:rPr>
      </w:pPr>
      <w:r>
        <w:rPr>
          <w:rFonts w:ascii="Arial" w:cs="Arial" w:eastAsia="Arial" w:hAnsi="Arial"/>
          <w:sz w:val="17"/>
          <w:szCs w:val="17"/>
          <w:color w:val="auto"/>
        </w:rPr>
        <w:t>In our Phase 1b clinical trial, event-related potential, or ERP, P300 recordings were collected from the multiple ascending dose, or MAD, healthy elderly and AD subjects. Analysis of these P300 data demonstrated that one daily dose of ATH-1017 improved P300 latency over an 8-day dosing period in AD subjects, as shown in the figures below.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the figure below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overall improvement in neuronal health and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370" w:right="1219" w:bottom="1440" w:gutter="0" w:footer="0" w:header="0"/>
        </w:sectPr>
      </w:pPr>
    </w:p>
    <w:bookmarkStart w:id="6" w:name="page7"/>
    <w:bookmarkEnd w:id="6"/>
    <w:p>
      <w:pPr>
        <w:ind w:right="40" w:firstLine="486"/>
        <w:spacing w:after="0" w:line="276"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8488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8488680"/>
                    </a:xfrm>
                    <a:prstGeom prst="rect">
                      <a:avLst/>
                    </a:prstGeom>
                    <a:noFill/>
                  </pic:spPr>
                </pic:pic>
              </a:graphicData>
            </a:graphic>
          </wp:anchor>
        </w:drawing>
        <w:t xml:space="preserve">ATH-1017 Treatment Led to Continued and Sustained Improvement in P300 Latency in AD Subjects. </w:t>
      </w:r>
      <w:r>
        <w:rPr>
          <w:rFonts w:ascii="Arial" w:cs="Arial" w:eastAsia="Arial" w:hAnsi="Arial"/>
          <w:sz w:val="18"/>
          <w:szCs w:val="18"/>
          <w:color w:val="auto"/>
        </w:rPr>
        <w:t>The arrows</w:t>
      </w:r>
      <w:r>
        <w:rPr>
          <w:rFonts w:ascii="Arial" w:cs="Arial" w:eastAsia="Arial" w:hAnsi="Arial"/>
          <w:sz w:val="18"/>
          <w:szCs w:val="18"/>
          <w:i w:val="1"/>
          <w:iCs w:val="1"/>
          <w:color w:val="auto"/>
        </w:rPr>
        <w:t xml:space="preserve"> </w:t>
      </w:r>
      <w:r>
        <w:rPr>
          <w:rFonts w:ascii="Arial" w:cs="Arial" w:eastAsia="Arial" w:hAnsi="Arial"/>
          <w:sz w:val="18"/>
          <w:szCs w:val="18"/>
          <w:color w:val="auto"/>
        </w:rPr>
        <w:t>highlight the sustained P300 latency benefit due to ATH-1017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i w:val="1"/>
          <w:iCs w:val="1"/>
          <w:color w:val="auto"/>
        </w:rPr>
        <w:t xml:space="preserve">Quantification of the Change in P300 Latency from Baseline, ATH-1017 Significantly Reduced P300 Latency Compared to the Placebo Group on Day 8 Recordings. </w:t>
      </w:r>
      <w:r>
        <w:rPr>
          <w:rFonts w:ascii="Arial" w:cs="Arial" w:eastAsia="Arial" w:hAnsi="Arial"/>
          <w:sz w:val="18"/>
          <w:szCs w:val="18"/>
          <w:color w:val="auto"/>
        </w:rPr>
        <w:t>Data show the average of P300 latency values of 7 AD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subjects treated with ATH-1017 vs. 4 AD subjects on placebo * p≤0.05.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firstLine="486"/>
        <w:spacing w:after="0"/>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 September 2020, we began site initiation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264" w:right="1199" w:bottom="1440" w:gutter="0" w:footer="0" w:header="0"/>
        </w:sectPr>
      </w:pPr>
    </w:p>
    <w:bookmarkStart w:id="7" w:name="page8"/>
    <w:bookmarkEnd w:id="7"/>
    <w:p>
      <w:pPr>
        <w:jc w:val="both"/>
        <w:ind w:right="240"/>
        <w:spacing w:after="0" w:line="247"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7000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7700010"/>
                    </a:xfrm>
                    <a:prstGeom prst="rect">
                      <a:avLst/>
                    </a:prstGeom>
                    <a:noFill/>
                  </pic:spPr>
                </pic:pic>
              </a:graphicData>
            </a:graphic>
          </wp:anchor>
        </w:drawing>
        <w:t xml:space="preserve">and patient screening for the LIFT-AD trial and anticipate topline results by the end of 2022. </w:t>
      </w:r>
      <w:r>
        <w:rPr>
          <w:rFonts w:ascii="Arial" w:cs="Arial" w:eastAsia="Arial" w:hAnsi="Arial"/>
          <w:sz w:val="17"/>
          <w:szCs w:val="17"/>
          <w:color w:val="auto"/>
        </w:rPr>
        <w:t>These topline</w:t>
      </w:r>
      <w:r>
        <w:rPr>
          <w:rFonts w:ascii="Arial" w:cs="Arial" w:eastAsia="Arial" w:hAnsi="Arial"/>
          <w:sz w:val="20"/>
          <w:szCs w:val="20"/>
          <w:color w:val="auto"/>
        </w:rPr>
        <w:t xml:space="preserve"> </w:t>
      </w:r>
      <w:r>
        <w:rPr>
          <w:rFonts w:ascii="Arial" w:cs="Arial" w:eastAsia="Arial" w:hAnsi="Arial"/>
          <w:sz w:val="17"/>
          <w:szCs w:val="17"/>
          <w:color w:val="auto"/>
        </w:rPr>
        <w:t>results may provide pivotal data in support of registration, but the FDA or other regulators may still require additional trials even if results from the LIFT-AD trial are positive.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102" w:lineRule="exact"/>
        <w:rPr>
          <w:sz w:val="20"/>
          <w:szCs w:val="20"/>
          <w:color w:val="auto"/>
        </w:rPr>
      </w:pPr>
    </w:p>
    <w:p>
      <w:pPr>
        <w:ind w:right="100" w:firstLine="486"/>
        <w:spacing w:after="0" w:line="245" w:lineRule="auto"/>
        <w:rPr>
          <w:sz w:val="20"/>
          <w:szCs w:val="20"/>
          <w:color w:val="auto"/>
        </w:rPr>
      </w:pPr>
      <w:r>
        <w:rPr>
          <w:rFonts w:ascii="Arial" w:cs="Arial" w:eastAsia="Arial" w:hAnsi="Arial"/>
          <w:sz w:val="18"/>
          <w:szCs w:val="18"/>
          <w:color w:val="auto"/>
        </w:rPr>
        <w:t>In addition to LIFT-AD, we are planning ACT-AD, a randomized, placebo-controlled clinical trial designed to test the same dose levels of ATH-1017 (low and high) in subjects with mild-to-moderate AD compared to placebo. We intend to enroll approximately 60 to 75 mild-to-moderate AD subjects. By the end of 2020, we plan to initiate this ACT-AD P300 Phase 2 clinical trial in mild-to-moderate AD to better understand the overall effects of ATH-1017 on working memory processing speed and cognitive measures, with topline results expected by early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56" w:lineRule="exact"/>
        <w:rPr>
          <w:sz w:val="20"/>
          <w:szCs w:val="20"/>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advance ATH-1017 through clinical development for AD;</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development of ATH-1017 to include additional indications and delivery methods;</w:t>
      </w:r>
    </w:p>
    <w:p>
      <w:pPr>
        <w:spacing w:after="0" w:line="116"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focus on translational and functional endpoints to efficiently develop product candidates;</w:t>
      </w:r>
    </w:p>
    <w:p>
      <w:pPr>
        <w:spacing w:after="0" w:line="116" w:lineRule="exact"/>
        <w:rPr>
          <w:rFonts w:ascii="Times New Roman" w:cs="Times New Roman" w:eastAsia="Times New Roman" w:hAnsi="Times New Roman"/>
          <w:sz w:val="18"/>
          <w:szCs w:val="18"/>
          <w:color w:val="auto"/>
        </w:rPr>
      </w:pPr>
    </w:p>
    <w:p>
      <w:pPr>
        <w:ind w:left="1060" w:right="120" w:hanging="343"/>
        <w:spacing w:after="0" w:line="275" w:lineRule="auto"/>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developing additional pipeline programs and utilize our ATH platform for further drug discovery; and</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optimize the value of ATH-1017 and other candidates in major markets.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Scientific Data Support HGF/MET’s Role in Maintaining Neuronal Health and Function</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Promoting the HGF/MET system has been shown to have multiple beneficial downstream effects that are relevant to AD:</w:t>
      </w:r>
    </w:p>
    <w:p>
      <w:pPr>
        <w:spacing w:after="0" w:line="62" w:lineRule="exact"/>
        <w:rPr>
          <w:sz w:val="20"/>
          <w:szCs w:val="20"/>
          <w:color w:val="auto"/>
        </w:rPr>
      </w:pPr>
    </w:p>
    <w:p>
      <w:pPr>
        <w:ind w:left="1060" w:hanging="343"/>
        <w:spacing w:after="0"/>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1060" w:right="120" w:hanging="34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1060" w:right="180" w:hanging="343"/>
        <w:spacing w:after="0" w:line="275" w:lineRule="auto"/>
        <w:tabs>
          <w:tab w:leader="none" w:pos="10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146" w:lineRule="exact"/>
        <w:rPr>
          <w:sz w:val="20"/>
          <w:szCs w:val="20"/>
          <w:color w:val="auto"/>
        </w:rPr>
      </w:pPr>
    </w:p>
    <w:p>
      <w:pPr>
        <w:ind w:right="180" w:firstLine="486"/>
        <w:spacing w:after="0" w:line="248"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Notably, promotion of the HGF/MET system improved memory in AD and PDD models and improvement in neuronal survival was reported in various disease models including MS and ALS. These studies support the HGF/MET system as a therapeutic target in a diverse array of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49" w:right="1219" w:bottom="1440" w:gutter="0" w:footer="0" w:header="0"/>
        </w:sectPr>
      </w:pPr>
    </w:p>
    <w:bookmarkStart w:id="8" w:name="page9"/>
    <w:bookmarkEnd w:id="8"/>
    <w:p>
      <w:pPr>
        <w:jc w:val="both"/>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545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275" cy="7545705"/>
                    </a:xfrm>
                    <a:prstGeom prst="rect">
                      <a:avLst/>
                    </a:prstGeom>
                    <a:noFill/>
                  </pic:spPr>
                </pic:pic>
              </a:graphicData>
            </a:graphic>
          </wp:anchor>
        </w:drawing>
        <w:t>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64" w:lineRule="exact"/>
        <w:rPr>
          <w:sz w:val="20"/>
          <w:szCs w:val="20"/>
          <w:color w:val="auto"/>
        </w:rPr>
      </w:pPr>
    </w:p>
    <w:p>
      <w:pPr>
        <w:ind w:right="120" w:firstLine="486"/>
        <w:spacing w:after="0" w:line="241"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and hence can lead to variability of treatment outcomes and longer clinical development timelines.</w:t>
      </w:r>
    </w:p>
    <w:p>
      <w:pPr>
        <w:spacing w:after="0" w:line="179" w:lineRule="exact"/>
        <w:rPr>
          <w:sz w:val="20"/>
          <w:szCs w:val="20"/>
          <w:color w:val="auto"/>
        </w:rPr>
      </w:pPr>
    </w:p>
    <w:p>
      <w:pPr>
        <w:ind w:firstLine="48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Traditionally,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firstLine="486"/>
        <w:spacing w:after="0" w:line="248"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62" w:lineRule="exact"/>
        <w:rPr>
          <w:sz w:val="20"/>
          <w:szCs w:val="20"/>
          <w:color w:val="auto"/>
        </w:rPr>
      </w:pPr>
    </w:p>
    <w:p>
      <w:pPr>
        <w:ind w:left="1060" w:right="100" w:hanging="343"/>
        <w:spacing w:after="0" w:line="248" w:lineRule="auto"/>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w:t>
      </w:r>
      <w:r>
        <w:rPr>
          <w:rFonts w:ascii="Arial" w:cs="Arial" w:eastAsia="Arial" w:hAnsi="Arial"/>
          <w:sz w:val="18"/>
          <w:szCs w:val="18"/>
          <w:i w:val="1"/>
          <w:iCs w:val="1"/>
          <w:color w:val="auto"/>
        </w:rPr>
        <w:t xml:space="preserve"> </w:t>
      </w:r>
      <w:r>
        <w:rPr>
          <w:rFonts w:ascii="Arial" w:cs="Arial" w:eastAsia="Arial" w:hAnsi="Arial"/>
          <w:sz w:val="18"/>
          <w:szCs w:val="18"/>
          <w:color w:val="auto"/>
        </w:rPr>
        <w:t>to a rapid increase in 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1060" w:right="120" w:hanging="343"/>
        <w:spacing w:after="0" w:line="248" w:lineRule="auto"/>
        <w:tabs>
          <w:tab w:leader="none" w:pos="10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 brain systems that reduce oxidative stress, which is expected to reduce damage and slow down disease progression and improve network activity. Many therapies in development are focused only on slowing disease progression.</w:t>
      </w:r>
    </w:p>
    <w:p>
      <w:pPr>
        <w:spacing w:after="0" w:line="61" w:lineRule="exact"/>
        <w:rPr>
          <w:rFonts w:ascii="Times New Roman" w:cs="Times New Roman" w:eastAsia="Times New Roman" w:hAnsi="Times New Roman"/>
          <w:sz w:val="18"/>
          <w:szCs w:val="18"/>
          <w:color w:val="auto"/>
        </w:rPr>
      </w:pPr>
    </w:p>
    <w:p>
      <w:pPr>
        <w:ind w:left="1060" w:right="660" w:hanging="343"/>
        <w:spacing w:after="0" w:line="305" w:lineRule="auto"/>
        <w:tabs>
          <w:tab w:leader="none" w:pos="106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Improvement in cerebral blood flow, as well as reducing inflammation </w:t>
      </w:r>
      <w:r>
        <w:rPr>
          <w:rFonts w:ascii="Arial" w:cs="Arial" w:eastAsia="Arial" w:hAnsi="Arial"/>
          <w:sz w:val="17"/>
          <w:szCs w:val="17"/>
          <w:color w:val="auto"/>
        </w:rPr>
        <w:t>by modulating inflammatory</w:t>
      </w:r>
      <w:r>
        <w:rPr>
          <w:rFonts w:ascii="Arial" w:cs="Arial" w:eastAsia="Arial" w:hAnsi="Arial"/>
          <w:sz w:val="17"/>
          <w:szCs w:val="17"/>
          <w:i w:val="1"/>
          <w:iCs w:val="1"/>
          <w:color w:val="auto"/>
        </w:rPr>
        <w:t xml:space="preserve"> </w:t>
      </w:r>
      <w:r>
        <w:rPr>
          <w:rFonts w:ascii="Arial" w:cs="Arial" w:eastAsia="Arial" w:hAnsi="Arial"/>
          <w:sz w:val="17"/>
          <w:szCs w:val="17"/>
          <w:color w:val="auto"/>
        </w:rPr>
        <w:t>cytokine expression from the glia. Many other therapies only have a single mode of activity.</w:t>
      </w:r>
    </w:p>
    <w:p>
      <w:pPr>
        <w:spacing w:after="0" w:line="123" w:lineRule="exact"/>
        <w:rPr>
          <w:sz w:val="20"/>
          <w:szCs w:val="20"/>
          <w:color w:val="auto"/>
        </w:rPr>
      </w:pPr>
    </w:p>
    <w:p>
      <w:pPr>
        <w:ind w:right="140" w:firstLine="486"/>
        <w:spacing w:after="0" w:line="248" w:lineRule="auto"/>
        <w:rPr>
          <w:sz w:val="20"/>
          <w:szCs w:val="20"/>
          <w:color w:val="auto"/>
        </w:rPr>
      </w:pPr>
      <w:r>
        <w:rPr>
          <w:rFonts w:ascii="Arial" w:cs="Arial" w:eastAsia="Arial" w:hAnsi="Arial"/>
          <w:sz w:val="18"/>
          <w:szCs w:val="18"/>
          <w:color w:val="auto"/>
        </w:rPr>
        <w:t>It is our goal to establish in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20" w:firstLine="486"/>
        <w:spacing w:after="0" w:line="245"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9" w:name="page10"/>
    <w:bookmarkEnd w:id="9"/>
    <w:p>
      <w:pPr>
        <w:ind w:firstLine="486"/>
        <w:spacing w:after="0" w:line="25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802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7802880"/>
                    </a:xfrm>
                    <a:prstGeom prst="rect">
                      <a:avLst/>
                    </a:prstGeom>
                    <a:noFill/>
                  </pic:spPr>
                </pic:pic>
              </a:graphicData>
            </a:graphic>
          </wp:anchor>
        </w:drawing>
        <w:t>Our focused drug development approach aims to understand the potential clinical benefit of a product candidate at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By focusing on these direct measures of brain activity and cognitive processing, we believe we will be able to develop ATH-1017 more efficiently for treatment of AD and broader dementia.</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 and Applications to Our ATH Platform</w:t>
      </w:r>
    </w:p>
    <w:p>
      <w:pPr>
        <w:spacing w:after="0" w:line="104"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the table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w:t>
      </w:r>
    </w:p>
    <w:p>
      <w:pPr>
        <w:spacing w:after="0" w:line="2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Studies Suggest Changes in P300 Latency Have Been Predictive of Changes in 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142"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the connection of these biomarkers to cognition is not clear. We sought to develop a translational strategy for ATH that was highly correlated to brain function and cognition which led us to use EEG/ERP for the clinical development of ATH-1017. Positive changes in EEG and ERP P300 latency potentially indicate a positive cognitive effect of ATH treatment, which increases our confidence that these effects may translate to clinical benefit in later-stage clinical trials.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06" w:lineRule="exact"/>
        <w:rPr>
          <w:sz w:val="20"/>
          <w:szCs w:val="20"/>
          <w:color w:val="auto"/>
        </w:rPr>
      </w:pPr>
    </w:p>
    <w:p>
      <w:pPr>
        <w:ind w:right="20" w:firstLine="486"/>
        <w:spacing w:after="0" w:line="243"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Leen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264" w:right="1219" w:bottom="1440" w:gutter="0" w:footer="0" w:header="0"/>
        </w:sectPr>
      </w:pPr>
    </w:p>
    <w:bookmarkStart w:id="10" w:name="page11"/>
    <w:bookmarkEnd w:id="10"/>
    <w:p>
      <w:pPr>
        <w:ind w:right="180"/>
        <w:spacing w:after="0" w:line="27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366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275" cy="7366000"/>
                    </a:xfrm>
                    <a:prstGeom prst="rect">
                      <a:avLst/>
                    </a:prstGeom>
                    <a:noFill/>
                  </pic:spPr>
                </pic:pic>
              </a:graphicData>
            </a:graphic>
          </wp:anchor>
        </w:drawing>
        <w:t>Lundbeck A/S in October 2019. Dr. Kevin Church, our vice president of discovery, has over 10 years of research and management experience in the biotech space and is an expert in HGF biology.</w:t>
      </w:r>
    </w:p>
    <w:p>
      <w:pPr>
        <w:spacing w:after="0" w:line="145" w:lineRule="exact"/>
        <w:rPr>
          <w:sz w:val="20"/>
          <w:szCs w:val="20"/>
          <w:color w:val="auto"/>
        </w:rPr>
      </w:pPr>
    </w:p>
    <w:p>
      <w:pPr>
        <w:ind w:right="20" w:firstLine="486"/>
        <w:spacing w:after="0" w:line="245" w:lineRule="auto"/>
        <w:rPr>
          <w:sz w:val="20"/>
          <w:szCs w:val="20"/>
          <w:color w:val="auto"/>
        </w:rPr>
      </w:pPr>
      <w:r>
        <w:rPr>
          <w:rFonts w:ascii="Arial" w:cs="Arial" w:eastAsia="Arial" w:hAnsi="Arial"/>
          <w:sz w:val="18"/>
          <w:szCs w:val="18"/>
          <w:color w:val="auto"/>
        </w:rPr>
        <w:t>Our advisory board is a world 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quantitative EEG, or qEEG, ERP P300 latency, and cognitive and behavioral paradigms. Dr. Sabbagh, the director of Cleveland Clinic Lou Ruvo Center for Brain Health, is considered to be one of the leading experts in AD and dementia.</w:t>
      </w:r>
    </w:p>
    <w:p>
      <w:pPr>
        <w:spacing w:after="0" w:line="172" w:lineRule="exact"/>
        <w:rPr>
          <w:sz w:val="20"/>
          <w:szCs w:val="20"/>
          <w:color w:val="auto"/>
        </w:rPr>
      </w:pPr>
    </w:p>
    <w:p>
      <w:pPr>
        <w:ind w:right="40" w:firstLine="486"/>
        <w:spacing w:after="0" w:line="245"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Business</w:t>
      </w:r>
    </w:p>
    <w:p>
      <w:pPr>
        <w:spacing w:after="0" w:line="106" w:lineRule="exact"/>
        <w:rPr>
          <w:sz w:val="20"/>
          <w:szCs w:val="20"/>
          <w:color w:val="auto"/>
        </w:rPr>
      </w:pPr>
    </w:p>
    <w:p>
      <w:pPr>
        <w:ind w:right="380" w:firstLine="486"/>
        <w:spacing w:after="0" w:line="255"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56" w:lineRule="exact"/>
        <w:rPr>
          <w:sz w:val="20"/>
          <w:szCs w:val="20"/>
          <w:color w:val="auto"/>
        </w:rPr>
      </w:pPr>
    </w:p>
    <w:p>
      <w:pPr>
        <w:ind w:left="1060" w:hanging="343"/>
        <w:spacing w:after="0"/>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w:t>
      </w:r>
    </w:p>
    <w:p>
      <w:pPr>
        <w:spacing w:after="0" w:line="116" w:lineRule="exact"/>
        <w:rPr>
          <w:rFonts w:ascii="Times New Roman" w:cs="Times New Roman" w:eastAsia="Times New Roman" w:hAnsi="Times New Roman"/>
          <w:sz w:val="18"/>
          <w:szCs w:val="18"/>
          <w:color w:val="auto"/>
        </w:rPr>
      </w:pPr>
    </w:p>
    <w:p>
      <w:pPr>
        <w:ind w:left="1060" w:right="540" w:hanging="343"/>
        <w:spacing w:after="0" w:line="275"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losses since our inception and anticipate that we will continue to incur significant losses for the foreseeable future.</w:t>
      </w:r>
    </w:p>
    <w:p>
      <w:pPr>
        <w:spacing w:after="0" w:line="37" w:lineRule="exact"/>
        <w:rPr>
          <w:rFonts w:ascii="Times New Roman" w:cs="Times New Roman" w:eastAsia="Times New Roman" w:hAnsi="Times New Roman"/>
          <w:sz w:val="18"/>
          <w:szCs w:val="18"/>
          <w:color w:val="auto"/>
        </w:rPr>
      </w:pPr>
    </w:p>
    <w:p>
      <w:pPr>
        <w:ind w:left="1060" w:right="80" w:hanging="343"/>
        <w:spacing w:after="0" w:line="248"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61" w:lineRule="exact"/>
        <w:rPr>
          <w:rFonts w:ascii="Times New Roman" w:cs="Times New Roman" w:eastAsia="Times New Roman" w:hAnsi="Times New Roman"/>
          <w:sz w:val="18"/>
          <w:szCs w:val="18"/>
          <w:color w:val="auto"/>
        </w:rPr>
      </w:pPr>
    </w:p>
    <w:p>
      <w:pPr>
        <w:ind w:left="1060" w:right="160" w:hanging="343"/>
        <w:spacing w:after="0" w:line="275"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a number of objectives.</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development of ATH-1017 may never lead to a marketable product.</w:t>
      </w:r>
    </w:p>
    <w:p>
      <w:pPr>
        <w:spacing w:after="0" w:line="116" w:lineRule="exact"/>
        <w:rPr>
          <w:rFonts w:ascii="Times New Roman" w:cs="Times New Roman" w:eastAsia="Times New Roman" w:hAnsi="Times New Roman"/>
          <w:sz w:val="18"/>
          <w:szCs w:val="18"/>
          <w:color w:val="auto"/>
        </w:rPr>
      </w:pPr>
    </w:p>
    <w:p>
      <w:pPr>
        <w:ind w:left="1060" w:right="20" w:hanging="343"/>
        <w:spacing w:after="0" w:line="242"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69" w:lineRule="exact"/>
        <w:rPr>
          <w:rFonts w:ascii="Times New Roman" w:cs="Times New Roman" w:eastAsia="Times New Roman" w:hAnsi="Times New Roman"/>
          <w:sz w:val="18"/>
          <w:szCs w:val="18"/>
          <w:color w:val="auto"/>
        </w:rPr>
      </w:pPr>
    </w:p>
    <w:p>
      <w:pPr>
        <w:ind w:left="1060" w:right="220" w:hanging="343"/>
        <w:spacing w:after="0" w:line="248"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We have concentrated our research and development efforts on the treatment of CNS and peripheral degenerative disorders, a field that has seen very limited success in product development. Further, our product candidates are based on new approaches and novel technology, which makes it difficult to predict the time and cost of product candidate development and the regulatory approval process.</w:t>
      </w:r>
    </w:p>
    <w:p>
      <w:pPr>
        <w:spacing w:after="0" w:line="61" w:lineRule="exact"/>
        <w:rPr>
          <w:rFonts w:ascii="Times New Roman" w:cs="Times New Roman" w:eastAsia="Times New Roman" w:hAnsi="Times New Roman"/>
          <w:sz w:val="18"/>
          <w:szCs w:val="18"/>
          <w:color w:val="auto"/>
        </w:rPr>
      </w:pPr>
    </w:p>
    <w:p>
      <w:pPr>
        <w:ind w:left="1060" w:hanging="343"/>
        <w:spacing w:after="0" w:line="248" w:lineRule="auto"/>
        <w:tabs>
          <w:tab w:leader="none" w:pos="10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156" w:right="1239" w:bottom="1440" w:gutter="0" w:footer="0" w:header="0"/>
        </w:sectPr>
      </w:pPr>
    </w:p>
    <w:bookmarkStart w:id="11" w:name="page12"/>
    <w:bookmarkEnd w:id="11"/>
    <w:p>
      <w:pPr>
        <w:ind w:left="1060" w:right="720" w:hanging="343"/>
        <w:spacing w:after="0" w:line="275"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846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275" cy="7846060"/>
                    </a:xfrm>
                    <a:prstGeom prst="rect">
                      <a:avLst/>
                    </a:prstGeom>
                    <a:noFill/>
                  </pic:spPr>
                </pic:pic>
              </a:graphicData>
            </a:graphic>
          </wp:anchor>
        </w:drawing>
        <w:t>The outbreak of the novel coronavirus disease, COVID-19, could adversely impact our business, including our nonclinical studies and clinical trials.</w:t>
      </w:r>
    </w:p>
    <w:p>
      <w:pPr>
        <w:spacing w:after="0" w:line="37" w:lineRule="exact"/>
        <w:rPr>
          <w:rFonts w:ascii="Times New Roman" w:cs="Times New Roman" w:eastAsia="Times New Roman" w:hAnsi="Times New Roman"/>
          <w:sz w:val="18"/>
          <w:szCs w:val="18"/>
          <w:color w:val="auto"/>
        </w:rPr>
      </w:pPr>
    </w:p>
    <w:p>
      <w:pPr>
        <w:ind w:left="1060" w:right="180" w:hanging="343"/>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54" w:lineRule="exact"/>
        <w:rPr>
          <w:rFonts w:ascii="Times New Roman" w:cs="Times New Roman" w:eastAsia="Times New Roman" w:hAnsi="Times New Roman"/>
          <w:sz w:val="18"/>
          <w:szCs w:val="18"/>
          <w:color w:val="auto"/>
        </w:rPr>
      </w:pPr>
    </w:p>
    <w:p>
      <w:pPr>
        <w:jc w:val="both"/>
        <w:ind w:left="1060" w:right="200" w:hanging="343"/>
        <w:spacing w:after="0" w:line="255" w:lineRule="auto"/>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54"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Our success depends on our ability to protect our intellectual property and our proprietary technologies.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06" w:lineRule="exact"/>
        <w:rPr>
          <w:sz w:val="20"/>
          <w:szCs w:val="20"/>
          <w:color w:val="auto"/>
        </w:rPr>
      </w:pPr>
    </w:p>
    <w:p>
      <w:pPr>
        <w:ind w:right="100" w:firstLine="486"/>
        <w:spacing w:after="0" w:line="243" w:lineRule="auto"/>
        <w:rPr>
          <w:sz w:val="20"/>
          <w:szCs w:val="20"/>
          <w:color w:val="auto"/>
        </w:rPr>
      </w:pPr>
      <w:r>
        <w:rPr>
          <w:rFonts w:ascii="Arial" w:cs="Arial" w:eastAsia="Arial" w:hAnsi="Arial"/>
          <w:sz w:val="18"/>
          <w:szCs w:val="18"/>
          <w:color w:val="auto"/>
        </w:rPr>
        <w:t>We were incorporated in Washington as a corporation in March 2011 under the name M3 Biotechnology, Inc. In October 2015, we converted to a Delaware corporation and subsequently changed our name to “Athira Pharma, Inc.” Our principal executive office is located at 4000 Mason Road, Suite 300, Seattle, Washington 98195. Our telephone number is (206) 221-8112. Our website is www.athira.com. Information contained in, or that can be accessed through, our website is not a part of, and is not incorporated into, this prospectus, and the inclusion of our website address in this prospectus is an inactive textual reference only.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Service Marks</w:t>
      </w:r>
    </w:p>
    <w:p>
      <w:pPr>
        <w:spacing w:after="0" w:line="106" w:lineRule="exact"/>
        <w:rPr>
          <w:sz w:val="20"/>
          <w:szCs w:val="20"/>
          <w:color w:val="auto"/>
        </w:rPr>
      </w:pPr>
    </w:p>
    <w:p>
      <w:pPr>
        <w:ind w:right="80" w:firstLine="486"/>
        <w:spacing w:after="0" w:line="241" w:lineRule="auto"/>
        <w:rPr>
          <w:sz w:val="20"/>
          <w:szCs w:val="20"/>
          <w:color w:val="auto"/>
        </w:rPr>
      </w:pPr>
      <w:r>
        <w:rPr>
          <w:rFonts w:ascii="Arial" w:cs="Arial" w:eastAsia="Arial" w:hAnsi="Arial"/>
          <w:sz w:val="18"/>
          <w:szCs w:val="18"/>
          <w:color w:val="auto"/>
        </w:rPr>
        <w:t xml:space="preserve">We use Athira, Athira Pharma, the Athira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06"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highlight w:val="white"/>
        </w:rPr>
        <w:t>We are an “emerging growth company” as defined in the Jumpstart Our Business Startups Act of 2012, as amended, or the JOBS Act. As such, we may take advantage of reduced disclosure and other requirements otherwise generally applicable to public companies, including:</w:t>
      </w:r>
    </w:p>
    <w:p>
      <w:pPr>
        <w:spacing w:after="0" w:line="56" w:lineRule="exact"/>
        <w:rPr>
          <w:sz w:val="20"/>
          <w:szCs w:val="20"/>
          <w:color w:val="auto"/>
        </w:rPr>
      </w:pPr>
    </w:p>
    <w:p>
      <w:pPr>
        <w:ind w:left="1060" w:hanging="343"/>
        <w:spacing w:after="0"/>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presentation of only two years of audited financial statements and related financial disclosure;</w:t>
      </w:r>
    </w:p>
    <w:p>
      <w:pPr>
        <w:spacing w:after="0" w:line="116" w:lineRule="exact"/>
        <w:rPr>
          <w:rFonts w:ascii="Times New Roman" w:cs="Times New Roman" w:eastAsia="Times New Roman" w:hAnsi="Times New Roman"/>
          <w:sz w:val="18"/>
          <w:szCs w:val="18"/>
          <w:color w:val="auto"/>
        </w:rPr>
      </w:pPr>
    </w:p>
    <w:p>
      <w:pPr>
        <w:ind w:left="1060" w:right="82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have our registered independent public accounting firm attest to management's assessment of our internal control over financial reporting;</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reduced disclosure about our executive compensation arrangements; and</w:t>
      </w:r>
    </w:p>
    <w:p>
      <w:pPr>
        <w:spacing w:after="0" w:line="116" w:lineRule="exact"/>
        <w:rPr>
          <w:rFonts w:ascii="Times New Roman" w:cs="Times New Roman" w:eastAsia="Times New Roman" w:hAnsi="Times New Roman"/>
          <w:sz w:val="18"/>
          <w:szCs w:val="18"/>
          <w:color w:val="auto"/>
        </w:rPr>
      </w:pPr>
    </w:p>
    <w:p>
      <w:pPr>
        <w:ind w:left="1060" w:right="320" w:hanging="343"/>
        <w:spacing w:after="0" w:line="275" w:lineRule="auto"/>
        <w:tabs>
          <w:tab w:leader="none" w:pos="10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exemption from requirement to hold non-binding advisory votes on executive compensation or golden parachute arrangements.</w:t>
      </w:r>
    </w:p>
    <w:p>
      <w:pPr>
        <w:spacing w:after="0" w:line="146" w:lineRule="exact"/>
        <w:rPr>
          <w:sz w:val="20"/>
          <w:szCs w:val="20"/>
          <w:color w:val="auto"/>
        </w:rPr>
      </w:pPr>
    </w:p>
    <w:p>
      <w:pPr>
        <w:ind w:firstLine="486"/>
        <w:spacing w:after="0" w:line="241" w:lineRule="auto"/>
        <w:rPr>
          <w:sz w:val="20"/>
          <w:szCs w:val="20"/>
          <w:color w:val="auto"/>
        </w:rPr>
      </w:pPr>
      <w:r>
        <w:rPr>
          <w:rFonts w:ascii="Arial" w:cs="Arial" w:eastAsia="Arial" w:hAnsi="Arial"/>
          <w:sz w:val="18"/>
          <w:szCs w:val="18"/>
          <w:color w:val="auto"/>
          <w:highlight w:val="white"/>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our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156" w:right="1219" w:bottom="1440" w:gutter="0" w:footer="0" w:header="0"/>
        </w:sectPr>
      </w:pPr>
    </w:p>
    <w:bookmarkStart w:id="12" w:name="page13"/>
    <w:bookmarkEnd w:id="12"/>
    <w:p>
      <w:pPr>
        <w:ind w:right="80" w:firstLine="486"/>
        <w:spacing w:after="0" w:line="238" w:lineRule="auto"/>
        <w:rPr>
          <w:sz w:val="20"/>
          <w:szCs w:val="20"/>
          <w:color w:val="auto"/>
        </w:rPr>
      </w:pPr>
      <w:r>
        <w:rPr>
          <w:rFonts w:ascii="Arial" w:cs="Arial" w:eastAsia="Arial" w:hAnsi="Arial"/>
          <w:sz w:val="18"/>
          <w:szCs w:val="18"/>
          <w:color w:val="auto"/>
          <w:highlight w:val="white"/>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5370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275" cy="4537075"/>
                    </a:xfrm>
                    <a:prstGeom prst="rect">
                      <a:avLst/>
                    </a:prstGeom>
                    <a:noFill/>
                  </pic:spPr>
                </pic:pic>
              </a:graphicData>
            </a:graphic>
          </wp:anchor>
        </w:drawing>
        <w:t xml:space="preserve">As a result of this status, we have taken advantage of reduced reporting requirements in this prospectus and may elect to take advantage of other reduced reporting requirements in our future filings with the SEC. In particular, in this prospectus, we have provided only two years of audited financial statements and have not included all of the executive compensation-related information that would be required if we were not an emerging growth company. 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for complying with new or revised accounting standards that </w:t>
      </w:r>
      <w:r>
        <w:rPr>
          <w:rFonts w:ascii="Arial" w:cs="Arial" w:eastAsia="Arial" w:hAnsi="Arial"/>
          <w:sz w:val="18"/>
          <w:szCs w:val="18"/>
          <w:color w:val="auto"/>
        </w:rPr>
        <w:t xml:space="preserve">have different effective dates for public and private companies until the earlier of the date that we are no longer an emerging growth company or affirmatively and irrevocably opt out of the extended transition period provided in the </w:t>
      </w:r>
      <w:r>
        <w:rPr>
          <w:rFonts w:ascii="Arial" w:cs="Arial" w:eastAsia="Arial" w:hAnsi="Arial"/>
          <w:sz w:val="18"/>
          <w:szCs w:val="18"/>
          <w:color w:val="auto"/>
          <w:highlight w:val="white"/>
        </w:rPr>
        <w:t>JOBS Act. As a result, our financial statements may not be comparable to companies that comply with the new or revised accounting pronouncements as of public company effective dates.</w:t>
      </w:r>
    </w:p>
    <w:p>
      <w:pPr>
        <w:spacing w:after="0" w:line="183"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In addition, we are also a “smaller reporting company” because the market value of our stock held by non-affiliates plus the proposed aggregate amount of gross proceeds to us as a result of this offering is less than $700 million as of June 30, 2019 and our annual revenue was less than $ 100 million during the fiscal year ended December 31, 2019. We may continue to be a smaller reporting company after this offering in any given year if either (1) the market value of our stock held by non-affiliates is less than $250 million as of June 30 in the most recently completed fiscal year or (2) our annual revenue is less than $100 million during the most recently completed fiscal year and the market value of our stock held by non-affiliates is less than $ 700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40"/>
          </w:cols>
          <w:pgMar w:left="1220" w:top="1264" w:right="12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8543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7854315"/>
                    </a:xfrm>
                    <a:prstGeom prst="rect">
                      <a:avLst/>
                    </a:prstGeom>
                    <a:noFill/>
                  </pic:spPr>
                </pic:pic>
              </a:graphicData>
            </a:graphic>
          </wp:anchor>
        </w:drawing>
        <w:t>The Offering</w:t>
      </w:r>
    </w:p>
    <w:p>
      <w:pPr>
        <w:sectPr>
          <w:pgSz w:w="11900" w:h="16838" w:orient="portrait"/>
          <w:cols w:equalWidth="0" w:num="1">
            <w:col w:w="9460"/>
          </w:cols>
          <w:pgMar w:left="1220" w:top="1046" w:right="121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Common stock offered by us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12,000,000 shares.</w:t>
      </w:r>
    </w:p>
    <w:p>
      <w:pPr>
        <w:spacing w:after="0" w:line="211" w:lineRule="exact"/>
        <w:rPr>
          <w:sz w:val="20"/>
          <w:szCs w:val="20"/>
          <w:color w:val="auto"/>
        </w:rPr>
      </w:pPr>
    </w:p>
    <w:p>
      <w:pPr>
        <w:sectPr>
          <w:pgSz w:w="11900" w:h="16838" w:orient="portrait"/>
          <w:cols w:equalWidth="0" w:num="2">
            <w:col w:w="3660" w:space="720"/>
            <w:col w:w="5080"/>
          </w:cols>
          <w:pgMar w:left="1220" w:top="1046" w:right="121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additional shares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have granted the underwriters an option to purchase up to 1,800,000 additional shares of common stock from us. The underwriters can exercise this option at any time within 30 days from the date of this prospectus.</w:t>
      </w:r>
    </w:p>
    <w:p>
      <w:pPr>
        <w:spacing w:after="0" w:line="197" w:lineRule="exact"/>
        <w:rPr>
          <w:sz w:val="20"/>
          <w:szCs w:val="20"/>
          <w:color w:val="auto"/>
        </w:rPr>
      </w:pPr>
    </w:p>
    <w:p>
      <w:pPr>
        <w:sectPr>
          <w:pgSz w:w="11900" w:h="16838" w:orient="portrait"/>
          <w:cols w:equalWidth="0" w:num="2">
            <w:col w:w="3660" w:space="720"/>
            <w:col w:w="5080"/>
          </w:cols>
          <w:pgMar w:left="1220" w:top="1046" w:right="1219" w:bottom="1440" w:gutter="0" w:footer="0" w:header="0"/>
          <w:type w:val="continuous"/>
        </w:sectPr>
      </w:pPr>
    </w:p>
    <w:p>
      <w:pPr>
        <w:ind w:right="1020"/>
        <w:spacing w:after="0" w:line="276" w:lineRule="auto"/>
        <w:rPr>
          <w:sz w:val="20"/>
          <w:szCs w:val="20"/>
          <w:color w:val="auto"/>
        </w:rPr>
      </w:pPr>
      <w:r>
        <w:rPr>
          <w:rFonts w:ascii="Arial" w:cs="Arial" w:eastAsia="Arial" w:hAnsi="Arial"/>
          <w:sz w:val="18"/>
          <w:szCs w:val="18"/>
          <w:color w:val="auto"/>
        </w:rPr>
        <w:t>Common stock to be outstanding after the offering</w:t>
      </w:r>
    </w:p>
    <w:p>
      <w:pPr>
        <w:spacing w:after="0" w:line="20" w:lineRule="exact"/>
        <w:rPr>
          <w:sz w:val="20"/>
          <w:szCs w:val="20"/>
          <w:color w:val="auto"/>
        </w:rPr>
      </w:pPr>
      <w:r>
        <w:rPr>
          <w:sz w:val="20"/>
          <w:szCs w:val="20"/>
          <w:color w:val="auto"/>
        </w:rPr>
        <w:br w:type="column"/>
      </w:r>
    </w:p>
    <w:p>
      <w:pPr>
        <w:ind w:right="300"/>
        <w:spacing w:after="0" w:line="306" w:lineRule="auto"/>
        <w:rPr>
          <w:sz w:val="20"/>
          <w:szCs w:val="20"/>
          <w:color w:val="auto"/>
        </w:rPr>
      </w:pPr>
      <w:r>
        <w:rPr>
          <w:rFonts w:ascii="Arial" w:cs="Arial" w:eastAsia="Arial" w:hAnsi="Arial"/>
          <w:sz w:val="17"/>
          <w:szCs w:val="17"/>
          <w:color w:val="auto"/>
        </w:rPr>
        <w:t>30,819,318 shares (or 32,619,318 shares if the underwriters exercise in full their option to purchase additional shares).</w:t>
      </w:r>
    </w:p>
    <w:p>
      <w:pPr>
        <w:spacing w:after="0" w:line="150" w:lineRule="exact"/>
        <w:rPr>
          <w:sz w:val="20"/>
          <w:szCs w:val="20"/>
          <w:color w:val="auto"/>
        </w:rPr>
      </w:pPr>
    </w:p>
    <w:p>
      <w:pPr>
        <w:sectPr>
          <w:pgSz w:w="11900" w:h="16838" w:orient="portrait"/>
          <w:cols w:equalWidth="0" w:num="2">
            <w:col w:w="3660" w:space="720"/>
            <w:col w:w="5080"/>
          </w:cols>
          <w:pgMar w:left="1220" w:top="1046" w:right="1219" w:bottom="1440" w:gutter="0" w:footer="0" w:header="0"/>
          <w:type w:val="continuous"/>
        </w:sect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ind w:right="140"/>
        <w:spacing w:after="0" w:line="241" w:lineRule="auto"/>
        <w:rPr>
          <w:sz w:val="20"/>
          <w:szCs w:val="20"/>
          <w:color w:val="auto"/>
        </w:rPr>
      </w:pPr>
      <w:r>
        <w:rPr>
          <w:rFonts w:ascii="Arial" w:cs="Arial" w:eastAsia="Arial" w:hAnsi="Arial"/>
          <w:sz w:val="18"/>
          <w:szCs w:val="18"/>
          <w:color w:val="auto"/>
        </w:rPr>
        <w:t>We estimate that the net proceeds from this offering will be approximately $186.4 million, or $214.9 million if the underwriters exercise in full their option to purchase additional shares of common stock based upon the initial public offering price of $17.00 per share and after deducting underwriting discounts and commissions and estimated offering expenses payable by us.</w:t>
      </w:r>
    </w:p>
    <w:p>
      <w:pPr>
        <w:spacing w:after="0" w:line="152" w:lineRule="exact"/>
        <w:rPr>
          <w:sz w:val="20"/>
          <w:szCs w:val="20"/>
          <w:color w:val="auto"/>
        </w:rPr>
      </w:pPr>
    </w:p>
    <w:p>
      <w:pPr>
        <w:sectPr>
          <w:pgSz w:w="11900" w:h="16838" w:orient="portrait"/>
          <w:cols w:equalWidth="0" w:num="2">
            <w:col w:w="3660" w:space="720"/>
            <w:col w:w="5080"/>
          </w:cols>
          <w:pgMar w:left="1220" w:top="1046" w:right="1219" w:bottom="1440" w:gutter="0" w:footer="0" w:header="0"/>
          <w:type w:val="continuous"/>
        </w:sectPr>
      </w:pPr>
    </w:p>
    <w:p>
      <w:pPr>
        <w:ind w:left="4380"/>
        <w:spacing w:after="0" w:line="206" w:lineRule="exact"/>
        <w:rPr>
          <w:sz w:val="20"/>
          <w:szCs w:val="20"/>
          <w:color w:val="auto"/>
        </w:rPr>
      </w:pPr>
      <w:r>
        <w:rPr>
          <w:rFonts w:ascii="Arial" w:cs="Arial" w:eastAsia="Arial" w:hAnsi="Arial"/>
          <w:sz w:val="18"/>
          <w:szCs w:val="18"/>
          <w:color w:val="auto"/>
        </w:rPr>
        <w:t>We currently intend to use the net proceeds from this offering for the following purposes: (1) approximately $75.0 million to fund the clinical development of ATH</w:t>
      </w:r>
      <w:r>
        <w:rPr>
          <w:rFonts w:ascii="MS PGothic" w:cs="MS PGothic" w:eastAsia="MS PGothic" w:hAnsi="MS PGothic"/>
          <w:sz w:val="18"/>
          <w:szCs w:val="18"/>
          <w:color w:val="auto"/>
        </w:rPr>
        <w:t>‑</w:t>
      </w:r>
      <w:r>
        <w:rPr>
          <w:rFonts w:ascii="Arial" w:cs="Arial" w:eastAsia="Arial" w:hAnsi="Arial"/>
          <w:sz w:val="18"/>
          <w:szCs w:val="18"/>
          <w:color w:val="auto"/>
        </w:rPr>
        <w:t>1017 including the LIFT</w:t>
      </w:r>
      <w:r>
        <w:rPr>
          <w:rFonts w:ascii="MS PGothic" w:cs="MS PGothic" w:eastAsia="MS PGothic" w:hAnsi="MS PGothic"/>
          <w:sz w:val="18"/>
          <w:szCs w:val="18"/>
          <w:color w:val="auto"/>
        </w:rPr>
        <w:t>‑</w:t>
      </w:r>
      <w:r>
        <w:rPr>
          <w:rFonts w:ascii="Arial" w:cs="Arial" w:eastAsia="Arial" w:hAnsi="Arial"/>
          <w:sz w:val="18"/>
          <w:szCs w:val="18"/>
          <w:color w:val="auto"/>
        </w:rPr>
        <w:t>AD trial and the ACT</w:t>
      </w:r>
      <w:r>
        <w:rPr>
          <w:rFonts w:ascii="MS PGothic" w:cs="MS PGothic" w:eastAsia="MS PGothic" w:hAnsi="MS PGothic"/>
          <w:sz w:val="18"/>
          <w:szCs w:val="18"/>
          <w:color w:val="auto"/>
        </w:rPr>
        <w:t>‑</w:t>
      </w:r>
      <w:r>
        <w:rPr>
          <w:rFonts w:ascii="Arial" w:cs="Arial" w:eastAsia="Arial" w:hAnsi="Arial"/>
          <w:sz w:val="18"/>
          <w:szCs w:val="18"/>
          <w:color w:val="auto"/>
        </w:rPr>
        <w:t>AD P300 Phase 2 trial for the treatment of mild-to-moderate Alzheimer’s disease; (2) approximately $20.0 million to fund our planned Phase 2 trial of ATH-1017 for the treatment of Parkinson’s disease dementia; (3) approximately $30.0 million to fund our IND-enabling studies of ATH-1019 for the treatment of neuropsychiatric indications and ATH-1018 for the treatment of neuropathy; and (4) the remainder for our other research and development activities, as well as for working capital and other general corporate purposes.</w:t>
      </w:r>
    </w:p>
    <w:p>
      <w:pPr>
        <w:spacing w:after="0" w:line="140" w:lineRule="exact"/>
        <w:rPr>
          <w:sz w:val="20"/>
          <w:szCs w:val="20"/>
          <w:color w:val="auto"/>
        </w:rPr>
      </w:pPr>
    </w:p>
    <w:p>
      <w:pPr>
        <w:ind w:left="4380" w:right="180"/>
        <w:spacing w:after="0" w:line="255" w:lineRule="auto"/>
        <w:rPr>
          <w:sz w:val="20"/>
          <w:szCs w:val="20"/>
          <w:color w:val="auto"/>
        </w:rPr>
      </w:pPr>
      <w:r>
        <w:rPr>
          <w:rFonts w:ascii="Arial" w:cs="Arial" w:eastAsia="Arial" w:hAnsi="Arial"/>
          <w:sz w:val="18"/>
          <w:szCs w:val="18"/>
          <w:color w:val="auto"/>
        </w:rPr>
        <w:t>For a more complete description of our intended use of the proceeds from this offering, see the section of this prospectus titled “Use of Proceeds.”</w:t>
      </w:r>
    </w:p>
    <w:p>
      <w:pPr>
        <w:sectPr>
          <w:pgSz w:w="11900" w:h="16838" w:orient="portrait"/>
          <w:cols w:equalWidth="0" w:num="1">
            <w:col w:w="9460"/>
          </w:cols>
          <w:pgMar w:left="1220" w:top="1046" w:right="1219"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Directed share program</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00" w:lineRule="exact"/>
        <w:rPr>
          <w:sz w:val="20"/>
          <w:szCs w:val="20"/>
          <w:color w:val="auto"/>
        </w:rPr>
      </w:pPr>
    </w:p>
    <w:p>
      <w:pPr>
        <w:sectPr>
          <w:pgSz w:w="11900" w:h="16838" w:orient="portrait"/>
          <w:cols w:equalWidth="0" w:num="2">
            <w:col w:w="3660" w:space="720"/>
            <w:col w:w="5080"/>
          </w:cols>
          <w:pgMar w:left="1220" w:top="1046" w:right="1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87630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6" w:right="121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ind w:right="360"/>
        <w:spacing w:after="0" w:line="245" w:lineRule="auto"/>
        <w:rPr>
          <w:sz w:val="20"/>
          <w:szCs w:val="20"/>
          <w:color w:val="auto"/>
        </w:rPr>
      </w:pPr>
      <w:r>
        <w:rPr>
          <w:rFonts w:ascii="Arial" w:cs="Arial" w:eastAsia="Arial" w:hAnsi="Arial"/>
          <w:sz w:val="18"/>
          <w:szCs w:val="18"/>
          <w:color w:val="auto"/>
        </w:rPr>
        <w:t>See the section of this prospectus titled “Risk Factors” beginning on page 17 and other information included in this prospectus for a discussion of factors you should carefully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-1247140</wp:posOffset>
            </wp:positionV>
            <wp:extent cx="7153275" cy="70656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275" cy="7065645"/>
                    </a:xfrm>
                    <a:prstGeom prst="rect">
                      <a:avLst/>
                    </a:prstGeom>
                    <a:noFill/>
                  </pic:spPr>
                </pic:pic>
              </a:graphicData>
            </a:graphic>
          </wp:anchor>
        </w:drawing>
      </w:r>
    </w:p>
    <w:p>
      <w:pPr>
        <w:spacing w:after="0" w:line="199" w:lineRule="exact"/>
        <w:rPr>
          <w:sz w:val="20"/>
          <w:szCs w:val="20"/>
          <w:color w:val="auto"/>
        </w:rPr>
      </w:pPr>
    </w:p>
    <w:p>
      <w:pPr>
        <w:sectPr>
          <w:pgSz w:w="11900" w:h="16838" w:orient="portrait"/>
          <w:cols w:equalWidth="0" w:num="2">
            <w:col w:w="3660" w:space="720"/>
            <w:col w:w="5080"/>
          </w:cols>
          <w:pgMar w:left="1220" w:top="1048" w:right="1219" w:bottom="1440" w:gutter="0" w:footer="0" w:header="0"/>
        </w:sectPr>
      </w:pPr>
    </w:p>
    <w:p>
      <w:pPr>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“ATHA”</w:t>
      </w:r>
    </w:p>
    <w:p>
      <w:pPr>
        <w:spacing w:after="0" w:line="200" w:lineRule="exact"/>
        <w:rPr>
          <w:sz w:val="20"/>
          <w:szCs w:val="20"/>
          <w:color w:val="auto"/>
        </w:rPr>
      </w:pPr>
    </w:p>
    <w:p>
      <w:pPr>
        <w:sectPr>
          <w:pgSz w:w="11900" w:h="16838" w:orient="portrait"/>
          <w:cols w:equalWidth="0" w:num="2">
            <w:col w:w="3660" w:space="720"/>
            <w:col w:w="5080"/>
          </w:cols>
          <w:pgMar w:left="1220" w:top="1048" w:right="1219" w:bottom="1440" w:gutter="0" w:footer="0" w:header="0"/>
          <w:type w:val="continuous"/>
        </w:sectPr>
      </w:pPr>
    </w:p>
    <w:p>
      <w:pPr>
        <w:spacing w:after="0" w:line="64" w:lineRule="exact"/>
        <w:rPr>
          <w:sz w:val="20"/>
          <w:szCs w:val="20"/>
          <w:color w:val="auto"/>
        </w:rPr>
      </w:pPr>
    </w:p>
    <w:p>
      <w:pPr>
        <w:jc w:val="both"/>
        <w:ind w:right="320" w:firstLine="486"/>
        <w:spacing w:after="0" w:line="255" w:lineRule="auto"/>
        <w:rPr>
          <w:sz w:val="20"/>
          <w:szCs w:val="20"/>
          <w:color w:val="auto"/>
        </w:rPr>
      </w:pPr>
      <w:r>
        <w:rPr>
          <w:rFonts w:ascii="Arial" w:cs="Arial" w:eastAsia="Arial" w:hAnsi="Arial"/>
          <w:sz w:val="18"/>
          <w:szCs w:val="18"/>
          <w:color w:val="auto"/>
        </w:rPr>
        <w:t>The number of shares of our common stock outstanding after this offering is based on 18,819,318 shares of common stock outstanding as of June 30, 2020 (including our convertible preferred stock on an as-converted basis and the net exercise of outstanding warrants), and excludes:</w:t>
      </w:r>
    </w:p>
    <w:p>
      <w:pPr>
        <w:spacing w:after="0" w:line="56" w:lineRule="exact"/>
        <w:rPr>
          <w:sz w:val="20"/>
          <w:szCs w:val="20"/>
          <w:color w:val="auto"/>
        </w:rPr>
      </w:pPr>
    </w:p>
    <w:p>
      <w:pPr>
        <w:ind w:left="1060" w:right="420" w:hanging="343"/>
        <w:spacing w:after="0" w:line="27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37" w:lineRule="exact"/>
        <w:rPr>
          <w:rFonts w:ascii="Times New Roman" w:cs="Times New Roman" w:eastAsia="Times New Roman" w:hAnsi="Times New Roman"/>
          <w:sz w:val="18"/>
          <w:szCs w:val="18"/>
          <w:color w:val="auto"/>
        </w:rPr>
      </w:pPr>
    </w:p>
    <w:p>
      <w:pPr>
        <w:ind w:left="1060" w:right="20" w:hanging="343"/>
        <w:spacing w:after="0" w:line="27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37" w:lineRule="exact"/>
        <w:rPr>
          <w:rFonts w:ascii="Times New Roman" w:cs="Times New Roman" w:eastAsia="Times New Roman" w:hAnsi="Times New Roman"/>
          <w:sz w:val="18"/>
          <w:szCs w:val="18"/>
          <w:color w:val="auto"/>
        </w:rPr>
      </w:pPr>
    </w:p>
    <w:p>
      <w:pPr>
        <w:ind w:left="1060" w:right="20" w:hanging="343"/>
        <w:spacing w:after="0" w:line="242"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does not give effect to the grant of 943,223 shares of common stock issuable upon the exercise of stock options which were granted on the effective date of the registration statement of which this prospectus forms a part, under our 2020 Equity Incentive Plan, at an exercise price equal to the initial public offering price of our common stock), which became effective on the business day immediately prior to the date of effectiveness of the registration statement of which this prospectus forms a part;</w:t>
      </w:r>
    </w:p>
    <w:p>
      <w:pPr>
        <w:spacing w:after="0" w:line="69" w:lineRule="exact"/>
        <w:rPr>
          <w:rFonts w:ascii="Times New Roman" w:cs="Times New Roman" w:eastAsia="Times New Roman" w:hAnsi="Times New Roman"/>
          <w:sz w:val="18"/>
          <w:szCs w:val="18"/>
          <w:color w:val="auto"/>
        </w:rPr>
      </w:pPr>
    </w:p>
    <w:p>
      <w:pPr>
        <w:ind w:left="1060" w:right="40" w:hanging="343"/>
        <w:spacing w:after="0" w:line="25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became effective on the business day immediately prior to the date of effectiveness of the registration statement of which this prospectus forms a part; and</w:t>
      </w:r>
    </w:p>
    <w:p>
      <w:pPr>
        <w:spacing w:after="0" w:line="54" w:lineRule="exact"/>
        <w:rPr>
          <w:rFonts w:ascii="Times New Roman" w:cs="Times New Roman" w:eastAsia="Times New Roman" w:hAnsi="Times New Roman"/>
          <w:sz w:val="18"/>
          <w:szCs w:val="18"/>
          <w:color w:val="auto"/>
        </w:rPr>
      </w:pPr>
    </w:p>
    <w:p>
      <w:pPr>
        <w:ind w:left="1060" w:hanging="343"/>
        <w:spacing w:after="0" w:line="255" w:lineRule="auto"/>
        <w:tabs>
          <w:tab w:leader="none" w:pos="10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3,051 shares of common stock upon the automatic net exercise of a warrant to purchase common stock we issued in August 2020, which exercise will occur immediately prior to the closing of this offering at an exercise price of $9.52 per share.</w:t>
      </w:r>
    </w:p>
    <w:p>
      <w:pPr>
        <w:spacing w:after="0" w:line="1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Except as otherwise indicated, all information in this prospectus assumes or gives effect to the following:</w:t>
      </w:r>
    </w:p>
    <w:p>
      <w:pPr>
        <w:spacing w:after="0" w:line="104" w:lineRule="exact"/>
        <w:rPr>
          <w:sz w:val="20"/>
          <w:szCs w:val="20"/>
          <w:color w:val="auto"/>
        </w:rPr>
      </w:pPr>
    </w:p>
    <w:p>
      <w:pPr>
        <w:ind w:left="1060" w:right="80" w:hanging="343"/>
        <w:spacing w:after="0" w:line="27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automatic conversion of our outstanding shares of convertible preferred stock as of June 30, 2020 into an aggregate of 12,503,009 shares of common stock immediately prior to the closing of this offering;</w:t>
      </w:r>
    </w:p>
    <w:p>
      <w:pPr>
        <w:spacing w:after="0" w:line="37" w:lineRule="exact"/>
        <w:rPr>
          <w:rFonts w:ascii="Times New Roman" w:cs="Times New Roman" w:eastAsia="Times New Roman" w:hAnsi="Times New Roman"/>
          <w:sz w:val="18"/>
          <w:szCs w:val="18"/>
          <w:color w:val="auto"/>
        </w:rPr>
      </w:pPr>
    </w:p>
    <w:p>
      <w:pPr>
        <w:ind w:left="1060" w:hanging="343"/>
        <w:spacing w:after="0"/>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outstanding options described above;</w:t>
      </w:r>
    </w:p>
    <w:p>
      <w:pPr>
        <w:spacing w:after="0" w:line="116" w:lineRule="exact"/>
        <w:rPr>
          <w:rFonts w:ascii="Times New Roman" w:cs="Times New Roman" w:eastAsia="Times New Roman" w:hAnsi="Times New Roman"/>
          <w:sz w:val="18"/>
          <w:szCs w:val="18"/>
          <w:color w:val="auto"/>
        </w:rPr>
      </w:pPr>
    </w:p>
    <w:p>
      <w:pPr>
        <w:ind w:left="1060" w:right="200" w:hanging="343"/>
        <w:spacing w:after="0" w:line="25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59,091 shares of common stock upon the automatic net exercise of a warrant to purchase shares of our Series B convertible preferred stock we issued in May 2020, which exercise will occur immediately prior to the closing of this offering at an exercise price of $9.12 per share;</w:t>
      </w:r>
    </w:p>
    <w:p>
      <w:pPr>
        <w:spacing w:after="0" w:line="54" w:lineRule="exact"/>
        <w:rPr>
          <w:rFonts w:ascii="Times New Roman" w:cs="Times New Roman" w:eastAsia="Times New Roman" w:hAnsi="Times New Roman"/>
          <w:sz w:val="18"/>
          <w:szCs w:val="18"/>
          <w:color w:val="auto"/>
        </w:rPr>
      </w:pPr>
    </w:p>
    <w:p>
      <w:pPr>
        <w:ind w:left="1060" w:right="100" w:hanging="343"/>
        <w:spacing w:after="0" w:line="25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2,367 shares of common stock upon the automatic net exercise of a warrant to purchase common stock we issued in April 2013, which exercise will occur immediately prior to the closing of this offering at an exercise price of $4.84 per share;</w:t>
      </w:r>
    </w:p>
    <w:p>
      <w:pPr>
        <w:spacing w:after="0" w:line="54" w:lineRule="exact"/>
        <w:rPr>
          <w:rFonts w:ascii="Times New Roman" w:cs="Times New Roman" w:eastAsia="Times New Roman" w:hAnsi="Times New Roman"/>
          <w:sz w:val="18"/>
          <w:szCs w:val="18"/>
          <w:color w:val="auto"/>
        </w:rPr>
      </w:pPr>
    </w:p>
    <w:p>
      <w:pPr>
        <w:ind w:left="1060" w:right="140" w:hanging="343"/>
        <w:spacing w:after="0" w:line="255" w:lineRule="auto"/>
        <w:tabs>
          <w:tab w:leader="none" w:pos="10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1,647,286 shares of common stock upon the automatic net exercise of warrants to purchase common stock outstanding as of June 30, 2020, which exercise will occur immediately prior to the closing of this offering at an exercise price of $0.08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60"/>
          </w:cols>
          <w:pgMar w:left="1220" w:top="1048" w:right="1219" w:bottom="1440" w:gutter="0" w:footer="0" w:header="0"/>
          <w:type w:val="continuous"/>
        </w:sectPr>
      </w:pPr>
    </w:p>
    <w:bookmarkStart w:id="15" w:name="page16"/>
    <w:bookmarkEnd w:id="15"/>
    <w:p>
      <w:pPr>
        <w:ind w:left="840" w:hanging="343"/>
        <w:spacing w:after="0" w:line="275" w:lineRule="auto"/>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1939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275" cy="1939290"/>
                    </a:xfrm>
                    <a:prstGeom prst="rect">
                      <a:avLst/>
                    </a:prstGeom>
                    <a:noFill/>
                  </pic:spPr>
                </pic:pic>
              </a:graphicData>
            </a:graphic>
          </wp:anchor>
        </w:drawing>
        <w:t>the filing of our amended and restated certificate of incorporation and the adoption of our amended and restated bylaws, which will occur immediately prior to the closing of this offering;</w:t>
      </w:r>
    </w:p>
    <w:p>
      <w:pPr>
        <w:spacing w:after="0" w:line="37" w:lineRule="exact"/>
        <w:rPr>
          <w:rFonts w:ascii="Times New Roman" w:cs="Times New Roman" w:eastAsia="Times New Roman" w:hAnsi="Times New Roman"/>
          <w:sz w:val="18"/>
          <w:szCs w:val="18"/>
          <w:color w:val="auto"/>
        </w:rPr>
      </w:pPr>
    </w:p>
    <w:p>
      <w:pPr>
        <w:ind w:left="840" w:hanging="343"/>
        <w:spacing w:after="0"/>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no exercise of the underwriters’ option to purchase additional shares; and</w:t>
      </w:r>
    </w:p>
    <w:p>
      <w:pPr>
        <w:spacing w:after="0" w:line="116" w:lineRule="exact"/>
        <w:rPr>
          <w:rFonts w:ascii="Times New Roman" w:cs="Times New Roman" w:eastAsia="Times New Roman" w:hAnsi="Times New Roman"/>
          <w:sz w:val="18"/>
          <w:szCs w:val="18"/>
          <w:color w:val="auto"/>
        </w:rPr>
      </w:pPr>
    </w:p>
    <w:p>
      <w:pPr>
        <w:ind w:left="840" w:right="100" w:hanging="343"/>
        <w:spacing w:after="0" w:line="275" w:lineRule="auto"/>
        <w:tabs>
          <w:tab w:leader="none" w:pos="84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 7.9302-for-1 reverse stock split of our common stock and preferred stock effected on September 11,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40"/>
          </w:cols>
          <w:pgMar w:left="1440" w:top="1156"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7168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275" cy="7168515"/>
                    </a:xfrm>
                    <a:prstGeom prst="rect">
                      <a:avLst/>
                    </a:prstGeom>
                    <a:noFill/>
                  </pic:spPr>
                </pic:pic>
              </a:graphicData>
            </a:graphic>
          </wp:anchor>
        </w:drawing>
        <w:t>Summary Financial Data</w:t>
      </w:r>
    </w:p>
    <w:p>
      <w:pPr>
        <w:spacing w:after="0" w:line="214" w:lineRule="exact"/>
        <w:rPr>
          <w:sz w:val="20"/>
          <w:szCs w:val="20"/>
          <w:color w:val="auto"/>
        </w:rPr>
      </w:pPr>
    </w:p>
    <w:p>
      <w:pPr>
        <w:ind w:right="20" w:firstLine="486"/>
        <w:spacing w:after="0" w:line="238" w:lineRule="auto"/>
        <w:rPr>
          <w:sz w:val="20"/>
          <w:szCs w:val="20"/>
          <w:color w:val="auto"/>
        </w:rPr>
      </w:pPr>
      <w:r>
        <w:rPr>
          <w:rFonts w:ascii="Arial" w:cs="Arial" w:eastAsia="Arial" w:hAnsi="Arial"/>
          <w:sz w:val="18"/>
          <w:szCs w:val="18"/>
          <w:color w:val="auto"/>
        </w:rPr>
        <w:t>The following tables set forth a summary of our financial data. The summary statements of operations data for the years ended December 31, 2018 and 2019 are derived from our audited financial statements included elsewhere in this prospectus. The summary statements of operations data for the six months ended June 30, 2019 and 2020 and the summary balance sheet data as of June 30, 2020 are derived from our unaudited interim condensed financial statements included elsewhere in this prospectus. Our unaudited interim condensed financial statements have been prepared on a basis consistent with our audited financial statements and, in the opinion of management, reflect all adjustments, consisting solely of normal recurring adjustments, necessary for the fair presentation of the financial information in those statements. You should read this summary data together with our financial statements and related notes included elsewhere in this prospectus and the information in the sections of this prospectus titled “Selected Financial Data” and “Management’s Discussion and Analysis of Financial Condition and Results of Operations.” Our historical results are not necessarily indicative of our future results, and the results of operations for the six months ended June 30, 2020 are not necessarily indicative of the results to be expected for the full year ending December 31, 2020 or any other period. The summary financial data in this section are not intended to replace the financial statements and related notes included elsewhere in this prospectus.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center"/>
              <w:ind w:right="72"/>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20" w:type="dxa"/>
            <w:vAlign w:val="bottom"/>
            <w:gridSpan w:val="14"/>
          </w:tcPr>
          <w:p>
            <w:pPr>
              <w:jc w:val="right"/>
              <w:ind w:right="76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2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4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4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50"/>
        </w:trPr>
        <w:tc>
          <w:tcPr>
            <w:tcW w:w="436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4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4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(0.75)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in computing net loss per share attributable</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43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to common stockholders, basic and diluted</w:t>
            </w:r>
            <w:r>
              <w:rPr>
                <w:rFonts w:ascii="Arial" w:cs="Arial" w:eastAsia="Arial" w:hAnsi="Arial"/>
                <w:sz w:val="15"/>
                <w:szCs w:val="15"/>
                <w:color w:val="auto"/>
              </w:rPr>
              <w:t>(1)</w:t>
            </w:r>
          </w:p>
        </w:tc>
        <w:tc>
          <w:tcPr>
            <w:tcW w:w="4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3,550,184</w:t>
            </w:r>
          </w:p>
        </w:tc>
        <w:tc>
          <w:tcPr>
            <w:tcW w:w="12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4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Pro forma net loss per share attributable to</w:t>
            </w:r>
          </w:p>
        </w:tc>
        <w:tc>
          <w:tcPr>
            <w:tcW w:w="4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common stockholders, basic and diluted</w:t>
            </w: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6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used in computing pro forma net loss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line="202" w:lineRule="exact"/>
              <w:rPr>
                <w:sz w:val="20"/>
                <w:szCs w:val="20"/>
                <w:color w:val="auto"/>
              </w:rPr>
            </w:pPr>
            <w:r>
              <w:rPr>
                <w:rFonts w:ascii="Arial" w:cs="Arial" w:eastAsia="Arial" w:hAnsi="Arial"/>
                <w:sz w:val="18"/>
                <w:szCs w:val="18"/>
                <w:color w:val="auto"/>
              </w:rPr>
              <w:t>per share attributable to common stockholders,</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6,186,602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0" w:right="160" w:hanging="398"/>
        <w:spacing w:after="0" w:line="258" w:lineRule="auto"/>
        <w:tabs>
          <w:tab w:leader="none" w:pos="4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for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046" w:right="119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As of June 30, 2020</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vMerge w:val="restart"/>
          </w:tcPr>
          <w:p>
            <w:pPr>
              <w:jc w:val="center"/>
              <w:ind w:right="194"/>
              <w:spacing w:after="0"/>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4"/>
                <w:szCs w:val="24"/>
                <w:b w:val="1"/>
                <w:bCs w:val="1"/>
                <w:color w:val="auto"/>
                <w:w w:val="95"/>
                <w:vertAlign w:val="superscript"/>
              </w:rPr>
              <w:t>(1)</w:t>
            </w:r>
          </w:p>
        </w:tc>
        <w:tc>
          <w:tcPr>
            <w:tcW w:w="220" w:type="dxa"/>
            <w:vAlign w:val="bottom"/>
          </w:tcPr>
          <w:p>
            <w:pPr>
              <w:spacing w:after="0"/>
              <w:rPr>
                <w:sz w:val="13"/>
                <w:szCs w:val="13"/>
                <w:color w:val="auto"/>
              </w:rPr>
            </w:pPr>
          </w:p>
        </w:tc>
        <w:tc>
          <w:tcPr>
            <w:tcW w:w="980" w:type="dxa"/>
            <w:vAlign w:val="bottom"/>
          </w:tcPr>
          <w:p>
            <w:pPr>
              <w:jc w:val="right"/>
              <w:ind w:right="132"/>
              <w:spacing w:after="0" w:line="151"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jc w:val="right"/>
              <w:ind w:right="352"/>
              <w:spacing w:after="0"/>
              <w:rPr>
                <w:sz w:val="20"/>
                <w:szCs w:val="20"/>
                <w:color w:val="auto"/>
              </w:rPr>
            </w:pPr>
            <w:r>
              <w:rPr>
                <w:rFonts w:ascii="Arial" w:cs="Arial" w:eastAsia="Arial" w:hAnsi="Arial"/>
                <w:sz w:val="14"/>
                <w:szCs w:val="14"/>
                <w:b w:val="1"/>
                <w:bCs w:val="1"/>
                <w:color w:val="auto"/>
              </w:rPr>
              <w:t>Actual</w:t>
            </w:r>
          </w:p>
        </w:tc>
        <w:tc>
          <w:tcPr>
            <w:tcW w:w="2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300" w:type="dxa"/>
            <w:vAlign w:val="bottom"/>
            <w:gridSpan w:val="3"/>
          </w:tcPr>
          <w:p>
            <w:pPr>
              <w:ind w:left="12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(unaudited)</w:t>
            </w:r>
          </w:p>
        </w:tc>
        <w:tc>
          <w:tcPr>
            <w:tcW w:w="2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85,166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83,666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270,295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80,961</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79,461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266,296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86,931</w:t>
            </w:r>
          </w:p>
        </w:tc>
        <w:tc>
          <w:tcPr>
            <w:tcW w:w="2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85,431</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271,645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1,047</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liabilities</w:t>
            </w: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6,923</w:t>
            </w:r>
          </w:p>
        </w:tc>
        <w:tc>
          <w:tcPr>
            <w:tcW w:w="240" w:type="dxa"/>
            <w:vAlign w:val="bottom"/>
          </w:tcPr>
          <w:p>
            <w:pPr>
              <w:spacing w:after="0"/>
              <w:rPr>
                <w:sz w:val="18"/>
                <w:szCs w:val="18"/>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5,512</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92,537</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(12,529)</w:t>
            </w:r>
          </w:p>
        </w:tc>
        <w:tc>
          <w:tcPr>
            <w:tcW w:w="24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79,919</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266,339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4245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275" cy="4245610"/>
                    </a:xfrm>
                    <a:prstGeom prst="rect">
                      <a:avLst/>
                    </a:prstGeom>
                    <a:noFill/>
                  </pic:spPr>
                </pic:pic>
              </a:graphicData>
            </a:graphic>
          </wp:anchor>
        </w:drawing>
      </w:r>
    </w:p>
    <w:p>
      <w:pPr>
        <w:ind w:left="400" w:right="140" w:hanging="398"/>
        <w:spacing w:after="0" w:line="256"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on a pro forma basis, (a) the automatic conversion of our convertible preferred stock into an aggregate of 12,503,009 shares of common stock as of June 30, 2020; (b) the issuance of an aggregate of 1,708,744 shares of our common stock upon the net exercise of outstanding warrants immediately prior to the closing of this offering; (c) the repayment of $1.5 million in grant liability; and (d) the filing of our amended and restated certificate of incorporation, each of which will occur immediately prior to the closing of this offering.</w:t>
      </w:r>
    </w:p>
    <w:p>
      <w:pPr>
        <w:spacing w:after="0" w:line="1" w:lineRule="exact"/>
        <w:rPr>
          <w:rFonts w:ascii="Arial" w:cs="Arial" w:eastAsia="Arial" w:hAnsi="Arial"/>
          <w:sz w:val="14"/>
          <w:szCs w:val="14"/>
          <w:color w:val="auto"/>
        </w:rPr>
      </w:pPr>
    </w:p>
    <w:p>
      <w:pPr>
        <w:ind w:left="400" w:right="100" w:hanging="398"/>
        <w:spacing w:after="0" w:line="261"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Reflects, on a pro forma as adjusted basis, the pro forma adjustments described in footnote (1) above, as well as the sale and issuance by us of 12,000,000 shares of common stock in this offering at the initial public offering price of $17.00 per share, after deducting underwriting discounts and commissions and estimated offering expenses paid and payable by us.</w:t>
      </w:r>
    </w:p>
    <w:p>
      <w:pPr>
        <w:spacing w:after="0" w:line="1" w:lineRule="exact"/>
        <w:rPr>
          <w:rFonts w:ascii="Arial" w:cs="Arial" w:eastAsia="Arial" w:hAnsi="Arial"/>
          <w:sz w:val="14"/>
          <w:szCs w:val="14"/>
          <w:color w:val="auto"/>
        </w:rPr>
      </w:pPr>
    </w:p>
    <w:p>
      <w:pPr>
        <w:ind w:left="400" w:right="20" w:hanging="398"/>
        <w:spacing w:after="0" w:line="291" w:lineRule="auto"/>
        <w:tabs>
          <w:tab w:leader="none" w:pos="4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80010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480"/>
          </w:cols>
          <w:pgMar w:left="1220" w:top="1339" w:right="119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14"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 xml:space="preserve">Investing in our common stock involves a high degree of risk. You should carefully consider the risks described below, as well as the other information in this prospectus, including our financial statements and the related </w:t>
      </w:r>
      <w:r>
        <w:rPr>
          <w:rFonts w:ascii="Arial" w:cs="Arial" w:eastAsia="Arial" w:hAnsi="Arial"/>
          <w:sz w:val="18"/>
          <w:szCs w:val="18"/>
          <w:i w:val="1"/>
          <w:iCs w:val="1"/>
          <w:color w:val="auto"/>
        </w:rPr>
        <w:t>notes and the section of this prospectus titled</w:t>
      </w:r>
      <w:r>
        <w:rPr>
          <w:rFonts w:ascii="Arial" w:cs="Arial" w:eastAsia="Arial" w:hAnsi="Arial"/>
          <w:sz w:val="18"/>
          <w:szCs w:val="18"/>
          <w:color w:val="auto"/>
        </w:rPr>
        <w:t xml:space="preserve"> </w:t>
      </w:r>
      <w:r>
        <w:rPr>
          <w:rFonts w:ascii="Arial" w:cs="Arial" w:eastAsia="Arial" w:hAnsi="Arial"/>
          <w:sz w:val="18"/>
          <w:szCs w:val="18"/>
          <w:i w:val="1"/>
          <w:iCs w:val="1"/>
          <w:color w:val="auto"/>
        </w:rPr>
        <w:t>“Management’s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the Development of Our Product Candidates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late clinical-stage biopharmaceutical company with a limited operating history.</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Our limited operating history may make it difficult to evaluate the success of our business. Drug development is a highly uncertain undertaking and involves a substantial degree of risk. We have initiated clinical trials for our lead product candidate, ATH-1017, and have not initiated clinical trials for any of our other product candidates. To date, we have not initiated or completed a pivotal clinical trial, obtained marketing approval for any product candidate, manufactured a commercial scale product candidate, arranged for a third party to do so on our behalf, or conducted sales and marketing activities necessary for successful product candidate commercialization. Our history as a company makes any assessment of our future success and viability subject to significant uncertainty. We will encounter risks and difficulties frequently experienced by clinical-stage biopharmaceutical companies in rapidly evolving fields, and we have not yet demonstrated an ability to overcome such risks and difficulties successfully. If we do not address these risks and difficulties successfully, our business will suffer.</w:t>
      </w:r>
    </w:p>
    <w:p>
      <w:pPr>
        <w:spacing w:after="0" w:line="176"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We may fail to or be unable to design and execute clinical trials to support marketing approval of ATH-1017 or any of our other product candidates. We cannot be certain that our current or planned clinical trials or any other future clinical trials will be completed on time or be successful. We cannot guarantee that the U.S. Food and Drug Administration, or FDA, or foreign regulatory authorities will interpret clinical trial results as we do, and more clinical trials could be required before we are able to submit applications seeking approval of our product candidates. To the extent that the results of the clinical trials are not satisfactory to the FDA or foreign regulatory authorities for support of a marketing application, we may be required to expend significant resources, which may not be available to us, to conduct additional clinical trials in support of potential approval of our product candidates. Even if regulatory approval is secured for any of our product candidates, the terms of such approval may limit the scope and use of our product candidate, which may also limit its commercial potential.</w:t>
      </w:r>
    </w:p>
    <w:p>
      <w:pPr>
        <w:spacing w:after="0" w:line="284" w:lineRule="exact"/>
        <w:rPr>
          <w:sz w:val="20"/>
          <w:szCs w:val="20"/>
          <w:color w:val="auto"/>
        </w:rPr>
      </w:pPr>
    </w:p>
    <w:p>
      <w:pPr>
        <w:ind w:right="5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significant losses for the foreseeable future.</w:t>
      </w:r>
    </w:p>
    <w:p>
      <w:pPr>
        <w:spacing w:after="0" w:line="21"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We have not generated any revenue from product sales and our product candidates will require substantial additional investment before they may provide us with any revenue. We had net losses of $5.2 million and $3.8 million for year ended December 31, 2019 and the six months ended June 30, 2020, respectively, and an accumulated deficit of $24.9 million as of June 30, 2020.</w:t>
      </w:r>
    </w:p>
    <w:p>
      <w:pPr>
        <w:spacing w:after="0" w:line="164" w:lineRule="exact"/>
        <w:rPr>
          <w:sz w:val="20"/>
          <w:szCs w:val="20"/>
          <w:color w:val="auto"/>
        </w:rPr>
      </w:pPr>
    </w:p>
    <w:p>
      <w:pPr>
        <w:jc w:val="both"/>
        <w:ind w:right="340" w:firstLine="576"/>
        <w:spacing w:after="0" w:line="255" w:lineRule="auto"/>
        <w:rPr>
          <w:sz w:val="20"/>
          <w:szCs w:val="20"/>
          <w:color w:val="auto"/>
        </w:rPr>
      </w:pPr>
      <w:r>
        <w:rPr>
          <w:rFonts w:ascii="Arial" w:cs="Arial" w:eastAsia="Arial" w:hAnsi="Arial"/>
          <w:sz w:val="18"/>
          <w:szCs w:val="18"/>
          <w:color w:val="auto"/>
        </w:rPr>
        <w:t>We have devoted most of our financial resources to research and development, including our clinical and nonclinical development activities. To date, we have financed our operations primarily with proceeds from the sale and issuance of convertible preferred stock and convertible notes, and to a lesser extent from grant income and stock option exercises.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color w:val="auto"/>
        </w:rPr>
        <w:t>We expect to incur significant expenses and increasing operating losses for the foreseeable future as we:</w:t>
      </w:r>
    </w:p>
    <w:p>
      <w:pPr>
        <w:spacing w:after="0" w:line="104" w:lineRule="exact"/>
        <w:rPr>
          <w:sz w:val="20"/>
          <w:szCs w:val="20"/>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expand the scope of our clinical studies for our current and prospective product candidates;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nonclinical, clinical or other studies for our product candidates, including any pivotal trials with respect to ATH-1017 for the treatment of mild-to-moderate AD in addition to LIFT-AD;</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change or add additional manufacturers or suppliers and manufacture drug supply and drug product for clinical trials and commercialization;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any of our product candidates that successfully complete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validate additional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other product candidates and technologies;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or other payments under our in-license or other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maintain, protect and expand our intellectual property portfolio;</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create additional infrastructure to support our operations and our product development and planned future commercialization efforts;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any delays or encounter issues with any of the above.</w:t>
      </w:r>
    </w:p>
    <w:p>
      <w:pPr>
        <w:spacing w:after="0" w:line="224"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Our expenses could increase beyond expectations for a variety of reasons, including if we are required by the FDA, the European Medicines Agency, or EMA, or other regulatory agencies, domestic or foreign, to perform clinical and other studies in addition to those that we currently anticipate. Our prior losses, combined with expected future losses, have had and will continue to have an adverse effect on our stockholders’ equity.</w:t>
      </w:r>
    </w:p>
    <w:p>
      <w:pPr>
        <w:spacing w:after="0" w:line="278" w:lineRule="exact"/>
        <w:rPr>
          <w:sz w:val="20"/>
          <w:szCs w:val="20"/>
          <w:color w:val="auto"/>
        </w:rPr>
      </w:pPr>
    </w:p>
    <w:p>
      <w:pPr>
        <w:ind w:right="160"/>
        <w:spacing w:after="0" w:line="282"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funding to finance our operations, complete the development and commercialization of ATH-1017, and evaluate other and future product candidates. If we are unable to raise this funding when needed, we may be forced to delay, reduce, or eliminate our product development programs or other operations.</w:t>
      </w:r>
    </w:p>
    <w:p>
      <w:pPr>
        <w:spacing w:after="0" w:line="2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Since our inception, we have used substantial amounts of cash to fund our operations, and we expect our expenses to increase substantially in the foreseeable future in connection with our ongoing activities, particularly as we continue the research and development of, initiate clinical trials of, and seek marketing approval for, ATH-1017. Developing ATH-1017 and conducting clinical trials for the treatment of Alzheimer’s disease, or AD, Parkinson’s disease dementias, or PDD, and any other indications that we may pursue in the future will require substantial amounts of capital. In addition, if we obtain marketing approval for ATH-1017 or any future product candidates, we expect to incur significant commercialization expenses related to sales, marketing, manufacturing, and distribution. Furthermore, upon the closing of this offering, we expect to incur additional costs associated with operating as a public company.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 w:name="page21"/>
    <w:bookmarkEnd w:id="20"/>
    <w:p>
      <w:pPr>
        <w:ind w:right="120" w:firstLine="576"/>
        <w:spacing w:after="0" w:line="260" w:lineRule="auto"/>
        <w:rPr>
          <w:sz w:val="20"/>
          <w:szCs w:val="20"/>
          <w:color w:val="auto"/>
        </w:rPr>
      </w:pPr>
      <w:r>
        <w:rPr>
          <w:rFonts w:ascii="Arial" w:cs="Arial" w:eastAsia="Arial" w:hAnsi="Arial"/>
          <w:sz w:val="17"/>
          <w:szCs w:val="17"/>
          <w:color w:val="auto"/>
        </w:rPr>
        <w:t>Accordingly, we will need to obtain substantial additional funding in connection with our continuing operations. As of June 30, 2020, we had cash and cash equivalents of $85.2 million. Based upon our current operating plan, we estimate that our existing cash and cash equivalents, together with the anticipated net proceeds from this offering, will be sufficient to fund our operating expenses and capital expenditure requirements at least through 2022. However,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spacing w:after="0" w:line="160"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The amount and timing of our future funding requirements depends on many factors, some of which are outside of our control, including but not limited to:</w:t>
      </w:r>
    </w:p>
    <w:p>
      <w:pPr>
        <w:spacing w:after="0" w:line="37" w:lineRule="exact"/>
        <w:rPr>
          <w:sz w:val="20"/>
          <w:szCs w:val="20"/>
          <w:color w:val="auto"/>
        </w:rPr>
      </w:pPr>
    </w:p>
    <w:p>
      <w:pPr>
        <w:ind w:left="1300" w:right="60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costs, clinical trial design, results of and timing of our LIFT-AD trial and other clinical trials of ATH-1017, including for potential additional indications that we are pursuing beyond AD, such as PDD;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FDA and EMA to accept our LIFT-AD trial, as well as data from our completed and planned clinical and nonclinical studies and other work, as the basis for review and approval of ATH-1017 for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outcome, costs and timing of seeking and obtaining FDA, EMA and any other regulatory approvals;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characteristics of product candidates that we pursue;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manufacture sufficient quantities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expand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securing and establishing commercialization and manufacturing capabilities;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116" w:lineRule="exact"/>
        <w:rPr>
          <w:rFonts w:ascii="Times New Roman" w:cs="Times New Roman" w:eastAsia="Times New Roman" w:hAnsi="Times New Roman"/>
          <w:sz w:val="18"/>
          <w:szCs w:val="18"/>
          <w:color w:val="auto"/>
        </w:rPr>
      </w:pPr>
    </w:p>
    <w:p>
      <w:pPr>
        <w:ind w:left="1300" w:right="60" w:hanging="442"/>
        <w:spacing w:after="0" w:line="25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and ability to retain management and hire scientific, clinical and other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need to implement additional internal systems and infrastructure, including financial and reporting systems; and</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economic and other terms, timing of and success of any collaboration, licensing or other arrangements into which we may enter in the future.</w:t>
      </w:r>
    </w:p>
    <w:p>
      <w:pPr>
        <w:spacing w:after="0" w:line="14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Additional funding may not be available to us on acceptable terms or at all. Any such funding may result in dilution to stockholders, imposition of debt covenants and repayment obligations, or other restrictions that may affect our business. If we are unable to obtain funding on a timely basis, we may be required to significantly curtail one or more of our research or development programs. We also could be required to seek funds through arrangements with collaborative partners or otherwise that may require us to relinquish rights to some of our technologies or product candidates or otherwise agree to terms unfavorable to us.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a number of objectives.</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Our business depends entirely on the successful discovery, development and commercialization of our product candidates. We have no products approved for commercial sale and do not anticipate generating any revenue from product sales for the next several years, if ever. Our ability to generate product revenue will depend heavily on the successful clinical development and eventual commercialization of ATH-1017 and one or more of our other future product candidates. Our ability to generate revenue and achieve profitability depends significantly on our ability to achieve a number of objectives, including:</w:t>
      </w:r>
    </w:p>
    <w:p>
      <w:pPr>
        <w:spacing w:after="0" w:line="64" w:lineRule="exact"/>
        <w:rPr>
          <w:sz w:val="20"/>
          <w:szCs w:val="20"/>
          <w:color w:val="auto"/>
        </w:rPr>
      </w:pPr>
    </w:p>
    <w:p>
      <w:pPr>
        <w:ind w:left="1300" w:right="60" w:hanging="442"/>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nonclinical and clinical development of our product candidates and any future product candidates, as well as the associated costs, including any unforeseen costs we may incur as a result of nonclinical study or clinical trial delays due to the COVID-19 pandemic or other causes;</w:t>
      </w:r>
    </w:p>
    <w:p>
      <w:pPr>
        <w:spacing w:after="0" w:line="54" w:lineRule="exact"/>
        <w:rPr>
          <w:rFonts w:ascii="Times New Roman" w:cs="Times New Roman" w:eastAsia="Times New Roman" w:hAnsi="Times New Roman"/>
          <w:sz w:val="18"/>
          <w:szCs w:val="18"/>
          <w:color w:val="auto"/>
        </w:rPr>
      </w:pPr>
    </w:p>
    <w:p>
      <w:pPr>
        <w:ind w:left="1300" w:right="220" w:hanging="442"/>
        <w:spacing w:after="0" w:line="305" w:lineRule="auto"/>
        <w:tabs>
          <w:tab w:leader="none" w:pos="1300" w:val="left"/>
        </w:tabs>
        <w:numPr>
          <w:ilvl w:val="0"/>
          <w:numId w:val="18"/>
        </w:numPr>
        <w:rPr>
          <w:rFonts w:ascii="Times New Roman" w:cs="Times New Roman" w:eastAsia="Times New Roman" w:hAnsi="Times New Roman"/>
          <w:sz w:val="17"/>
          <w:szCs w:val="17"/>
          <w:color w:val="auto"/>
        </w:rPr>
      </w:pPr>
      <w:r>
        <w:rPr>
          <w:rFonts w:ascii="Arial" w:cs="Arial" w:eastAsia="Arial" w:hAnsi="Arial"/>
          <w:sz w:val="17"/>
          <w:szCs w:val="17"/>
          <w:color w:val="auto"/>
        </w:rPr>
        <w:t>establishing and maintaining relationships with contract research organizations, or CROs, and clinical sites for the clinical development, both in the United States and internationally, of our product candidates and any future product candidates;</w:t>
      </w:r>
    </w:p>
    <w:p>
      <w:pPr>
        <w:spacing w:after="0" w:line="15" w:lineRule="exact"/>
        <w:rPr>
          <w:rFonts w:ascii="Times New Roman" w:cs="Times New Roman" w:eastAsia="Times New Roman" w:hAnsi="Times New Roman"/>
          <w:sz w:val="17"/>
          <w:szCs w:val="17"/>
          <w:color w:val="auto"/>
        </w:rPr>
      </w:pPr>
    </w:p>
    <w:p>
      <w:pPr>
        <w:ind w:left="1300" w:right="7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making any required post-marketing approval commitments to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an efficient and scalable manufacturing process for our product candidates, including obtaining finished products that are appropriately packaged for sale;</w:t>
      </w:r>
    </w:p>
    <w:p>
      <w:pPr>
        <w:spacing w:after="0" w:line="37" w:lineRule="exact"/>
        <w:rPr>
          <w:rFonts w:ascii="Times New Roman" w:cs="Times New Roman" w:eastAsia="Times New Roman" w:hAnsi="Times New Roman"/>
          <w:sz w:val="18"/>
          <w:szCs w:val="18"/>
          <w:color w:val="auto"/>
        </w:rPr>
      </w:pPr>
    </w:p>
    <w:p>
      <w:pPr>
        <w:jc w:val="both"/>
        <w:ind w:left="1300" w:right="100" w:hanging="442"/>
        <w:spacing w:after="0" w:line="25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54"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protecting our rights in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116"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that may be necessary or desirable to develop, manufacture or commercialize our product candidates;</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hospitals, government and third-party payors for product candidates that we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2" w:name="page23"/>
    <w:bookmarkEnd w:id="22"/>
    <w:p>
      <w:pPr>
        <w:ind w:right="80" w:firstLine="576"/>
        <w:spacing w:after="0" w:line="248"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may decrease the value of our company and could impair our ability to maintain or further our research and development efforts, raise additional necessary capital, grow our business and continue our operations.</w:t>
      </w:r>
    </w:p>
    <w:p>
      <w:pPr>
        <w:spacing w:after="0" w:line="170"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the FDA before implementation, which could delay our clinical trials and product candidate development, and could require additional clinical trials, including bridging studies, to demonstrate consistent and continued safety and efficacy.</w:t>
      </w:r>
    </w:p>
    <w:p>
      <w:pPr>
        <w:spacing w:after="0" w:line="17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nonclinical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of ATH-1017 may never lead to a marketable product.</w:t>
      </w:r>
    </w:p>
    <w:p>
      <w:pPr>
        <w:spacing w:after="0" w:line="104"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We are developing ATH-1017 as a small molecule aimed at restoring neuronal health. We have not received regulatory approval for ATH-1017 and cannot be certain that our approach will lead to the development of an approvable or marketable product, alone or in combination with other therapies. We may not succeed in demonstrating safety and efficacy of ATH-1017 in our LIFT-AD trial or in other clinical trials.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Advancing ATH-1017 as a small molecule aimed at restoring neuronal health creates significant challenges for us, including:</w:t>
      </w:r>
    </w:p>
    <w:p>
      <w:pPr>
        <w:spacing w:after="0" w:line="104" w:lineRule="exact"/>
        <w:rPr>
          <w:sz w:val="20"/>
          <w:szCs w:val="20"/>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if ATH-1017 is approved, educating medical personnel regarding the potential efficacy and safety benefits, as well as the challenges, of incorporating ATH-1017 into existing treatment regimens, including in combination with other treatments for AD; and</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the sales and marketing capabilities upon obtaining any marketing approvals to gain market acceptance.</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3" w:name="page24"/>
    <w:bookmarkEnd w:id="23"/>
    <w:p>
      <w:pPr>
        <w:spacing w:after="0" w:line="247" w:lineRule="auto"/>
        <w:rPr>
          <w:sz w:val="20"/>
          <w:szCs w:val="20"/>
          <w:color w:val="auto"/>
        </w:rPr>
      </w:pPr>
      <w:r>
        <w:rPr>
          <w:rFonts w:ascii="Arial" w:cs="Arial" w:eastAsia="Arial" w:hAnsi="Arial"/>
          <w:sz w:val="18"/>
          <w:szCs w:val="18"/>
          <w:b w:val="1"/>
          <w:bCs w:val="1"/>
          <w:i w:val="1"/>
          <w:iCs w:val="1"/>
          <w:color w:val="auto"/>
        </w:rPr>
        <w:t>Our approach to targeting brain growth factors through the use of small molecules is based on a novel therapeutic approach, which exposes us to unforeseen risks. We have limited data from our Phase 1a and 1b clinical trials, including only 11 patients with mild to moderate AD, and we cannot be certain that future trials will yield similar data. In addition, our use of EEG methods to gather data requires placement of electrodes on a subject’s scalp and, if not properly placed, we may be unable to obtain the data sought or data obtained may be unreliable.</w:t>
      </w:r>
    </w:p>
    <w:p>
      <w:pPr>
        <w:spacing w:after="0" w:line="55"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have discovered and are developing a platform of small molecule product candidates from which we have selected our lead product candidate, ATH-1017, which is under development to treat AD and other CNS disorders. Our product candidates target a brain growth factor which is expected to increase synaptic density, recovery in the network and information transmission in the brain, which we believe could ultimately result in improvement in cognition and clinical symptoms. The therapeutic promise of brain growth factors in neurodegenerative disorders had been hampered in earlier therapies by the lack of efficient and non-invasive delivery to the brain. Our small molecule product candidates are designed to penetrate the blood brain barrier and enhance the activity of a brain growth factor, but we cannot be certain that our clinical trials will provide sufficient evidence that our design approach results in the intended therapeutic effect.</w:t>
      </w:r>
    </w:p>
    <w:p>
      <w:pPr>
        <w:spacing w:after="0" w:line="179" w:lineRule="exact"/>
        <w:rPr>
          <w:sz w:val="20"/>
          <w:szCs w:val="20"/>
          <w:color w:val="auto"/>
        </w:rPr>
      </w:pPr>
    </w:p>
    <w:p>
      <w:pPr>
        <w:ind w:right="40" w:firstLine="576"/>
        <w:spacing w:after="0" w:line="252" w:lineRule="auto"/>
        <w:rPr>
          <w:sz w:val="20"/>
          <w:szCs w:val="20"/>
          <w:color w:val="auto"/>
        </w:rPr>
      </w:pPr>
      <w:r>
        <w:rPr>
          <w:rFonts w:ascii="Arial" w:cs="Arial" w:eastAsia="Arial" w:hAnsi="Arial"/>
          <w:sz w:val="17"/>
          <w:szCs w:val="17"/>
          <w:color w:val="auto"/>
        </w:rPr>
        <w:t>Based on the results of our nonclinical and clinical studies to date, we believe ATH-1017 has the potential to rapidly improve cognition and durably restore the lives of patients suffering from AD. However, these ideas and this approach are novel, and we currently have limited data based on our Phase 1a and 1b clinical trials, which enrolled 88 subjects, including only 11 patients with mild to moderate AD, of whom seven patients were treated with ATH-1017 and the other four patients were randomized to the control. Data from our Phase 1a and 1b clinical trials, while promising, were obtained from a relatively small number of subjects and we cannot be certain that future trials involving a larger number of subjects will yield similar data. Additionally, in our Phase 1a and 1b clinical trials, we used electroencephalogram, or EEG, methods to gather data that we believe provide valuable insight into cognitive processing of the subjects evaluated. These EEG methods require the placement of electrodes on a subject’s scalp and, if these electrodes are not properly placed, we may be unable to obtain the data sought or the data obtained may be compromised and unreliable. In our Phase 1a and 1b clinical trials, data from certain subjects were not obtained due to problems encountered with the placement of the EEG electrodes and other technical issues, such as subject movement. While we believe the lack of data from these subjects did not impact the reliability or interpretation of the remaining data from these trials, we may in the future face similar issues with EEG methods, which could compromise future clinical trial results. We may ultimately discover that ATH-1017, or any of our other small molecules, do not possess certain properties required for therapeutic effectiveness. We have no long-term evidence regarding the efficacy, safety and tolerability of ATH-1017 or other small molecules in our product platform. We may spend substantial funds attempting to develop these product candidates and never succeed in doing so.</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We have concentrated our research and development efforts on the treatment of CNS and peripheral degenerative disorders, a field that has seen very limited success in product development.</w:t>
      </w:r>
    </w:p>
    <w:p>
      <w:pPr>
        <w:spacing w:after="0" w:line="21"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We have focused our research and development efforts on addressing CNS and peripheral degenerative disorders. Collectively, efforts by pharmaceutical companies in the field of CNS and peripheral degenerative disorders have seen very limited successes in product development. The development of CNS therapies presents unique challenges, including an imperfect understanding of the biology, the presence of the blood brain barrier, or BBB, that can restrict the flow of drugs to the brain, a frequent lack of translatability of preclinical study results in subsequent clinical trials and dose selection, and the product candidate having an effect that may be too small to be detected using the outcome measures selected in clinical trials or if the outcomes measured do not reach statistical significance. There are few effective therapeutic options available for patients with AD and other CNS or peripheral disorders. Our future success is highly dependent on the successful development of our technology and our product candidates for treating CNS and peripheral disorders. Developing and, if approved, commercializing our product candidates for treatment of CNS and peripheral disorders subjects us to a number of challenges, including ensuring that we have selected the optimal doses, executing an appropriate clinical trial to test for efficacy and obtaining regulatory approval from the FDA and other regulatory authorities.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4" w:name="page25"/>
    <w:bookmarkEnd w:id="24"/>
    <w:p>
      <w:pPr>
        <w:ind w:right="100"/>
        <w:spacing w:after="0" w:line="260"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clinical trials may not be predictive of future clinical trial results. We may encounter substantial delays in clinical trials, or may not be able to conduct or complete clinical trials on the expected timelines, if at all.</w:t>
      </w:r>
    </w:p>
    <w:p>
      <w:pPr>
        <w:spacing w:after="0" w:line="43"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Our lead product candidate, ATH-1017, is in clinical development for the potential treatment of AD and PDD. Our remaining product candidates, including ATH-1018 and ATH-1019, are in nonclinical development. It is impossible to predict when or if any of our product candidates will prove to be effective and safe in humans or will receive regulatory approval.</w:t>
      </w:r>
    </w:p>
    <w:p>
      <w:pPr>
        <w:spacing w:after="0" w:line="164" w:lineRule="exact"/>
        <w:rPr>
          <w:sz w:val="20"/>
          <w:szCs w:val="20"/>
          <w:color w:val="auto"/>
        </w:rPr>
      </w:pPr>
    </w:p>
    <w:p>
      <w:pPr>
        <w:ind w:firstLine="576"/>
        <w:spacing w:after="0" w:line="236"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nonclinical studies and clinical trials that our product candidates are both safe and effective for each target indication. Nonclinical and clinical testing is expensive and can take many years to complete, and its outcome is inherently uncertain. Failure can occur at any time during the nonclinical study and clinical trial processes, and, because our product candidates are in an early stage of development, there is a high risk of failure and we may never succeed in developing marketable products. The results of nonclinical studies and early clinical trials of our product candidates may not be predictive of the results of later-stage clinical trials. Although product candidates may demonstrate promising results in nonclinical studies and early clinical trials, they may not prove to be safe or effective in subsequent clinical trials. For example, testing on animals occurs under different conditions than testing in humans and therefore, the results of animal studies may not accurately predict safety and effectiveness in humans. There is typically an extremely high rate of attrition from the failure of product candidates proceeding through nonclinical studies and clinical trials. Product candidates in later stages of clinical trials may fail to show the desired safety and efficacy profile despite having progressed through nonclinical studies and initial clinical trials. Likewise, early, smaller-scale clinical trials may not be predictive of eventual safety or effectiveness in large-scale pivotal clinical trials. Even if data from a pivotal clinical trial are positive, regulators may not agree that such data are sufficient for approval and may require that we conduct additional clinical trials, which could materially delay our anticipated development timelines, require additional funding for such additional clinical trials, and adversely impact our business. For example, LIFT-AD is a trial that we initiated in September 2020, which may provide pivotal data in support of registration. In parallel to LIFT-AD,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However, even if we receive positive data in our ACT-AD P300 Phase 2 clinical trial and LIFT-AD, we cannot be certain that the FDA or other regulators will find such data sufficient for approval of ATH-1017. Our ability to achieve regulatory approval for ATH-1017 is further complicated by the nature of AD, which historically has been a challenging indication for drug development. A number of companies in the biopharmaceutical industry have suffered significant setbacks in advanced clinical trials due to lack of efficacy or unacceptable safety issues, notwithstanding promising results in earlier trials. Most product candidates that commence nonclinical studies and clinical trials are never approved as products.</w:t>
      </w:r>
    </w:p>
    <w:p>
      <w:pPr>
        <w:spacing w:after="0" w:line="191"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In some instances, there can be significant variability in safety or efficacy results between different nonclinical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Results of our clinical trials could reveal a high and unacceptable severity and prevalence of side effects. In such an event, our clinical trials could be suspended or terminated and the FDA or comparable foreign regulatory authorities could order us to cease further development of or deny approval of our product candidates for any or all targeted indications. Drug-related side effects could also affect patient recruitment or the ability of enrolled patients to complete the clinical trial or result in potential product liability claims. Any of these occurrences may harm our business, financial condition and prospects significantly.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ind w:right="60" w:firstLine="576"/>
        <w:spacing w:after="0"/>
        <w:rPr>
          <w:sz w:val="20"/>
          <w:szCs w:val="20"/>
          <w:color w:val="auto"/>
        </w:rPr>
      </w:pPr>
      <w:r>
        <w:rPr>
          <w:rFonts w:ascii="Arial" w:cs="Arial" w:eastAsia="Arial" w:hAnsi="Arial"/>
          <w:sz w:val="18"/>
          <w:szCs w:val="18"/>
          <w:color w:val="auto"/>
        </w:rPr>
        <w:t>Additionally, some of the clinical trials we conduct in the future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clinical trials are being conducted, by a Data Safety Monitoring Board for such clinical trial or by the FDA or comparable foreign regulatory authorities. Clinical trials can be delayed or terminated for a variety of reasons, including delays or failures related to:</w:t>
      </w:r>
    </w:p>
    <w:p>
      <w:pPr>
        <w:spacing w:after="0" w:line="56" w:lineRule="exact"/>
        <w:rPr>
          <w:sz w:val="20"/>
          <w:szCs w:val="20"/>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disagreeing with our ATH platform development strategy;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regulations or administrative 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our ability to commence a clinical trial;</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IRB approval at each clinical trial site;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demonstrate a benefit from using a product candidate;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adding a sufficient number of clinical trial sites; or</w:t>
      </w:r>
    </w:p>
    <w:p>
      <w:pPr>
        <w:spacing w:after="0" w:line="116" w:lineRule="exact"/>
        <w:rPr>
          <w:rFonts w:ascii="Times New Roman" w:cs="Times New Roman" w:eastAsia="Times New Roman" w:hAnsi="Times New Roman"/>
          <w:sz w:val="18"/>
          <w:szCs w:val="18"/>
          <w:color w:val="auto"/>
        </w:rPr>
      </w:pPr>
    </w:p>
    <w:p>
      <w:pPr>
        <w:ind w:left="1300" w:right="740" w:hanging="442"/>
        <w:spacing w:after="0" w:line="275" w:lineRule="auto"/>
        <w:tabs>
          <w:tab w:leader="none" w:pos="13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sufficient product supply of product candidate for use in nonclinical studies or clinical trials from third-party suppliers.</w:t>
      </w:r>
    </w:p>
    <w:p>
      <w:pPr>
        <w:spacing w:after="0" w:line="14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Further, conducting clinical trials in foreign countries, as we intend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70"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0"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If the results of our future clinical trials are inconclusive with respect to the efficacy of our product candidates, if we do not meet the clinical endpoints with statistical and clinically meaningful significance, or if there are safety concerns associated with our product candidates, we may:</w:t>
      </w:r>
    </w:p>
    <w:p>
      <w:pPr>
        <w:spacing w:after="0" w:line="56" w:lineRule="exact"/>
        <w:rPr>
          <w:sz w:val="20"/>
          <w:szCs w:val="20"/>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incur unplanned costs;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delayed in or prevented from obtaining marketing approval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changes in the way the product is administered;</w:t>
      </w:r>
    </w:p>
    <w:p>
      <w:pPr>
        <w:spacing w:after="0" w:line="116" w:lineRule="exact"/>
        <w:rPr>
          <w:rFonts w:ascii="Times New Roman" w:cs="Times New Roman" w:eastAsia="Times New Roman" w:hAnsi="Times New Roman"/>
          <w:sz w:val="18"/>
          <w:szCs w:val="18"/>
          <w:color w:val="auto"/>
        </w:rPr>
      </w:pPr>
    </w:p>
    <w:p>
      <w:pPr>
        <w:ind w:left="1300" w:right="80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have regulatory authorities withdraw their approval of the product or impose restrictions on its distribution in the form of a modified REMS;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be sued; or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experience damage to our reputation.</w:t>
      </w:r>
    </w:p>
    <w:p>
      <w:pPr>
        <w:spacing w:after="0" w:line="332" w:lineRule="exact"/>
        <w:rPr>
          <w:sz w:val="20"/>
          <w:szCs w:val="20"/>
          <w:color w:val="auto"/>
        </w:rPr>
      </w:pPr>
    </w:p>
    <w:p>
      <w:pPr>
        <w:ind w:right="14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adversely impact our business, including our nonclinical studies and clinical trials.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The world is in the midst of a pandemic. A novel strain of the coronavirus disease, COVID-19, has spread to a number of countries, including the United States. 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closed our executive offices with our administrative employees continuing their work outside of our offices and limited the number of staff in any given research and development laboratory.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7" w:name="page28"/>
    <w:bookmarkEnd w:id="27"/>
    <w:p>
      <w:pPr>
        <w:ind w:right="240" w:firstLine="576"/>
        <w:spacing w:after="0" w:line="276" w:lineRule="auto"/>
        <w:rPr>
          <w:sz w:val="20"/>
          <w:szCs w:val="20"/>
          <w:color w:val="auto"/>
        </w:rPr>
      </w:pPr>
      <w:r>
        <w:rPr>
          <w:rFonts w:ascii="Arial" w:cs="Arial" w:eastAsia="Arial" w:hAnsi="Arial"/>
          <w:sz w:val="18"/>
          <w:szCs w:val="18"/>
          <w:color w:val="auto"/>
        </w:rPr>
        <w:t>As a result of the COVID-19 pandemic, we may experience disruptions that could severely impact our business, nonclinical studies and clinical trials, including:</w:t>
      </w:r>
    </w:p>
    <w:p>
      <w:pPr>
        <w:spacing w:after="0" w:line="37" w:lineRule="exact"/>
        <w:rPr>
          <w:sz w:val="20"/>
          <w:szCs w:val="20"/>
          <w:color w:val="auto"/>
        </w:rPr>
      </w:pPr>
    </w:p>
    <w:p>
      <w:pPr>
        <w:jc w:val="both"/>
        <w:ind w:left="1300" w:right="260" w:hanging="442"/>
        <w:spacing w:after="0" w:line="25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and retaining patients in our clinical trials, particularly elderly subjects, who are at a higher risk of severe illness or death from COVID-19, which can be further complicated by the presence of comorbidities that are often present in AD subjects;</w:t>
      </w:r>
    </w:p>
    <w:p>
      <w:pPr>
        <w:spacing w:after="0" w:line="54"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interpreting data from our clinical trials due to the possible effects of COVID-19 on cognition of the subjects enrolled in our clinical trials that contract COVID-19;</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37" w:lineRule="exact"/>
        <w:rPr>
          <w:rFonts w:ascii="Times New Roman" w:cs="Times New Roman" w:eastAsia="Times New Roman" w:hAnsi="Times New Roman"/>
          <w:sz w:val="18"/>
          <w:szCs w:val="18"/>
          <w:color w:val="auto"/>
        </w:rPr>
      </w:pPr>
    </w:p>
    <w:p>
      <w:pPr>
        <w:ind w:left="1300" w:right="20" w:hanging="442"/>
        <w:spacing w:after="0" w:line="248"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6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37"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in nonclinical studies due to restricted or limited operations at our laboratory facility;</w:t>
      </w:r>
    </w:p>
    <w:p>
      <w:pPr>
        <w:spacing w:after="0" w:line="116" w:lineRule="exact"/>
        <w:rPr>
          <w:rFonts w:ascii="Times New Roman" w:cs="Times New Roman" w:eastAsia="Times New Roman" w:hAnsi="Times New Roman"/>
          <w:sz w:val="18"/>
          <w:szCs w:val="18"/>
          <w:color w:val="auto"/>
        </w:rPr>
      </w:pPr>
    </w:p>
    <w:p>
      <w:pPr>
        <w:jc w:val="both"/>
        <w:ind w:left="1300" w:right="380" w:hanging="442"/>
        <w:spacing w:after="0" w:line="25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or delays to our sourced discovery and clinical activities; and</w:t>
      </w:r>
    </w:p>
    <w:p>
      <w:pPr>
        <w:spacing w:after="0" w:line="116"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the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clinical trial, and any disruption of the clinical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clinical trial. In June 2020, FDA also issued a guidance on good manufacturing practice considerations for responding to COVID-19 infection in employees in drug products manufacturing, including recommendations for manufacturing controls to prevent contamination of drugs.</w:t>
      </w:r>
    </w:p>
    <w:p>
      <w:pPr>
        <w:spacing w:after="0" w:line="176"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The COVID-19 pandemic continues to develop rapidly, with the status of operations and government restrictions evolving weekly. The extent to which the outbreak impacts our business, nonclinical studies and clinical trials will depend on future developments, which are highly uncertain and</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jc w:val="both"/>
        <w:ind w:right="140"/>
        <w:spacing w:after="0" w:line="255" w:lineRule="auto"/>
        <w:rPr>
          <w:sz w:val="20"/>
          <w:szCs w:val="20"/>
          <w:color w:val="auto"/>
        </w:rPr>
      </w:pPr>
      <w:r>
        <w:rPr>
          <w:rFonts w:ascii="Arial" w:cs="Arial" w:eastAsia="Arial" w:hAnsi="Arial"/>
          <w:sz w:val="18"/>
          <w:szCs w:val="18"/>
          <w:color w:val="auto"/>
        </w:rPr>
        <w:t>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COVID-19 could materially and adversely affect our business and the value of our common stock.</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In addition, our business could be significantly adversely affected by other business disruptions to us or our third-party providers that could seriously harm our potential future revenue and financial condition and increase our costs and expenses. Our operations, and those of our CROs, commercial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jc w:val="both"/>
        <w:ind w:right="40"/>
        <w:spacing w:after="0" w:line="260" w:lineRule="auto"/>
        <w:rPr>
          <w:sz w:val="20"/>
          <w:szCs w:val="20"/>
          <w:color w:val="auto"/>
        </w:rPr>
      </w:pPr>
      <w:r>
        <w:rPr>
          <w:rFonts w:ascii="Arial" w:cs="Arial" w:eastAsia="Arial" w:hAnsi="Arial"/>
          <w:sz w:val="18"/>
          <w:szCs w:val="18"/>
          <w:b w:val="1"/>
          <w:bCs w:val="1"/>
          <w:i w:val="1"/>
          <w:iCs w:val="1"/>
          <w:color w:val="auto"/>
        </w:rPr>
        <w:t>Any “topline”, interim, initial,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clinical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From time to time, we may also disclose interim data from our nonclinical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9" w:name="page30"/>
    <w:bookmarkEnd w:id="29"/>
    <w:p>
      <w:pPr>
        <w:ind w:right="60" w:firstLine="576"/>
        <w:spacing w:after="0"/>
        <w:rPr>
          <w:sz w:val="20"/>
          <w:szCs w:val="20"/>
          <w:color w:val="auto"/>
        </w:rPr>
      </w:pPr>
      <w:r>
        <w:rPr>
          <w:rFonts w:ascii="Arial" w:cs="Arial" w:eastAsia="Arial" w:hAnsi="Arial"/>
          <w:sz w:val="18"/>
          <w:szCs w:val="18"/>
          <w:color w:val="auto"/>
        </w:rPr>
        <w:t>Additionally, we rely on data received from clinical trials, whether preliminary or final, to inform decisions on future clinical trials, including trial design, trial size, and whether or not to initiate additional clinical trials. For example, in parallel to our LIFT-AD clinical trial, we plan to initiate ACT-AD, a P300 Phase 2 clinical trial, to better understand the overall effects of ATH-1017 on working memory processing speed and cognitive measures, with topline results expected by early 2022. These data will help support strategic decisions around any additional pivotal trials that we may initiate in parallel to the LIFT-AD trial if the results from the ACT-AD P300 Phase 2 clinical trial do not meet our expectations. The topline results of this ACT-AD P300 Phase 2 clinical trial will be based on a preliminary analysis of then-available data, and a more comprehensive and full review of the data may result in different conclusions, which could have a negative impact on our decisions regarding any additional trials for ATH-1017.</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28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21" w:lineRule="exact"/>
        <w:rPr>
          <w:sz w:val="20"/>
          <w:szCs w:val="20"/>
          <w:color w:val="auto"/>
        </w:rPr>
      </w:pPr>
    </w:p>
    <w:p>
      <w:pPr>
        <w:ind w:right="580" w:firstLine="576"/>
        <w:spacing w:after="0" w:line="255"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56" w:lineRule="exact"/>
        <w:rPr>
          <w:sz w:val="20"/>
          <w:szCs w:val="20"/>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and safety profile as demonstrated in clinical trials compared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the product candidate is approved;</w:t>
      </w:r>
    </w:p>
    <w:p>
      <w:pPr>
        <w:spacing w:after="0" w:line="116"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and perceived advantages of product candidates over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in relation to alternative treatments;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pricing and the availability of coverage and adequate reimbursement by third-party payors, including government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the approved product candidate for use as a combination therapy;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relative convenience and ease of administration;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effectiveness of sales and marketing efforts;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ind w:left="1300" w:right="260" w:hanging="442"/>
        <w:spacing w:after="0" w:line="275" w:lineRule="auto"/>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publicity relating to our products or product candidates or similar approved products or product candidates in development by third parties;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therapies for the same indications.</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27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We have never commercialized a product candidate. We may license certain rights with respect to our product candidates to collaborators, and, if so,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approved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288"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recruit and enroll a sufficient number of eligible patients to participate in these clinical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If we are unable to locate a sufficient number of such patients, our clinical trial and development plans could be delayed.</w:t>
      </w:r>
    </w:p>
    <w:p>
      <w:pPr>
        <w:spacing w:after="0" w:line="179"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For example, we intend to enroll approximately 240 to 300 AD subjects with mild-to-moderate AD in LIFT-AD and 60 to 75 AD subjects with mild-to-moderate AD in our ACT-AD P300 Phase 2 clinical trial. If we are delayed or unsuccessful in enrolling the desired number of subjects in these trials, whether as a result of competing clinical trials, overly stringent eligibility requirements, or the ongoing impact of COVID-19 on both clinical trial sites and potential AD subjects, our clinical trial results could be delayed, the costs of our clinical trials could materially increase, and the overall development timeline for ATH-1017 could be negatively impacted. Even if we are successful in enrolling the targeted number of subjects in these trials, the FDA and other regulators may request additional clinical trials with larger numbers of subjects as a condition to any regulatory approval.</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31" w:name="page32"/>
    <w:bookmarkEnd w:id="31"/>
    <w:p>
      <w:pPr>
        <w:ind w:right="80" w:firstLine="576"/>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clinical trials and our regulatory submissions, and increase the costs associated of the clinical trials.</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0"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4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The biotechnology and pharmaceutical industries utilize rapidly advancing technologies and are characterized by intense competition. While we believe that our scientific knowledge, platform technology and development expertise provide us with competitive advantages, we face competitive pressures from both large and small pharmaceutical companies, emerging biotechnology companies, as well as academic, government and private research institutions. Many of our competitors have access to greater financial resources, market presence, expertise in development, preclinical and clinical testing, manufacturing, commercialization, regulatory approval process, and/or marketing and sales than we do. Our competitors may compete with us in patient recruitment, clinical research organization, and operational resources. As a result, our competitors may discover, develop, license or commercialize products before or more successfully than we do.</w:t>
      </w:r>
    </w:p>
    <w:p>
      <w:pPr>
        <w:spacing w:after="0" w:line="179"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Our competitors may obtain patent protection or other intellectual property rights that limit our ability to develop or commercialize our product candidates. The availability of reimbursement from government and other third-party payors will also significantly affect the pricing and competitiveness of our products. Our competitors may also obtain FDA or other regulatory approval for their products more rapidly than we may obtain approval for ours, which could result in our competitors establishing a strong market position before we are able to enter the market. For additional information regarding our competition, see the section of this prospectus titled “Business—Competition.”</w:t>
      </w:r>
    </w:p>
    <w:p>
      <w:pPr>
        <w:spacing w:after="0" w:line="288" w:lineRule="exact"/>
        <w:rPr>
          <w:sz w:val="20"/>
          <w:szCs w:val="20"/>
          <w:color w:val="auto"/>
        </w:rPr>
      </w:pPr>
    </w:p>
    <w:p>
      <w:pPr>
        <w:ind w:right="620"/>
        <w:spacing w:after="0" w:line="28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21"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We may develop product candidates in combination with other therapies, which exposes us to additional risks.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We may develop product candidates in combination with one or more other approved or unapproved therapies.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80"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We also may choose to evaluate product candidates in combination with one or more therapies that have not yet been approved for marketing by the FDA or comparable foreign regulatory authorities. We will not be able to market and sell any product candidate we develop in combination with an unapproved therapy for a combination indication if that unapproved therapy does not ultimately obtain marketing approval either alone or in combination with our product. In addition, unapproved therapies face the same risks described with respect to our product candidates currently in development and clinical trials, including the potential for serious adverse effects, delay in their clinical trials and lack of FDA approval. 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288"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intend to initially focus our product candidate development on treatments for various CNS and peripheral disorder indications. The addressable patient populations that may benefit from treatment with our product candidates, if approved,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CNS and peripheral disorders. Any regulatory approval of our product candidates would be limited to the therapeutic indications examined in our clinical trials and as determined by the FDA, which would not permit us to market our products for any other therapeutic indications not expressly approved by the FDA. Additionally, the potentially addressable patient population for our product candidates may not ultimately be amenable to treatment with our product candidates. Even if we receive regulatory approval for any of our product candidates, such approval could be conditioned upon label restrictions that materially limit the addressable patient population. Our market opportunity may also be limited by 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spacing w:after="0" w:line="284" w:lineRule="exact"/>
        <w:rPr>
          <w:sz w:val="20"/>
          <w:szCs w:val="20"/>
          <w:color w:val="auto"/>
        </w:rPr>
      </w:pPr>
    </w:p>
    <w:p>
      <w:pPr>
        <w:ind w:right="16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clinical and nonclinical development. A product candidate can unexpectedly fail at any stage of nonclinical and clinical development. The historical failure rate for product candidates is high due to risks relating to safety, efficacy, clinical execution, changing standards of medical care and other unpredictable variables. The results from nonclinical testing or early clinical trials of a product candidate may not be predictive of the results that will be obtained in later stage clinical trials of the product candidate.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33" w:name="page34"/>
    <w:bookmarkEnd w:id="33"/>
    <w:p>
      <w:pPr>
        <w:ind w:left="580"/>
        <w:spacing w:after="0"/>
        <w:rPr>
          <w:sz w:val="20"/>
          <w:szCs w:val="20"/>
          <w:color w:val="auto"/>
        </w:rPr>
      </w:pPr>
      <w:r>
        <w:rPr>
          <w:rFonts w:ascii="Arial" w:cs="Arial" w:eastAsia="Arial" w:hAnsi="Arial"/>
          <w:sz w:val="18"/>
          <w:szCs w:val="18"/>
          <w:color w:val="auto"/>
        </w:rPr>
        <w:t>The success of other future product candidates we may develop will depend on many factors, including the following:</w:t>
      </w:r>
    </w:p>
    <w:p>
      <w:pPr>
        <w:spacing w:after="0" w:line="104" w:lineRule="exact"/>
        <w:rPr>
          <w:sz w:val="20"/>
          <w:szCs w:val="20"/>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regulatory permission to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contracting with the necessary parties to conduct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adverse events in the clinical trials.</w:t>
      </w:r>
    </w:p>
    <w:p>
      <w:pPr>
        <w:spacing w:after="0" w:line="224" w:lineRule="exact"/>
        <w:rPr>
          <w:sz w:val="20"/>
          <w:szCs w:val="20"/>
          <w:color w:val="auto"/>
        </w:rPr>
      </w:pPr>
    </w:p>
    <w:p>
      <w:pPr>
        <w:ind w:right="220" w:firstLine="576"/>
        <w:spacing w:after="0" w:line="248" w:lineRule="auto"/>
        <w:rPr>
          <w:sz w:val="20"/>
          <w:szCs w:val="20"/>
          <w:color w:val="auto"/>
        </w:rPr>
      </w:pPr>
      <w:r>
        <w:rPr>
          <w:rFonts w:ascii="Arial" w:cs="Arial" w:eastAsia="Arial" w:hAnsi="Arial"/>
          <w:sz w:val="18"/>
          <w:szCs w:val="18"/>
          <w:color w:val="auto"/>
        </w:rPr>
        <w:t>Even if we successfully advance any other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future product candidates.</w:t>
      </w:r>
    </w:p>
    <w:p>
      <w:pPr>
        <w:spacing w:after="0" w:line="278"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b w:val="1"/>
          <w:bCs w:val="1"/>
          <w:i w:val="1"/>
          <w:iCs w:val="1"/>
          <w:color w:val="auto"/>
        </w:rPr>
        <w:t>We conduct certain research and development operations through our Australian wholly owned subsidiary. If we lose our ability to operate in Australia, or if our subsidiary is unable to receive the research and development tax credit allowed by Australian regulations, our business and results of operations could suffer.</w:t>
      </w:r>
    </w:p>
    <w:p>
      <w:pPr>
        <w:spacing w:after="0" w:line="5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In July 2020, we formed a wholly owned Australian subsidiary to conduct various preclinical and clinical activities for our product and development candidates in Australia. Due to the geographical distance and lack of employees currently in Australia, as well as our lack of experience operating in Australia, we may not be able to efficiently or successfully monitor, develop and commercialize our lead products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addition, current Australian tax regulations provide for a refundable research and development tax credit equal to 43.5% of qualified expenditures. If we lose our ability to operate our subsidiary in Australia, or if we are ineligible or unable to receive the research and development tax credit, or the Australian government significantly reduces or eliminates the tax credit, our business and results of operation may be adversely affected.</w:t>
      </w:r>
    </w:p>
    <w:p>
      <w:pPr>
        <w:spacing w:after="0" w:line="278" w:lineRule="exact"/>
        <w:rPr>
          <w:sz w:val="20"/>
          <w:szCs w:val="20"/>
          <w:color w:val="auto"/>
        </w:rPr>
      </w:pPr>
    </w:p>
    <w:p>
      <w:pPr>
        <w:ind w:right="146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72" w:lineRule="exact"/>
        <w:rPr>
          <w:sz w:val="20"/>
          <w:szCs w:val="20"/>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our product candidates or products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4" w:name="page35"/>
    <w:bookmarkEnd w:id="34"/>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costs to defend the related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of management’s time and our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clinical trial participants or patients;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product candidate;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share price.</w:t>
      </w:r>
    </w:p>
    <w:p>
      <w:pPr>
        <w:spacing w:after="0" w:line="22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28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harm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5" w:name="page36"/>
    <w:bookmarkEnd w:id="35"/>
    <w:p>
      <w:pPr>
        <w:spacing w:after="0" w:line="241" w:lineRule="auto"/>
        <w:rPr>
          <w:sz w:val="20"/>
          <w:szCs w:val="20"/>
          <w:color w:val="auto"/>
        </w:rPr>
      </w:pPr>
      <w:r>
        <w:rPr>
          <w:rFonts w:ascii="Arial" w:cs="Arial" w:eastAsia="Arial" w:hAnsi="Arial"/>
          <w:sz w:val="18"/>
          <w:szCs w:val="18"/>
          <w:color w:val="auto"/>
        </w:rPr>
        <w:t>products. Sales of these or other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71" w:lineRule="exact"/>
        <w:rPr>
          <w:sz w:val="20"/>
          <w:szCs w:val="20"/>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covered benefit under its health plan;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safe, effective and medically necessary;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appropriate for the specific patient;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cost-effective;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neither experimental nor investigational.</w:t>
      </w:r>
    </w:p>
    <w:p>
      <w:pPr>
        <w:spacing w:after="0" w:line="22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79"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36" w:name="page37"/>
    <w:bookmarkEnd w:id="36"/>
    <w:p>
      <w:pPr>
        <w:ind w:firstLine="576"/>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operating results, our ability to raise capital needed to commercialize products and our overall financial condition.</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28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are dependent on networks, infrastructure and data, which exposes us to data security risks, including security failures or breaches of our systems or those used by our CROs or other contractors or consultants. We are dependent upon our own or third-party information technology systems, infrastructure and data, including mobile technologies, to operate our business. The multitude and complexity of our computer systems may fail or suffer security breaches.</w:t>
      </w:r>
    </w:p>
    <w:p>
      <w:pPr>
        <w:spacing w:after="0" w:line="5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may be vulnerable to damage from computer viruses and unauthorized access. Likewise, data privacy or security incidents or breaches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Changes in how our employees work and access our systems during the current COVID-19 pandemic could lead to additional opportunities for bad actors to launch cyberattacks or for employees to cause inadvertent security risks or incidents. Our business partners face similar risks, and any security breach of their systems or that they otherwise suffer could adversely affect our security posture. A security breach or privacy violation that leads to loss of or unauthorized use, disclosure or modification of, or access to personal, sensitive or proprietary information, including personally identifiable information, protected health information, or other patient information, or that prevents access to patient information, as well as the perception that any of the foregoing has occurred, could harm our reputation, compel us to comply with federal and/or state breach notification laws and foreign law equivalents, subject us to mandatory corrective action, cause us to provide other notification or take other steps in response to such breach or violation, require us to verify the correctness of database contents and otherwise subject us to litigation, claims, investigations, penalties or other liability under laws and regulations that protect personal data, any of which could disrupt our business and/or result in increased costs or loss of revenue. The effects of a security breach or privacy violation could be further amplified during the current COVID-19 pandemic. Moreover, the prevalent use of mobile devices that access confidential information increases the risk of data security breaches, which could lead to the loss of confidential information, trade secrets or other intellectual property.</w:t>
      </w:r>
    </w:p>
    <w:p>
      <w:pPr>
        <w:spacing w:after="0" w:line="180" w:lineRule="exact"/>
        <w:rPr>
          <w:sz w:val="20"/>
          <w:szCs w:val="20"/>
          <w:color w:val="auto"/>
        </w:rPr>
      </w:pPr>
    </w:p>
    <w:p>
      <w:pPr>
        <w:jc w:val="both"/>
        <w:ind w:right="320" w:firstLine="576"/>
        <w:spacing w:after="0" w:line="255" w:lineRule="auto"/>
        <w:rPr>
          <w:sz w:val="20"/>
          <w:szCs w:val="20"/>
          <w:color w:val="auto"/>
        </w:rPr>
      </w:pPr>
      <w:r>
        <w:rPr>
          <w:rFonts w:ascii="Arial" w:cs="Arial" w:eastAsia="Arial" w:hAnsi="Arial"/>
          <w:sz w:val="18"/>
          <w:szCs w:val="18"/>
          <w:color w:val="auto"/>
        </w:rPr>
        <w:t>Despite significant efforts to create security barriers to the above described threats, it is impossible for us to entirely mitigate these risks. We may be unable to anticipate or prevent techniques used to obtain unauthorized access or to compromise our systems because they change frequently and are generally not detected until after an incident has occurred. If a compromise or other security incident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spacing w:after="0" w:line="239" w:lineRule="auto"/>
        <w:rPr>
          <w:sz w:val="20"/>
          <w:szCs w:val="20"/>
          <w:color w:val="auto"/>
        </w:rPr>
      </w:pPr>
      <w:r>
        <w:rPr>
          <w:rFonts w:ascii="Arial" w:cs="Arial" w:eastAsia="Arial" w:hAnsi="Arial"/>
          <w:sz w:val="18"/>
          <w:szCs w:val="18"/>
          <w:color w:val="auto"/>
        </w:rPr>
        <w:t>were to occur and cause interruptions in our operations, it could result in a material disruption of our development programs and our business operations. For example, the loss of clinical trial data from completed, ongoing or future clinical trials could result in delays in our regulatory approval efforts and significantly increase our costs to recover or reproduce the data. To the extent that any disruption or security breach were to result in a loss of, or damage to, our data or systems, or inappropriate use, disclosure or modification of confidential or proprietary information, we could incur liability and the further development and commercialization of our product candidates could be delayed. While we have invested, and continue to invest, in the protection of our data and information technology infrastructure, there can be no assurance that our efforts will prevent service interruptions, or prevent or identify vulnerabilities or breaches in our systems, that could adversely affect our business and operations and/or result in the loss of critical or sensitive information. Any such interruptions or breaches, or the perception any have occurred, could result in financial, legal, business or reputational harm to us. In addition, our liability insurance may not be sufficient in type or amount to cover us against claims related to security breaches, cyberattacks and other related privacy and security breaches or incidents.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Regulatory Approval and Other Legal Compliance Matters</w:t>
      </w:r>
    </w:p>
    <w:p>
      <w:pPr>
        <w:spacing w:after="0" w:line="160"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marketing approval.</w:t>
      </w:r>
    </w:p>
    <w:p>
      <w:pPr>
        <w:spacing w:after="0" w:line="170" w:lineRule="exact"/>
        <w:rPr>
          <w:sz w:val="20"/>
          <w:szCs w:val="20"/>
          <w:color w:val="auto"/>
        </w:rPr>
      </w:pPr>
    </w:p>
    <w:p>
      <w:pPr>
        <w:ind w:right="120" w:firstLine="576"/>
        <w:spacing w:after="0" w:line="238" w:lineRule="auto"/>
        <w:rPr>
          <w:sz w:val="20"/>
          <w:szCs w:val="20"/>
          <w:color w:val="auto"/>
        </w:rPr>
      </w:pPr>
      <w:r>
        <w:rPr>
          <w:rFonts w:ascii="Arial" w:cs="Arial" w:eastAsia="Arial" w:hAnsi="Arial"/>
          <w:sz w:val="18"/>
          <w:szCs w:val="18"/>
          <w:color w:val="auto"/>
        </w:rPr>
        <w:t>Obtaining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Further, securing regulatory approval also requires the submission of information about the drug manufacturing process to, and inspection of manufacturing facilities by, the relevant regulatory authority. Regulatory authorities have substantial discretion in the approval process and may refuse to accept any application or may decide that our data are insufficient for approval and require additional nonclinical, clinical or other data. Even if we eventually complete clinical testing and receive approval for our product candidates, the FDA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the following:</w:t>
      </w:r>
    </w:p>
    <w:p>
      <w:pPr>
        <w:spacing w:after="0" w:line="104" w:lineRule="exact"/>
        <w:rPr>
          <w:sz w:val="20"/>
          <w:szCs w:val="20"/>
          <w:color w:val="auto"/>
        </w:rPr>
      </w:pPr>
    </w:p>
    <w:p>
      <w:pPr>
        <w:ind w:left="1300" w:right="300" w:hanging="442"/>
        <w:spacing w:after="0" w:line="27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the design, implementation or results of our clinical trials;</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determine that our product candidates are not safe and effective or have undesirable or unintended side effects, toxicities or other characteristics that preclude our obtaining marketing approval or prevent or limit commercial use;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ind w:left="1300" w:right="20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37"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other comparable foreign regulatory authorities may disagree with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other comparable foreign regulatory authorities that our product candidate’s risk-benefit ratio for its proposed indication is acceptable;</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30"/>
        </w:numPr>
        <w:rPr>
          <w:rFonts w:ascii="Times New Roman" w:cs="Times New Roman" w:eastAsia="Times New Roman" w:hAnsi="Times New Roman"/>
          <w:sz w:val="17"/>
          <w:szCs w:val="17"/>
          <w:color w:val="auto"/>
        </w:rPr>
      </w:pPr>
      <w:r>
        <w:rPr>
          <w:rFonts w:ascii="Arial" w:cs="Arial" w:eastAsia="Arial" w:hAnsi="Arial"/>
          <w:sz w:val="17"/>
          <w:szCs w:val="17"/>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Times New Roman" w:cs="Times New Roman" w:eastAsia="Times New Roman" w:hAnsi="Times New Roman"/>
          <w:sz w:val="17"/>
          <w:szCs w:val="17"/>
          <w:color w:val="auto"/>
        </w:rPr>
      </w:pPr>
    </w:p>
    <w:p>
      <w:pPr>
        <w:ind w:left="1300" w:right="40" w:hanging="442"/>
        <w:spacing w:after="0" w:line="275" w:lineRule="auto"/>
        <w:tabs>
          <w:tab w:leader="none" w:pos="13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other comparable foreign regulatory authorities may significantly change in a manner rendering our clinical data insufficient for approval.</w:t>
      </w:r>
    </w:p>
    <w:p>
      <w:pPr>
        <w:spacing w:after="0" w:line="14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comparable foreign regulatory approval processes and are commercialized. The lengthy approval processes as well as the unpredictability of future clinical trial results may result in our failing to obtain regulatory approval to market our product candidates, which would significantly harm our business, results of operations and prospects.</w:t>
      </w:r>
    </w:p>
    <w:p>
      <w:pPr>
        <w:spacing w:after="0" w:line="278" w:lineRule="exact"/>
        <w:rPr>
          <w:sz w:val="20"/>
          <w:szCs w:val="20"/>
          <w:color w:val="auto"/>
        </w:rPr>
      </w:pPr>
    </w:p>
    <w:p>
      <w:pPr>
        <w:ind w:right="240"/>
        <w:spacing w:after="0" w:line="251" w:lineRule="auto"/>
        <w:rPr>
          <w:sz w:val="20"/>
          <w:szCs w:val="20"/>
          <w:color w:val="auto"/>
        </w:rPr>
      </w:pPr>
      <w:r>
        <w:rPr>
          <w:rFonts w:ascii="Arial" w:cs="Arial" w:eastAsia="Arial" w:hAnsi="Arial"/>
          <w:sz w:val="18"/>
          <w:szCs w:val="18"/>
          <w:b w:val="1"/>
          <w:bCs w:val="1"/>
          <w:i w:val="1"/>
          <w:iCs w:val="1"/>
          <w:color w:val="auto"/>
        </w:rPr>
        <w:t>Our current or future product candidates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52" w:lineRule="exact"/>
        <w:rPr>
          <w:sz w:val="20"/>
          <w:szCs w:val="20"/>
          <w:color w:val="auto"/>
        </w:rPr>
      </w:pPr>
    </w:p>
    <w:p>
      <w:pPr>
        <w:ind w:right="160" w:firstLine="576"/>
        <w:spacing w:after="0" w:line="241"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clinical trial or result in potential product liability claims. Any of these occurrences may harm our business, financial condition and prospects significantly.</w:t>
      </w:r>
    </w:p>
    <w:p>
      <w:pPr>
        <w:spacing w:after="0" w:line="179"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39" w:name="page40"/>
    <w:bookmarkEnd w:id="39"/>
    <w:p>
      <w:pPr>
        <w:jc w:val="both"/>
        <w:ind w:right="20"/>
        <w:spacing w:after="0" w:line="306" w:lineRule="auto"/>
        <w:rPr>
          <w:sz w:val="20"/>
          <w:szCs w:val="20"/>
          <w:color w:val="auto"/>
        </w:rPr>
      </w:pPr>
      <w:r>
        <w:rPr>
          <w:rFonts w:ascii="Arial" w:cs="Arial" w:eastAsia="Arial" w:hAnsi="Arial"/>
          <w:sz w:val="17"/>
          <w:szCs w:val="17"/>
          <w:color w:val="auto"/>
        </w:rPr>
        <w:t>subjects to complete the clinical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2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Patients in our clinical trials may in the future suffer significant adverse events or other side effects not observed in our nonclinical studies or previous clinical trials. Some of our product candidates may be used as chronic therapies or be used in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separate treatments which can cause side effects or adverse events that are unrelated to our product candidate, but may still impact the success of our clinical trials. The inclusion of elderly patients in our clinical trials may result in deaths or other adverse medical events due to other therapies or medications that such patients may be using. If significant adverse events or other side effects are observed in any of our current or future clinical trials, we may have difficulty recruiting patients to the clinical trials, patients may drop out of our clinical trials, or we may be required to abandon the clinical trials or our development efforts of that product candidate altogether. We, the FDA other comparable regulatory authorities or an IRB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clinical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Further, if any of our product candidates obtains marketing approval, toxicities associated with such product candidates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nonclinical studies or early-stage clinical trials.</w:t>
      </w:r>
    </w:p>
    <w:p>
      <w:pPr>
        <w:spacing w:after="0" w:line="280" w:lineRule="exact"/>
        <w:rPr>
          <w:sz w:val="20"/>
          <w:szCs w:val="20"/>
          <w:color w:val="auto"/>
        </w:rPr>
      </w:pPr>
    </w:p>
    <w:p>
      <w:pPr>
        <w:ind w:right="7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37" w:lineRule="exact"/>
        <w:rPr>
          <w:sz w:val="20"/>
          <w:szCs w:val="20"/>
          <w:color w:val="auto"/>
        </w:rPr>
      </w:pPr>
    </w:p>
    <w:p>
      <w:pPr>
        <w:ind w:left="1300" w:right="8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differing regulatory requirements in foreign countries, such as the lack of pathways for accelerated drug approval, may result in foreign regulatory approvals taking longer and being more costly than obtaining approval in the United States;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nonclinical studies or clinical trials;</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legal requirements applicable to privacy, data protection, information security and other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taxes, including withholding of payroll taxes;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staffing and managing foreign operations;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complexities associated with managing multiple payor reimbursement regimes and government payors in foreign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4" w:lineRule="exact"/>
        <w:rPr>
          <w:sz w:val="20"/>
          <w:szCs w:val="20"/>
          <w:color w:val="auto"/>
        </w:rPr>
      </w:pPr>
    </w:p>
    <w:p>
      <w:pPr>
        <w:ind w:right="760" w:firstLine="576"/>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ability to attain or maintain profitable operations.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ind w:right="36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Any regulatory approvals that we receive for our product candidates will require surveillance to monitor the safety and efficacy of the product candidate.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good laboratory practice, or GLP, regulations and GCPs,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2" w:lineRule="exact"/>
        <w:rPr>
          <w:sz w:val="20"/>
          <w:szCs w:val="20"/>
          <w:color w:val="auto"/>
        </w:rPr>
      </w:pPr>
    </w:p>
    <w:p>
      <w:pPr>
        <w:ind w:left="1300" w:right="52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37"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37" w:lineRule="exact"/>
        <w:rPr>
          <w:rFonts w:ascii="Times New Roman" w:cs="Times New Roman" w:eastAsia="Times New Roman" w:hAnsi="Times New Roman"/>
          <w:sz w:val="18"/>
          <w:szCs w:val="18"/>
          <w:color w:val="auto"/>
        </w:rPr>
      </w:pPr>
    </w:p>
    <w:p>
      <w:pPr>
        <w:ind w:left="1300" w:right="32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holds on clinical trials;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Moreover, the FDA strictly regulates the promotional claims that may be made about drug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42" w:name="page43"/>
    <w:bookmarkEnd w:id="42"/>
    <w:p>
      <w:pPr>
        <w:ind w:right="20" w:firstLine="576"/>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the current U.S.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291"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and products through April 2020.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3" w:name="page44"/>
    <w:bookmarkEnd w:id="43"/>
    <w:p>
      <w:pPr>
        <w:ind w:right="420"/>
        <w:spacing w:after="0" w:line="244" w:lineRule="auto"/>
        <w:rPr>
          <w:sz w:val="20"/>
          <w:szCs w:val="20"/>
          <w:color w:val="auto"/>
        </w:rPr>
      </w:pPr>
      <w:r>
        <w:rPr>
          <w:rFonts w:ascii="Arial" w:cs="Arial" w:eastAsia="Arial" w:hAnsi="Arial"/>
          <w:sz w:val="18"/>
          <w:szCs w:val="18"/>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6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We may in the future seek an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291" w:lineRule="exact"/>
        <w:rPr>
          <w:sz w:val="20"/>
          <w:szCs w:val="20"/>
          <w:color w:val="auto"/>
        </w:rPr>
      </w:pPr>
    </w:p>
    <w:p>
      <w:pPr>
        <w:ind w:right="500"/>
        <w:spacing w:after="0" w:line="285" w:lineRule="auto"/>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 Healthcare legislative measures aimed at reducing healthcare costs may have a material adverse effect on our business and results of operations.</w:t>
      </w:r>
    </w:p>
    <w:p>
      <w:pPr>
        <w:spacing w:after="0" w:line="21" w:lineRule="exact"/>
        <w:rPr>
          <w:sz w:val="20"/>
          <w:szCs w:val="20"/>
          <w:color w:val="auto"/>
        </w:rPr>
      </w:pPr>
    </w:p>
    <w:p>
      <w:pPr>
        <w:ind w:right="380" w:firstLine="576"/>
        <w:spacing w:after="0" w:line="248"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62" w:lineRule="exact"/>
        <w:rPr>
          <w:sz w:val="20"/>
          <w:szCs w:val="20"/>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our manufacturing arrangements;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or modifications to product labeling;</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4" w:right="419" w:bottom="1440" w:gutter="0" w:footer="0" w:header="0"/>
        </w:sectPr>
      </w:pPr>
    </w:p>
    <w:bookmarkStart w:id="44" w:name="page45"/>
    <w:bookmarkEnd w:id="44"/>
    <w:p>
      <w:pPr>
        <w:ind w:left="1300" w:hanging="442"/>
        <w:spacing w:after="0"/>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recall or discontinuation of our products; or</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record-keeping requirements. If any such changes were to be imposed, they could adversely affect the operation of our business.</w:t>
      </w:r>
    </w:p>
    <w:p>
      <w:pPr>
        <w:spacing w:after="0" w:line="14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of 2010, or collectively, ACA, was passed, which substantially changed the way healthcare is financed by both governmental and private insurers, and significantly impacted the U.S. pharmaceutical industry. The ACA contained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Medicaid Drug Rebate Program requires pharmaceutical manufacturers to enter into and have in effect a national rebate agreement with the HHS Secretary as a condition for states to receive federal matching funds for the manufacturer’s outpatient drugs furnished to Medicaid patients. The ACA made several changes to the Medicaid Drug Rebate Program, including increasing the minimum Medicaid rebates owed by manufacturers under the Medicaid Drug Rebate Program, extending the rebate program to individuals enrolled in Medicaid managed care organizations. The ACA also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TCJA,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TCJA,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and has allocated one hour for oral arguments, which are expected to occur in the fall. It is unclear how such litigation and other efforts to repeal and replace the ACA will impact the ACA and our business. Litigation and legislation over the ACA are likely to continue, with unpredictable and uncertain results.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77"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The 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45" w:name="page46"/>
    <w:bookmarkEnd w:id="45"/>
    <w:p>
      <w:pPr>
        <w:spacing w:after="0" w:line="248" w:lineRule="auto"/>
        <w:rPr>
          <w:sz w:val="20"/>
          <w:szCs w:val="20"/>
          <w:color w:val="auto"/>
        </w:rPr>
      </w:pPr>
      <w:r>
        <w:rPr>
          <w:rFonts w:ascii="Arial" w:cs="Arial" w:eastAsia="Arial" w:hAnsi="Arial"/>
          <w:sz w:val="18"/>
          <w:szCs w:val="18"/>
          <w:color w:val="auto"/>
        </w:rPr>
        <w:t>California on October 25, 2017. Further, on June 14, 2018, the U.S. Court of Appeals for the Federal Circuit ruled that the federal government was not required to pay to third-party payors more than $12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70"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repealed the Cadillac tax, the health insurance provider tax, and the medical device excise tax. It is impossible to determine whether similar taxes could be instated in the future. The Bipartisan Budget Act of 2018 also amended the ACA, effective January 1, 2019, by increasing the point-of-sale discount that is owed by pharmaceutical manufacturers who participate in Medicare Part D and closing the coverage gap in most Medicare drug plans, commonly referred to as the “donut hole.”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published a final rule to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or ATRA, among other things, reduced Medicare payments to several providers, including hospitals, and increased the statute of limitations period for the government to recover overpayments to providers from three to five years. Other legislative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78"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addition, other legislative changes have been proposed and adopted since the ACA was enacted.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HHS has solicited feedback on some of these measures and has implemented others under its existing authority.</w:t>
      </w:r>
    </w:p>
    <w:p>
      <w:pPr>
        <w:spacing w:after="0" w:line="176"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p>
      <w:pPr>
        <w:ind w:firstLine="576"/>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64" w:lineRule="exact"/>
        <w:rPr>
          <w:sz w:val="20"/>
          <w:szCs w:val="20"/>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product candidates, if we obtain regulatory approval;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45"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expect that the ACA, as well as other healthcare reform measures that may be adopted in the future, may result in more rigorous coverage criteria and in additional downward pressure on the price that we receive for any approved product. Further, it is possible that additional governmental action is taken to address the COVID-19 pandemic.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-1053465</wp:posOffset>
            </wp:positionV>
            <wp:extent cx="317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47" w:name="page48"/>
    <w:bookmarkEnd w:id="47"/>
    <w:p>
      <w:pPr>
        <w:spacing w:after="0" w:line="247" w:lineRule="auto"/>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55"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laws that may affect our ability to operate include, but are not limited to:</w:t>
      </w:r>
    </w:p>
    <w:p>
      <w:pPr>
        <w:spacing w:after="0" w:line="104" w:lineRule="exact"/>
        <w:rPr>
          <w:sz w:val="20"/>
          <w:szCs w:val="20"/>
          <w:color w:val="auto"/>
        </w:rPr>
      </w:pPr>
    </w:p>
    <w:p>
      <w:pPr>
        <w:ind w:left="1300" w:right="40" w:hanging="442"/>
        <w:spacing w:after="0" w:line="238"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In addition, the government may assert that a claim including items or services resulting from a violation of the federal Anti-Kickback Statute constitutes a false or fraudulent claim for purposes of the False Claims Act, or FCA. There are a number of statutory exceptions and regulatory safe harbors protecting some common activities from prosecution, but the exceptions and safe harbors are drawn narrowly and require strict compliance in order to offer protection.</w:t>
      </w:r>
    </w:p>
    <w:p>
      <w:pPr>
        <w:spacing w:after="0" w:line="74" w:lineRule="exact"/>
        <w:rPr>
          <w:rFonts w:ascii="Times New Roman" w:cs="Times New Roman" w:eastAsia="Times New Roman" w:hAnsi="Times New Roman"/>
          <w:sz w:val="18"/>
          <w:szCs w:val="18"/>
          <w:color w:val="auto"/>
        </w:rPr>
      </w:pPr>
    </w:p>
    <w:p>
      <w:pPr>
        <w:ind w:left="1300" w:right="60" w:hanging="442"/>
        <w:spacing w:after="0" w:line="238" w:lineRule="auto"/>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federal civil and criminal false claims laws, including the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7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7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Physician Payments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 these reporting obligations will extend to include payments and transfers of value made and ownership interests held during the previous year to certain non-physician providers such as physician assistants and nurse practitioners.</w:t>
      </w:r>
    </w:p>
    <w:p>
      <w:pPr>
        <w:spacing w:after="0" w:line="71" w:lineRule="exact"/>
        <w:rPr>
          <w:rFonts w:ascii="Times New Roman" w:cs="Times New Roman" w:eastAsia="Times New Roman" w:hAnsi="Times New Roman"/>
          <w:sz w:val="18"/>
          <w:szCs w:val="18"/>
          <w:color w:val="auto"/>
        </w:rPr>
      </w:pPr>
    </w:p>
    <w:p>
      <w:pPr>
        <w:ind w:left="1300" w:right="360" w:hanging="442"/>
        <w:spacing w:after="0" w:line="275"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37" w:lineRule="exact"/>
        <w:rPr>
          <w:rFonts w:ascii="Times New Roman" w:cs="Times New Roman" w:eastAsia="Times New Roman" w:hAnsi="Times New Roman"/>
          <w:sz w:val="18"/>
          <w:szCs w:val="18"/>
          <w:color w:val="auto"/>
        </w:rPr>
      </w:pPr>
    </w:p>
    <w:p>
      <w:pPr>
        <w:ind w:left="1300" w:hanging="442"/>
        <w:spacing w:after="0" w:line="238" w:lineRule="auto"/>
        <w:tabs>
          <w:tab w:leader="none" w:pos="13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requiring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Because of the breadth of these laws and the narrowness of available statutory exceptions and regulatory safe harbors, it is possible that some of our business activities, including our advisory board arrangements with physicians, some of whom receive stock or stock options as compensation for services provided, and any sales and marketing activities after a product candidate has been approved for marketing in the United States, could be subject to legal challenge and enforcement actions.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exclusion from participation in government healthcare programs,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49" w:name="page50"/>
    <w:bookmarkEnd w:id="49"/>
    <w:p>
      <w:pPr>
        <w:ind w:right="44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right="40" w:firstLine="576"/>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4" w:lineRule="exact"/>
        <w:rPr>
          <w:sz w:val="20"/>
          <w:szCs w:val="20"/>
          <w:color w:val="auto"/>
        </w:rPr>
      </w:pPr>
    </w:p>
    <w:p>
      <w:pPr>
        <w:ind w:right="78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If we decide to conduct clinical trials or continue to enroll patients in our future clinical trials, we may be subject to additional restrictions relating to privacy, data protection and data security. The collection, use, storage, disclosure, transfer, or other processing of personal data regarding individuals in the European Union, or EU,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Certain aspects of cross-border data transfers under the GDPR are uncertain as the result of legal proceedings in the EU, including a recent decision by the Court of Justice for the European Union that invalidated the EU-U.S. Privacy Shield. This may increase the complexity of transferring personal data across borders.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0" w:name="page51"/>
    <w:bookmarkEnd w:id="50"/>
    <w:p>
      <w:pPr>
        <w:ind w:firstLine="576"/>
        <w:spacing w:after="0" w:line="241" w:lineRule="auto"/>
        <w:rPr>
          <w:sz w:val="20"/>
          <w:szCs w:val="20"/>
          <w:color w:val="auto"/>
        </w:rPr>
      </w:pPr>
      <w:r>
        <w:rPr>
          <w:rFonts w:ascii="Arial" w:cs="Arial" w:eastAsia="Arial" w:hAnsi="Arial"/>
          <w:sz w:val="18"/>
          <w:szCs w:val="18"/>
          <w:color w:val="auto"/>
        </w:rPr>
        <w:t>Further, the vote in the United Kingdom, or UK, in favor of exiting the EU, referred to as Brexit, has created uncertainty with regard to data protection regulation in the UK. Specifically, while the Data Protection Act of 2018, that “implements” and complements the GDPR achieved Royal Assent on May 23, 2018 and is now effective in the UK, aspects of data protection in the UK, such as the transfer of data from the EEA to the UK, remain uncertain. During the period of “transition” (i.e., until December 31, 2020), EU law will continue to apply in the UK, including the GDPR, after which the GDPR will be converted into UK law. Beginning in 2021, the UK will be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179"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In addition,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commenced enforcement actions for violations on July 1, 2020. Moreover, a new privacy law, the California Privacy Rights Act, or CPRA, was recently certified by the California Secretary of State to appear on the ballot for the November 3, 2020 election. If this initiative is approved by California voters, the CPRA would significantly modify the CCPA, potentially resulting in further uncertainty and requiring us to incur additional costs and expenses in an effort to comply. The CCPA and, if it goes into effect, the CPRA, may impact our business activities and exemplifies the vulnerability of our business to the evolving regulatory environment related to personal data and protected health information.</w:t>
      </w:r>
    </w:p>
    <w:p>
      <w:pPr>
        <w:spacing w:after="0" w:line="17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Any actual or alleged failure to comply with U.S. or international laws and regulations relating to privacy, data protection, and data security could result in governmental investigations, proceedings and enforcement actions (which could include civil or criminal penalties), private litigation or adverse publicity, harm to our reputation,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or impose other obligations or restrictions in connection with our use, retention and other processing of information, and we may otherwise face contractual restrictions applicable to our use, retention, and other processing of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4" w:lineRule="exact"/>
        <w:rPr>
          <w:sz w:val="20"/>
          <w:szCs w:val="20"/>
          <w:color w:val="auto"/>
        </w:rPr>
      </w:pPr>
    </w:p>
    <w:p>
      <w:pPr>
        <w:ind w:right="28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ind w:right="520" w:firstLine="576"/>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right="22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8"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212529"/>
        </w:rPr>
        <w:t>Our advisors and consultants are classified as independent contractors, and we can face consequences if it is determined that they are misclassified as such.</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212529"/>
        </w:rPr>
        <w:t>There is often uncertainty in the application of worker classification laws, and consequently there is risk to us that our independent contractors could be deemed to be misclassified under applicable law. The tests governing whether a service provider is an independent contractor or an employee are typically highly fact sensitive and can vary by governing law. Laws and regulations that govern the status and misclassification of independent contractors are also subject to divergent interpretations by various authorities, which can create uncertainty and unpredictability. A misclassification determination or allegation creates potential exposure for us, including but not limited to monetary exposure arising from or relating to failure to withhold and remit taxes, unpaid wages, and wage and hour laws and requirements (such as those pertaining to minimum wage and overtime); claims for employee benefits, social security, workers’ compensation and unemployment; claims of discrimination, harassment, and retaliation under civil rights laws; claims under laws pertaining to unionizing, collective bargaining, and other concerted activity; and other claims, charges, or other proceedings under laws and regulations applicable to employers and employees, including risks relating to allegations of joint employer liability. Such claims could result in monetary damages (including but not limited to wage-based damages or restitution, compensatory damages, liquidated damages, and punitive damages), interest, fines, penalties, costs, fees (including but not limited to attorneys’ fees), criminal and other liability, assessment, or settlement. Such an allegation, claim, adverse determination, including but not limited to with respect to advisors and consultants that provide services to us could also harm our brand and reputation, which could adversely impact our business.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Our ability to use net operating losses to offset future taxable income may be subject to certain limitations.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212529"/>
        </w:rPr>
        <w:t>As of December 31, 2019, we had federal net operating loss carryforwards, or NOLs, to offset future taxable income of approximately $9.4 million and federal tax credit carryforwards of approximately $1.0 million. The federal NOLs generated during and after fiscal 2018 totaling $9.2 million are carried forward indefinitely, while all others, if not utilized, will expire in various years beginning in 2025. A lack of future taxable income would adversely affect our ability to utilize these NOLs. In addition, under Section 382 of the Code, a corporation that undergoes an “ownership change” is subject to limitations on its ability to utilize its NOLs to offset future taxable income. We may have already experienced one or more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ind w:right="100"/>
        <w:spacing w:after="0" w:line="241" w:lineRule="auto"/>
        <w:rPr>
          <w:sz w:val="20"/>
          <w:szCs w:val="20"/>
          <w:color w:val="auto"/>
        </w:rPr>
      </w:pPr>
      <w:r>
        <w:rPr>
          <w:rFonts w:ascii="Arial" w:cs="Arial" w:eastAsia="Arial" w:hAnsi="Arial"/>
          <w:sz w:val="18"/>
          <w:szCs w:val="18"/>
          <w:color w:val="212529"/>
        </w:rPr>
        <w:t>ownership changes. Depending on the timing of any future utilization of our NOLs and tax credit carryforwards, we may be limited as to the amount that can be utilized each year as a result of such previous ownership changes. However, we do not believe such limitations will cause our NOL and tax credit carryforwards to expire unutilized. In addition, future changes in our stock ownership as well as other changes that may be outside of our control, could result in additional ownership changes under Section 382 of the Code. Our NOLs may also be impaired under similar provisions of state law or limited pursuant to provisions of the Tax Cut and Jobs Act amendments to the Code. We have recorded a full valuation allowance related to our NOLs and other deferred tax assets due to the uncertainty of the ultimate realization of the future benefits of those assets.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Reliance on Third Parties</w:t>
      </w:r>
    </w:p>
    <w:p>
      <w:pPr>
        <w:spacing w:after="0" w:line="160"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i w:val="1"/>
          <w:iCs w:val="1"/>
          <w:color w:val="auto"/>
        </w:rPr>
        <w:t>We plan to rely on third parties to conduct our nonclinical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We plan to utilize and depend upon independent investigators and collaborators, such as medical institutions, CROs, CMOs, and strategic partners to conduct and support our nonclinical studies and clinical trials under agreements with us.</w:t>
      </w:r>
    </w:p>
    <w:p>
      <w:pPr>
        <w:spacing w:after="0" w:line="145"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We expect to have to negotiate budgets and contracts with CROs, clinical trial sites and CMOs and we may not be able to do so on favorable terms, which may result in delays to our development timelines and increased costs. We will rely heavily on these third parties over the course of our nonclinical studies and clinical trials, and we control only certain aspects of their activities. As a result, we will have less direct control over the conduct, timing and completion of these nonclinical studies and clinical trials and the management of data developed through nonclinical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GCPs, which are regulations and guidelines enforced by the FDA and comparable foreign regulatory authorities for product candidates in clinical development. Regulatory authorities enforce these GCPs through periodic inspections of clinical trial sponsors, principal investigators and clinical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clinical and non-clinical product candidates. These third parties may also have relationships with other commercial entities, including our competitors, for whom they may also be conducting clinical trials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3" w:name="page54"/>
    <w:bookmarkEnd w:id="53"/>
    <w:p>
      <w:pPr>
        <w:ind w:right="160" w:firstLine="576"/>
        <w:spacing w:after="0" w:line="255" w:lineRule="auto"/>
        <w:rPr>
          <w:sz w:val="20"/>
          <w:szCs w:val="20"/>
          <w:color w:val="auto"/>
        </w:rPr>
      </w:pPr>
      <w:r>
        <w:rPr>
          <w:rFonts w:ascii="Arial" w:cs="Arial" w:eastAsia="Arial" w:hAnsi="Arial"/>
          <w:sz w:val="18"/>
          <w:szCs w:val="18"/>
          <w:color w:val="auto"/>
        </w:rPr>
        <w:t>Switching or adding third parties to conduct our nonclinical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for nonclinical studies and our clinical trials, and expect to continue to do so for additional clinical trials and ultimately for commercialization.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5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nonclinical studies and clinical trials under the guidance of members of our organization. We do not have long-term supply agreements. Furthermore, the raw materials for our product candidates are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 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75" w:lineRule="exact"/>
        <w:rPr>
          <w:sz w:val="20"/>
          <w:szCs w:val="20"/>
          <w:color w:val="auto"/>
        </w:rPr>
      </w:pPr>
    </w:p>
    <w:p>
      <w:pPr>
        <w:ind w:left="1300" w:right="140" w:hanging="442"/>
        <w:spacing w:after="0" w:line="25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4" w:name="page55"/>
    <w:bookmarkEnd w:id="54"/>
    <w:p>
      <w:pPr>
        <w:ind w:right="40" w:firstLine="576"/>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 Our current and anticipated future dependence upon others for the manufacture of our product candidates or drugs may adversely affect our future profit margins and our ability to commercialize any product candidates that receive marketing approval on a timely and competitive basis.</w:t>
      </w:r>
    </w:p>
    <w:p>
      <w:pPr>
        <w:spacing w:after="0" w:line="296"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right="80" w:firstLine="576"/>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materials in a manner that causes injury or violates applicable law, we may be liable for damages.</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ind w:right="40"/>
        <w:spacing w:after="0" w:line="255" w:lineRule="auto"/>
        <w:rPr>
          <w:sz w:val="20"/>
          <w:szCs w:val="20"/>
          <w:color w:val="auto"/>
        </w:rPr>
      </w:pPr>
      <w:r>
        <w:rPr>
          <w:rFonts w:ascii="Arial" w:cs="Arial" w:eastAsia="Arial" w:hAnsi="Arial"/>
          <w:sz w:val="18"/>
          <w:szCs w:val="18"/>
          <w:color w:val="auto"/>
        </w:rPr>
        <w:t>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72" w:lineRule="exact"/>
        <w:rPr>
          <w:sz w:val="20"/>
          <w:szCs w:val="20"/>
          <w:color w:val="auto"/>
        </w:rPr>
      </w:pPr>
    </w:p>
    <w:p>
      <w:pPr>
        <w:ind w:right="180"/>
        <w:spacing w:after="0" w:line="314" w:lineRule="auto"/>
        <w:rPr>
          <w:sz w:val="20"/>
          <w:szCs w:val="20"/>
          <w:color w:val="auto"/>
        </w:rPr>
      </w:pPr>
      <w:r>
        <w:rPr>
          <w:rFonts w:ascii="Arial" w:cs="Arial" w:eastAsia="Arial" w:hAnsi="Arial"/>
          <w:sz w:val="17"/>
          <w:szCs w:val="17"/>
          <w:b w:val="1"/>
          <w:bCs w:val="1"/>
          <w:i w:val="1"/>
          <w:iCs w:val="1"/>
          <w:color w:val="auto"/>
        </w:rPr>
        <w:t>We may use strategic collaborations, licensing arrangements or partnerships to accelerate the development and maximize the commercial potential of our programs, and we may not realize the benefits of such collaborations, arrangements or partnerships.</w:t>
      </w:r>
    </w:p>
    <w:p>
      <w:pPr>
        <w:spacing w:after="0" w:line="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own worldwide rights to ATH-1017 as well as our pipeline of small molecule candidates. Where appropriate, we may use strategic collaborations, licensing arrangements or partnerships to accelerate the development and maximize the commercial potential of our programs. Any of these relationships may require us to incur non-recurring and other charges, increase our near and long-term expenditures, issue securities that dilute our existing stockholders or disrupt our management and business.</w:t>
      </w:r>
    </w:p>
    <w:p>
      <w:pPr>
        <w:spacing w:after="0" w:line="17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Even if we are successful in entering into collaborations involving our product candidates, these relationships are subject to numerous risks, which may include the following:</w:t>
      </w:r>
    </w:p>
    <w:p>
      <w:pPr>
        <w:spacing w:after="0" w:line="37" w:lineRule="exact"/>
        <w:rPr>
          <w:sz w:val="20"/>
          <w:szCs w:val="20"/>
          <w:color w:val="auto"/>
        </w:rPr>
      </w:pPr>
    </w:p>
    <w:p>
      <w:pPr>
        <w:ind w:left="1300" w:hanging="442"/>
        <w:spacing w:after="0"/>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48"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300" w:right="320" w:hanging="442"/>
        <w:spacing w:after="0" w:line="305" w:lineRule="auto"/>
        <w:tabs>
          <w:tab w:leader="none" w:pos="1300" w:val="left"/>
        </w:tabs>
        <w:numPr>
          <w:ilvl w:val="0"/>
          <w:numId w:val="39"/>
        </w:numPr>
        <w:rPr>
          <w:rFonts w:ascii="Times New Roman" w:cs="Times New Roman" w:eastAsia="Times New Roman" w:hAnsi="Times New Roman"/>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 w:lineRule="exact"/>
        <w:rPr>
          <w:rFonts w:ascii="Times New Roman" w:cs="Times New Roman" w:eastAsia="Times New Roman" w:hAnsi="Times New Roman"/>
          <w:sz w:val="17"/>
          <w:szCs w:val="17"/>
          <w:color w:val="auto"/>
        </w:rPr>
      </w:pPr>
    </w:p>
    <w:p>
      <w:pPr>
        <w:ind w:left="1300" w:right="12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37"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37" w:lineRule="exact"/>
        <w:rPr>
          <w:rFonts w:ascii="Times New Roman" w:cs="Times New Roman" w:eastAsia="Times New Roman" w:hAnsi="Times New Roman"/>
          <w:sz w:val="18"/>
          <w:szCs w:val="18"/>
          <w:color w:val="auto"/>
        </w:rPr>
      </w:pPr>
    </w:p>
    <w:p>
      <w:pPr>
        <w:ind w:left="1300" w:right="480" w:hanging="442"/>
        <w:spacing w:after="0" w:line="255" w:lineRule="auto"/>
        <w:tabs>
          <w:tab w:leader="none" w:pos="13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6" w:name="page57"/>
    <w:bookmarkEnd w:id="56"/>
    <w:p>
      <w:pPr>
        <w:ind w:left="1300" w:right="60" w:hanging="442"/>
        <w:spacing w:after="0" w:line="25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a result, if we enter into additional strategic collaborations, licensing arrangements or partnerships,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collaboration, licensing arrangement or partnership, we will achieve the revenue or specific net income that justifies such transaction. Any delays in entering into new strategic collaborations, licensing arrangements or partnerships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6" w:lineRule="exact"/>
        <w:rPr>
          <w:sz w:val="20"/>
          <w:szCs w:val="20"/>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additional indebtedness or contingent liabilities;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6" w:lineRule="exact"/>
        <w:rPr>
          <w:sz w:val="20"/>
          <w:szCs w:val="20"/>
          <w:color w:val="auto"/>
        </w:rPr>
      </w:pPr>
    </w:p>
    <w:p>
      <w:pPr>
        <w:ind w:right="260" w:firstLine="576"/>
        <w:spacing w:after="0" w:line="276" w:lineRule="auto"/>
        <w:rPr>
          <w:sz w:val="20"/>
          <w:szCs w:val="20"/>
          <w:color w:val="auto"/>
        </w:rPr>
      </w:pPr>
      <w:r>
        <w:rPr>
          <w:rFonts w:ascii="Arial" w:cs="Arial" w:eastAsia="Arial" w:hAnsi="Arial"/>
          <w:sz w:val="18"/>
          <w:szCs w:val="18"/>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Risks Relating to Our Intellectual Property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We may also seek to protect our proprietary position by acquiring or in-licensing relevant issued patents or pending applications from third parties.</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any future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and any future licensors’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our product candidates could have a material adverse effect on our financial condition and results of operations.</w:t>
      </w:r>
    </w:p>
    <w:p>
      <w:pPr>
        <w:spacing w:after="0" w:line="17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We own or in-license nine U.S. issued patents, own or in-license one U.S. pending patent application, own or in-license 12 patents issued in jurisdictions outside of the United States, and own or in-license nine pending patent applications in jurisdictions outside of the United States. However, we cannot be certain that the claims in our U.S. pending patent applications, corresponding international patent applications, or those of any future licensors, will be considered patentable by the United States Patent and Trademark Office, or USPTO, courts in the United States or by the patent offices and courts in foreign countries, nor can we be certain that the claims in our owned or in-licensed patents will not be found invalid or unenforceable if challenged.</w:t>
      </w:r>
    </w:p>
    <w:p>
      <w:pPr>
        <w:spacing w:after="0" w:line="17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spacing w:after="0" w:line="56" w:lineRule="exact"/>
        <w:rPr>
          <w:sz w:val="20"/>
          <w:szCs w:val="20"/>
          <w:color w:val="auto"/>
        </w:rPr>
      </w:pPr>
    </w:p>
    <w:p>
      <w:pPr>
        <w:ind w:left="1300" w:right="380" w:hanging="442"/>
        <w:spacing w:after="0" w:line="248"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61"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patent applications may not result in any patents being issued;</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patents may be challenged, invalidated, modified, revoked, circumvented, found to be unenforceable or otherwise may not provide any competitive advantage;</w:t>
      </w:r>
    </w:p>
    <w:p>
      <w:pPr>
        <w:spacing w:after="0" w:line="37"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1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40"/>
          </w:cols>
          <w:pgMar w:left="320" w:top="682" w:right="539" w:bottom="1440" w:gutter="0" w:footer="0" w:header="0"/>
        </w:sectPr>
      </w:pPr>
    </w:p>
    <w:bookmarkStart w:id="58" w:name="page59"/>
    <w:bookmarkEnd w:id="58"/>
    <w:p>
      <w:pPr>
        <w:ind w:left="1300" w:hanging="442"/>
        <w:spacing w:after="0" w:line="25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6"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patent prosecution process is also expensive and time-consuming, and we and any future licensors may not be able to file and prosecute all necessary or desirable patent applications at a reasonable cost or in a timely manner or in all jurisdictions where protection may be commercially advantageous. It is also possible that we or any future licensors will fail to identify patentable aspects of our research and development output before it is too late to obtain patent protection.</w:t>
      </w:r>
    </w:p>
    <w:p>
      <w:pPr>
        <w:spacing w:after="0" w:line="170"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70" w:lineRule="exact"/>
        <w:rPr>
          <w:sz w:val="20"/>
          <w:szCs w:val="20"/>
          <w:color w:val="auto"/>
        </w:rPr>
      </w:pPr>
    </w:p>
    <w:p>
      <w:pPr>
        <w:ind w:right="200" w:firstLine="576"/>
        <w:spacing w:after="0" w:line="255"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272" w:lineRule="exact"/>
        <w:rPr>
          <w:sz w:val="20"/>
          <w:szCs w:val="20"/>
          <w:color w:val="auto"/>
        </w:rPr>
      </w:pPr>
    </w:p>
    <w:p>
      <w:pPr>
        <w:ind w:right="400"/>
        <w:spacing w:after="0" w:line="285"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1" w:lineRule="exact"/>
        <w:rPr>
          <w:sz w:val="20"/>
          <w:szCs w:val="20"/>
          <w:color w:val="auto"/>
        </w:rPr>
      </w:pPr>
    </w:p>
    <w:p>
      <w:pPr>
        <w:ind w:right="120" w:firstLine="576"/>
        <w:spacing w:after="0" w:line="268"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any future licensors may not result in patents being issued which protect our product candidates or which effectively prevent others from commercializing competitive product candidates.</w:t>
      </w:r>
    </w:p>
    <w:p>
      <w:pPr>
        <w:spacing w:after="0" w:line="153"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any future licensors by developing similar or alternative technologies or products in a non-infringing manner which could materially adversely affect our business, financial condition, results of operations and prospects.</w:t>
      </w:r>
    </w:p>
    <w:p>
      <w:pPr>
        <w:spacing w:after="0" w:line="180"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 xml:space="preserve">The issuance of a patent is not conclusive as to its inventorship, scope, validity, or enforceability, and our patents or the patents of any future licensors may be challenged in the courts or patent offices in the United States and abroad. We may be subject to a third-party pre-issuance submission of prior art to the USPTO, or become involved in opposition, derivation, revocation, reexamination, post-grant review, or PGR,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IPR, or other similar proceedings challenging our patent rights. An adverse determination in any such submission, proceeding or litigation could reduce the scope of, or invalidate or render unenforceable, our patent rights, allow third parties to commercialize our product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59" w:name="page60"/>
    <w:bookmarkEnd w:id="59"/>
    <w:p>
      <w:pPr>
        <w:spacing w:after="0" w:line="239" w:lineRule="auto"/>
        <w:rPr>
          <w:sz w:val="20"/>
          <w:szCs w:val="20"/>
          <w:color w:val="auto"/>
        </w:rPr>
      </w:pPr>
      <w:r>
        <w:rPr>
          <w:rFonts w:ascii="Arial" w:cs="Arial" w:eastAsia="Arial" w:hAnsi="Arial"/>
          <w:sz w:val="18"/>
          <w:szCs w:val="18"/>
          <w:color w:val="auto"/>
        </w:rPr>
        <w:t>candidates and compete directly with us, without payment to us, or result in our inability to manufacture or commercialize products without infringing third-party patent rights. Moreover, our patents or the patents of any future licensors may become subject to post-grant challenge proceedings, such as oppositions in a foreign patent office, that challenge our claim of priority of invention or other features of patentability with respect to our patents and patent applications and those of any future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any future licensors is threatened, regardless of the outcome, it could dissuade companies from collaborating with us to license, develop, or commercialize current or future product candidates.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37" w:lineRule="exact"/>
        <w:rPr>
          <w:sz w:val="20"/>
          <w:szCs w:val="20"/>
          <w:color w:val="auto"/>
        </w:rPr>
      </w:pPr>
    </w:p>
    <w:p>
      <w:pPr>
        <w:ind w:left="1300" w:right="2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make the inventions covered by the issued patents or patent application that we own or license;</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or any future licensors or collaborators might not have been the first to file patent applications covering certain of our inventions;</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16" w:lineRule="exact"/>
        <w:rPr>
          <w:rFonts w:ascii="Times New Roman" w:cs="Times New Roman" w:eastAsia="Times New Roman" w:hAnsi="Times New Roman"/>
          <w:sz w:val="18"/>
          <w:szCs w:val="18"/>
          <w:color w:val="auto"/>
        </w:rPr>
      </w:pPr>
    </w:p>
    <w:p>
      <w:pPr>
        <w:ind w:left="1300" w:right="90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line="305" w:lineRule="auto"/>
        <w:tabs>
          <w:tab w:leader="none" w:pos="1300" w:val="left"/>
        </w:tabs>
        <w:numPr>
          <w:ilvl w:val="0"/>
          <w:numId w:val="44"/>
        </w:numPr>
        <w:rPr>
          <w:rFonts w:ascii="Times New Roman" w:cs="Times New Roman" w:eastAsia="Times New Roman" w:hAnsi="Times New Roman"/>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develop additional proprietary technologies that are patentable;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of others may have an adverse effect on our business; and</w:t>
      </w:r>
    </w:p>
    <w:p>
      <w:pPr>
        <w:spacing w:after="0" w:line="116" w:lineRule="exact"/>
        <w:rPr>
          <w:rFonts w:ascii="Times New Roman" w:cs="Times New Roman" w:eastAsia="Times New Roman" w:hAnsi="Times New Roman"/>
          <w:sz w:val="18"/>
          <w:szCs w:val="18"/>
          <w:color w:val="auto"/>
        </w:rPr>
      </w:pPr>
    </w:p>
    <w:p>
      <w:pPr>
        <w:ind w:left="1300" w:right="1060" w:hanging="442"/>
        <w:spacing w:after="0" w:line="275" w:lineRule="auto"/>
        <w:tabs>
          <w:tab w:leader="none" w:pos="130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60" w:name="page61"/>
    <w:bookmarkEnd w:id="60"/>
    <w:p>
      <w:pPr>
        <w:ind w:right="120"/>
        <w:spacing w:after="0" w:line="260"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43" w:lineRule="exact"/>
        <w:rPr>
          <w:sz w:val="20"/>
          <w:szCs w:val="20"/>
          <w:color w:val="auto"/>
        </w:rPr>
      </w:pPr>
    </w:p>
    <w:p>
      <w:pPr>
        <w:ind w:right="140" w:firstLine="576"/>
        <w:spacing w:after="0" w:line="239" w:lineRule="auto"/>
        <w:rPr>
          <w:sz w:val="20"/>
          <w:szCs w:val="20"/>
          <w:color w:val="auto"/>
        </w:rPr>
      </w:pPr>
      <w:r>
        <w:rPr>
          <w:rFonts w:ascii="Arial" w:cs="Arial" w:eastAsia="Arial" w:hAnsi="Arial"/>
          <w:sz w:val="18"/>
          <w:szCs w:val="18"/>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80"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5" w:lineRule="exact"/>
        <w:rPr>
          <w:sz w:val="20"/>
          <w:szCs w:val="20"/>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result in costly litigation that may cause negative publicity;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divert the time and attention of our technical personnel and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cause development delays;</w:t>
      </w:r>
    </w:p>
    <w:p>
      <w:pPr>
        <w:spacing w:after="0" w:line="116" w:lineRule="exact"/>
        <w:rPr>
          <w:rFonts w:ascii="Times New Roman" w:cs="Times New Roman" w:eastAsia="Times New Roman" w:hAnsi="Times New Roman"/>
          <w:sz w:val="18"/>
          <w:szCs w:val="18"/>
          <w:color w:val="auto"/>
        </w:rPr>
      </w:pPr>
    </w:p>
    <w:p>
      <w:pPr>
        <w:ind w:left="1300" w:right="28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subject us to significant liability to third parties; or</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Although no third party has asserted a claim of patent infringement against us as of the date of this prospectus, others may hold proprietary rights that could prevent our product candidates from being marketed.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ind w:right="20"/>
        <w:spacing w:after="0" w:line="241" w:lineRule="auto"/>
        <w:rPr>
          <w:sz w:val="20"/>
          <w:szCs w:val="20"/>
          <w:color w:val="auto"/>
        </w:rPr>
      </w:pPr>
      <w:r>
        <w:rPr>
          <w:rFonts w:ascii="Arial" w:cs="Arial" w:eastAsia="Arial" w:hAnsi="Arial"/>
          <w:sz w:val="18"/>
          <w:szCs w:val="18"/>
          <w:color w:val="auto"/>
        </w:rPr>
        <w:t>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our product candidates, our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79"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our product candidates through acquisitions and in-licenses.</w:t>
      </w:r>
    </w:p>
    <w:p>
      <w:pPr>
        <w:spacing w:after="0" w:line="21" w:lineRule="exact"/>
        <w:rPr>
          <w:sz w:val="20"/>
          <w:szCs w:val="20"/>
          <w:color w:val="auto"/>
        </w:rPr>
      </w:pPr>
    </w:p>
    <w:p>
      <w:pPr>
        <w:ind w:right="360" w:firstLine="576"/>
        <w:spacing w:after="0" w:line="262"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 We may be unable to acquire</w:t>
      </w:r>
    </w:p>
    <w:p>
      <w:pPr>
        <w:ind w:right="20"/>
        <w:spacing w:after="0" w:line="236" w:lineRule="auto"/>
        <w:rPr>
          <w:sz w:val="20"/>
          <w:szCs w:val="20"/>
          <w:color w:val="auto"/>
        </w:rPr>
      </w:pPr>
      <w:r>
        <w:rPr>
          <w:rFonts w:ascii="Arial" w:cs="Arial" w:eastAsia="Arial" w:hAnsi="Arial"/>
          <w:sz w:val="18"/>
          <w:szCs w:val="18"/>
          <w:color w:val="auto"/>
        </w:rPr>
        <w:t>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29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any future licensors’ patents, which could be expensive, time consuming and unsuccessful. Further, our issued patents or any future licensors’ patents could be found invalid or unenforceable if challenged in court.</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potential future collaborators were to initiate legal proceedings against a third party to enforce a patent directed at one of our product candidates, the defendant could counterclaim that our patent or the patent of any future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2" w:name="page63"/>
    <w:bookmarkEnd w:id="62"/>
    <w:p>
      <w:pPr>
        <w:ind w:right="20" w:firstLine="576"/>
        <w:spacing w:after="0"/>
        <w:rPr>
          <w:sz w:val="20"/>
          <w:szCs w:val="20"/>
          <w:color w:val="auto"/>
        </w:rPr>
      </w:pPr>
      <w:r>
        <w:rPr>
          <w:rFonts w:ascii="Arial" w:cs="Arial" w:eastAsia="Arial" w:hAnsi="Arial"/>
          <w:sz w:val="18"/>
          <w:szCs w:val="18"/>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Such proceedings could result in the revocation of, cancellation of, or amendment to our patents or any future licensors’ patents in such a way that they no longer cover our technology or platform,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technology or platform, or any product candidates that we may develop. Such a loss of patent protection would have a material adverse impact on our business, financial condition, results of operations and prospects.</w:t>
      </w:r>
    </w:p>
    <w:p>
      <w:pPr>
        <w:spacing w:after="0" w:line="17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or any future licensors’ patent invalid. There is no assurance that all potentially relevant prior art relating to our patent and patent applications or the patent and patent applications of any future licensors has been found. There is also no assurance that there is not prior art of which we are aware, but which we do not believe affects the validity or enforceability of a claim in our patent and patent applications or the patent and patent applications of any future licensors, which may, nonetheless, ultimately be found to affect the validity or enforceability of a claim.</w:t>
      </w:r>
    </w:p>
    <w:p>
      <w:pPr>
        <w:spacing w:after="0" w:line="172"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or the patent and patent applications of any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172" w:lineRule="exact"/>
        <w:rPr>
          <w:sz w:val="20"/>
          <w:szCs w:val="20"/>
          <w:color w:val="auto"/>
        </w:rPr>
      </w:pPr>
    </w:p>
    <w:p>
      <w:pPr>
        <w:ind w:right="400" w:firstLine="576"/>
        <w:spacing w:after="0" w:line="276" w:lineRule="auto"/>
        <w:rPr>
          <w:sz w:val="20"/>
          <w:szCs w:val="20"/>
          <w:color w:val="auto"/>
        </w:rPr>
      </w:pPr>
      <w:r>
        <w:rPr>
          <w:rFonts w:ascii="Arial" w:cs="Arial" w:eastAsia="Arial" w:hAnsi="Arial"/>
          <w:sz w:val="18"/>
          <w:szCs w:val="18"/>
          <w:color w:val="auto"/>
        </w:rPr>
        <w:t>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3" w:name="page64"/>
    <w:bookmarkEnd w:id="63"/>
    <w:p>
      <w:pPr>
        <w:ind w:right="52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21"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or those of any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288" w:lineRule="exact"/>
        <w:rPr>
          <w:sz w:val="20"/>
          <w:szCs w:val="20"/>
          <w:color w:val="auto"/>
        </w:rPr>
      </w:pPr>
    </w:p>
    <w:p>
      <w:pPr>
        <w:ind w:right="20"/>
        <w:spacing w:after="0" w:line="314" w:lineRule="auto"/>
        <w:rPr>
          <w:sz w:val="20"/>
          <w:szCs w:val="20"/>
          <w:color w:val="auto"/>
        </w:rPr>
      </w:pPr>
      <w:r>
        <w:rPr>
          <w:rFonts w:ascii="Arial" w:cs="Arial" w:eastAsia="Arial" w:hAnsi="Arial"/>
          <w:sz w:val="17"/>
          <w:szCs w:val="17"/>
          <w:b w:val="1"/>
          <w:bCs w:val="1"/>
          <w:i w:val="1"/>
          <w:iCs w:val="1"/>
          <w:color w:val="auto"/>
        </w:rPr>
        <w:t>Recent patent reform legislation could increase the uncertainties and costs surrounding the prosecution of our patent applications or those of any future licensors and the enforcement or defense of our issued patents or those of any future licensors.</w:t>
      </w:r>
    </w:p>
    <w:p>
      <w:pPr>
        <w:spacing w:after="0" w:line="2"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any future licensors are the first to either (1) file any patent application related to our product candidates or (2) invent any of the inventions claimed in the patents or patent applications.</w:t>
      </w:r>
    </w:p>
    <w:p>
      <w:pPr>
        <w:spacing w:after="0" w:line="18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4" w:name="page65"/>
    <w:bookmarkEnd w:id="64"/>
    <w:p>
      <w:pPr>
        <w:ind w:right="20"/>
        <w:spacing w:after="0" w:line="243" w:lineRule="auto"/>
        <w:rPr>
          <w:sz w:val="20"/>
          <w:szCs w:val="20"/>
          <w:color w:val="auto"/>
        </w:rPr>
      </w:pPr>
      <w:r>
        <w:rPr>
          <w:rFonts w:ascii="Arial" w:cs="Arial" w:eastAsia="Arial" w:hAnsi="Arial"/>
          <w:sz w:val="18"/>
          <w:szCs w:val="18"/>
          <w:color w:val="auto"/>
        </w:rPr>
        <w:t>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any future licensors and the enforcement or defense of our issued patents or those of any future licensors, all of which could have a material adverse effect on our business, financial condition, results of operations and prospects.</w:t>
      </w:r>
    </w:p>
    <w:p>
      <w:pPr>
        <w:spacing w:after="0" w:line="282" w:lineRule="exact"/>
        <w:rPr>
          <w:sz w:val="20"/>
          <w:szCs w:val="20"/>
          <w:color w:val="auto"/>
        </w:rPr>
      </w:pPr>
    </w:p>
    <w:p>
      <w:pPr>
        <w:ind w:right="1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79"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100" w:firstLine="576"/>
        <w:spacing w:after="0" w:line="238" w:lineRule="auto"/>
        <w:rPr>
          <w:sz w:val="20"/>
          <w:szCs w:val="20"/>
          <w:color w:val="auto"/>
        </w:rPr>
      </w:pPr>
      <w:r>
        <w:rPr>
          <w:rFonts w:ascii="Arial" w:cs="Arial" w:eastAsia="Arial" w:hAnsi="Arial"/>
          <w:sz w:val="18"/>
          <w:szCs w:val="18"/>
          <w:color w:val="auto"/>
        </w:rPr>
        <w:t>Depending upon the timing, duration and specifics of FDA marketing approval of our product candidates, one or more of our U.S. patents or those of any future licensors may be eligible for limited patent term restoration under the Drug Price Competition and Patent Term Restoration Act of 1984, or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clinical trials by referencing our clinical and nonclinical data and launch their product earlier than might otherwise be the case.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own or in-license nine U.S. issued patents and own one U.S. pending patent application, as well as 12 in-licensed patents issued in jurisdictions outside of the United States, two in-licensed pending patent applications in jurisdictions outside of the United States, and seven owned patent applications pending in jurisdictions outside of the United States. However, 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any future licensors, or other intellectual property rights may not be effective or sufficient to prevent them from competing.</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any future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any future licensors at risk of being invalidated or interpreted narrowly and our patent applications or the patent applications of any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6" w:name="page67"/>
    <w:bookmarkEnd w:id="66"/>
    <w:p>
      <w:pPr>
        <w:ind w:right="120" w:firstLine="576"/>
        <w:spacing w:after="0" w:line="245"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80"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43"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any future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4" w:lineRule="exact"/>
        <w:rPr>
          <w:sz w:val="20"/>
          <w:szCs w:val="20"/>
          <w:color w:val="auto"/>
        </w:rPr>
      </w:pPr>
    </w:p>
    <w:p>
      <w:pPr>
        <w:ind w:right="6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ind w:right="260" w:firstLine="576"/>
        <w:spacing w:after="0"/>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7" w:name="page68"/>
    <w:bookmarkEnd w:id="67"/>
    <w:p>
      <w:pPr>
        <w:ind w:right="200" w:firstLine="576"/>
        <w:spacing w:after="0" w:line="243"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82"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80" w:lineRule="exact"/>
        <w:rPr>
          <w:sz w:val="20"/>
          <w:szCs w:val="20"/>
          <w:color w:val="auto"/>
        </w:rPr>
      </w:pPr>
    </w:p>
    <w:p>
      <w:pPr>
        <w:ind w:right="120" w:firstLine="576"/>
        <w:spacing w:after="0" w:line="245"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operating results, financial condition and prospects.</w:t>
      </w:r>
    </w:p>
    <w:p>
      <w:pPr>
        <w:spacing w:after="0" w:line="280" w:lineRule="exact"/>
        <w:rPr>
          <w:sz w:val="20"/>
          <w:szCs w:val="20"/>
          <w:color w:val="auto"/>
        </w:rPr>
      </w:pPr>
    </w:p>
    <w:p>
      <w:pPr>
        <w:ind w:right="580"/>
        <w:spacing w:after="0" w:line="285"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21"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8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candidates may be subject, in part, to the terms and conditions of licenses granted to us by others.</w:t>
      </w:r>
    </w:p>
    <w:p>
      <w:pPr>
        <w:spacing w:after="0" w:line="21"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We have entered into license agreements with third parties and we may enter into additional license agreements in the future with others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8" w:name="page69"/>
    <w:bookmarkEnd w:id="68"/>
    <w:p>
      <w:pPr>
        <w:ind w:right="240" w:firstLine="576"/>
        <w:spacing w:after="0" w:line="241"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any of our future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179"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Our licensors and any future licensors may have relied on third party consultants or collaborators or on funds from third parties such that our licensors are not the sole and exclusive owners of the patents we in-license.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7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284"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Disputes may arise between us and our current or future licensors regarding intellectual property subject to a license agreement, including:</w:t>
      </w:r>
    </w:p>
    <w:p>
      <w:pPr>
        <w:spacing w:after="0" w:line="37" w:lineRule="exact"/>
        <w:rPr>
          <w:sz w:val="20"/>
          <w:szCs w:val="20"/>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6" w:lineRule="exact"/>
        <w:rPr>
          <w:rFonts w:ascii="Times New Roman" w:cs="Times New Roman" w:eastAsia="Times New Roman" w:hAnsi="Times New Roman"/>
          <w:sz w:val="18"/>
          <w:szCs w:val="18"/>
          <w:color w:val="auto"/>
        </w:rPr>
      </w:pPr>
    </w:p>
    <w:p>
      <w:pPr>
        <w:ind w:left="1300" w:right="46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patents and other rights to third parties;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transfer or assign the license;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6"/>
        </w:numPr>
        <w:rPr>
          <w:rFonts w:ascii="Times New Roman" w:cs="Times New Roman" w:eastAsia="Times New Roman" w:hAnsi="Times New Roman"/>
          <w:sz w:val="18"/>
          <w:szCs w:val="18"/>
          <w:color w:val="auto"/>
        </w:rPr>
      </w:pPr>
      <w:r>
        <w:rPr>
          <w:rFonts w:ascii="Arial" w:cs="Arial" w:eastAsia="Arial" w:hAnsi="Arial"/>
          <w:sz w:val="18"/>
          <w:szCs w:val="18"/>
          <w:color w:val="auto"/>
        </w:rPr>
        <w:t>the priority of invention of patented technology.</w:t>
      </w:r>
    </w:p>
    <w:p>
      <w:pPr>
        <w:spacing w:after="0" w:line="22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ind w:right="20"/>
        <w:spacing w:after="0" w:line="245" w:lineRule="auto"/>
        <w:rPr>
          <w:sz w:val="20"/>
          <w:szCs w:val="20"/>
          <w:color w:val="auto"/>
        </w:rPr>
      </w:pPr>
      <w:r>
        <w:rPr>
          <w:rFonts w:ascii="Arial" w:cs="Arial" w:eastAsia="Arial" w:hAnsi="Arial"/>
          <w:sz w:val="18"/>
          <w:szCs w:val="18"/>
          <w:color w:val="auto"/>
        </w:rPr>
        <w:t>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7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While we normally seek to obtain the right to control prosecution, maintenance and enforcement of the patents relating to our product candidates, there may be times when the filing and prosecution activities for patents relating to our product candidates are controlled by licensors or collaboration partners. If a licensor or collaboration partner fails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w:t>
      </w:r>
    </w:p>
    <w:p>
      <w:pPr>
        <w:spacing w:after="0" w:line="18"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b w:val="1"/>
          <w:bCs w:val="1"/>
          <w:i w:val="1"/>
          <w:iCs w:val="1"/>
          <w:color w:val="auto"/>
        </w:rPr>
        <w:t>in” rights, certain reporting requirements and a preference for U.S.-based companies. Compliance with such regulations may limit our exclusive rights and limit our ability to contract with non-U.S. manufacturers.</w:t>
      </w:r>
    </w:p>
    <w:p>
      <w:pPr>
        <w:spacing w:after="0" w:line="43"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0" w:name="page71"/>
    <w:bookmarkEnd w:id="70"/>
    <w:p>
      <w:pPr>
        <w:spacing w:after="0" w:line="243" w:lineRule="auto"/>
        <w:rPr>
          <w:sz w:val="20"/>
          <w:szCs w:val="20"/>
          <w:color w:val="auto"/>
        </w:rPr>
      </w:pPr>
      <w:r>
        <w:rPr>
          <w:rFonts w:ascii="Arial" w:cs="Arial" w:eastAsia="Arial" w:hAnsi="Arial"/>
          <w:sz w:val="18"/>
          <w:szCs w:val="18"/>
          <w:color w:val="auto"/>
        </w:rPr>
        <w:t>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This Offering and Ownership of Our Common Stock</w:t>
      </w:r>
    </w:p>
    <w:p>
      <w:pPr>
        <w:spacing w:after="0" w:line="106"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Before this offering, there was no public trading market for our common stock. If an active market for our common stock does not develop or is not sustained, it may be difficult for you to sell your shares of common stock at an attractive price or at all.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21"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initial public offering price for our common stock was determined through negotiations with the underwriters. This initial public offering price may differ from the market price of our common stock after the offering. As a result, you may not be able to sell your common stock at or above the initial public offering price. Some of the factors that may cause the market price of our common stock to fluctuate include:</w:t>
      </w:r>
    </w:p>
    <w:p>
      <w:pPr>
        <w:spacing w:after="0" w:line="62" w:lineRule="exact"/>
        <w:rPr>
          <w:sz w:val="20"/>
          <w:szCs w:val="20"/>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and clinical trials and, in particular, our LIFT-AD and ACT-AD P300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the ongoing COVID-19 pandemic on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existing or new competitive products or technologies;</w:t>
      </w:r>
    </w:p>
    <w:p>
      <w:pPr>
        <w:spacing w:after="0" w:line="116" w:lineRule="exact"/>
        <w:rPr>
          <w:rFonts w:ascii="Times New Roman" w:cs="Times New Roman" w:eastAsia="Times New Roman" w:hAnsi="Times New Roman"/>
          <w:sz w:val="18"/>
          <w:szCs w:val="18"/>
          <w:color w:val="auto"/>
        </w:rPr>
      </w:pPr>
    </w:p>
    <w:p>
      <w:pPr>
        <w:ind w:left="1300" w:right="40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results of clinical trials for our current product candidates and any future product candidates that we may develop;</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commencement or termination of collaborations for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discontinuation of any of our product candidates;</w:t>
      </w:r>
    </w:p>
    <w:p>
      <w:pPr>
        <w:spacing w:after="0" w:line="116" w:lineRule="exact"/>
        <w:rPr>
          <w:rFonts w:ascii="Times New Roman" w:cs="Times New Roman" w:eastAsia="Times New Roman" w:hAnsi="Times New Roman"/>
          <w:sz w:val="18"/>
          <w:szCs w:val="18"/>
          <w:color w:val="auto"/>
        </w:rPr>
      </w:pPr>
    </w:p>
    <w:p>
      <w:pPr>
        <w:ind w:left="1300" w:right="1140" w:hanging="442"/>
        <w:spacing w:after="0" w:line="275" w:lineRule="auto"/>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nonclinical studies, clinical trials or regulatory approvals of product candidates of our competitors, or announcements about new research programs or product candidates of our competitors;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commencement of litigation;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research programs, product candidates that we may develop;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7"/>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68" w:right="419" w:bottom="1440" w:gutter="0" w:footer="0" w:header="0"/>
        </w:sectPr>
      </w:pPr>
    </w:p>
    <w:bookmarkStart w:id="71" w:name="page72"/>
    <w:bookmarkEnd w:id="71"/>
    <w:p>
      <w:pPr>
        <w:ind w:left="1300" w:right="240" w:hanging="442"/>
        <w:spacing w:after="0" w:line="275" w:lineRule="auto"/>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or expectation of additional financing efforts;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our insiders, or other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expiration of market standoff or lock-up agreements;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8"/>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22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288" w:lineRule="exact"/>
        <w:rPr>
          <w:sz w:val="20"/>
          <w:szCs w:val="20"/>
          <w:color w:val="auto"/>
        </w:rPr>
      </w:pPr>
    </w:p>
    <w:p>
      <w:pPr>
        <w:ind w:right="320"/>
        <w:spacing w:after="0" w:line="28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could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280" w:lineRule="exact"/>
        <w:rPr>
          <w:sz w:val="20"/>
          <w:szCs w:val="20"/>
          <w:color w:val="auto"/>
        </w:rPr>
      </w:pPr>
    </w:p>
    <w:p>
      <w:pPr>
        <w:ind w:right="40"/>
        <w:spacing w:after="0" w:line="285" w:lineRule="auto"/>
        <w:rPr>
          <w:sz w:val="20"/>
          <w:szCs w:val="20"/>
          <w:color w:val="auto"/>
        </w:rPr>
      </w:pPr>
      <w:r>
        <w:rPr>
          <w:rFonts w:ascii="Arial" w:cs="Arial" w:eastAsia="Arial" w:hAnsi="Arial"/>
          <w:sz w:val="18"/>
          <w:szCs w:val="18"/>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21"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conversion of all outstanding shares of our convertible preferred stock and the exercise of outstanding warrants into an aggregate of 1,708,744 shares of our common stock, 30,819,318 shares of our common stock will be outstanding, or 32,619,318 shares of common stock if the underwriters exercise their option to purchase additional shares in full, based on our shares outstanding as of June 30, 2020. Of these shares, the 12,000,000 shares we are selling in this offering, or 13,800,000 shares if the underwriters exercise their option to purchase additional shares in full, may be resold in the public market immediately, except for any shares purchased by our directors, executive officers and employees in our directed share program. The remaining 18,819,318 shares, or 61% of our outstanding shares after this offering, or 58% of our outstanding shares after this offering if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2" w:name="page73"/>
    <w:bookmarkEnd w:id="72"/>
    <w:p>
      <w:pPr>
        <w:ind w:right="180"/>
        <w:spacing w:after="0"/>
        <w:rPr>
          <w:sz w:val="20"/>
          <w:szCs w:val="20"/>
          <w:color w:val="auto"/>
        </w:rPr>
      </w:pPr>
      <w:r>
        <w:rPr>
          <w:rFonts w:ascii="Arial" w:cs="Arial" w:eastAsia="Arial" w:hAnsi="Arial"/>
          <w:sz w:val="18"/>
          <w:szCs w:val="18"/>
          <w:color w:val="auto"/>
        </w:rPr>
        <w:t>underwriters exercise their option to purchase additional shares in full, are currently prohibited or otherwise restricted under securities laws, market standoff agreements entered into by our stockholders with us or lock-up agreements entered into by our stockholders with the underwriters; however, subject to applicable securities law restrictions and excluding shares of restricted stock that will remain unvested, these shares will be able to be sold in the public market beginning 180 days after the date of this prospectus. The representatives may, in their sole discretion, release all or some portion of the shares subject to lock-up agreements at any time and for any reason.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the Securities Act. See the section of this prospectus titled “Shares Eligible for Future Sale” for additional information.</w:t>
      </w:r>
    </w:p>
    <w:p>
      <w:pPr>
        <w:spacing w:after="0" w:line="176"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Moreover, upon completion of this offering, the holders of approximately 17,415,826 shares of our common stock will be eligible to exercise certain rights, subject to various conditions and limitations,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 and the lock-up agreements described in the section of this prospectus titled “Underwriting.” If any of these additional shares are sold, or if it is perceived that they will be sold, in the public market, the market price of our common stock could decline.</w:t>
      </w:r>
    </w:p>
    <w:p>
      <w:pPr>
        <w:spacing w:after="0" w:line="287"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21"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After this offering, our directors, executive officers, holders of more than 5% of our outstanding common stock and their respective affiliates will beneficially own shares representing approximately 26.7% of our outstanding common stock, or 25.3% of our common stock if the underwriters exercise their option to purchase additional shares in full (and without giving effect to any purchases that certain of these holders may make through our directed share program).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287"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21"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In this prospectus,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3" w:name="page74"/>
    <w:bookmarkEnd w:id="73"/>
    <w:p>
      <w:pPr>
        <w:ind w:right="720"/>
        <w:spacing w:after="0" w:line="285"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21"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becoming, and our efforts to comply with the requirements of being, a public company, and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6" w:lineRule="exact"/>
        <w:rPr>
          <w:sz w:val="20"/>
          <w:szCs w:val="20"/>
          <w:color w:val="auto"/>
        </w:rPr>
      </w:pPr>
    </w:p>
    <w:p>
      <w:pPr>
        <w:ind w:right="380"/>
        <w:spacing w:after="0" w:line="285" w:lineRule="auto"/>
        <w:rPr>
          <w:sz w:val="20"/>
          <w:szCs w:val="20"/>
          <w:color w:val="auto"/>
        </w:rPr>
      </w:pPr>
      <w:r>
        <w:rPr>
          <w:rFonts w:ascii="Arial" w:cs="Arial" w:eastAsia="Arial" w:hAnsi="Arial"/>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21"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As a public company, we will operate in an increasingly demanding regulatory environment, which requires us to comply with the Sarbanes-Oxley Act of 2002, or the Sarbanes-Oxley Act, the regulations of the Nasdaq Global Select Market, the rules and regulations of the Securities and Exchange Commission, expanded disclosure requirements,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Commencing with our fiscal year ending the year after this offering is completed, we must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Prior to this offering, we have never been required to test our internal controls within a specified period and, as a result, we may experience difficulty in meeting these reporting requirements in a timely manner.</w:t>
      </w:r>
    </w:p>
    <w:p>
      <w:pPr>
        <w:spacing w:after="0" w:line="180"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We anticipate that the process of building our accounting and financial functions and infrastructure will require significant additional professional fees, internal costs and management efforts. We expect that we will need to implement a new internal system to combine and streamline the management of our financial, accounting, human resources and other functions. However, such a system would likely require us to complete many processes and procedures for the effective use of the system or to run our business using the system, which may result in substantial costs. Any disruptions or difficulties in implementing or using such a system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74" w:name="page75"/>
    <w:bookmarkEnd w:id="74"/>
    <w:p>
      <w:pPr>
        <w:ind w:right="20" w:firstLine="576"/>
        <w:spacing w:after="0" w:line="248" w:lineRule="auto"/>
        <w:rPr>
          <w:sz w:val="20"/>
          <w:szCs w:val="20"/>
          <w:color w:val="auto"/>
        </w:rPr>
      </w:pPr>
      <w:r>
        <w:rPr>
          <w:rFonts w:ascii="Arial" w:cs="Arial" w:eastAsia="Arial" w:hAnsi="Arial"/>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Nasdaq, the SEC or other regulatory authorities.</w:t>
      </w:r>
    </w:p>
    <w:p>
      <w:pPr>
        <w:spacing w:after="0" w:line="278" w:lineRule="exact"/>
        <w:rPr>
          <w:sz w:val="20"/>
          <w:szCs w:val="20"/>
          <w:color w:val="auto"/>
        </w:rPr>
      </w:pPr>
    </w:p>
    <w:p>
      <w:pPr>
        <w:ind w:right="820"/>
        <w:spacing w:after="0" w:line="285" w:lineRule="auto"/>
        <w:rPr>
          <w:sz w:val="20"/>
          <w:szCs w:val="20"/>
          <w:color w:val="auto"/>
        </w:rPr>
      </w:pPr>
      <w:r>
        <w:rPr>
          <w:rFonts w:ascii="Arial" w:cs="Arial" w:eastAsia="Arial" w:hAnsi="Arial"/>
          <w:sz w:val="18"/>
          <w:szCs w:val="18"/>
          <w:b w:val="1"/>
          <w:bCs w:val="1"/>
          <w:i w:val="1"/>
          <w:iCs w:val="1"/>
          <w:color w:val="auto"/>
        </w:rPr>
        <w:t>If we are unable to maintain effective internal controls, our business, financial position and results of operations could be adversely affected.</w:t>
      </w:r>
    </w:p>
    <w:p>
      <w:pPr>
        <w:spacing w:after="0" w:line="21" w:lineRule="exact"/>
        <w:rPr>
          <w:sz w:val="20"/>
          <w:szCs w:val="20"/>
          <w:color w:val="auto"/>
        </w:rPr>
      </w:pPr>
    </w:p>
    <w:p>
      <w:pPr>
        <w:jc w:val="both"/>
        <w:ind w:right="200" w:firstLine="576"/>
        <w:spacing w:after="0" w:line="255" w:lineRule="auto"/>
        <w:rPr>
          <w:sz w:val="20"/>
          <w:szCs w:val="20"/>
          <w:color w:val="auto"/>
        </w:rPr>
      </w:pPr>
      <w:r>
        <w:rPr>
          <w:rFonts w:ascii="Arial" w:cs="Arial" w:eastAsia="Arial" w:hAnsi="Arial"/>
          <w:sz w:val="18"/>
          <w:szCs w:val="18"/>
          <w:color w:val="auto"/>
        </w:rPr>
        <w:t>As a public company, we are subject to reporting and other obligations under the Securities Exchange Act of 1934, as amended, or the Exchange Act, including the requirements of SOX Section 404, which require annual management assessments of the effectiveness of our internal control over financial reporting.</w:t>
      </w:r>
    </w:p>
    <w:p>
      <w:pPr>
        <w:spacing w:after="0" w:line="16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w:t>
      </w:r>
    </w:p>
    <w:p>
      <w:pPr>
        <w:spacing w:after="0" w:line="172"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Any failure to maintain effective internal controls could have an adverse effect on our business, financial position and results of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We will have broad discretion in the application of the net proceeds, including for any of the purposes described in the section of this prospectus titled “Use of Proceeds.” We may spend a portion or all of the net proceeds from this offering in ways that our stockholders may not desire or that may not yield a favorable return. Any failure by us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282" w:lineRule="exact"/>
        <w:rPr>
          <w:sz w:val="20"/>
          <w:szCs w:val="20"/>
          <w:color w:val="auto"/>
        </w:rPr>
      </w:pPr>
    </w:p>
    <w:p>
      <w:pPr>
        <w:ind w:right="700"/>
        <w:spacing w:after="0" w:line="285"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or Washington law could make an acquisition of us difficult, limit attempts by our stockholders to replace or remove our current management and limit our stock price.</w:t>
      </w:r>
    </w:p>
    <w:p>
      <w:pPr>
        <w:spacing w:after="0" w:line="21"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Provisions of our certificate of incorporation and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the certificate of incorporation and bylaws:</w:t>
      </w:r>
    </w:p>
    <w:p>
      <w:pPr>
        <w:spacing w:after="0" w:line="64" w:lineRule="exact"/>
        <w:rPr>
          <w:sz w:val="20"/>
          <w:szCs w:val="20"/>
          <w:color w:val="auto"/>
        </w:rPr>
      </w:pPr>
    </w:p>
    <w:p>
      <w:pPr>
        <w:ind w:left="1300" w:hanging="442"/>
        <w:spacing w:after="0" w:line="275" w:lineRule="auto"/>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permit the board of directors to issue up to 100,000,000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49"/>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75" w:name="page76"/>
    <w:bookmarkEnd w:id="75"/>
    <w:p>
      <w:pPr>
        <w:ind w:left="1300" w:right="22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divide the board of directors into three classes;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may not be taken by written consent;</w:t>
      </w:r>
    </w:p>
    <w:p>
      <w:pPr>
        <w:spacing w:after="0" w:line="37" w:lineRule="exact"/>
        <w:rPr>
          <w:rFonts w:ascii="Times New Roman" w:cs="Times New Roman" w:eastAsia="Times New Roman" w:hAnsi="Times New Roman"/>
          <w:sz w:val="18"/>
          <w:szCs w:val="18"/>
          <w:color w:val="auto"/>
        </w:rPr>
      </w:pPr>
    </w:p>
    <w:p>
      <w:pPr>
        <w:ind w:left="1300" w:right="540" w:hanging="442"/>
        <w:spacing w:after="0" w:line="25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prevent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chairman of the board, our chief executive officer or by the board of directors; and</w:t>
      </w:r>
    </w:p>
    <w:p>
      <w:pPr>
        <w:spacing w:after="0" w:line="37" w:lineRule="exact"/>
        <w:rPr>
          <w:rFonts w:ascii="Times New Roman" w:cs="Times New Roman" w:eastAsia="Times New Roman" w:hAnsi="Times New Roman"/>
          <w:sz w:val="18"/>
          <w:szCs w:val="18"/>
          <w:color w:val="auto"/>
        </w:rPr>
      </w:pPr>
    </w:p>
    <w:p>
      <w:pPr>
        <w:jc w:val="both"/>
        <w:ind w:left="1300" w:right="60" w:hanging="442"/>
        <w:spacing w:after="0" w:line="255" w:lineRule="auto"/>
        <w:tabs>
          <w:tab w:leader="none" w:pos="1300" w:val="left"/>
        </w:tabs>
        <w:numPr>
          <w:ilvl w:val="0"/>
          <w:numId w:val="50"/>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are permitted to amend the bylaws only upon receiving at least two-thirds of the total votes entitled to be cast by holders of all outstanding shares then entitled to vote generally in the election of directors, voting together as a single class.</w:t>
      </w:r>
    </w:p>
    <w:p>
      <w:pPr>
        <w:spacing w:after="0" w:line="16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Likewise, because our principal executive offices are located in Washington, the anti-takeover provisions of the Washington Business Corporation Act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28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b w:val="1"/>
          <w:bCs w:val="1"/>
          <w:i w:val="1"/>
          <w:iCs w:val="1"/>
          <w:color w:val="auto"/>
        </w:rPr>
        <w:t>Our bylaws provide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43"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Our bylaws that will become effective immediately prior to the closing of this offering provides that the Court of Chancery of the State of Delaware will be the exclusive forum for any derivative action or proceeding brought on our behalf; any action asserting a breach of fiduciary duty; any action asserting a claim against us arising under the Delaware General Corporation Law, our certificate of incorporation or our bylaws; any action to interpret, apply, enforce or determine the validity of our certificate of incorporation or our bylaws; and any action asserting a claim against us that is governed by the internal affairs doctrine. This provision would not apply to suits brought to enforce a duty or liability created by the Exchange Act or any other claim for which the U.S. federal courts have exclusive jurisdiction.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6" w:name="page77"/>
    <w:bookmarkEnd w:id="76"/>
    <w:p>
      <w:pPr>
        <w:ind w:right="20" w:firstLine="576"/>
        <w:spacing w:after="0" w:line="243" w:lineRule="auto"/>
        <w:rPr>
          <w:sz w:val="20"/>
          <w:szCs w:val="20"/>
          <w:color w:val="auto"/>
        </w:rPr>
      </w:pPr>
      <w:r>
        <w:rPr>
          <w:rFonts w:ascii="Arial" w:cs="Arial" w:eastAsia="Arial" w:hAnsi="Arial"/>
          <w:sz w:val="18"/>
          <w:szCs w:val="18"/>
          <w:color w:val="auto"/>
        </w:rPr>
        <w:t>Our bylaws that will become effective immediately prior to the closing of this offering further provide that the federal district courts of the United States will be the exclusive forum for resolving any complaint asserting a cause of action arising under the Securities Act. The enforceability of similar exclusive federal forum provisions in other companies’ organizational documents has been challenged in legal proceedings, and while the Delaware Supreme Court has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w:t>
      </w:r>
    </w:p>
    <w:p>
      <w:pPr>
        <w:spacing w:after="0" w:line="17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either exclusive forum provision in our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80" w:lineRule="exact"/>
        <w:rPr>
          <w:sz w:val="20"/>
          <w:szCs w:val="20"/>
          <w:color w:val="auto"/>
        </w:rPr>
      </w:pPr>
    </w:p>
    <w:p>
      <w:pPr>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77" w:name="page78"/>
    <w:bookmarkEnd w:id="77"/>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This prospectus contains forward-looking statements that are based on our management’s beliefs and assumptions and on information currently available to our management. Some of the statements in the sections of this prospectus titled “Prospectus Summary,” “Risk Factors,” “Management’s Discussion and Analysis of Financial Condition and Results of Operations” and “Business” and elsewhere in this prospectus contain forward-looking statements. In some cases, you can identify forward- looking statements by the following words: “anticipate,” “believe,” “continue,” “could,” “estimate,” “expect,” “intend,” “may,” “ongoing,” “plan,” “potential,” “predict,” “project,” “should,” “target”, “will,” “would” or the negative of these terms or other comparable terminology, although not all forward-looking statements contain these words.</w:t>
      </w:r>
    </w:p>
    <w:p>
      <w:pPr>
        <w:spacing w:after="0" w:line="179"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These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w:t>
      </w:r>
    </w:p>
    <w:p>
      <w:pPr>
        <w:spacing w:after="0" w:line="64" w:lineRule="exact"/>
        <w:rPr>
          <w:sz w:val="20"/>
          <w:szCs w:val="20"/>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116"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sufficiency of our existing cash and cash equivalents to fund our future operating expenses and capital expenditure requirements;</w:t>
      </w:r>
    </w:p>
    <w:p>
      <w:pPr>
        <w:spacing w:after="0" w:line="37"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including funding necessary to develop and commercialize our product candidates;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nonclinical studies and clinical trials to demonstrate safety and efficacy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cost and timing of our development activities, nonclinical studies and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or likelihood of regulatory filings and approvals;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focus of our future clinical trials, and the reporting of data from those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commercializing our product candidates, if approved;</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establish sales, marketing and distribution infrastructure to commercialize any product candidates for which we obtain approval;</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managerial, scientific and clinical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116" w:lineRule="exact"/>
        <w:rPr>
          <w:rFonts w:ascii="Times New Roman" w:cs="Times New Roman" w:eastAsia="Times New Roman" w:hAnsi="Times New Roman"/>
          <w:sz w:val="18"/>
          <w:szCs w:val="18"/>
          <w:color w:val="auto"/>
        </w:rPr>
      </w:pPr>
    </w:p>
    <w:p>
      <w:pPr>
        <w:ind w:left="1300" w:right="540" w:hanging="442"/>
        <w:spacing w:after="0" w:line="275" w:lineRule="auto"/>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third parties to conduct clinical trials of our product candidates, and for the manufacture of our product candidates for nonclinical studies and clinical trials;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expand our product candidates into additional indications and patient populations;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1"/>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58" w:right="419" w:bottom="1440" w:gutter="0" w:footer="0" w:header="0"/>
        </w:sectPr>
      </w:pPr>
    </w:p>
    <w:bookmarkStart w:id="78" w:name="page79"/>
    <w:bookmarkEnd w:id="78"/>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beneficial characteristics, safety and efficacy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other jurisdictions;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 and any related restrictions, limitations and/or warnings in the label of any approved product candidate;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for which we may pursue regulatory approval;</w:t>
      </w:r>
    </w:p>
    <w:p>
      <w:pPr>
        <w:spacing w:after="0" w:line="37"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37"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and technology;</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impact of the COVID-19 pandemic on our business;</w:t>
      </w:r>
    </w:p>
    <w:p>
      <w:pPr>
        <w:spacing w:after="0" w:line="116"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if approved for commercial use, and our ability to serve those markets;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strategic collaboration agreements we may enter into;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anticipated use of the proceeds from this offering;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4"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You should refer to the section of this prospectus titled “Risk Factors”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9" w:name="page80"/>
    <w:bookmarkEnd w:id="79"/>
    <w:p>
      <w:pPr>
        <w:jc w:val="center"/>
        <w:ind w:right="-39"/>
        <w:spacing w:after="0"/>
        <w:rPr>
          <w:sz w:val="20"/>
          <w:szCs w:val="20"/>
          <w:color w:val="auto"/>
        </w:rPr>
      </w:pPr>
      <w:r>
        <w:rPr>
          <w:rFonts w:ascii="Arial" w:cs="Arial" w:eastAsia="Arial" w:hAnsi="Arial"/>
          <w:sz w:val="18"/>
          <w:szCs w:val="18"/>
          <w:b w:val="1"/>
          <w:bCs w:val="1"/>
          <w:color w:val="auto"/>
        </w:rPr>
        <w:t>MARKET, INDUSTRY AND OTHER DATA</w:t>
      </w:r>
    </w:p>
    <w:p>
      <w:pPr>
        <w:spacing w:after="0" w:line="21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This prospectus contains estimates, projections and other information concerning market, industry and other data. We obtained this data from our own internal estimates and research and from academic and industry research, publications, surveys, and studies conducted by third parties, including governmental agencies. In some cases, we do not expressly refer to the sources from which these data are derived. These data involve a number of assumptions and limitations, are subject to risks and uncertainties, and are subject to change based on various factors, including those discussed in the section of this prospectus titled “Risk Factors” and elsewhere in this prospectus. These and other factors could cause results to differ materially from those expressed in the estimates made by the independent parties and by us. While we believe such information included in this prospectus is generally reliable, we have not independently verified any third-party information.</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estimate that the net proceeds from this offering will be approximately $186.4 million (or $214.9 million if the underwriters exercise their option to purchase additional shares in full), based upon the initial public offering price of $17.00 per share and after deducting underwriting discounts and commissions and estimated offering expenses payable by us.</w:t>
      </w:r>
    </w:p>
    <w:p>
      <w:pPr>
        <w:spacing w:after="0" w:line="16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The principal purposes of this offering are to increase our capitalization and financial flexibility, establish a public market for our common stock and to facilitate future access to the public equity markets by us, our employees and our stockholders, obtain additional capital to support our operations and increase our visibility in the marketplace. We currently intend to use the net proceeds from this offering together with our existing cash and cash equivalents as follows:</w:t>
      </w:r>
    </w:p>
    <w:p>
      <w:pPr>
        <w:spacing w:after="0" w:line="62" w:lineRule="exact"/>
        <w:rPr>
          <w:sz w:val="20"/>
          <w:szCs w:val="20"/>
          <w:color w:val="auto"/>
        </w:rPr>
      </w:pPr>
    </w:p>
    <w:p>
      <w:pPr>
        <w:ind w:left="1300" w:right="20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$75.0 million to fund the clinical development of ATH-1017 including the LIFT-AD trial and the ACT-AD P300 Phase 2 trial for the treatment of mild-to-moderate Alzheimer’s disease;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3"/>
        </w:numPr>
        <w:rPr>
          <w:rFonts w:ascii="Times New Roman" w:cs="Times New Roman" w:eastAsia="Times New Roman" w:hAnsi="Times New Roman"/>
          <w:sz w:val="17"/>
          <w:szCs w:val="17"/>
          <w:color w:val="auto"/>
        </w:rPr>
      </w:pPr>
      <w:r>
        <w:rPr>
          <w:rFonts w:ascii="Arial" w:cs="Arial" w:eastAsia="Arial" w:hAnsi="Arial"/>
          <w:sz w:val="17"/>
          <w:szCs w:val="17"/>
          <w:color w:val="auto"/>
        </w:rPr>
        <w:t>approximately $20.0 million to fund our planned Phase 2 trial of ATH-1017 for the treatment of Parkinson’s disease dementia;</w:t>
      </w:r>
    </w:p>
    <w:p>
      <w:pPr>
        <w:spacing w:after="0" w:line="127" w:lineRule="exact"/>
        <w:rPr>
          <w:rFonts w:ascii="Times New Roman" w:cs="Times New Roman" w:eastAsia="Times New Roman" w:hAnsi="Times New Roman"/>
          <w:sz w:val="17"/>
          <w:szCs w:val="17"/>
          <w:color w:val="auto"/>
        </w:rPr>
      </w:pPr>
    </w:p>
    <w:p>
      <w:pPr>
        <w:ind w:left="1300" w:right="26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approximately $30.0 million to fund our IND-enabling studies of ATH-1019 for the treatment of neuropsychiatric indications and ATH-1018 for the treatment of neuropathy; and</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53"/>
        </w:numPr>
        <w:rPr>
          <w:rFonts w:ascii="Times New Roman" w:cs="Times New Roman" w:eastAsia="Times New Roman" w:hAnsi="Times New Roman"/>
          <w:sz w:val="18"/>
          <w:szCs w:val="18"/>
          <w:color w:val="auto"/>
        </w:rPr>
      </w:pPr>
      <w:r>
        <w:rPr>
          <w:rFonts w:ascii="Arial" w:cs="Arial" w:eastAsia="Arial" w:hAnsi="Arial"/>
          <w:sz w:val="18"/>
          <w:szCs w:val="18"/>
          <w:color w:val="auto"/>
        </w:rPr>
        <w:t>the remainder for our other research and development activities, as well as for working capital and other general corporate purposes.</w:t>
      </w:r>
    </w:p>
    <w:p>
      <w:pPr>
        <w:spacing w:after="0" w:line="146"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The estimated amounts set forth above do not include any related payments that may be due under our collaboration and grant agreements, including the $1.5 million payable to Washington Life Sciences Discovery Fund upon the completion of this offering. For additional details regarding our collaboration and grant agreements, see the section of this prospectus titled “Business—Our Collaboration and Grant Agreements,” as well as our financial statements and related notes included elsewhere in this prospectus.</w:t>
      </w:r>
    </w:p>
    <w:p>
      <w:pPr>
        <w:spacing w:after="0" w:line="170"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Further, due to the uncertainties inherent in the small molecule development process, it is difficult to estimate with certainty the exact amounts of the net proceeds from this offering that may be used for the above purposes. We may also use a portion of our net proceeds to acquire or invest in complementary products, technologies, or businesses. However, we currently have no agreements or commitments to do so. As a result, 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number, scope and success of our nonclinical studies and clinical trials, and the timing and success of any regulatory submissions.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1" w:name="page82"/>
    <w:bookmarkEnd w:id="81"/>
    <w:p>
      <w:pPr>
        <w:ind w:firstLine="576"/>
        <w:spacing w:after="0" w:line="238" w:lineRule="auto"/>
        <w:rPr>
          <w:sz w:val="20"/>
          <w:szCs w:val="20"/>
          <w:color w:val="auto"/>
        </w:rPr>
      </w:pPr>
      <w:r>
        <w:rPr>
          <w:rFonts w:ascii="Arial" w:cs="Arial" w:eastAsia="Arial" w:hAnsi="Arial"/>
          <w:sz w:val="18"/>
          <w:szCs w:val="18"/>
          <w:color w:val="auto"/>
        </w:rPr>
        <w:t>Based upon our current operating plan, we estimate that our existing cash and cash equivalents and the anticipated net proceeds from this offering, will be sufficient to fund our operating expenses and capital expenditure requirements at least through 2022. In particular, we expect that the net proceeds from this offering will fund us through receipt of topline data readouts for our LIFT-AD trial of ATH-1017 and our planned ACT-AD P300 Phase 2 trial of ATH-1017, each for the treatment of mild-to-moderate AD, as well as IND-enabling studies and IND applications for ATH -1019 for the treatment of neuropsychiatric indications including depression and anxiety and ATH-1018 for the treatment of neuropathy. In addition, if the data from our LIFT-AD clinical trial, our planned ACT-AD P300 clinical trial, or both lead us to decide to initiate additional trials for ATH-1017 for the treatment of AD, we expect to incur substantial additional expenses relating to those trials. However, the expected net proceeds from this offering will not be sufficient for us to fund any of our product candidates through regulatory approval and commercialization, and we will need to raise substantial additional capital to complete the development and commercialization of our product candidates. The amounts and timing of our actual expenditures may vary significantly depending on numerous factors. For additional information regarding our potential capital requirements, including factors that could cause actual costs to vary from the estimates set forth above, see the section of this prospectus titled “Risk Factors.”</w:t>
      </w:r>
    </w:p>
    <w:p>
      <w:pPr>
        <w:spacing w:after="0" w:line="183"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As of the date of this prospectus, we intend to invest the net proceeds in short-term interest-bearing investment-grade securities, certificates of deposit or government securities. The goal with respect to the investment of these net proceeds is capital preservation and liquidity so that such funds are readily available to fund our operations.</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have never declared or paid any cash dividends on our capital stock, and we do not currently intend to pay any cash dividends on our capital stock in the foreseeable future.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be limited by any future debt instruments or preferred securities.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and cash equivalents and capitalization as of June 30, 2020:</w:t>
      </w:r>
    </w:p>
    <w:p>
      <w:pPr>
        <w:spacing w:after="0" w:line="104" w:lineRule="exact"/>
        <w:rPr>
          <w:sz w:val="20"/>
          <w:szCs w:val="20"/>
          <w:color w:val="auto"/>
        </w:rPr>
      </w:pPr>
    </w:p>
    <w:p>
      <w:pPr>
        <w:ind w:left="1300" w:hanging="442"/>
        <w:spacing w:after="0"/>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an actual basis;</w:t>
      </w:r>
    </w:p>
    <w:p>
      <w:pPr>
        <w:spacing w:after="0" w:line="116" w:lineRule="exact"/>
        <w:rPr>
          <w:rFonts w:ascii="Times New Roman" w:cs="Times New Roman" w:eastAsia="Times New Roman" w:hAnsi="Times New Roman"/>
          <w:sz w:val="18"/>
          <w:szCs w:val="18"/>
          <w:color w:val="auto"/>
        </w:rPr>
      </w:pPr>
    </w:p>
    <w:p>
      <w:pPr>
        <w:ind w:left="1300" w:right="260" w:hanging="442"/>
        <w:spacing w:after="0" w:line="244"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a pro forma basis to reflect (1) the automatic conversion of our convertible preferred stock into an aggregate of 12,503,009 shares of our common stock as of June 30, 2020, (2) the issuance of an aggregate of 1,708,744 shares of our common stock upon the net exercise of outstanding warrants immediately prior to the closing of this offering, (3) the repayment of $1.5 million in grant liability, and (4) the filing of our amended and restated certificate of incorporation, which will occur immediately prior to the closing of this offering; and</w:t>
      </w:r>
    </w:p>
    <w:p>
      <w:pPr>
        <w:spacing w:after="0" w:line="67" w:lineRule="exact"/>
        <w:rPr>
          <w:rFonts w:ascii="Times New Roman" w:cs="Times New Roman" w:eastAsia="Times New Roman" w:hAnsi="Times New Roman"/>
          <w:sz w:val="18"/>
          <w:szCs w:val="18"/>
          <w:color w:val="auto"/>
        </w:rPr>
      </w:pPr>
    </w:p>
    <w:p>
      <w:pPr>
        <w:ind w:left="1300" w:right="60" w:hanging="442"/>
        <w:spacing w:after="0" w:line="255" w:lineRule="auto"/>
        <w:tabs>
          <w:tab w:leader="none" w:pos="130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on a pro forma as adjusted basis to reflect (1) the pro forma adjustments set forth above and (2) the sale and issuance by us of 12,000,000 shares of common stock in this offering at the initial public offering price of $17.00 per share, after deducting underwriting discounts and commissions and estimated offering expenses payable by us.</w:t>
      </w:r>
    </w:p>
    <w:p>
      <w:pPr>
        <w:spacing w:after="0" w:line="163" w:lineRule="exact"/>
        <w:rPr>
          <w:sz w:val="20"/>
          <w:szCs w:val="20"/>
          <w:color w:val="auto"/>
        </w:rPr>
      </w:pPr>
    </w:p>
    <w:p>
      <w:pPr>
        <w:jc w:val="both"/>
        <w:ind w:right="580" w:firstLine="576"/>
        <w:spacing w:after="0" w:line="255" w:lineRule="auto"/>
        <w:rPr>
          <w:sz w:val="20"/>
          <w:szCs w:val="20"/>
          <w:color w:val="auto"/>
        </w:rPr>
      </w:pPr>
      <w:r>
        <w:rPr>
          <w:rFonts w:ascii="Arial" w:cs="Arial" w:eastAsia="Arial" w:hAnsi="Arial"/>
          <w:sz w:val="18"/>
          <w:szCs w:val="18"/>
          <w:color w:val="auto"/>
        </w:rPr>
        <w:t>You should read the information in this table together with our financial statements and related notes included elsewhere in this prospectus, as well as the sections of this prospectus titled “Selected Financial Data” and “Management’s Discussion and Analysis of Financial Condition and Results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As of June 30, 2020</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ind w:right="248"/>
              <w:spacing w:after="0" w:line="154"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(unaudited)</w:t>
            </w: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Cash and cash equivalents</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85,166</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83,666</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270,295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4"/>
                <w:szCs w:val="14"/>
                <w:color w:val="auto"/>
              </w:rPr>
              <w:t>Grant liability</w:t>
            </w: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40" w:type="dxa"/>
            <w:vAlign w:val="bottom"/>
            <w:gridSpan w:val="2"/>
            <w:vMerge w:val="continue"/>
          </w:tcPr>
          <w:p>
            <w:pPr>
              <w:spacing w:after="0"/>
              <w:rPr>
                <w:sz w:val="13"/>
                <w:szCs w:val="13"/>
                <w:color w:val="auto"/>
              </w:rPr>
            </w:pPr>
          </w:p>
        </w:tc>
        <w:tc>
          <w:tcPr>
            <w:tcW w:w="1180" w:type="dxa"/>
            <w:vAlign w:val="bottom"/>
            <w:gridSpan w:val="2"/>
          </w:tcPr>
          <w:p>
            <w:pPr>
              <w:jc w:val="right"/>
              <w:ind w:right="108"/>
              <w:spacing w:after="0" w:line="156"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4"/>
                <w:szCs w:val="14"/>
                <w:color w:val="auto"/>
              </w:rPr>
              <w:t>1,047</w:t>
            </w:r>
          </w:p>
        </w:tc>
        <w:tc>
          <w:tcPr>
            <w:tcW w:w="140" w:type="dxa"/>
            <w:vAlign w:val="bottom"/>
          </w:tcPr>
          <w:p>
            <w:pPr>
              <w:spacing w:after="0"/>
              <w:rPr>
                <w:sz w:val="13"/>
                <w:szCs w:val="13"/>
                <w:color w:val="auto"/>
              </w:rPr>
            </w:pPr>
          </w:p>
        </w:tc>
        <w:tc>
          <w:tcPr>
            <w:tcW w:w="240" w:type="dxa"/>
            <w:vAlign w:val="bottom"/>
            <w:gridSpan w:val="2"/>
          </w:tcPr>
          <w:p>
            <w:pPr>
              <w:ind w:left="100"/>
              <w:spacing w:after="0" w:line="156"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line="156"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20"/>
              <w:spacing w:after="0" w:line="156"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4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Convertible preferred stock, $0.0001 par value per share; 12,646,147</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shares authorized; 12,503,009 shares issued and outstanding,</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actual; no shares authorized, no shares issued and outstanding,</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pro forma and pro forma as adjusted</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92,537</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5740" w:type="dxa"/>
            <w:vAlign w:val="bottom"/>
            <w:gridSpan w:val="2"/>
          </w:tcPr>
          <w:p>
            <w:pPr>
              <w:spacing w:after="0"/>
              <w:rPr>
                <w:sz w:val="20"/>
                <w:szCs w:val="20"/>
                <w:color w:val="auto"/>
              </w:rPr>
            </w:pPr>
            <w:r>
              <w:rPr>
                <w:rFonts w:ascii="Arial" w:cs="Arial" w:eastAsia="Arial" w:hAnsi="Arial"/>
                <w:sz w:val="14"/>
                <w:szCs w:val="14"/>
                <w:color w:val="auto"/>
              </w:rPr>
              <w:t>Stockholders’ (deficit) equity:</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Preferred stock, $0.0001 par value per share; no shares</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authorized and no shares issued and outstanding, actual;</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100,000,000 shares authorized and no shares issued and</w:t>
            </w: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outstanding, pro forma and pro forma as adjusted</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40" w:type="dxa"/>
            <w:vAlign w:val="bottom"/>
            <w:gridSpan w:val="2"/>
          </w:tcPr>
          <w:p>
            <w:pPr>
              <w:ind w:left="260"/>
              <w:spacing w:after="0"/>
              <w:rPr>
                <w:sz w:val="20"/>
                <w:szCs w:val="20"/>
                <w:color w:val="auto"/>
              </w:rPr>
            </w:pPr>
            <w:r>
              <w:rPr>
                <w:rFonts w:ascii="Arial" w:cs="Arial" w:eastAsia="Arial" w:hAnsi="Arial"/>
                <w:sz w:val="14"/>
                <w:szCs w:val="14"/>
                <w:color w:val="auto"/>
              </w:rPr>
              <w:t>Common stock, $0.0001 par value per share, 23,076,341</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tcPr>
          <w:p>
            <w:pPr>
              <w:ind w:left="380"/>
              <w:spacing w:after="0"/>
              <w:rPr>
                <w:sz w:val="20"/>
                <w:szCs w:val="20"/>
                <w:color w:val="auto"/>
              </w:rPr>
            </w:pPr>
            <w:r>
              <w:rPr>
                <w:rFonts w:ascii="Arial" w:cs="Arial" w:eastAsia="Arial" w:hAnsi="Arial"/>
                <w:sz w:val="14"/>
                <w:szCs w:val="14"/>
                <w:color w:val="auto"/>
              </w:rPr>
              <w:t>shares authorized, 4,607,565 shares issued and outstanding,</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tcPr>
          <w:p>
            <w:pPr>
              <w:ind w:left="380"/>
              <w:spacing w:after="0"/>
              <w:rPr>
                <w:sz w:val="20"/>
                <w:szCs w:val="20"/>
                <w:color w:val="auto"/>
              </w:rPr>
            </w:pPr>
            <w:r>
              <w:rPr>
                <w:rFonts w:ascii="Arial" w:cs="Arial" w:eastAsia="Arial" w:hAnsi="Arial"/>
                <w:sz w:val="14"/>
                <w:szCs w:val="14"/>
                <w:color w:val="auto"/>
              </w:rPr>
              <w:t>actual; 900,000,000 shares authorized, 18,819,318 shares issued and</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40" w:type="dxa"/>
            <w:vAlign w:val="bottom"/>
            <w:gridSpan w:val="2"/>
          </w:tcPr>
          <w:p>
            <w:pPr>
              <w:ind w:left="380"/>
              <w:spacing w:after="0"/>
              <w:rPr>
                <w:sz w:val="20"/>
                <w:szCs w:val="20"/>
                <w:color w:val="auto"/>
              </w:rPr>
            </w:pPr>
            <w:r>
              <w:rPr>
                <w:rFonts w:ascii="Arial" w:cs="Arial" w:eastAsia="Arial" w:hAnsi="Arial"/>
                <w:sz w:val="14"/>
                <w:szCs w:val="14"/>
                <w:color w:val="auto"/>
              </w:rPr>
              <w:t>outstanding, pro forma; 900,000,000 shares authorized, 30,819,318</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740" w:type="dxa"/>
            <w:vAlign w:val="bottom"/>
            <w:gridSpan w:val="2"/>
          </w:tcPr>
          <w:p>
            <w:pPr>
              <w:ind w:left="380"/>
              <w:spacing w:after="0"/>
              <w:rPr>
                <w:sz w:val="20"/>
                <w:szCs w:val="20"/>
                <w:color w:val="auto"/>
              </w:rPr>
            </w:pPr>
            <w:r>
              <w:rPr>
                <w:rFonts w:ascii="Arial" w:cs="Arial" w:eastAsia="Arial" w:hAnsi="Arial"/>
                <w:sz w:val="14"/>
                <w:szCs w:val="14"/>
                <w:color w:val="auto"/>
              </w:rPr>
              <w:t>shares issued and outstanding, pro forma as adjusted</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gridSpan w:val="2"/>
            <w:shd w:val="clear" w:color="auto" w:fill="CFF0FC"/>
          </w:tcPr>
          <w:p>
            <w:pPr>
              <w:ind w:left="260"/>
              <w:spacing w:after="0"/>
              <w:rPr>
                <w:sz w:val="20"/>
                <w:szCs w:val="20"/>
                <w:color w:val="auto"/>
              </w:rPr>
            </w:pPr>
            <w:r>
              <w:rPr>
                <w:rFonts w:ascii="Arial" w:cs="Arial" w:eastAsia="Arial" w:hAnsi="Arial"/>
                <w:sz w:val="14"/>
                <w:szCs w:val="14"/>
                <w:color w:val="auto"/>
              </w:rPr>
              <w:t>Additional paid-in capital</w:t>
            </w: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12,355</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105,254</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291,673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40" w:type="dxa"/>
            <w:vAlign w:val="bottom"/>
            <w:gridSpan w:val="2"/>
          </w:tcPr>
          <w:p>
            <w:pPr>
              <w:ind w:left="260"/>
              <w:spacing w:after="0"/>
              <w:rPr>
                <w:sz w:val="20"/>
                <w:szCs w:val="20"/>
                <w:color w:val="auto"/>
              </w:rPr>
            </w:pPr>
            <w:r>
              <w:rPr>
                <w:rFonts w:ascii="Arial" w:cs="Arial" w:eastAsia="Arial" w:hAnsi="Arial"/>
                <w:sz w:val="14"/>
                <w:szCs w:val="14"/>
                <w:color w:val="auto"/>
              </w:rPr>
              <w:t>Accumulated deficit</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4"/>
                <w:szCs w:val="14"/>
                <w:color w:val="auto"/>
              </w:rPr>
              <w:t>(24,884)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(25,337)</w:t>
            </w:r>
          </w:p>
        </w:tc>
        <w:tc>
          <w:tcPr>
            <w:tcW w:w="1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(25,337)</w:t>
            </w:r>
          </w:p>
        </w:tc>
        <w:tc>
          <w:tcPr>
            <w:tcW w:w="0" w:type="dxa"/>
            <w:vAlign w:val="bottom"/>
          </w:tcPr>
          <w:p>
            <w:pPr>
              <w:spacing w:after="0"/>
              <w:rPr>
                <w:sz w:val="1"/>
                <w:szCs w:val="1"/>
                <w:color w:val="auto"/>
              </w:rPr>
            </w:pPr>
          </w:p>
        </w:tc>
      </w:tr>
      <w:tr>
        <w:trPr>
          <w:trHeight w:val="20"/>
        </w:trPr>
        <w:tc>
          <w:tcPr>
            <w:tcW w:w="5740" w:type="dxa"/>
            <w:vAlign w:val="bottom"/>
            <w:gridSpan w:val="2"/>
            <w:vMerge w:val="restart"/>
            <w:shd w:val="clear" w:color="auto" w:fill="CFF0FC"/>
          </w:tcPr>
          <w:p>
            <w:pPr>
              <w:spacing w:after="0"/>
              <w:rPr>
                <w:sz w:val="20"/>
                <w:szCs w:val="20"/>
                <w:color w:val="auto"/>
              </w:rPr>
            </w:pPr>
            <w:r>
              <w:rPr>
                <w:rFonts w:ascii="Arial" w:cs="Arial" w:eastAsia="Arial" w:hAnsi="Arial"/>
                <w:sz w:val="14"/>
                <w:szCs w:val="14"/>
                <w:color w:val="auto"/>
              </w:rPr>
              <w:t>Total stockholders’ (deficit) equity</w:t>
            </w: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40" w:type="dxa"/>
            <w:vAlign w:val="bottom"/>
            <w:gridSpan w:val="2"/>
            <w:vMerge w:val="continue"/>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(12,529)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79,919</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266,339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40" w:type="dxa"/>
            <w:vAlign w:val="bottom"/>
            <w:gridSpan w:val="2"/>
          </w:tcPr>
          <w:p>
            <w:pPr>
              <w:ind w:left="260"/>
              <w:spacing w:after="0"/>
              <w:rPr>
                <w:sz w:val="20"/>
                <w:szCs w:val="20"/>
                <w:color w:val="auto"/>
              </w:rPr>
            </w:pPr>
            <w:r>
              <w:rPr>
                <w:rFonts w:ascii="Arial" w:cs="Arial" w:eastAsia="Arial" w:hAnsi="Arial"/>
                <w:sz w:val="14"/>
                <w:szCs w:val="14"/>
                <w:color w:val="auto"/>
              </w:rPr>
              <w:t>Total capitalization</w:t>
            </w:r>
          </w:p>
        </w:tc>
        <w:tc>
          <w:tcPr>
            <w:tcW w:w="9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81,055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79,919</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266,339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tcBorders>
              <w:bottom w:val="single" w:sz="8" w:color="auto"/>
            </w:tcBorders>
          </w:tcPr>
          <w:p>
            <w:pPr>
              <w:spacing w:after="0"/>
              <w:rPr>
                <w:sz w:val="12"/>
                <w:szCs w:val="12"/>
                <w:color w:val="auto"/>
              </w:rPr>
            </w:pPr>
          </w:p>
        </w:tc>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The number of shares of our common stock issued and outstanding, pro forma and pro forma as adjusted in the table above is based on 18,819,318 shares of common stock outstanding as of June 30, 2020 (including our convertible preferred stock on an as-converted basis and the net exercise of outstanding warrants), and excludes:</w:t>
      </w:r>
    </w:p>
    <w:p>
      <w:pPr>
        <w:spacing w:after="0" w:line="56" w:lineRule="exact"/>
        <w:rPr>
          <w:sz w:val="20"/>
          <w:szCs w:val="20"/>
          <w:color w:val="auto"/>
        </w:rPr>
      </w:pPr>
    </w:p>
    <w:p>
      <w:pPr>
        <w:ind w:left="1300" w:right="180" w:hanging="442"/>
        <w:spacing w:after="0" w:line="275" w:lineRule="auto"/>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4" w:name="page85"/>
    <w:bookmarkEnd w:id="84"/>
    <w:p>
      <w:pPr>
        <w:ind w:left="442" w:right="20" w:hanging="442"/>
        <w:spacing w:after="0" w:line="244" w:lineRule="auto"/>
        <w:tabs>
          <w:tab w:leader="none" w:pos="442"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does not give effect to the grant of 943,223 shares of common stock issuable upon the exercise of stock options which were granted on the effective date of the registration statement of which this prospectus forms a part, under our 2020 Equity Incentive Plan, at an exercise price equal to the initial public offering price of our common stock), which became effective on the business day immediately prior to the date of effectiveness of the registration statement of which this prospectus forms a part;</w:t>
      </w:r>
    </w:p>
    <w:p>
      <w:pPr>
        <w:spacing w:after="0" w:line="67" w:lineRule="exact"/>
        <w:rPr>
          <w:rFonts w:ascii="Times New Roman" w:cs="Times New Roman" w:eastAsia="Times New Roman" w:hAnsi="Times New Roman"/>
          <w:sz w:val="18"/>
          <w:szCs w:val="18"/>
          <w:color w:val="auto"/>
        </w:rPr>
      </w:pPr>
    </w:p>
    <w:p>
      <w:pPr>
        <w:ind w:left="442" w:hanging="442"/>
        <w:spacing w:after="0" w:line="255" w:lineRule="auto"/>
        <w:tabs>
          <w:tab w:leader="none" w:pos="442"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became effective on the business day immediately prior to the date of effectiveness of the registration statement of which this prospectus forms a part; and</w:t>
      </w:r>
    </w:p>
    <w:p>
      <w:pPr>
        <w:spacing w:after="0" w:line="54" w:lineRule="exact"/>
        <w:rPr>
          <w:rFonts w:ascii="Times New Roman" w:cs="Times New Roman" w:eastAsia="Times New Roman" w:hAnsi="Times New Roman"/>
          <w:sz w:val="18"/>
          <w:szCs w:val="18"/>
          <w:color w:val="auto"/>
        </w:rPr>
      </w:pPr>
    </w:p>
    <w:p>
      <w:pPr>
        <w:ind w:left="442" w:right="100" w:hanging="442"/>
        <w:spacing w:after="0" w:line="255" w:lineRule="auto"/>
        <w:tabs>
          <w:tab w:leader="none" w:pos="442"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3,051 shares of common stock upon the automatic net exercise of a warrant to purchase common stock we issued in August 2020, which exercise will occur immediately prior to the closing of this offering at an exercise price of $9.52 per share.</w:t>
      </w:r>
    </w:p>
    <w:p>
      <w:pPr>
        <w:spacing w:after="0" w:line="379" w:lineRule="exact"/>
        <w:rPr>
          <w:sz w:val="20"/>
          <w:szCs w:val="20"/>
          <w:color w:val="auto"/>
        </w:rPr>
      </w:pPr>
    </w:p>
    <w:p>
      <w:pPr>
        <w:ind w:left="4602"/>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-539115</wp:posOffset>
            </wp:positionH>
            <wp:positionV relativeFrom="paragraph">
              <wp:posOffset>80010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82"/>
          </w:cols>
          <w:pgMar w:left="1178" w:top="468" w:right="3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If you invest in our common stock you will experience immediate and substantial dilution in the pro forma net tangible book value of your shares of common stock. Dilution in pro forma net tangible book value represents the difference between the initial public offering price per share of our common stock and the pro forma as adjusted net tangible book value per share of our common stock.</w:t>
      </w:r>
    </w:p>
    <w:p>
      <w:pPr>
        <w:spacing w:after="0" w:line="164"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Historical net tangible book value (deficit) represents our total tangible assets (total assets less deferred offering costs) less total liabilities and our convertible preferred stock. As of June 30, 2020, our historical net tangible book deficit was $12.9 million and our historical net tangible book deficit per share was $2.81.</w:t>
      </w:r>
    </w:p>
    <w:p>
      <w:pPr>
        <w:spacing w:after="0" w:line="164" w:lineRule="exact"/>
        <w:rPr>
          <w:sz w:val="20"/>
          <w:szCs w:val="20"/>
          <w:color w:val="auto"/>
        </w:rPr>
      </w:pPr>
    </w:p>
    <w:p>
      <w:pPr>
        <w:ind w:right="160" w:firstLine="576"/>
        <w:spacing w:after="0" w:line="268" w:lineRule="auto"/>
        <w:rPr>
          <w:sz w:val="20"/>
          <w:szCs w:val="20"/>
          <w:color w:val="auto"/>
        </w:rPr>
      </w:pPr>
      <w:r>
        <w:rPr>
          <w:rFonts w:ascii="Arial" w:cs="Arial" w:eastAsia="Arial" w:hAnsi="Arial"/>
          <w:sz w:val="17"/>
          <w:szCs w:val="17"/>
          <w:color w:val="auto"/>
        </w:rPr>
        <w:t>On a pro forma basis, after giving effect to the automatic conversion of all outstanding shares of convertible preferred stock into an aggregate of 12,503,009 shares of our common stock in connection with this offering and the issuance of an aggregate of 1,708,744 shares of our common stock upon the net exercise of outstanding warrants immediately prior to the closing of this offering, and the repayment of $1.5 million in grant liability, our pro forma net tangible book value as of June 30, 2020 would have been $79.5 million, or $4.22 per share.</w:t>
      </w:r>
    </w:p>
    <w:p>
      <w:pPr>
        <w:spacing w:after="0" w:line="153" w:lineRule="exact"/>
        <w:rPr>
          <w:sz w:val="20"/>
          <w:szCs w:val="20"/>
          <w:color w:val="auto"/>
        </w:rPr>
      </w:pPr>
    </w:p>
    <w:p>
      <w:pPr>
        <w:jc w:val="both"/>
        <w:ind w:right="80" w:firstLine="576"/>
        <w:spacing w:after="0" w:line="243" w:lineRule="auto"/>
        <w:rPr>
          <w:sz w:val="20"/>
          <w:szCs w:val="20"/>
          <w:color w:val="auto"/>
        </w:rPr>
      </w:pPr>
      <w:r>
        <w:rPr>
          <w:rFonts w:ascii="Arial" w:cs="Arial" w:eastAsia="Arial" w:hAnsi="Arial"/>
          <w:sz w:val="18"/>
          <w:szCs w:val="18"/>
          <w:color w:val="auto"/>
        </w:rPr>
        <w:t>On a pro forma basis, after giving further effect to the sale and issuance of 12,000,000 shares of our common stock in this offering at the initial public offering price of $17.00 per share, after deducting underwriting discounts and commissions and estimated offering expenses payable by us, our pro forma as adjusted net tangible book value as of June 30, 2020 would have been $266.3 million, or $8.64 per share.</w:t>
      </w:r>
    </w:p>
    <w:p>
      <w:pPr>
        <w:spacing w:after="0" w:line="1"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color w:val="auto"/>
        </w:rPr>
        <w:t>This represents an immediate increase in pro forma net tangible book value of $4.42 per share to existing stockholders and an immediate dilution of the pro forma net tangible book value of $8.36 per share to new investors purchasing common stock in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00" w:type="dxa"/>
            <w:vAlign w:val="bottom"/>
          </w:tcPr>
          <w:p>
            <w:pPr>
              <w:ind w:left="580"/>
              <w:spacing w:after="0"/>
              <w:rPr>
                <w:sz w:val="20"/>
                <w:szCs w:val="20"/>
                <w:color w:val="auto"/>
              </w:rPr>
            </w:pPr>
            <w:r>
              <w:rPr>
                <w:rFonts w:ascii="Arial" w:cs="Arial" w:eastAsia="Arial" w:hAnsi="Arial"/>
                <w:sz w:val="18"/>
                <w:szCs w:val="18"/>
                <w:color w:val="auto"/>
              </w:rPr>
              <w:t>The following table illustrates this dilution on a per share basis to new investors:</w:t>
            </w: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98"/>
        </w:trPr>
        <w:tc>
          <w:tcPr>
            <w:tcW w:w="7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Initial public offering price per share</w:t>
            </w:r>
          </w:p>
        </w:tc>
        <w:tc>
          <w:tcPr>
            <w:tcW w:w="62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140"/>
              <w:spacing w:after="0" w:line="193" w:lineRule="exact"/>
              <w:rPr>
                <w:sz w:val="20"/>
                <w:szCs w:val="20"/>
                <w:color w:val="auto"/>
              </w:rPr>
            </w:pPr>
            <w:r>
              <w:rPr>
                <w:rFonts w:ascii="Arial" w:cs="Arial" w:eastAsia="Arial" w:hAnsi="Arial"/>
                <w:sz w:val="18"/>
                <w:szCs w:val="18"/>
                <w:color w:val="auto"/>
              </w:rPr>
              <w:t>Historical net tangible book value (deficit) per share</w:t>
            </w: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280"/>
              <w:spacing w:after="0"/>
              <w:rPr>
                <w:sz w:val="20"/>
                <w:szCs w:val="20"/>
                <w:color w:val="auto"/>
              </w:rPr>
            </w:pPr>
            <w:r>
              <w:rPr>
                <w:rFonts w:ascii="Arial" w:cs="Arial" w:eastAsia="Arial" w:hAnsi="Arial"/>
                <w:sz w:val="18"/>
                <w:szCs w:val="18"/>
                <w:color w:val="auto"/>
              </w:rPr>
              <w:t>as of June 30, 2020</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(2.81)</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3"/>
        </w:trPr>
        <w:tc>
          <w:tcPr>
            <w:tcW w:w="77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Pro forma increase in historical net tangible book deficit per share</w:t>
            </w: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03"/>
        </w:trPr>
        <w:tc>
          <w:tcPr>
            <w:tcW w:w="7700" w:type="dxa"/>
            <w:vAlign w:val="bottom"/>
            <w:shd w:val="clear" w:color="auto" w:fill="CFF0FC"/>
          </w:tcPr>
          <w:p>
            <w:pPr>
              <w:ind w:left="280"/>
              <w:spacing w:after="0" w:line="202" w:lineRule="exact"/>
              <w:rPr>
                <w:sz w:val="20"/>
                <w:szCs w:val="20"/>
                <w:color w:val="auto"/>
              </w:rPr>
            </w:pPr>
            <w:r>
              <w:rPr>
                <w:rFonts w:ascii="Arial" w:cs="Arial" w:eastAsia="Arial" w:hAnsi="Arial"/>
                <w:sz w:val="18"/>
                <w:szCs w:val="18"/>
                <w:color w:val="auto"/>
              </w:rPr>
              <w:t>as of June 30, 2020 attributable to the pro forma adjustments</w:t>
            </w:r>
          </w:p>
        </w:tc>
        <w:tc>
          <w:tcPr>
            <w:tcW w:w="6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5"/>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identified above</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09"/>
        </w:trPr>
        <w:tc>
          <w:tcPr>
            <w:tcW w:w="7700" w:type="dxa"/>
            <w:vAlign w:val="bottom"/>
          </w:tcPr>
          <w:p>
            <w:pPr>
              <w:ind w:left="140"/>
              <w:spacing w:after="0"/>
              <w:rPr>
                <w:sz w:val="20"/>
                <w:szCs w:val="20"/>
                <w:color w:val="auto"/>
              </w:rPr>
            </w:pPr>
            <w:r>
              <w:rPr>
                <w:rFonts w:ascii="Arial" w:cs="Arial" w:eastAsia="Arial" w:hAnsi="Arial"/>
                <w:sz w:val="18"/>
                <w:szCs w:val="18"/>
                <w:color w:val="auto"/>
              </w:rPr>
              <w:t>Pro forma net tangible book value per share as of June 30, 2020</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4.22</w:t>
            </w: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7700" w:type="dxa"/>
            <w:vAlign w:val="bottom"/>
            <w:shd w:val="clear" w:color="auto" w:fill="CFF0FC"/>
          </w:tcPr>
          <w:p>
            <w:pPr>
              <w:ind w:left="140"/>
              <w:spacing w:after="0" w:line="193" w:lineRule="exact"/>
              <w:rPr>
                <w:sz w:val="20"/>
                <w:szCs w:val="20"/>
                <w:color w:val="auto"/>
              </w:rPr>
            </w:pPr>
            <w:r>
              <w:rPr>
                <w:rFonts w:ascii="Arial" w:cs="Arial" w:eastAsia="Arial" w:hAnsi="Arial"/>
                <w:sz w:val="18"/>
                <w:szCs w:val="18"/>
                <w:color w:val="auto"/>
              </w:rPr>
              <w:t>Increase in pro forma net tangible book value per share</w:t>
            </w:r>
          </w:p>
        </w:tc>
        <w:tc>
          <w:tcPr>
            <w:tcW w:w="6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attributable to new investors participating in the offering</w:t>
            </w:r>
          </w:p>
        </w:tc>
        <w:tc>
          <w:tcPr>
            <w:tcW w:w="6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3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187"/>
        </w:trPr>
        <w:tc>
          <w:tcPr>
            <w:tcW w:w="7700" w:type="dxa"/>
            <w:vAlign w:val="bottom"/>
          </w:tcPr>
          <w:p>
            <w:pPr>
              <w:spacing w:after="0" w:line="187" w:lineRule="exact"/>
              <w:rPr>
                <w:sz w:val="20"/>
                <w:szCs w:val="20"/>
                <w:color w:val="auto"/>
              </w:rPr>
            </w:pPr>
            <w:r>
              <w:rPr>
                <w:rFonts w:ascii="Arial" w:cs="Arial" w:eastAsia="Arial" w:hAnsi="Arial"/>
                <w:sz w:val="18"/>
                <w:szCs w:val="18"/>
                <w:color w:val="auto"/>
              </w:rPr>
              <w:t>Pro forma as adjusted net tangible book value per share</w:t>
            </w: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after this offering</w:t>
            </w:r>
          </w:p>
        </w:tc>
        <w:tc>
          <w:tcPr>
            <w:tcW w:w="6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120" w:type="dxa"/>
            <w:vAlign w:val="bottom"/>
            <w:tcBorders>
              <w:bottom w:val="single" w:sz="8" w:color="CFF0FC"/>
            </w:tcBorders>
          </w:tcPr>
          <w:p>
            <w:pPr>
              <w:spacing w:after="0"/>
              <w:rPr>
                <w:sz w:val="19"/>
                <w:szCs w:val="19"/>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62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If the underwriters exercise their option in full to purchase 1,800,000 additional shares of common stock in this offering, the pro forma as adjusted net tangible book value per share after the offering would be $9.04 per share, the increase in the pro forma net tangible book value per share to existing stockholders would be $0.40 per share, and the pro forma as adjusted dilution to new investors purchasing common stock in this offering would be $7.96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86" w:name="page87"/>
    <w:bookmarkEnd w:id="86"/>
    <w:p>
      <w:pPr>
        <w:ind w:right="20" w:firstLine="576"/>
        <w:spacing w:after="0" w:line="248" w:lineRule="auto"/>
        <w:rPr>
          <w:sz w:val="20"/>
          <w:szCs w:val="20"/>
          <w:color w:val="auto"/>
        </w:rPr>
      </w:pPr>
      <w:r>
        <w:rPr>
          <w:rFonts w:ascii="Arial" w:cs="Arial" w:eastAsia="Arial" w:hAnsi="Arial"/>
          <w:sz w:val="18"/>
          <w:szCs w:val="18"/>
          <w:color w:val="auto"/>
        </w:rPr>
        <w:t>The following table summarizes, on a pro forma as adjusted basis as described above as of June 30, 2020, the differences between the number of shares of common stock purchased from us, the total consideration and the weighted-average price per share paid by existing stockholders and by investors participating in this offering at the initial public offering price of $17.00 per share, before deducting underwriting discounts and commissions and estimated offering expenses payable by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4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r>
      <w:tr>
        <w:trPr>
          <w:trHeight w:val="177"/>
        </w:trPr>
        <w:tc>
          <w:tcPr>
            <w:tcW w:w="4980" w:type="dxa"/>
            <w:vAlign w:val="bottom"/>
          </w:tcPr>
          <w:p>
            <w:pPr>
              <w:spacing w:after="0"/>
              <w:rPr>
                <w:sz w:val="15"/>
                <w:szCs w:val="15"/>
                <w:color w:val="auto"/>
              </w:rPr>
            </w:pPr>
          </w:p>
        </w:tc>
        <w:tc>
          <w:tcPr>
            <w:tcW w:w="25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Shares Purchased</w:t>
            </w:r>
          </w:p>
        </w:tc>
        <w:tc>
          <w:tcPr>
            <w:tcW w:w="25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Total Consideration</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r>
      <w:tr>
        <w:trPr>
          <w:trHeight w:val="169"/>
        </w:trPr>
        <w:tc>
          <w:tcPr>
            <w:tcW w:w="498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Number</w:t>
            </w:r>
          </w:p>
        </w:tc>
        <w:tc>
          <w:tcPr>
            <w:tcW w:w="220" w:type="dxa"/>
            <w:vAlign w:val="bottom"/>
            <w:tcBorders>
              <w:top w:val="single" w:sz="8" w:color="auto"/>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Percent</w:t>
            </w:r>
          </w:p>
        </w:tc>
        <w:tc>
          <w:tcPr>
            <w:tcW w:w="280" w:type="dxa"/>
            <w:vAlign w:val="bottom"/>
            <w:tcBorders>
              <w:bottom w:val="single" w:sz="8" w:color="CFF0FC"/>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top w:val="single" w:sz="8" w:color="auto"/>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Percent</w:t>
            </w: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FF0FC"/>
            </w:tcBorders>
          </w:tcPr>
          <w:p>
            <w:pPr>
              <w:spacing w:after="0"/>
              <w:rPr>
                <w:sz w:val="14"/>
                <w:szCs w:val="14"/>
                <w:color w:val="auto"/>
              </w:rPr>
            </w:pPr>
          </w:p>
        </w:tc>
      </w:tr>
      <w:tr>
        <w:trPr>
          <w:trHeight w:val="20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Existing stockholders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18,819,318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$ 102,427,000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8"/>
                <w:szCs w:val="18"/>
                <w:color w:val="auto"/>
              </w:rPr>
            </w:pPr>
          </w:p>
        </w:tc>
      </w:tr>
      <w:tr>
        <w:trPr>
          <w:trHeight w:val="216"/>
        </w:trPr>
        <w:tc>
          <w:tcPr>
            <w:tcW w:w="4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New public investors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12,000,000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c>
          <w:tcPr>
            <w:tcW w:w="28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204,000,000</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bottom w:val="single" w:sz="8" w:color="CFF0FC"/>
            </w:tcBorders>
          </w:tcPr>
          <w:p>
            <w:pPr>
              <w:spacing w:after="0"/>
              <w:rPr>
                <w:sz w:val="18"/>
                <w:szCs w:val="18"/>
                <w:color w:val="auto"/>
              </w:rPr>
            </w:pPr>
          </w:p>
        </w:tc>
      </w:tr>
      <w:tr>
        <w:trPr>
          <w:trHeight w:val="210"/>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30,819,318</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$ 306,427,000</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4"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color w:val="auto"/>
        </w:rPr>
        <w:t>The foregoing tables and calculations (other than the historical net tangible book value calculation) are based on the 18,819,318 shares of common stock outstanding as of June 30, 2020 (including our convertible preferred stock on an as-converted basis and the net exercise of outstanding warrants), which excludes:</w:t>
      </w:r>
    </w:p>
    <w:p>
      <w:pPr>
        <w:spacing w:after="0" w:line="56" w:lineRule="exact"/>
        <w:rPr>
          <w:sz w:val="20"/>
          <w:szCs w:val="20"/>
          <w:color w:val="auto"/>
        </w:rPr>
      </w:pPr>
    </w:p>
    <w:p>
      <w:pPr>
        <w:ind w:left="1300" w:right="180" w:hanging="442"/>
        <w:spacing w:after="0" w:line="275" w:lineRule="auto"/>
        <w:tabs>
          <w:tab w:leader="none" w:pos="13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1,258,787 shares of common stock issuable upon the exercise of outstanding options as of June 30, 2020 with a weighted-average exercise price of $1.07 per share;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945,121 shares of common stock reserved for future issuance under our 2014 Equity Incentive Plan as of June 30, 2020;</w:t>
      </w:r>
    </w:p>
    <w:p>
      <w:pPr>
        <w:spacing w:after="0" w:line="116" w:lineRule="exact"/>
        <w:rPr>
          <w:rFonts w:ascii="Times New Roman" w:cs="Times New Roman" w:eastAsia="Times New Roman" w:hAnsi="Times New Roman"/>
          <w:sz w:val="18"/>
          <w:szCs w:val="18"/>
          <w:color w:val="auto"/>
        </w:rPr>
      </w:pPr>
    </w:p>
    <w:p>
      <w:pPr>
        <w:ind w:left="1300" w:right="20" w:hanging="442"/>
        <w:spacing w:after="0" w:line="244" w:lineRule="auto"/>
        <w:tabs>
          <w:tab w:leader="none" w:pos="13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4,733,500 shares of common stock reserved for future issuance under our 2020 Equity Incentive Plan (which does not give effect to the grant of 943,223 shares of common stock issuable upon the exercise of stock options which were granted on the effective date of the registration statement of which this prospectus forms a part, under our 2020 Equity Incentive Plan, at an exercise price equal to the initial public offering price of our common stock), which became effective on the business day immediately prior to the date of effectiveness of the registration statement of which this prospectus forms a part;</w:t>
      </w:r>
    </w:p>
    <w:p>
      <w:pPr>
        <w:spacing w:after="0" w:line="67"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323,000 shares of common stock reserved for future issuance under our 2020 Employee Stock Purchase Plan, which became effective on the business day immediately prior to the date of effectiveness of the registration statement of which this prospectus forms a part; and</w:t>
      </w:r>
    </w:p>
    <w:p>
      <w:pPr>
        <w:spacing w:after="0" w:line="54" w:lineRule="exact"/>
        <w:rPr>
          <w:rFonts w:ascii="Times New Roman" w:cs="Times New Roman" w:eastAsia="Times New Roman" w:hAnsi="Times New Roman"/>
          <w:sz w:val="18"/>
          <w:szCs w:val="18"/>
          <w:color w:val="auto"/>
        </w:rPr>
      </w:pPr>
    </w:p>
    <w:p>
      <w:pPr>
        <w:ind w:left="1300" w:right="100" w:hanging="442"/>
        <w:spacing w:after="0" w:line="255" w:lineRule="auto"/>
        <w:tabs>
          <w:tab w:leader="none" w:pos="130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3,051 shares of common stock upon the automatic net exercise of a warrant to purchase common stock we issued in August 2020, which exercise will occur immediately prior to the closing of this offering at an exercise price of $9.52 per share.</w:t>
      </w:r>
    </w:p>
    <w:p>
      <w:pPr>
        <w:spacing w:after="0" w:line="163"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To the extent that any outstanding options are exercised, new options or other equity awards are issued under our equity incentive plans, or we issue additional shares in the future, there will be further dilution to new investors participating in this offering.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tables set forth our selected financial data. The selected statements of operations data for the years ended</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2019 and the selected balance sheet data as of December 31, 2018 and 2019 are derived from our audited financial</w:t>
      </w:r>
    </w:p>
    <w:p>
      <w:pPr>
        <w:spacing w:after="0" w:line="234" w:lineRule="auto"/>
        <w:rPr>
          <w:sz w:val="20"/>
          <w:szCs w:val="20"/>
          <w:color w:val="auto"/>
        </w:rPr>
      </w:pPr>
      <w:r>
        <w:rPr>
          <w:rFonts w:ascii="Arial" w:cs="Arial" w:eastAsia="Arial" w:hAnsi="Arial"/>
          <w:sz w:val="18"/>
          <w:szCs w:val="18"/>
          <w:color w:val="auto"/>
        </w:rPr>
        <w:t>statements included elsewhere in this prospectus. The selected statements of operations data for the six months ended June 30, 2019 and</w:t>
      </w:r>
    </w:p>
    <w:p>
      <w:pPr>
        <w:spacing w:after="0" w:line="235" w:lineRule="auto"/>
        <w:rPr>
          <w:sz w:val="20"/>
          <w:szCs w:val="20"/>
          <w:color w:val="auto"/>
        </w:rPr>
      </w:pPr>
      <w:r>
        <w:rPr>
          <w:rFonts w:ascii="Arial" w:cs="Arial" w:eastAsia="Arial" w:hAnsi="Arial"/>
          <w:sz w:val="18"/>
          <w:szCs w:val="18"/>
          <w:color w:val="auto"/>
        </w:rPr>
        <w:t>2020 and the selected balance sheet data as of June 30, 2020 are derived from our unaudited interim condensed financial statements</w:t>
      </w:r>
    </w:p>
    <w:p>
      <w:pPr>
        <w:spacing w:after="0" w:line="235" w:lineRule="auto"/>
        <w:rPr>
          <w:sz w:val="20"/>
          <w:szCs w:val="20"/>
          <w:color w:val="auto"/>
        </w:rPr>
      </w:pPr>
      <w:r>
        <w:rPr>
          <w:rFonts w:ascii="Arial" w:cs="Arial" w:eastAsia="Arial" w:hAnsi="Arial"/>
          <w:sz w:val="18"/>
          <w:szCs w:val="18"/>
          <w:color w:val="auto"/>
        </w:rPr>
        <w:t>included elsewhere in this prospectus. Our unaudited interim condensed financial statements have been prepared on a basis similar to our</w:t>
      </w:r>
    </w:p>
    <w:p>
      <w:pPr>
        <w:spacing w:after="0" w:line="235" w:lineRule="auto"/>
        <w:rPr>
          <w:sz w:val="20"/>
          <w:szCs w:val="20"/>
          <w:color w:val="auto"/>
        </w:rPr>
      </w:pPr>
      <w:r>
        <w:rPr>
          <w:rFonts w:ascii="Arial" w:cs="Arial" w:eastAsia="Arial" w:hAnsi="Arial"/>
          <w:sz w:val="18"/>
          <w:szCs w:val="18"/>
          <w:color w:val="auto"/>
        </w:rPr>
        <w:t>audited financial statements and, in the opinion of management, reflect all adjustments, consisting solely of normal recurring adjustments,</w:t>
      </w:r>
    </w:p>
    <w:p>
      <w:pPr>
        <w:spacing w:after="0" w:line="235" w:lineRule="auto"/>
        <w:rPr>
          <w:sz w:val="20"/>
          <w:szCs w:val="20"/>
          <w:color w:val="auto"/>
        </w:rPr>
      </w:pPr>
      <w:r>
        <w:rPr>
          <w:rFonts w:ascii="Arial" w:cs="Arial" w:eastAsia="Arial" w:hAnsi="Arial"/>
          <w:sz w:val="18"/>
          <w:szCs w:val="18"/>
          <w:color w:val="auto"/>
        </w:rPr>
        <w:t>necessary for the fair presentation of the financial information in those statements. You should read this selected data together with our</w:t>
      </w:r>
    </w:p>
    <w:p>
      <w:pPr>
        <w:spacing w:after="0" w:line="234" w:lineRule="auto"/>
        <w:rPr>
          <w:sz w:val="20"/>
          <w:szCs w:val="20"/>
          <w:color w:val="auto"/>
        </w:rPr>
      </w:pPr>
      <w:r>
        <w:rPr>
          <w:rFonts w:ascii="Arial" w:cs="Arial" w:eastAsia="Arial" w:hAnsi="Arial"/>
          <w:sz w:val="18"/>
          <w:szCs w:val="18"/>
          <w:color w:val="auto"/>
        </w:rPr>
        <w:t>financial statements and related notes appearing elsewhere in this prospectus and the information in the section of this prospectus titled</w:t>
      </w:r>
    </w:p>
    <w:p>
      <w:pPr>
        <w:spacing w:after="0" w:line="235" w:lineRule="auto"/>
        <w:rPr>
          <w:sz w:val="20"/>
          <w:szCs w:val="20"/>
          <w:color w:val="auto"/>
        </w:rPr>
      </w:pPr>
      <w:r>
        <w:rPr>
          <w:rFonts w:ascii="Arial" w:cs="Arial" w:eastAsia="Arial" w:hAnsi="Arial"/>
          <w:sz w:val="18"/>
          <w:szCs w:val="18"/>
          <w:color w:val="auto"/>
        </w:rPr>
        <w:t>“Management’s Discussion and Analysis of Financial Condition and Results of Operations.” Our historical results are not necessarily</w:t>
      </w:r>
    </w:p>
    <w:p>
      <w:pPr>
        <w:spacing w:after="0" w:line="235" w:lineRule="auto"/>
        <w:rPr>
          <w:sz w:val="20"/>
          <w:szCs w:val="20"/>
          <w:color w:val="auto"/>
        </w:rPr>
      </w:pPr>
      <w:r>
        <w:rPr>
          <w:rFonts w:ascii="Arial" w:cs="Arial" w:eastAsia="Arial" w:hAnsi="Arial"/>
          <w:sz w:val="18"/>
          <w:szCs w:val="18"/>
          <w:color w:val="auto"/>
        </w:rPr>
        <w:t>indicative of our future results, and the results of operations for the six months ended June 30, 2020 are not necessarily indicative of the</w:t>
      </w:r>
    </w:p>
    <w:p>
      <w:pPr>
        <w:spacing w:after="0" w:line="235" w:lineRule="auto"/>
        <w:rPr>
          <w:sz w:val="20"/>
          <w:szCs w:val="20"/>
          <w:color w:val="auto"/>
        </w:rPr>
      </w:pPr>
      <w:r>
        <w:rPr>
          <w:rFonts w:ascii="Arial" w:cs="Arial" w:eastAsia="Arial" w:hAnsi="Arial"/>
          <w:sz w:val="18"/>
          <w:szCs w:val="18"/>
          <w:color w:val="auto"/>
        </w:rPr>
        <w:t>results to be expected for the full year ending December 31, 2020 or any other period. The selected financial data in this section are not</w:t>
      </w:r>
    </w:p>
    <w:p>
      <w:pPr>
        <w:spacing w:after="0"/>
        <w:rPr>
          <w:sz w:val="20"/>
          <w:szCs w:val="20"/>
          <w:color w:val="auto"/>
        </w:rPr>
      </w:pPr>
      <w:r>
        <w:rPr>
          <w:rFonts w:ascii="Arial" w:cs="Arial" w:eastAsia="Arial" w:hAnsi="Arial"/>
          <w:sz w:val="18"/>
          <w:szCs w:val="18"/>
          <w:color w:val="auto"/>
        </w:rPr>
        <w:t>intended to replace our financial statements and the related notes included elsewhere in this prospectus.</w:t>
      </w:r>
    </w:p>
    <w:p>
      <w:pPr>
        <w:sectPr>
          <w:pgSz w:w="11900" w:h="16838" w:orient="portrait"/>
          <w:cols w:equalWidth="0" w:num="1">
            <w:col w:w="11240"/>
          </w:cols>
          <w:pgMar w:left="320" w:top="358" w:right="339" w:bottom="1440" w:gutter="0" w:footer="0" w:header="0"/>
        </w:sectPr>
      </w:pPr>
    </w:p>
    <w:p>
      <w:pPr>
        <w:spacing w:after="0" w:line="265" w:lineRule="exact"/>
        <w:rPr>
          <w:sz w:val="20"/>
          <w:szCs w:val="20"/>
          <w:color w:val="auto"/>
        </w:rPr>
      </w:pPr>
    </w:p>
    <w:p>
      <w:pPr>
        <w:ind w:left="6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10160</wp:posOffset>
            </wp:positionV>
            <wp:extent cx="16116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6220"/>
        <w:spacing w:after="0"/>
        <w:tabs>
          <w:tab w:leader="none" w:pos="76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ind w:right="4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10160</wp:posOffset>
            </wp:positionV>
            <wp:extent cx="16116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3" w:lineRule="exact"/>
        <w:rPr>
          <w:sz w:val="20"/>
          <w:szCs w:val="20"/>
          <w:color w:val="auto"/>
        </w:rPr>
      </w:pPr>
    </w:p>
    <w:p>
      <w:pPr>
        <w:sectPr>
          <w:pgSz w:w="11900" w:h="16838" w:orient="portrait"/>
          <w:cols w:equalWidth="0" w:num="2">
            <w:col w:w="8200" w:space="720"/>
            <w:col w:w="2320"/>
          </w:cols>
          <w:pgMar w:left="320" w:top="358" w:right="339" w:bottom="144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gridSpan w:val="7"/>
          </w:tcPr>
          <w:p>
            <w:pPr>
              <w:ind w:left="100"/>
              <w:spacing w:after="0"/>
              <w:rPr>
                <w:sz w:val="20"/>
                <w:szCs w:val="20"/>
                <w:color w:val="auto"/>
              </w:rPr>
            </w:pPr>
            <w:r>
              <w:rPr>
                <w:rFonts w:ascii="Arial" w:cs="Arial" w:eastAsia="Arial" w:hAnsi="Arial"/>
                <w:sz w:val="14"/>
                <w:szCs w:val="14"/>
                <w:b w:val="1"/>
                <w:bCs w:val="1"/>
                <w:color w:val="auto"/>
              </w:rPr>
              <w:t>(in thousands, except per share data)</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9"/>
        </w:trPr>
        <w:tc>
          <w:tcPr>
            <w:tcW w:w="58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(5,097)</w:t>
            </w: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bottom w:val="single" w:sz="8" w:color="CFF0FC"/>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5820" w:type="dxa"/>
            <w:vAlign w:val="bottom"/>
            <w:gridSpan w:val="2"/>
            <w:shd w:val="clear" w:color="auto" w:fill="CFF0FC"/>
          </w:tcPr>
          <w:p>
            <w:pPr>
              <w:spacing w:after="0" w:line="173" w:lineRule="exact"/>
              <w:rPr>
                <w:sz w:val="20"/>
                <w:szCs w:val="20"/>
                <w:color w:val="auto"/>
              </w:rPr>
            </w:pPr>
            <w:r>
              <w:rPr>
                <w:rFonts w:ascii="Arial" w:cs="Arial" w:eastAsia="Arial" w:hAnsi="Arial"/>
                <w:sz w:val="18"/>
                <w:szCs w:val="18"/>
                <w:color w:val="auto"/>
              </w:rPr>
              <w:t>Net loss per share attributable to common</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stockholders, basic and diluted</w:t>
            </w:r>
            <w:r>
              <w:rPr>
                <w:rFonts w:ascii="Arial" w:cs="Arial" w:eastAsia="Arial" w:hAnsi="Arial"/>
                <w:sz w:val="15"/>
                <w:szCs w:val="15"/>
                <w:color w:val="auto"/>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(0.75)</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used in computing net loss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5820" w:type="dxa"/>
            <w:vAlign w:val="bottom"/>
            <w:tcBorders>
              <w:bottom w:val="single" w:sz="8" w:color="CFF0FC"/>
            </w:tcBorders>
            <w:gridSpan w:val="2"/>
          </w:tcPr>
          <w:p>
            <w:pPr>
              <w:ind w:left="16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3,469,153</w:t>
            </w:r>
          </w:p>
        </w:tc>
        <w:tc>
          <w:tcPr>
            <w:tcW w:w="140" w:type="dxa"/>
            <w:vAlign w:val="bottom"/>
            <w:tcBorders>
              <w:bottom w:val="single" w:sz="8" w:color="CFF0FC"/>
            </w:tcBorders>
          </w:tcPr>
          <w:p>
            <w:pPr>
              <w:spacing w:after="0"/>
              <w:rPr>
                <w:sz w:val="23"/>
                <w:szCs w:val="23"/>
                <w:color w:val="auto"/>
              </w:rPr>
            </w:pPr>
          </w:p>
        </w:tc>
        <w:tc>
          <w:tcPr>
            <w:tcW w:w="10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3,566,849</w:t>
            </w:r>
          </w:p>
        </w:tc>
        <w:tc>
          <w:tcPr>
            <w:tcW w:w="24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3,550,184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5820" w:type="dxa"/>
            <w:vAlign w:val="bottom"/>
            <w:gridSpan w:val="2"/>
            <w:shd w:val="clear" w:color="auto" w:fill="CFF0FC"/>
          </w:tcPr>
          <w:p>
            <w:pPr>
              <w:spacing w:after="0" w:line="174" w:lineRule="exact"/>
              <w:rPr>
                <w:sz w:val="20"/>
                <w:szCs w:val="20"/>
                <w:color w:val="auto"/>
              </w:rPr>
            </w:pPr>
            <w:r>
              <w:rPr>
                <w:rFonts w:ascii="Arial" w:cs="Arial" w:eastAsia="Arial" w:hAnsi="Arial"/>
                <w:sz w:val="18"/>
                <w:szCs w:val="18"/>
                <w:color w:val="auto"/>
              </w:rPr>
              <w:t>Pro forma net loss per share attributable</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820" w:type="dxa"/>
            <w:vAlign w:val="bottom"/>
            <w:gridSpan w:val="2"/>
            <w:shd w:val="clear" w:color="auto" w:fill="CFF0FC"/>
          </w:tcPr>
          <w:p>
            <w:pPr>
              <w:ind w:left="160"/>
              <w:spacing w:after="0" w:line="202" w:lineRule="exact"/>
              <w:rPr>
                <w:sz w:val="20"/>
                <w:szCs w:val="20"/>
                <w:color w:val="auto"/>
              </w:rPr>
            </w:pPr>
            <w:r>
              <w:rPr>
                <w:rFonts w:ascii="Arial" w:cs="Arial" w:eastAsia="Arial" w:hAnsi="Arial"/>
                <w:sz w:val="18"/>
                <w:szCs w:val="18"/>
                <w:color w:val="auto"/>
              </w:rPr>
              <w:t>to common stockholders, basic and diluted</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(0.82)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0"/>
        </w:trPr>
        <w:tc>
          <w:tcPr>
            <w:tcW w:w="58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Weighted-average shares outstanding used</w:t>
            </w:r>
          </w:p>
        </w:tc>
        <w:tc>
          <w:tcPr>
            <w:tcW w:w="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in computing pro forma net loss per share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8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820" w:type="dxa"/>
            <w:vAlign w:val="bottom"/>
            <w:gridSpan w:val="2"/>
          </w:tcPr>
          <w:p>
            <w:pPr>
              <w:ind w:left="160"/>
              <w:spacing w:after="0"/>
              <w:rPr>
                <w:sz w:val="20"/>
                <w:szCs w:val="20"/>
                <w:color w:val="auto"/>
              </w:rPr>
            </w:pPr>
            <w:r>
              <w:rPr>
                <w:rFonts w:ascii="Arial" w:cs="Arial" w:eastAsia="Arial" w:hAnsi="Arial"/>
                <w:sz w:val="18"/>
                <w:szCs w:val="18"/>
                <w:color w:val="auto"/>
              </w:rPr>
              <w:t>basic and diluted (unaudited)</w:t>
            </w:r>
            <w:r>
              <w:rPr>
                <w:rFonts w:ascii="Arial" w:cs="Arial" w:eastAsia="Arial" w:hAnsi="Arial"/>
                <w:sz w:val="15"/>
                <w:szCs w:val="15"/>
                <w:color w:val="auto"/>
              </w:rPr>
              <w:t>(1)</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6,186,602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480" w:right="340" w:hanging="472"/>
        <w:spacing w:after="0" w:line="266" w:lineRule="auto"/>
        <w:tabs>
          <w:tab w:leader="none" w:pos="4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See Notes 15 and 16 to our audited financial statements and Notes 12 and 13 to our unaudited interim condensed financial statements included elsewhere in this prospectus tor the calculation of our basic and diluted net loss per share attributable to common stockholders and our basic and diluted pro forma net loss per share attributable to common stockholders and the weighted-average number of shares used in computing the per share amounts.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177"/>
        </w:trPr>
        <w:tc>
          <w:tcPr>
            <w:tcW w:w="53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As of December 31,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85,166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4,325</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Total assets</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86,931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17,051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92,537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Total stockholders’ (deficit) equity</w:t>
            </w:r>
          </w:p>
        </w:tc>
        <w:tc>
          <w:tcPr>
            <w:tcW w:w="1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(14,887)</w:t>
            </w:r>
          </w:p>
        </w:tc>
        <w:tc>
          <w:tcPr>
            <w:tcW w:w="1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(19,723)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right="200" w:hanging="472"/>
        <w:spacing w:after="0" w:line="291" w:lineRule="auto"/>
        <w:tabs>
          <w:tab w:leader="none" w:pos="4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 xml:space="preserve">Accounting Standards Codification Topic 210, </w:t>
      </w:r>
      <w:r>
        <w:rPr>
          <w:rFonts w:ascii="Arial" w:cs="Arial" w:eastAsia="Arial" w:hAnsi="Arial"/>
          <w:sz w:val="14"/>
          <w:szCs w:val="14"/>
          <w:i w:val="1"/>
          <w:iCs w:val="1"/>
          <w:color w:val="auto"/>
        </w:rPr>
        <w:t>Balance Sheet</w:t>
      </w:r>
      <w:r>
        <w:rPr>
          <w:rFonts w:ascii="Arial" w:cs="Arial" w:eastAsia="Arial" w:hAnsi="Arial"/>
          <w:sz w:val="14"/>
          <w:szCs w:val="14"/>
          <w:color w:val="auto"/>
        </w:rPr>
        <w:t>, defines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51" w:right="3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16"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prospectus titled “Selected Financial Data” and our financial statements and related notes included elsewhere in this prospectus. This discussion and analysis and other parts of this prospectus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prospectus titled “Risk Factors” and elsewhere in this prospectus. You should carefully read the “Risk Factors” to gain an understanding of the important factors that could cause actual results to differ materially from our forward-looking statements. Please also see the section of this prospectus titled “Special Note Regarding Forward-Looking Statements.”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the hepatocyte growth factor/MET, or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90" w:name="page91"/>
    <w:bookmarkEnd w:id="90"/>
    <w:p>
      <w:pPr>
        <w:ind w:right="80" w:firstLine="576"/>
        <w:spacing w:after="0" w:line="248" w:lineRule="auto"/>
        <w:rPr>
          <w:sz w:val="20"/>
          <w:szCs w:val="20"/>
          <w:color w:val="auto"/>
        </w:rPr>
      </w:pPr>
      <w:r>
        <w:rPr>
          <w:rFonts w:ascii="Arial" w:cs="Arial" w:eastAsia="Arial" w:hAnsi="Arial"/>
          <w:sz w:val="18"/>
          <w:szCs w:val="18"/>
          <w:color w:val="auto"/>
        </w:rPr>
        <w:t>The following figure illustrates the current development stages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6240780" cy="34036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40780" cy="340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40" w:hanging="432"/>
        <w:spacing w:after="0"/>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55" w:lineRule="exact"/>
        <w:rPr>
          <w:rFonts w:ascii="Arial" w:cs="Arial" w:eastAsia="Arial" w:hAnsi="Arial"/>
          <w:sz w:val="14"/>
          <w:szCs w:val="14"/>
          <w:color w:val="auto"/>
        </w:rPr>
      </w:pPr>
    </w:p>
    <w:p>
      <w:pPr>
        <w:ind w:left="440" w:hanging="432"/>
        <w:spacing w:after="0"/>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55" w:lineRule="exact"/>
        <w:rPr>
          <w:rFonts w:ascii="Arial" w:cs="Arial" w:eastAsia="Arial" w:hAnsi="Arial"/>
          <w:sz w:val="14"/>
          <w:szCs w:val="14"/>
          <w:color w:val="auto"/>
        </w:rPr>
      </w:pPr>
    </w:p>
    <w:p>
      <w:pPr>
        <w:jc w:val="both"/>
        <w:ind w:left="440" w:right="120" w:hanging="432"/>
        <w:spacing w:after="0" w:line="266" w:lineRule="auto"/>
        <w:tabs>
          <w:tab w:leader="none" w:pos="4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157" w:lineRule="exact"/>
        <w:rPr>
          <w:sz w:val="20"/>
          <w:szCs w:val="20"/>
          <w:color w:val="auto"/>
        </w:rPr>
      </w:pPr>
    </w:p>
    <w:p>
      <w:pPr>
        <w:ind w:right="840" w:firstLine="576"/>
        <w:spacing w:after="0" w:line="276" w:lineRule="auto"/>
        <w:rPr>
          <w:sz w:val="20"/>
          <w:szCs w:val="20"/>
          <w:color w:val="auto"/>
        </w:rPr>
      </w:pPr>
      <w:r>
        <w:rPr>
          <w:rFonts w:ascii="Arial" w:cs="Arial" w:eastAsia="Arial" w:hAnsi="Arial"/>
          <w:sz w:val="18"/>
          <w:szCs w:val="18"/>
          <w:color w:val="auto"/>
        </w:rPr>
        <w:t>We constantly strive to grow and optimize our portfolio through in-house discovery and plan on additional external business development activities enabled by our innovative internal research and development capabilities.</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were incorporated in March 2011 and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 We do not have any products approved for commercial sale, and we have not generated any revenues related to our products since inception. Our ability to generate product revenue sufficient to achieve profitability, if ever, will depend on the successful development of one or more of our product candidates which we expect will take a number of years.</w:t>
      </w:r>
    </w:p>
    <w:p>
      <w:pPr>
        <w:spacing w:after="0" w:line="17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manufacturing, storing, or distributing our product candidates. We utilize third-party contract manufacturing organizations, or CMOs, to manufacture and supply our preclinical and clinical materials during the development of our product candidates. We believe the synthesis of ATH-1017 is reliable and reproducible and the synthetic methods can be further optimized to enable large-scale production that continues to avoid use of toxic materials or specialized equipment or handling during the manufacturing process. We plan to continue to optimize the manufacturing process to support future large-scale and commercial supply. Our goal is to identify and develop small molecule product candidates that are cost-effective to manufacture and easily transferable to third party CMOs. We expect to use similar contract resources for commercialization of our products, at least until our resources and operations are at a scale that justifies investment in internal manufacturing capabilities.</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Given our stage of development, we have not yet established a commercial organization or distribution capabilities. We intend to build a commercial infrastructure to support sales of our product candidates. We expect to manage sales, marketing and distribution through internal resources and third-party relationships. While we may commit significant financial and management resources to commercial activities, we will also consider collaborating with one or more pharmaceutical companies to enhance our commercial capabilities.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To date, we have funded our operations primarily with proceeds from the sale and issuance of convertible preferred stock, common stock warrants, and convertible notes, and to a lesser extent from grant income and stock option exercises. From inception to June 30, 2020, we have raised aggregate net cash proceeds of $100.4 million primarily from the issuance of our convertible preferred stock, common stock warrants, and convertible notes. We have incurred significant operating losses to date. Our net losses were $5.1 million and $5.2 million for the years ended December 31, 2018 and 2019, respectively. Our net losses were $2.7 million and $3.8 million for the six months ended June 30, 2019 and 2020, respectively. As of June 30, 2020, we had an accumulated deficit of $24.9 million and cash and cash equivalents of $85.2 million.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expect to continue to incur increasing operating losses for the foreseeable future as we:</w:t>
      </w:r>
    </w:p>
    <w:p>
      <w:pPr>
        <w:spacing w:after="0" w:line="104" w:lineRule="exact"/>
        <w:rPr>
          <w:sz w:val="20"/>
          <w:szCs w:val="20"/>
          <w:color w:val="auto"/>
        </w:rPr>
      </w:pPr>
    </w:p>
    <w:p>
      <w:pPr>
        <w:ind w:left="1300" w:right="160" w:hanging="442"/>
        <w:spacing w:after="0" w:line="275" w:lineRule="auto"/>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advance ATH-1017 and our other product candidates through preclinical studies and clinical trials, including our planned Phase 2/3 clinical trial for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pipeline of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grow our discovery organization and invest in the ATH platform;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ramp up manufacturing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attract, hire and retain additional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obtain, maintain, expand and protect our intellectual property portfolio;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operate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relocate to our new facility and build out lab space;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implement operational, financial and management information systems;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for any product candidates that successfully complete clinical trials; and</w:t>
      </w:r>
    </w:p>
    <w:p>
      <w:pPr>
        <w:spacing w:after="0" w:line="116"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and distribution infrastructure to commercialize any product candidate for which we may obtain marketing approval.</w:t>
      </w:r>
    </w:p>
    <w:p>
      <w:pPr>
        <w:spacing w:after="0" w:line="14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and our expenditures on other research and development activities.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2" w:name="page93"/>
    <w:bookmarkEnd w:id="92"/>
    <w:p>
      <w:pPr>
        <w:ind w:right="20" w:firstLine="576"/>
        <w:spacing w:after="0" w:line="238" w:lineRule="auto"/>
        <w:rPr>
          <w:sz w:val="20"/>
          <w:szCs w:val="20"/>
          <w:color w:val="auto"/>
        </w:rPr>
      </w:pPr>
      <w:r>
        <w:rPr>
          <w:rFonts w:ascii="Arial" w:cs="Arial" w:eastAsia="Arial" w:hAnsi="Arial"/>
          <w:sz w:val="18"/>
          <w:szCs w:val="18"/>
          <w:color w:val="auto"/>
        </w:rPr>
        <w:t>We will require substantial additional funding to support our continuing operations and further the development of our product candidates. Until such time as we can generate significant revenue from product sales, if ever, we expect to finance our operations through the sale of equity, debt financings, or other capital sources, which could include income from collaboration, licensing or similar arrangements, for the foreseeable future. Adequate funding may not be available when needed or on terms acceptable to us, or at all. If we are unable to raise additional capital as needed, we may have to significantly delay, scale back or discontinue development of our product candidates.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 from operating activities. Based upon our current operating plan, we estimate that our existing cash and cash equivalents and the net proceeds from this offering, will be sufficient to fund our operating expenses and capital expenditure requirements at least through 2022.</w:t>
      </w:r>
    </w:p>
    <w:p>
      <w:pPr>
        <w:spacing w:after="0" w:line="180"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The global COVID-19 pandemic continues to rapidly evolve, and we will continue to monitor the COVID-19 situation closely. The extent of the impact of the COVID-19 on our business, operations and clinical development timelines and plans remains uncertain, and will depend on certain developments, including the duration and spread of the outbreak and its impact on our clinical trial enrollment, trial sites, CROs, third-party manufacturers, and other third parties with whom we do business, as well as its impact on regulatory authorities and our key scientific and management personnel. The ultimate impact of the COVID-19 pandemic or a similar health epidemic is highly uncertain and subject to change. To the extent possible, we are conducting business as usual, with necessary or advisable modifications to employee travel and most of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business, operations and clinical development timelines and plans, including the resulting impact on our expenditures and capital needs, remains uncertain.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420" w:firstLine="576"/>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38"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The term of the license begins on the effective date and continues until the earlier of the date in which no valid claim remains enforceable and the payment of royalties ceases for more than four consecutive quarters after such royalty payments begin.</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40" w:hanging="442"/>
        <w:spacing w:after="0" w:line="275" w:lineRule="auto"/>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93" w:name="page94"/>
    <w:bookmarkEnd w:id="93"/>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20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 based sublicense royalties.</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2.0 times the amounts received, or $1.5 million, upon the occurrence of specified triggering events, including completion of this offering.</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In September 2020, we were awarded a grant from the National Institutes of Health, or NIH, for Alzheimer’s research in the amount of approximately $7.8 million with the potential for an additional $ 7.4 million up to an aggregate of $15.2 million, subject to the availability of funds and satisfactory progress of the research. For additional information regarding this grant, see the section of this prospectus titled “Business—Our Collaboration and Grant Agreements.”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Research and Development</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Research and development expenses consist primarily of direct and indirect costs incurred for our research activities, including development of the ATH platform, our drug discovery efforts and the development of our product candidates. Direct costs include laboratory materials and supplies, contracted research and manufacturing, clinical trial costs, consulting fees, and other expenses incurred to sustain our research and development program. Indirect costs include personnel-related expenses, consisting of employee salaries, related benefits, and stock-based compensation expense for employees engaged in research and development activities, and facilities, including expenses associated with relocating to and building out our new lab space, and other expenses consisting of direct and allocated expenses for rent and depreciation, and lab consumables.</w:t>
      </w:r>
    </w:p>
    <w:p>
      <w:pPr>
        <w:spacing w:after="0" w:line="17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expense research and development costs as incurred. Non-refundable advance payments for goods and services that will be used over time for research and development are capitalized and recognized as goods are delivered or as the related services are performed. In-licensing fees and other costs to acquire technologies used in research and development that have not yet received regulatory approval and that are not expected to have an alternative future use are expensed when incurred. We track direct costs by stage of program, clinical or preclinical. However, we do not track indirect costs on a program specific basis because these costs are deployed across multiple programs and, as such, are not separately classified.</w:t>
      </w:r>
    </w:p>
    <w:p>
      <w:pPr>
        <w:spacing w:after="0" w:line="17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As of the date of this prospectus, we cannot reasonably determine the nature, timing, and estimated costs of the efforts that will be necessary to complete the development of, and obtain regulatory approval for, any of our product candidates. Product candidates in later stages of development generally have higher development costs than those in earlier stages. We expect that our research and development expenses will increase substantially for the foreseeable future as we continue to invest in research and development activities related to developing our product candidates, as our product candidates advance into later stages of development, as we begin to conduct larger clinical trials, as we seek regulatory approvals for any product candidates that successfully complete clinical trials, as we expand our product pipeline, as we maintain, expand, protect and enforce our intellectual property portfolio, and as we incur expenses associated with hiring additional personnel to support our research and development efforts. In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4" w:name="page95"/>
    <w:bookmarkEnd w:id="94"/>
    <w:p>
      <w:pPr>
        <w:ind w:right="300"/>
        <w:spacing w:after="0" w:line="276" w:lineRule="auto"/>
        <w:rPr>
          <w:sz w:val="20"/>
          <w:szCs w:val="20"/>
          <w:color w:val="auto"/>
        </w:rPr>
      </w:pPr>
      <w:r>
        <w:rPr>
          <w:rFonts w:ascii="Arial" w:cs="Arial" w:eastAsia="Arial" w:hAnsi="Arial"/>
          <w:sz w:val="18"/>
          <w:szCs w:val="18"/>
          <w:color w:val="auto"/>
        </w:rPr>
        <w:t>particular, we expect our research and development expenses will increase substantially as we initiate and conduct planned Phase 2 and Phase 2/3 clinical trials for ATH-1017.</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process of conducting the necessary clinical research to obtain regulatory approval is costly and time-consuming, and the successful development of our product candidates is highly uncertain. Our research and development expenses may vary significantly based on factors such as:</w:t>
      </w:r>
    </w:p>
    <w:p>
      <w:pPr>
        <w:spacing w:after="0" w:line="56" w:lineRule="exact"/>
        <w:rPr>
          <w:sz w:val="20"/>
          <w:szCs w:val="20"/>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preclinical and IND-enabling studies;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phases of development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and results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per subject trial costs;</w:t>
      </w:r>
    </w:p>
    <w:p>
      <w:pPr>
        <w:spacing w:after="0" w:line="116" w:lineRule="exact"/>
        <w:rPr>
          <w:rFonts w:ascii="Times New Roman" w:cs="Times New Roman" w:eastAsia="Times New Roman" w:hAnsi="Times New Roman"/>
          <w:sz w:val="18"/>
          <w:szCs w:val="18"/>
          <w:color w:val="auto"/>
        </w:rPr>
      </w:pPr>
    </w:p>
    <w:p>
      <w:pPr>
        <w:ind w:left="1300" w:right="500" w:hanging="442"/>
        <w:spacing w:after="0" w:line="275" w:lineRule="auto"/>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sites included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countries in which the trials are conducted;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length of time required to enroll eligible subjects and initiate clinical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subjects that participate in the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drop-out and discontinuation rate of subjects;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additional safety monitoring requested by regulatory agencies;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duration of subject participation in the trials and follow-up;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of manufacturing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of regulatory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and retention of research and development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degree to which we obtain, maintain, defend and enforce our intellectual property rights; and</w:t>
      </w:r>
    </w:p>
    <w:p>
      <w:pPr>
        <w:spacing w:after="0" w:line="116"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establish collaboration, licensing or similar arrangements and the performance of any related third parties.</w:t>
      </w:r>
    </w:p>
    <w:p>
      <w:pPr>
        <w:spacing w:after="0" w:line="146" w:lineRule="exact"/>
        <w:rPr>
          <w:sz w:val="20"/>
          <w:szCs w:val="20"/>
          <w:color w:val="auto"/>
        </w:rPr>
      </w:pPr>
    </w:p>
    <w:p>
      <w:pPr>
        <w:ind w:right="940" w:firstLine="576"/>
        <w:spacing w:after="0" w:line="276"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25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General and Administrative</w:t>
      </w:r>
    </w:p>
    <w:p>
      <w:pPr>
        <w:spacing w:after="0" w:line="10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our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We expense general and administrative costs as incurred.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95" w:name="page96"/>
    <w:bookmarkEnd w:id="95"/>
    <w:p>
      <w:pPr>
        <w:ind w:right="220" w:firstLine="576"/>
        <w:spacing w:after="0" w:line="243" w:lineRule="auto"/>
        <w:rPr>
          <w:sz w:val="20"/>
          <w:szCs w:val="20"/>
          <w:color w:val="auto"/>
        </w:rPr>
      </w:pPr>
      <w:r>
        <w:rPr>
          <w:rFonts w:ascii="Arial" w:cs="Arial" w:eastAsia="Arial" w:hAnsi="Arial"/>
          <w:sz w:val="18"/>
          <w:szCs w:val="18"/>
          <w:color w:val="auto"/>
        </w:rPr>
        <w:t>We expect that our general and administrative expenses will increase substantially for the foreseeable future as we increase our headcount to support our continued research activities and development of our programs. Following the completion of this offering, we also anticipate that we will incur substantially increased expenses as a result of operating as a public company, including expenses related to compliance with the rules and regulations of the SEC, and those of any national securities exchange on which our securities are traded, legal, auditing, additional insurance expenses, investor relations activities, and other administrative and professional services. We also expect to increase the size of our administrative function to support the growth of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Other income (expense), net consists of interest earned on our cash, cash equivalents, and short-term investments, grant income, periodic mark to market gains and losses on the derivative and grant liabilities carried at fair value, and interest expense on our convertible notes.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77"/>
        </w:trPr>
        <w:tc>
          <w:tcPr>
            <w:tcW w:w="1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Dollar</w:t>
            </w:r>
          </w:p>
        </w:tc>
        <w:tc>
          <w:tcPr>
            <w:tcW w:w="110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216"/>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18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2,110</w:t>
            </w:r>
          </w:p>
        </w:tc>
        <w:tc>
          <w:tcPr>
            <w:tcW w:w="200" w:type="dxa"/>
            <w:vAlign w:val="bottom"/>
          </w:tcPr>
          <w:p>
            <w:pPr>
              <w:spacing w:after="0"/>
              <w:rPr>
                <w:sz w:val="18"/>
                <w:szCs w:val="18"/>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42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220" w:type="dxa"/>
            <w:vAlign w:val="bottom"/>
            <w:shd w:val="clear" w:color="auto" w:fill="CFF0FC"/>
          </w:tcPr>
          <w:p>
            <w:pPr>
              <w:spacing w:after="0"/>
              <w:rPr>
                <w:sz w:val="18"/>
                <w:szCs w:val="18"/>
                <w:color w:val="auto"/>
              </w:rPr>
            </w:pPr>
          </w:p>
        </w:tc>
      </w:tr>
      <w:tr>
        <w:trPr>
          <w:trHeight w:val="210"/>
        </w:trPr>
        <w:tc>
          <w:tcPr>
            <w:tcW w:w="42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00" w:type="dxa"/>
            <w:vAlign w:val="bottom"/>
            <w:tcBorders>
              <w:bottom w:val="single" w:sz="8" w:color="CFF0FC"/>
            </w:tcBorders>
          </w:tcPr>
          <w:p>
            <w:pPr>
              <w:spacing w:after="0"/>
              <w:rPr>
                <w:sz w:val="18"/>
                <w:szCs w:val="18"/>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220" w:type="dxa"/>
            <w:vAlign w:val="bottom"/>
            <w:tcBorders>
              <w:bottom w:val="single" w:sz="8" w:color="CFF0FC"/>
            </w:tcBorders>
          </w:tcPr>
          <w:p>
            <w:pPr>
              <w:spacing w:after="0"/>
              <w:rPr>
                <w:sz w:val="18"/>
                <w:szCs w:val="18"/>
                <w:color w:val="auto"/>
              </w:rPr>
            </w:pPr>
          </w:p>
        </w:tc>
      </w:tr>
      <w:tr>
        <w:trPr>
          <w:trHeight w:val="209"/>
        </w:trPr>
        <w:tc>
          <w:tcPr>
            <w:tcW w:w="42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8"/>
                <w:szCs w:val="18"/>
                <w:color w:val="auto"/>
              </w:rPr>
            </w:pP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(418)</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42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15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30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r>
    </w:tbl>
    <w:p>
      <w:pPr>
        <w:spacing w:after="0" w:line="27" w:lineRule="exact"/>
        <w:rPr>
          <w:sz w:val="20"/>
          <w:szCs w:val="20"/>
          <w:color w:val="auto"/>
        </w:rPr>
      </w:pPr>
    </w:p>
    <w:p>
      <w:pPr>
        <w:ind w:left="440" w:hanging="432"/>
        <w:spacing w:after="0"/>
        <w:tabs>
          <w:tab w:leader="none" w:pos="4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60" w:type="dxa"/>
            <w:vAlign w:val="bottom"/>
            <w:gridSpan w:val="4"/>
          </w:tcPr>
          <w:p>
            <w:pPr>
              <w:jc w:val="right"/>
              <w:ind w:right="553"/>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43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46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240" w:type="dxa"/>
            <w:vAlign w:val="bottom"/>
            <w:tcBorders>
              <w:bottom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24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4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4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340" w:type="dxa"/>
            <w:vAlign w:val="bottom"/>
          </w:tcPr>
          <w:p>
            <w:pPr>
              <w:spacing w:after="0" w:line="187" w:lineRule="exact"/>
              <w:rPr>
                <w:sz w:val="20"/>
                <w:szCs w:val="20"/>
                <w:color w:val="auto"/>
              </w:rPr>
            </w:pPr>
            <w:r>
              <w:rPr>
                <w:rFonts w:ascii="Arial" w:cs="Arial" w:eastAsia="Arial" w:hAnsi="Arial"/>
                <w:sz w:val="18"/>
                <w:szCs w:val="18"/>
                <w:color w:val="auto"/>
              </w:rPr>
              <w:t>Total research and development</w:t>
            </w:r>
          </w:p>
        </w:tc>
        <w:tc>
          <w:tcPr>
            <w:tcW w:w="1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2,110</w:t>
            </w:r>
          </w:p>
        </w:tc>
        <w:tc>
          <w:tcPr>
            <w:tcW w:w="5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2,269</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43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3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96" w:name="page97"/>
    <w:bookmarkEnd w:id="96"/>
    <w:p>
      <w:pPr>
        <w:ind w:right="100" w:firstLine="576"/>
        <w:spacing w:after="0" w:line="248" w:lineRule="auto"/>
        <w:rPr>
          <w:sz w:val="20"/>
          <w:szCs w:val="20"/>
          <w:color w:val="auto"/>
        </w:rPr>
      </w:pPr>
      <w:r>
        <w:rPr>
          <w:rFonts w:ascii="Arial" w:cs="Arial" w:eastAsia="Arial" w:hAnsi="Arial"/>
          <w:sz w:val="18"/>
          <w:szCs w:val="18"/>
          <w:color w:val="auto"/>
        </w:rPr>
        <w:t>Research and development expenses increased by $0.2 million, or 8%, from $2.1 million for the six months ended June 30, 2019 to $2.3 million for the six months ended June 30, 2020. The increase was driven primarily by an increase in expenses for ATH-1017 of $0.2 million related to start-up activities by our clinical research organization and clinical drug supply manufacturers for Phase 2 clinical trials, and to a lesser extent, by increases in personnel-related costs and facilities and other costs supporting our general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General and administrative expenses increased by $0.6 million, or 82%, from $0.7 million for the six months ended June 30, 2019 to $1.3 million for the six months ended June 30, 2020. The increase was primarily due to an increase in accounting, technical and consulting services of $0.5 million not pertaining to this offering and an increase in personnel-related costs of $0.1 million to support our continued growth.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 xml:space="preserve">Other income (expense), net, changed from income of $0.1 million for the six months ended June 30, 2019 to expense of $0.3 million for the six months ended June 30, 2020. The change was primarily due to a decrease in grant income due to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$0.3 million received in 2019 with no corresponding grant received in 2020, an increase of $0.2 million in interest expense and accretion of discounts related to the convertible notes, and an increase of $0.1 million from increases in liabilities recorded at fair value. This was offset by a gain of $0.2 million on the extinguishment of convertible notes in connection with our Series B convertible preferred stock financing in the second quarter of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6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Dollar</w:t>
            </w:r>
          </w:p>
        </w:tc>
        <w:tc>
          <w:tcPr>
            <w:tcW w:w="1120" w:type="dxa"/>
            <w:vAlign w:val="bottom"/>
          </w:tcPr>
          <w:p>
            <w:pPr>
              <w:jc w:val="right"/>
              <w:ind w:right="41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Change</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11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16"/>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160" w:type="dxa"/>
            <w:vAlign w:val="bottom"/>
          </w:tcPr>
          <w:p>
            <w:pPr>
              <w:spacing w:after="0"/>
              <w:rPr>
                <w:sz w:val="18"/>
                <w:szCs w:val="18"/>
                <w:color w:val="auto"/>
              </w:rPr>
            </w:pPr>
          </w:p>
        </w:tc>
        <w:tc>
          <w:tcPr>
            <w:tcW w:w="34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57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24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8"/>
                <w:szCs w:val="18"/>
                <w:color w:val="auto"/>
              </w:rPr>
            </w:pPr>
          </w:p>
        </w:tc>
      </w:tr>
      <w:tr>
        <w:trPr>
          <w:trHeight w:val="210"/>
        </w:trPr>
        <w:tc>
          <w:tcPr>
            <w:tcW w:w="576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26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8"/>
                <w:szCs w:val="18"/>
                <w:color w:val="auto"/>
              </w:rPr>
            </w:pPr>
          </w:p>
        </w:tc>
      </w:tr>
      <w:tr>
        <w:trPr>
          <w:trHeight w:val="210"/>
        </w:trPr>
        <w:tc>
          <w:tcPr>
            <w:tcW w:w="5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376</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0"/>
        </w:trPr>
        <w:tc>
          <w:tcPr>
            <w:tcW w:w="57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4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r>
    </w:tbl>
    <w:p>
      <w:pPr>
        <w:spacing w:after="0" w:line="29" w:lineRule="exact"/>
        <w:rPr>
          <w:sz w:val="20"/>
          <w:szCs w:val="20"/>
          <w:color w:val="auto"/>
        </w:rPr>
      </w:pPr>
    </w:p>
    <w:p>
      <w:pPr>
        <w:ind w:left="440" w:hanging="432"/>
        <w:spacing w:after="0"/>
        <w:tabs>
          <w:tab w:leader="none" w:pos="440" w:val="left"/>
        </w:tabs>
        <w:numPr>
          <w:ilvl w:val="0"/>
          <w:numId w:val="65"/>
        </w:numPr>
        <w:rPr>
          <w:rFonts w:ascii="Arial" w:cs="Arial" w:eastAsia="Arial" w:hAnsi="Arial"/>
          <w:sz w:val="14"/>
          <w:szCs w:val="14"/>
          <w:i w:val="1"/>
          <w:iCs w:val="1"/>
          <w:color w:val="auto"/>
        </w:rPr>
      </w:pPr>
      <w:r>
        <w:rPr>
          <w:rFonts w:ascii="Arial" w:cs="Arial" w:eastAsia="Arial" w:hAnsi="Arial"/>
          <w:sz w:val="14"/>
          <w:szCs w:val="14"/>
          <w:i w:val="1"/>
          <w:iCs w:val="1"/>
          <w:color w:val="auto"/>
        </w:rPr>
        <w:t>Not meaningful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primary components of our research and development expenses for the periods presented: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Dollar</w:t>
            </w:r>
          </w:p>
        </w:tc>
        <w:tc>
          <w:tcPr>
            <w:tcW w:w="114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ATH-1017</w:t>
            </w:r>
          </w:p>
        </w:tc>
        <w:tc>
          <w:tcPr>
            <w:tcW w:w="1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2,773</w:t>
            </w:r>
          </w:p>
        </w:tc>
        <w:tc>
          <w:tcPr>
            <w:tcW w:w="240" w:type="dxa"/>
            <w:vAlign w:val="bottom"/>
          </w:tcPr>
          <w:p>
            <w:pPr>
              <w:spacing w:after="0"/>
              <w:rPr>
                <w:sz w:val="18"/>
                <w:szCs w:val="18"/>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2,619</w:t>
            </w:r>
          </w:p>
        </w:tc>
        <w:tc>
          <w:tcPr>
            <w:tcW w:w="260" w:type="dxa"/>
            <w:vAlign w:val="bottom"/>
          </w:tcPr>
          <w:p>
            <w:pPr>
              <w:spacing w:after="0"/>
              <w:rPr>
                <w:sz w:val="18"/>
                <w:szCs w:val="18"/>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Preclinical programs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direct costs</w:t>
            </w:r>
          </w:p>
        </w:tc>
        <w:tc>
          <w:tcPr>
            <w:tcW w:w="1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w:t>
            </w:r>
          </w:p>
        </w:tc>
        <w:tc>
          <w:tcPr>
            <w:tcW w:w="2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tcPr>
          <w:p>
            <w:pPr>
              <w:spacing w:after="0"/>
              <w:rPr>
                <w:sz w:val="18"/>
                <w:szCs w:val="18"/>
                <w:color w:val="auto"/>
              </w:rPr>
            </w:pPr>
          </w:p>
        </w:tc>
        <w:tc>
          <w:tcPr>
            <w:tcW w:w="138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18"/>
                <w:szCs w:val="18"/>
                <w:color w:val="auto"/>
              </w:rPr>
              <w:t>(2)</w:t>
            </w:r>
          </w:p>
        </w:tc>
      </w:tr>
      <w:tr>
        <w:trPr>
          <w:trHeight w:val="209"/>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Indirect costs:</w:t>
            </w: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r>
      <w:tr>
        <w:trPr>
          <w:trHeight w:val="193"/>
        </w:trPr>
        <w:tc>
          <w:tcPr>
            <w:tcW w:w="4540" w:type="dxa"/>
            <w:vAlign w:val="bottom"/>
          </w:tcPr>
          <w:p>
            <w:pPr>
              <w:ind w:left="500"/>
              <w:spacing w:after="0" w:line="193" w:lineRule="exact"/>
              <w:rPr>
                <w:sz w:val="20"/>
                <w:szCs w:val="20"/>
                <w:color w:val="auto"/>
              </w:rPr>
            </w:pPr>
            <w:r>
              <w:rPr>
                <w:rFonts w:ascii="Arial" w:cs="Arial" w:eastAsia="Arial" w:hAnsi="Arial"/>
                <w:sz w:val="18"/>
                <w:szCs w:val="18"/>
                <w:color w:val="auto"/>
              </w:rPr>
              <w:t>Personnel-related costs, including</w:t>
            </w: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5"/>
        </w:trPr>
        <w:tc>
          <w:tcPr>
            <w:tcW w:w="4540" w:type="dxa"/>
            <w:vAlign w:val="bottom"/>
          </w:tcPr>
          <w:p>
            <w:pPr>
              <w:ind w:left="660"/>
              <w:spacing w:after="0"/>
              <w:rPr>
                <w:sz w:val="20"/>
                <w:szCs w:val="20"/>
                <w:color w:val="auto"/>
              </w:rPr>
            </w:pPr>
            <w:r>
              <w:rPr>
                <w:rFonts w:ascii="Arial" w:cs="Arial" w:eastAsia="Arial" w:hAnsi="Arial"/>
                <w:sz w:val="18"/>
                <w:szCs w:val="18"/>
                <w:color w:val="auto"/>
              </w:rPr>
              <w:t>stock-based compensation</w:t>
            </w: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r>
      <w:tr>
        <w:trPr>
          <w:trHeight w:val="216"/>
        </w:trPr>
        <w:tc>
          <w:tcPr>
            <w:tcW w:w="4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Facilities and other costs</w:t>
            </w:r>
          </w:p>
        </w:tc>
        <w:tc>
          <w:tcPr>
            <w:tcW w:w="1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FF0FC"/>
          </w:tcPr>
          <w:p>
            <w:pPr>
              <w:spacing w:after="0"/>
              <w:rPr>
                <w:sz w:val="18"/>
                <w:szCs w:val="18"/>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Total research and development expenses</w:t>
            </w:r>
          </w:p>
        </w:tc>
        <w:tc>
          <w:tcPr>
            <w:tcW w:w="1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Research and development expenses increased by $0.2 million, or 6%, from $3.6 million for the year ended December 31, 2018</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to $3.8 million for the year ended December 31, 2019. The increase was driven primarily by an increase in personnel-related costs, and to a lesser extent, by increases in preclinical program costs as we expanded the number of research targets, as well as in facilities and other costs supporting our overall growth. In addition, expenses for ATH -1017 decreased by $0.2 million, primarily due to a decrease in clinical trial costs of $1.0 million related to the timing of activities in our Phase 1a and 1b clinical trials, partially offset by an increase in preclinical costs of $0.6 million as we completed certain toxicology studies in 2019, and by increases in manufacturing costs of $0.2 million as we began preparing for Phase 2 clinical trial drug supply production in late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General and administrative expenses increased by $0.3 million, or 17%, from $ 1.4 million for the year ended December 31, 2018 to $1.7 million for the year ended December 31, 2019. The increase was primarily due to an increase in personnel-related costs as staffing increased to support our growth.</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right="120" w:firstLine="576"/>
        <w:spacing w:after="0" w:line="248" w:lineRule="auto"/>
        <w:rPr>
          <w:sz w:val="20"/>
          <w:szCs w:val="20"/>
          <w:color w:val="auto"/>
        </w:rPr>
      </w:pPr>
      <w:r>
        <w:rPr>
          <w:rFonts w:ascii="Arial" w:cs="Arial" w:eastAsia="Arial" w:hAnsi="Arial"/>
          <w:sz w:val="18"/>
          <w:szCs w:val="18"/>
          <w:color w:val="auto"/>
        </w:rPr>
        <w:t xml:space="preserve">Other income (expense), net changed from an expense of $ 0.1 million for the year ended December 31, 2018 to income of $0.3 million for the year ended December 31, 2019. The change of $0.4 million was primarily due to income from a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of $0.8 million received in 2019, partially offset primarily by an increase in interest expense on outstanding convertible notes of $0.3 million and to a lesser extent by a decrease in interest and other income and an increase in losses from changes in liabilities recorded at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Since our inception, we have funded our operations primarily with proceeds from the sale and issuance of convertible preferred stock, common stock warrants, and convertible notes, and to a lesser extent from grant income and stock option exercises. From our inception through June 30, 2020, we have raised aggregate net cash proceeds of $100.4 million primarily from the issuance of our convertible preferred stock, common stock warrants, and convertible notes. As of June 30, 2020, we had $85.2 million in cash and cash equivalents and have not generated positive cash flows from operations. Since our inception, we have devoted substantially all of our resources to our research and development efforts such as small molecule compound discovery, nonclinical studies and clinical trials, as well as manufacturing activities, establishing and maintaining our intellectual property portfolio, hiring personnel, raising capital, and providing general and administrative support for these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4" w:lineRule="exact"/>
        <w:rPr>
          <w:sz w:val="20"/>
          <w:szCs w:val="20"/>
          <w:color w:val="auto"/>
        </w:rPr>
      </w:pPr>
    </w:p>
    <w:p>
      <w:pPr>
        <w:ind w:right="20" w:firstLine="576"/>
        <w:spacing w:after="0" w:line="237" w:lineRule="auto"/>
        <w:rPr>
          <w:sz w:val="20"/>
          <w:szCs w:val="20"/>
          <w:color w:val="auto"/>
        </w:rPr>
      </w:pPr>
      <w:r>
        <w:rPr>
          <w:rFonts w:ascii="Arial" w:cs="Arial" w:eastAsia="Arial" w:hAnsi="Arial"/>
          <w:sz w:val="18"/>
          <w:szCs w:val="18"/>
          <w:color w:val="auto"/>
        </w:rPr>
        <w:t>Based upon our current operating plan, we estimate that our $85.2 million of cash and cash equivalents at June 30, 2020 will be sufficient to fund our operating expenses and capital expenditure requirements through at least the 12 months following the date of this prospectus. However, we believe our cash and cash equivalents as of the date of this prospectus, together with the net proceeds from this offering, will be sufficient to fund our operating expenses and capital expenditure requirements at least through 2022. Even after this offering, we will need to raise substantial additional capital to fund the development of our product candidates. Until such time as we can generate significant revenue from product sales, we expect to finance our operations through the sale of equity securities, debt financings, or other capital, which could include income from collaboration, licensing or similar arrangements with third parties, or receiving research contributions, or grants.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making capital expenditures or declaring dividends. If we raise funds through collaborations, licenses and other similar arrangements with third parties, we may have to relinquish valuable rights to our technologies, future revenue streams, research programs or product candidates or grant licenses on terms that may not be favorable to us and/or may reduce the value of our common stock. Adequate funding may not be available when needed or on terms acceptable to us,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If we fail to obtain necessary capital when needed on acceptable terms, or at all, it could force us to delay, limit, reduce or terminate our product development programs, commercialization efforts or other operations. Insufficient liquidity may also require us to relinquish rights to product candidates at an earlier stage of development or on less favorable terms than we would otherwise choose. We cannot assure you that we will ever be profitable or generate positive cash flows from operating activities.</w:t>
      </w:r>
    </w:p>
    <w:p>
      <w:pPr>
        <w:spacing w:after="0" w:line="178"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biotechnology products, we are unable to estimate the exact amount of our operating capital requirements. Our future funding requirements will depend on many factors, including, but not limited to:</w:t>
      </w:r>
    </w:p>
    <w:p>
      <w:pPr>
        <w:spacing w:after="0" w:line="62" w:lineRule="exact"/>
        <w:rPr>
          <w:sz w:val="20"/>
          <w:szCs w:val="20"/>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and results of our ongoing preclinical studies and clinical trials of our product candidates;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trials required for regulatory approval, in particular with respect to ATH-1017 for the treatment of mild-to-moderate AD;</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preclinical development, laboratory testing and clinical trials of other product candidates that we may pursue;</w:t>
      </w:r>
    </w:p>
    <w:p>
      <w:pPr>
        <w:spacing w:after="0" w:line="37" w:lineRule="exact"/>
        <w:rPr>
          <w:rFonts w:ascii="Times New Roman" w:cs="Times New Roman" w:eastAsia="Times New Roman" w:hAnsi="Times New Roman"/>
          <w:sz w:val="18"/>
          <w:szCs w:val="18"/>
          <w:color w:val="auto"/>
        </w:rPr>
      </w:pPr>
    </w:p>
    <w:p>
      <w:pPr>
        <w:jc w:val="both"/>
        <w:ind w:left="1300" w:right="400" w:hanging="442"/>
        <w:spacing w:after="0" w:line="305" w:lineRule="auto"/>
        <w:tabs>
          <w:tab w:leader="none" w:pos="130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color w:val="auto"/>
        </w:rPr>
        <w:t>our ability to establish and maintain collaboration, licensing or other similar arrangements, and the financial terms of any such arrangements, including the timing and amount of any future milestone, royalty or other payments due thereunder;</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our product candidates;</w:t>
      </w:r>
    </w:p>
    <w:p>
      <w:pPr>
        <w:spacing w:after="0" w:line="116"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99" w:name="page100"/>
    <w:bookmarkEnd w:id="99"/>
    <w:p>
      <w:pPr>
        <w:ind w:left="1300" w:right="620" w:hanging="442"/>
        <w:spacing w:after="0" w:line="275" w:lineRule="auto"/>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any expenses needed to attract, hire and retain skilled personnel;</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relocating to our new facility and building out lab space;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7"/>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companies’ product candidates and technologies.</w:t>
      </w:r>
    </w:p>
    <w:p>
      <w:pPr>
        <w:spacing w:after="0" w:line="22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 may change in the future, and we may need additional funds to meet operational needs and capital requirements associated with such operating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cash flows for the periods indicated:</w:t>
      </w:r>
    </w:p>
    <w:p>
      <w:pPr>
        <w:sectPr>
          <w:pgSz w:w="11900" w:h="16838" w:orient="portrait"/>
          <w:cols w:equalWidth="0" w:num="1">
            <w:col w:w="11240"/>
          </w:cols>
          <w:pgMar w:left="320" w:top="468" w:right="339" w:bottom="1440" w:gutter="0" w:footer="0" w:header="0"/>
        </w:sectPr>
      </w:pPr>
    </w:p>
    <w:p>
      <w:pPr>
        <w:spacing w:after="0" w:line="287"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10160</wp:posOffset>
            </wp:positionV>
            <wp:extent cx="16116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21" w:lineRule="exact"/>
        <w:rPr>
          <w:sz w:val="20"/>
          <w:szCs w:val="20"/>
          <w:color w:val="auto"/>
        </w:rPr>
      </w:pPr>
    </w:p>
    <w:p>
      <w:pPr>
        <w:ind w:left="6260"/>
        <w:spacing w:after="0"/>
        <w:tabs>
          <w:tab w:leader="none" w:pos="7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1905</wp:posOffset>
            </wp:positionV>
            <wp:extent cx="16116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10160</wp:posOffset>
            </wp:positionV>
            <wp:extent cx="159448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1905</wp:posOffset>
            </wp:positionV>
            <wp:extent cx="159448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8"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auto"/>
        </w:rPr>
        <w:t>(unaudited)</w:t>
      </w:r>
    </w:p>
    <w:p>
      <w:pPr>
        <w:spacing w:after="0" w:line="18" w:lineRule="exact"/>
        <w:rPr>
          <w:sz w:val="20"/>
          <w:szCs w:val="20"/>
          <w:color w:val="auto"/>
        </w:rPr>
      </w:pPr>
    </w:p>
    <w:p>
      <w:pPr>
        <w:sectPr>
          <w:pgSz w:w="11900" w:h="16838" w:orient="portrait"/>
          <w:cols w:equalWidth="0" w:num="2">
            <w:col w:w="8220" w:space="720"/>
            <w:col w:w="2300"/>
          </w:cols>
          <w:pgMar w:left="320" w:top="468"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(4,483)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(3,713)</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(1,783)</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(4,037)</w:t>
            </w:r>
          </w:p>
        </w:tc>
      </w:tr>
      <w:tr>
        <w:trPr>
          <w:trHeight w:val="230"/>
        </w:trPr>
        <w:tc>
          <w:tcPr>
            <w:tcW w:w="4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Investing activities</w:t>
            </w:r>
          </w:p>
        </w:tc>
        <w:tc>
          <w:tcPr>
            <w:tcW w:w="1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Financing activities</w:t>
            </w:r>
          </w:p>
        </w:tc>
        <w:tc>
          <w:tcPr>
            <w:tcW w:w="14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87,144</w:t>
            </w:r>
          </w:p>
        </w:tc>
        <w:tc>
          <w:tcPr>
            <w:tcW w:w="100" w:type="dxa"/>
            <w:vAlign w:val="bottom"/>
            <w:tcBorders>
              <w:bottom w:val="single" w:sz="8" w:color="CFF0FC"/>
            </w:tcBorders>
          </w:tcPr>
          <w:p>
            <w:pPr>
              <w:spacing w:after="0"/>
              <w:rPr>
                <w:sz w:val="19"/>
                <w:szCs w:val="19"/>
                <w:color w:val="auto"/>
              </w:rPr>
            </w:pPr>
          </w:p>
        </w:tc>
      </w:tr>
      <w:tr>
        <w:trPr>
          <w:trHeight w:val="187"/>
        </w:trPr>
        <w:tc>
          <w:tcPr>
            <w:tcW w:w="438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Net (decrease) increase in cash and</w:t>
            </w:r>
          </w:p>
        </w:tc>
        <w:tc>
          <w:tcPr>
            <w:tcW w:w="14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25"/>
        </w:trPr>
        <w:tc>
          <w:tcPr>
            <w:tcW w:w="43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equivalents</w:t>
            </w:r>
          </w:p>
        </w:tc>
        <w:tc>
          <w:tcPr>
            <w:tcW w:w="18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(1,012)</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(1,261)</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(1,033)</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83,110</w:t>
            </w:r>
          </w:p>
        </w:tc>
        <w:tc>
          <w:tcPr>
            <w:tcW w:w="100" w:type="dxa"/>
            <w:vAlign w:val="bottom"/>
            <w:shd w:val="clear" w:color="auto" w:fill="CFF0FC"/>
          </w:tcPr>
          <w:p>
            <w:pPr>
              <w:spacing w:after="0"/>
              <w:rPr>
                <w:sz w:val="19"/>
                <w:szCs w:val="19"/>
                <w:color w:val="auto"/>
              </w:rPr>
            </w:pPr>
          </w:p>
        </w:tc>
      </w:tr>
      <w:tr>
        <w:trPr>
          <w:trHeight w:val="20"/>
        </w:trPr>
        <w:tc>
          <w:tcPr>
            <w:tcW w:w="438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4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Operating Activities</w:t>
      </w:r>
    </w:p>
    <w:p>
      <w:pPr>
        <w:spacing w:after="0" w:line="10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During the six months ended June 30, 2020, net cash used in operating activities was $4.0 million. This consisted primarily of a net loss of $3.8 million, partially offset by non-cash charges of $0.4 million and an increase in our net operating assets of $0.6 million. The non-cash charges primarily consisted of stock-based compensation expense, non-cash interest expense and accretion of discounts on our convertible notes, changes in the carrying value of liabilities stated at fair value, and the gain on extinguishment of our convertible notes. The increase in our net operating assets was due to an increase in prepaid expenses and other current assets, partially offset by an increase in accounts payable and accrued expenses.</w:t>
      </w:r>
    </w:p>
    <w:p>
      <w:pPr>
        <w:spacing w:after="0" w:line="17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During the six months ended June 30, 2019, net cash used in operating activities was $1.8 million. This consisted primarily of a net loss of $2.7 million, partially offset by non-cash charges of $0.3 million and a decrease in our net operating assets of $0.6 million. The non-cash charges primarily consisted of stock-based compensation expense, non-cash interest expense and accretion of discounts on our convertible notes, and changes in the carrying value of liabilities stated at fair value. The decrease in our net operating assets was due to an increase in accounts payable and accrued expenses.</w:t>
      </w:r>
    </w:p>
    <w:p>
      <w:pPr>
        <w:spacing w:after="0" w:line="172"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During the year ended December 31, 2019, net cash used in operating activities was $3.7 million. This consisted primarily of a net loss of $5.2 million, partially offset by non-cash charges of $0.8 million and an increase in our net operating assets of $0.7 million. The non-cash charges primarily consisted of stock-based compensation expense, non-cash interest expense and accretion of discounts on our convertible notes, and changes in the carrying value of liabilities stated at fair value. The increase in our net operating assets was due to an increase in accounts payable and accrued expenses.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type w:val="continuous"/>
        </w:sectPr>
      </w:pPr>
    </w:p>
    <w:bookmarkStart w:id="100" w:name="page101"/>
    <w:bookmarkEnd w:id="100"/>
    <w:p>
      <w:pPr>
        <w:ind w:right="20" w:firstLine="576"/>
        <w:spacing w:after="0" w:line="245" w:lineRule="auto"/>
        <w:rPr>
          <w:sz w:val="20"/>
          <w:szCs w:val="20"/>
          <w:color w:val="auto"/>
        </w:rPr>
      </w:pPr>
      <w:r>
        <w:rPr>
          <w:rFonts w:ascii="Arial" w:cs="Arial" w:eastAsia="Arial" w:hAnsi="Arial"/>
          <w:sz w:val="18"/>
          <w:szCs w:val="18"/>
          <w:color w:val="auto"/>
        </w:rPr>
        <w:t>During the year ended December 31, 2018, net cash used in operating activities was $4.5 million. This consisted primarily of a net loss of $5.1 million, partially offset by non-cash charges of $0.4 million and an increase in our net operating assets of $0.2 million. The non-cash charges primarily consisted of stock-based compensation expense, non-cash interest expense on our convertible notes, and changes in the carrying value of liabilities stated at fair value. The increase in our net operating assets was due to an increase in accounts payable and accrued expenses.</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Investing Activities</w:t>
      </w:r>
    </w:p>
    <w:p>
      <w:pPr>
        <w:spacing w:after="0" w:line="102" w:lineRule="exact"/>
        <w:rPr>
          <w:sz w:val="20"/>
          <w:szCs w:val="20"/>
          <w:color w:val="auto"/>
        </w:rPr>
      </w:pPr>
    </w:p>
    <w:p>
      <w:pPr>
        <w:ind w:right="800" w:firstLine="576"/>
        <w:spacing w:after="0" w:line="276" w:lineRule="auto"/>
        <w:rPr>
          <w:sz w:val="20"/>
          <w:szCs w:val="20"/>
          <w:color w:val="auto"/>
        </w:rPr>
      </w:pPr>
      <w:r>
        <w:rPr>
          <w:rFonts w:ascii="Arial" w:cs="Arial" w:eastAsia="Arial" w:hAnsi="Arial"/>
          <w:sz w:val="18"/>
          <w:szCs w:val="18"/>
          <w:color w:val="auto"/>
        </w:rPr>
        <w:t>During the six months ended June 30, 2020, net cash provided by investing activities was $3,000. This consisted of principal payments received from related party note receivable.</w:t>
      </w:r>
    </w:p>
    <w:p>
      <w:pPr>
        <w:spacing w:after="0" w:line="145"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During the six months ended June 30, 2019, net cash provided by investing activities was $0.5 million. This consisted primarily of $1.5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During the year ended December 31, 2019, net cash provided by investing activities was $1.5 million. This consisted primarily of $2.5 million in proceeds received from short-term investments which matured during the period, partially offset by purchases of short-term investments of $1.0 million.</w:t>
      </w:r>
    </w:p>
    <w:p>
      <w:pPr>
        <w:spacing w:after="0" w:line="16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During the year ended December 31, 2018, net cash provided by investing activities was $2.0 million. This consisted primarily of $7.3 million in proceeds received from short-term investments which matured during the period, partially offset by purchases of short-term investments of $5.3 million.</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Financing Activities</w:t>
      </w:r>
    </w:p>
    <w:p>
      <w:pPr>
        <w:spacing w:after="0" w:line="102"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During the six months ended June 30, 2020, net cash provided by financing activities was $87.1 million. This consisted primarily of net proceeds received from the issuance of our Series B convertible preferred stock and common stock warrants of $85.4 million, $1.7 million from the issuance of our convertible notes, and to a lesser extent from exercises of stock options.</w:t>
      </w:r>
    </w:p>
    <w:p>
      <w:pPr>
        <w:spacing w:after="0" w:line="164" w:lineRule="exact"/>
        <w:rPr>
          <w:sz w:val="20"/>
          <w:szCs w:val="20"/>
          <w:color w:val="auto"/>
        </w:rPr>
      </w:pPr>
    </w:p>
    <w:p>
      <w:pPr>
        <w:ind w:right="580" w:firstLine="576"/>
        <w:spacing w:after="0" w:line="276" w:lineRule="auto"/>
        <w:rPr>
          <w:sz w:val="20"/>
          <w:szCs w:val="20"/>
          <w:color w:val="auto"/>
        </w:rPr>
      </w:pPr>
      <w:r>
        <w:rPr>
          <w:rFonts w:ascii="Arial" w:cs="Arial" w:eastAsia="Arial" w:hAnsi="Arial"/>
          <w:sz w:val="18"/>
          <w:szCs w:val="18"/>
          <w:color w:val="auto"/>
        </w:rPr>
        <w:t>During the six months ended June 30, 2019, net cash provided by financing activities of $0.2 million. This consisted primarily of proceeds from the issuance of our convertible notes.</w:t>
      </w:r>
    </w:p>
    <w:p>
      <w:pPr>
        <w:spacing w:after="0" w:line="145"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During the year ended December 31, 2019, net cash provided in financing activities was $0.9 million. This consisted primarily of net proceeds received from the issuance of our convertible notes of $0.9 million and to a lesser extent from exercises of stock options.</w:t>
      </w:r>
    </w:p>
    <w:p>
      <w:pPr>
        <w:spacing w:after="0" w:line="145" w:lineRule="exact"/>
        <w:rPr>
          <w:sz w:val="20"/>
          <w:szCs w:val="20"/>
          <w:color w:val="auto"/>
        </w:rPr>
      </w:pPr>
    </w:p>
    <w:p>
      <w:pPr>
        <w:ind w:right="180" w:firstLine="576"/>
        <w:spacing w:after="0" w:line="255" w:lineRule="auto"/>
        <w:rPr>
          <w:sz w:val="20"/>
          <w:szCs w:val="20"/>
          <w:color w:val="auto"/>
        </w:rPr>
      </w:pPr>
      <w:r>
        <w:rPr>
          <w:rFonts w:ascii="Arial" w:cs="Arial" w:eastAsia="Arial" w:hAnsi="Arial"/>
          <w:sz w:val="18"/>
          <w:szCs w:val="18"/>
          <w:color w:val="auto"/>
        </w:rPr>
        <w:t>During the year ended December 31, 2018, net cash provided in financing activities was $1.5 million. This consisted primarily of net proceeds received from the issuance of our convertible notes of $1.3 million, $0.1 million from exercises of stock options, and $0.1 million from the issuance of additional shares of Series A convertible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6"/>
          </w:tcPr>
          <w:p>
            <w:pPr>
              <w:jc w:val="center"/>
              <w:ind w:left="601"/>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4"/>
        </w:trPr>
        <w:tc>
          <w:tcPr>
            <w:tcW w:w="3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20"/>
              <w:spacing w:after="0" w:line="154"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3"/>
                <w:szCs w:val="13"/>
                <w:color w:val="auto"/>
              </w:rPr>
            </w:pPr>
          </w:p>
        </w:tc>
        <w:tc>
          <w:tcPr>
            <w:tcW w:w="800" w:type="dxa"/>
            <w:vAlign w:val="bottom"/>
          </w:tcPr>
          <w:p>
            <w:pPr>
              <w:jc w:val="right"/>
              <w:ind w:right="241"/>
              <w:spacing w:after="0" w:line="154" w:lineRule="exact"/>
              <w:rPr>
                <w:sz w:val="20"/>
                <w:szCs w:val="20"/>
                <w:color w:val="auto"/>
              </w:rPr>
            </w:pPr>
            <w:r>
              <w:rPr>
                <w:rFonts w:ascii="Arial" w:cs="Arial" w:eastAsia="Arial" w:hAnsi="Arial"/>
                <w:sz w:val="14"/>
                <w:szCs w:val="14"/>
                <w:b w:val="1"/>
                <w:bCs w:val="1"/>
                <w:color w:val="auto"/>
              </w:rPr>
              <w:t>1 to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440"/>
              <w:spacing w:after="0" w:line="154"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3"/>
                <w:szCs w:val="13"/>
                <w:color w:val="auto"/>
              </w:rPr>
            </w:pPr>
          </w:p>
        </w:tc>
        <w:tc>
          <w:tcPr>
            <w:tcW w:w="1100" w:type="dxa"/>
            <w:vAlign w:val="bottom"/>
            <w:gridSpan w:val="2"/>
          </w:tcPr>
          <w:p>
            <w:pPr>
              <w:jc w:val="center"/>
              <w:ind w:right="360"/>
              <w:spacing w:after="0" w:line="154" w:lineRule="exact"/>
              <w:rPr>
                <w:sz w:val="20"/>
                <w:szCs w:val="20"/>
                <w:color w:val="auto"/>
              </w:rPr>
            </w:pPr>
            <w:r>
              <w:rPr>
                <w:rFonts w:ascii="Arial" w:cs="Arial" w:eastAsia="Arial" w:hAnsi="Arial"/>
                <w:sz w:val="14"/>
                <w:szCs w:val="14"/>
                <w:b w:val="1"/>
                <w:bCs w:val="1"/>
                <w:color w:val="auto"/>
              </w:rPr>
              <w:t>More than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7"/>
        </w:trPr>
        <w:tc>
          <w:tcPr>
            <w:tcW w:w="3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5"/>
                <w:szCs w:val="15"/>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promissory notes</w:t>
            </w: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420" w:type="dxa"/>
            <w:vAlign w:val="bottom"/>
            <w:gridSpan w:val="2"/>
            <w:shd w:val="clear" w:color="auto" w:fill="CFF0FC"/>
          </w:tcPr>
          <w:p>
            <w:pPr>
              <w:jc w:val="right"/>
              <w:ind w:right="19"/>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3820" w:type="dxa"/>
            <w:vAlign w:val="bottom"/>
          </w:tcPr>
          <w:p>
            <w:pPr>
              <w:ind w:left="260"/>
              <w:spacing w:after="0"/>
              <w:rPr>
                <w:sz w:val="20"/>
                <w:szCs w:val="20"/>
                <w:color w:val="auto"/>
              </w:rPr>
            </w:pPr>
            <w:r>
              <w:rPr>
                <w:rFonts w:ascii="Arial" w:cs="Arial" w:eastAsia="Arial" w:hAnsi="Arial"/>
                <w:sz w:val="18"/>
                <w:szCs w:val="18"/>
                <w:color w:val="auto"/>
              </w:rPr>
              <w:t>Total contractual obligations</w:t>
            </w:r>
          </w:p>
        </w:tc>
        <w:tc>
          <w:tcPr>
            <w:tcW w:w="1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3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8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101" w:name="page102"/>
    <w:bookmarkEnd w:id="101"/>
    <w:p>
      <w:pPr>
        <w:ind w:right="60" w:firstLine="576"/>
        <w:spacing w:after="0" w:line="245" w:lineRule="auto"/>
        <w:rPr>
          <w:sz w:val="20"/>
          <w:szCs w:val="20"/>
          <w:color w:val="auto"/>
        </w:rPr>
      </w:pPr>
      <w:r>
        <w:rPr>
          <w:rFonts w:ascii="Arial" w:cs="Arial" w:eastAsia="Arial" w:hAnsi="Arial"/>
          <w:sz w:val="18"/>
          <w:szCs w:val="18"/>
          <w:color w:val="auto"/>
        </w:rPr>
        <w:t>We issued unsecured convertible promissory notes with aggregate principal amounts of $1.3 million and $0.9 million in 2018 and 2019, respectively. The convertible notes accrued interest at 5.0% per year with principal and interest due at maturity. The convertible notes automatically convert upon a qualified financing event at a conversion price equal to 85% of the price per share of the qualified financing. In May 2020, the outstanding principal balance of the convertible notes of $2.2 million and accrued interest of $0.1 million converted into 294,197 shares of our Series B-1 convertible preferred stock.</w:t>
      </w:r>
    </w:p>
    <w:p>
      <w:pPr>
        <w:spacing w:after="0" w:line="172" w:lineRule="exact"/>
        <w:rPr>
          <w:sz w:val="20"/>
          <w:szCs w:val="20"/>
          <w:color w:val="auto"/>
        </w:rPr>
      </w:pPr>
    </w:p>
    <w:p>
      <w:pPr>
        <w:jc w:val="both"/>
        <w:ind w:right="400" w:firstLine="576"/>
        <w:spacing w:after="0" w:line="255" w:lineRule="auto"/>
        <w:rPr>
          <w:sz w:val="20"/>
          <w:szCs w:val="20"/>
          <w:color w:val="auto"/>
        </w:rPr>
      </w:pPr>
      <w:r>
        <w:rPr>
          <w:rFonts w:ascii="Arial" w:cs="Arial" w:eastAsia="Arial" w:hAnsi="Arial"/>
          <w:sz w:val="18"/>
          <w:szCs w:val="18"/>
          <w:color w:val="auto"/>
        </w:rPr>
        <w:t>Under our license agreements, we have payment obligations that are contingent upon future events such as our achievement of specified development, regulatory and commercial milestones and are required to make royalty payments in connection with the sale of products developed under those agreements.</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We received an aggregate of $0.8 million in grants from the LSDF. In connection with the agreements, LSDF retained the right to receive cash payments of up to 2.0 times the amounts received, or $1.5 million, upon the occurrence of specified triggering events, including an initial public offering. We carry a liability on our balance sheet equal to the fair value of this repayment obligation. As of December 31, 2019 and June 30, 2020, we were unable to estimate with certainty the timing or likelihood of achieving any such milestones or triggering events, or making future product sales and, therefore, any related payments are not separately presented within our contractual obligations. For additional information regarding these agreements, including our payment obligations thereunder, see the sections of this prospectus titled “—Our Collaboration and Grant Agreements,” “Business—Our Collaboration and Grant Agreements,” as well as our financial statements and related notes included elsewhere in this prospectus.</w:t>
      </w:r>
    </w:p>
    <w:p>
      <w:pPr>
        <w:spacing w:after="0" w:line="180" w:lineRule="exact"/>
        <w:rPr>
          <w:sz w:val="20"/>
          <w:szCs w:val="20"/>
          <w:color w:val="auto"/>
        </w:rPr>
      </w:pPr>
    </w:p>
    <w:p>
      <w:pPr>
        <w:jc w:val="both"/>
        <w:ind w:right="660" w:firstLine="576"/>
        <w:spacing w:after="0" w:line="255" w:lineRule="auto"/>
        <w:rPr>
          <w:sz w:val="20"/>
          <w:szCs w:val="20"/>
          <w:color w:val="auto"/>
        </w:rPr>
      </w:pPr>
      <w:r>
        <w:rPr>
          <w:rFonts w:ascii="Arial" w:cs="Arial" w:eastAsia="Arial" w:hAnsi="Arial"/>
          <w:sz w:val="18"/>
          <w:szCs w:val="18"/>
          <w:color w:val="auto"/>
        </w:rPr>
        <w:t>We enter into agreements in the normal course of business with contract manufacturing organizations and contract research organizations for clinical trials, preclinical studies, manufacturing, and other services and products for operating purposes, which are generally cancelable upon written notice. These obligations and commitments are also not are not separately presented here within.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Since our inception, we have not engaged in any off-balance sheet arrangements, as defined in the rules and regulations of the SEC.</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0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Our financial statements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Our convertible notes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our statements of operations and comprehensive loss. The derivative liability related to these features is recorded at estimated fair value on a recurring basis. Any changes in fair value are reflected in other income (expense), net in our statements of</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0" w:right="419" w:bottom="1440" w:gutter="0" w:footer="0" w:header="0"/>
        </w:sectPr>
      </w:pPr>
    </w:p>
    <w:bookmarkStart w:id="102" w:name="page103"/>
    <w:bookmarkEnd w:id="102"/>
    <w:p>
      <w:pPr>
        <w:spacing w:after="0" w:line="255" w:lineRule="auto"/>
        <w:rPr>
          <w:sz w:val="20"/>
          <w:szCs w:val="20"/>
          <w:color w:val="auto"/>
        </w:rPr>
      </w:pPr>
      <w:r>
        <w:rPr>
          <w:rFonts w:ascii="Arial" w:cs="Arial" w:eastAsia="Arial" w:hAnsi="Arial"/>
          <w:sz w:val="18"/>
          <w:szCs w:val="18"/>
          <w:color w:val="auto"/>
        </w:rPr>
        <w:t>operations and comprehensive loss at each period end while such instruments are outstanding. The derivative liability was remeasured to fair value until its settlement in May 2020 upon the conversion of the underlying convertible notes into shares of our Series B-1 convertible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Freestanding warrants to purchase shares of our convertible preferred stock are accounted for as liabilities at fair value, because the shares underlying the warrants contain contingent redemption features outside our control. Warrants classified as liabilities are recorded on the balance sheets at their fair value on the date of issuance and remeasured to fair value on each subsequent reporting period, with the changes in fair value recognized as a component of other income (expense), net in the statements of operations. We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 xml:space="preserve">The grant liability associated with the grants from the LSDF is accounted for under Accounting Standards Codification, or ASC, 825-10, </w:t>
      </w:r>
      <w:r>
        <w:rPr>
          <w:rFonts w:ascii="Arial" w:cs="Arial" w:eastAsia="Arial" w:hAnsi="Arial"/>
          <w:sz w:val="18"/>
          <w:szCs w:val="18"/>
          <w:i w:val="1"/>
          <w:iCs w:val="1"/>
          <w:color w:val="auto"/>
        </w:rPr>
        <w:t>Financial Instruments—Overall</w:t>
      </w:r>
      <w:r>
        <w:rPr>
          <w:rFonts w:ascii="Arial" w:cs="Arial" w:eastAsia="Arial" w:hAnsi="Arial"/>
          <w:sz w:val="18"/>
          <w:szCs w:val="18"/>
          <w:color w:val="auto"/>
        </w:rPr>
        <w:t>. The estimated fair value of the grant liability is reassessed at each balance sheet date, with changes in fair value reflected in other income (expense), net in our statements of operations and comprehensive loss at each period end. The fair value of the grant liability was estimated using a discounted cash flow simulation methodology that assigns probabilities to the timing and likelihood of each triggering event, each of which is disclosed in Note 7 to our audited financial statements and Note 6 to our unaudited interim condensed financial statements included elsewhere in this prospectus, as well as a discount rate based on market data for securities with similar durations and credit ratings to us, and the expected payment amount. The assumptions used to calculate the fair value of the grant liability are subject to significant judgment, and payment may be in an amount different from the liability that we estimate. However, total payments under the agreements will not exceed $1.5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 xml:space="preserve">In January 2019, the Alzheimer’s Association awarded us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our ATH-1017 product candidate in the Alzheimer’s disease setting. Under the terms of the agreement, we received $776,000 in 2019 and may potentially receive the remaining $ 224,000 in 2020 upon the completion of certain development milestones. Reporting of expenses incurred supported by the grant as well as research updates are sent to the Alzheimer’s Association semi-annually. We recognize income related to the grant as qualifying expenses under the grant agreement are incurred, in grant income within other income (expense), net in our statement of operations and comprehensive loss. As of December 31, 2019, we had recognized $754,000 in grant income, which is included in other income (expense), net in our statements of operations and comprehensive loss, and had cash received in excess of qualifying expenses of approximately $22,000, which is included in accrued expenses on our balance sheets. During the six months ended June 30, 2020, we recognized $22,000 in grant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04"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expensed when incurred. Non-refundable advance payments for goods and services that will be used over time for research and development are capitalized and recognized as goods are delivered or as the related services are performed. We estimate the period over which such services will be performed and the level of effort to be expended in each period. If actual timing of performance or the level of effort varies from the estimate, we will adjust the amounts recorded accordingly. We have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45"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72"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37" w:lineRule="exact"/>
        <w:rPr>
          <w:sz w:val="20"/>
          <w:szCs w:val="20"/>
          <w:color w:val="auto"/>
        </w:rPr>
      </w:pPr>
    </w:p>
    <w:p>
      <w:pPr>
        <w:ind w:left="1300" w:hanging="442"/>
        <w:spacing w:after="0"/>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 See the subsection titled “—Common Stock Valuations” below.</w:t>
      </w:r>
    </w:p>
    <w:p>
      <w:pPr>
        <w:spacing w:after="0" w:line="116" w:lineRule="exact"/>
        <w:rPr>
          <w:rFonts w:ascii="Times New Roman" w:cs="Times New Roman" w:eastAsia="Times New Roman" w:hAnsi="Times New Roman"/>
          <w:sz w:val="18"/>
          <w:szCs w:val="18"/>
          <w:color w:val="auto"/>
        </w:rPr>
      </w:pPr>
    </w:p>
    <w:p>
      <w:pPr>
        <w:ind w:left="1300" w:right="180" w:hanging="442"/>
        <w:spacing w:after="0" w:line="275" w:lineRule="auto"/>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Because we have been privately held and do not have any trading history for our common stock,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67"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represents the period that the stock-based awards are expected to be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using the simplified method (based on the mid-point between the vesting date and the end of the contractual term), as we do not have sufficient historical data to use any other method to estimate expected term.</w:t>
      </w:r>
    </w:p>
    <w:p>
      <w:pPr>
        <w:spacing w:after="0" w:line="54"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We have never paid dividends on our common stock and have no plans to pay dividends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Therefore, we used an expected dividend yield of zero.</w:t>
      </w:r>
    </w:p>
    <w:p>
      <w:pPr>
        <w:spacing w:after="0" w:line="146" w:lineRule="exact"/>
        <w:rPr>
          <w:sz w:val="20"/>
          <w:szCs w:val="20"/>
          <w:color w:val="auto"/>
        </w:rPr>
      </w:pPr>
    </w:p>
    <w:p>
      <w:pPr>
        <w:ind w:right="300" w:firstLine="576"/>
        <w:spacing w:after="0" w:line="245" w:lineRule="auto"/>
        <w:rPr>
          <w:sz w:val="20"/>
          <w:szCs w:val="20"/>
          <w:color w:val="auto"/>
        </w:rPr>
      </w:pPr>
      <w:r>
        <w:rPr>
          <w:rFonts w:ascii="Arial" w:cs="Arial" w:eastAsia="Arial" w:hAnsi="Arial"/>
          <w:sz w:val="18"/>
          <w:szCs w:val="18"/>
          <w:color w:val="auto"/>
        </w:rPr>
        <w:t>See Note 12 to our audited financial statements and Note 11 to our unaudited interim condensed financial statements included elsewhere in this prospectus for more information concerning certain of the specific assumptions we used in applying the Black-Scholes option pricing model to determine the estimated fair value of our stock options. Certain of such assumptions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72"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We recorded stock-based compensation expense of $0.2 million and $ 0.3 million for the years ended December 31, 2018 and 2019, respectively, and $0.1 million for each of the six months ended June 30, 2019 and 2020. As of June 30, 2020, there was $ 0.3 million of total unrecognized stock-based compensation expense related to unvested stock options which we expect to recognize over a remaining weighted-average period of 1.23 years. We expect to continue to grant stock options and other equity-based awards in the future, and to the extent that we do, our stock-based compensation expense recognized in future periods will likely increase.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ind w:right="100" w:firstLine="576"/>
        <w:spacing w:after="0" w:line="276" w:lineRule="auto"/>
        <w:rPr>
          <w:sz w:val="20"/>
          <w:szCs w:val="20"/>
          <w:color w:val="auto"/>
        </w:rPr>
      </w:pPr>
      <w:r>
        <w:rPr>
          <w:rFonts w:ascii="Arial" w:cs="Arial" w:eastAsia="Arial" w:hAnsi="Arial"/>
          <w:sz w:val="18"/>
          <w:szCs w:val="18"/>
          <w:color w:val="auto"/>
        </w:rPr>
        <w:t>The intrinsic value of all outstanding options as of June 30, 2020 was $20.1 million based on the initial public offering price of $17.00 per share, of which approximately $12.7 million is related to vested options and approximately $7.4 million is related to unvested options.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 xml:space="preserve">Historically, for all periods prior to this offering, since there has been no public market of our common stock to date, the fair value of the shares of common stock underlying our share-based awards was estimated on each grant date by our board of directors. To determine the fair value of our common stock underlying option grants,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and our board of directors’ assessment of additional objective and subjective factors that it believed were relevant, and factors that may have changed from the date of the most recent valuation through the date of the grant. These factors include, but are not limited to:</w:t>
      </w:r>
    </w:p>
    <w:p>
      <w:pPr>
        <w:spacing w:after="0" w:line="71" w:lineRule="exact"/>
        <w:rPr>
          <w:sz w:val="20"/>
          <w:szCs w:val="20"/>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our stage of development and material risks related to our business;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progress of our research and development activities;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conditions and projections;</w:t>
      </w:r>
    </w:p>
    <w:p>
      <w:pPr>
        <w:spacing w:after="0" w:line="116"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valuation of publicly traded companies in the life sciences and biotechnology sectors, as well as recently completed mergers and acquisitions of peer companies;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marketability of our common stock as a private company;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prices at which we sold shares of our convertible preferred stock to outside investors in arms-length transactions;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16"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the hiring of key personnel and the experience of management;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developments in our industry;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69"/>
        </w:numPr>
        <w:rPr>
          <w:rFonts w:ascii="Times New Roman" w:cs="Times New Roman" w:eastAsia="Times New Roman" w:hAnsi="Times New Roman"/>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22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For our valuations performed prior to December 31, 2019, we used the option pricing method, or OPM, back-solve method. In an OPM framework, the back-solve method for inferring the equity value implied by a recent financing transaction involves making assumptions for the expected time to liquidity, volatility and risk-free rate and then solving for the value of equity such that value for the most recent financing equals the amount paid. This method was selected as management concluded that the contemporaneous financing transaction was an arms-length transaction.</w:t>
      </w:r>
    </w:p>
    <w:p>
      <w:pPr>
        <w:spacing w:after="0" w:line="172"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For our valuations performed subsequent to December 31, 2019, we used a hybrid method of the OPM and the Probability-Weighted Expected Return Method, or PWERM. PWERM considers various potential liquidity outcomes. Our approach included the use of an initial public offering scenario and a scenario assuming continued operation as a private entity. Under the hybrid OPM and PWERM method, the per share value calculated under the OPM and PWERM are weighted based on expected exit outcomes and the quality of the information specific to each allocation methodology to arrive at a final estimated fair value per share of the common stock before a discount for lack of marketability is applied.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05" w:name="page106"/>
    <w:bookmarkEnd w:id="105"/>
    <w:p>
      <w:pPr>
        <w:ind w:right="340" w:firstLine="576"/>
        <w:spacing w:after="0" w:line="276" w:lineRule="auto"/>
        <w:rPr>
          <w:sz w:val="20"/>
          <w:szCs w:val="20"/>
          <w:color w:val="auto"/>
        </w:rPr>
      </w:pPr>
      <w:r>
        <w:rPr>
          <w:rFonts w:ascii="Arial" w:cs="Arial" w:eastAsia="Arial" w:hAnsi="Arial"/>
          <w:sz w:val="18"/>
          <w:szCs w:val="18"/>
          <w:color w:val="auto"/>
        </w:rPr>
        <w:t>Following the closing of this offering, our board of directors will determine the fair market value of our common stock based on its closing price as reported on the date of grant on the primary stock exchange on which our common stock is traded.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We recognize deferred income taxes for the future tax consequences attributable to differences between the financial statement carrying amounts of existing assets and liabilities and their respective tax bases and operating loss and tax credit carry forwards. In evaluating our valuation allowance, we consider all available positive and negative evidence, including scheduled reversals of deferred tax liabilities, projected future taxable income, tax planning strategies, and recent financial performance. Due to our lack of earnings history and uncertainties surrounding our ability to generate future taxable income, the net deferred tax assets have been fully offset by a valuation allowance.</w:t>
      </w:r>
    </w:p>
    <w:p>
      <w:pPr>
        <w:spacing w:after="0" w:line="174" w:lineRule="exact"/>
        <w:rPr>
          <w:sz w:val="20"/>
          <w:szCs w:val="20"/>
          <w:color w:val="auto"/>
        </w:rPr>
      </w:pPr>
    </w:p>
    <w:p>
      <w:pPr>
        <w:ind w:right="120" w:firstLine="576"/>
        <w:spacing w:after="0" w:line="306" w:lineRule="auto"/>
        <w:rPr>
          <w:sz w:val="20"/>
          <w:szCs w:val="20"/>
          <w:color w:val="auto"/>
        </w:rPr>
      </w:pPr>
      <w:r>
        <w:rPr>
          <w:rFonts w:ascii="Arial" w:cs="Arial" w:eastAsia="Arial" w:hAnsi="Arial"/>
          <w:sz w:val="17"/>
          <w:szCs w:val="17"/>
          <w:color w:val="auto"/>
        </w:rPr>
        <w:t>As of December 31, 2019, we had $ 9.4 million of federal net operating loss, or NOL, carryforwards and $1.0 million of tax credit carryforwards which expire over a period of 11 to 20 years. As of December 31, 2019, we had $9.2 million of such NOLs that do not expire.</w:t>
      </w:r>
    </w:p>
    <w:p>
      <w:pPr>
        <w:spacing w:after="0" w:line="123"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Under Sections 382 and 383 of the Internal Revenue Code of 1986, as amended, or the Code, substantial changes in our ownership may limit the amount of NOL and research and development credit carryforwards that could be used annually in the future to offset taxable income. The tax benefits related to future utilization of federal and state NOL carryforwards, credit carryforwards, and other deferred tax assets may be limited or lost if cumulative changes in ownership exceeds 50% within any three-year period. We have not completed a Section 382/383 analysis under the Code regarding the limitation of NOL and credit carryforwards. If a change in ownership were to have occurred, the annual limitation may result in the expiration of NOL carryforwards and credits before utilization.</w:t>
      </w:r>
    </w:p>
    <w:p>
      <w:pPr>
        <w:spacing w:after="0" w:line="17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We record unrecognized tax benefits as liabilities or reduce the underlying tax attribute, as applicable, and adjust them when our judgment changes as a result of the evaluation of new information not previously available. Because of the complexity of some of these uncertainties, the ultimate resolution may result in a payment that is materially different from our current estimate of the unrecognized tax benefit liabilities. These differences will be reflected as increases or decreases to income tax expense in the period in which new information is available.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See Note 2 to our audited financial statements and our unaudited interim condensed financial statements included elsewhere in this prospectus for additional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had cash and cash equivalents of $85.2 million as of June 30, 2020, respectively. Our exposure to interest rate risk is not significant and a hypothetical 10% change in interest rates during any of the periods presented would not have had a material impact on our financial statements included elsewhere in this prospectus.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04" w:lineRule="exact"/>
        <w:rPr>
          <w:sz w:val="20"/>
          <w:szCs w:val="20"/>
          <w:color w:val="auto"/>
        </w:rPr>
      </w:pPr>
    </w:p>
    <w:p>
      <w:pPr>
        <w:ind w:right="100" w:firstLine="576"/>
        <w:spacing w:after="0" w:line="260" w:lineRule="auto"/>
        <w:rPr>
          <w:sz w:val="20"/>
          <w:szCs w:val="20"/>
          <w:color w:val="auto"/>
        </w:rPr>
      </w:pPr>
      <w:r>
        <w:rPr>
          <w:rFonts w:ascii="Arial" w:cs="Arial" w:eastAsia="Arial" w:hAnsi="Arial"/>
          <w:sz w:val="17"/>
          <w:szCs w:val="17"/>
          <w:color w:val="auto"/>
        </w:rPr>
        <w:t>Our functional currency is the U.S. dollar. As of the date of this prospectus, we are exposed to foreign currency rate risk related to various third-party service contracts denominated in foreign currencies. Transaction gains and losses are included in other income (expense), net on our statements of operations and comprehensive loss and were not material for any of the periods presented. A hypothetical 10% change in exchange rates during any of the periods presented would not have had a material impact on our financial statements included elsewhere in this prospectus. However, in the third quarter of 2020, we established an Australian subsidiary to facilitate the ACT-AD P300 Phase 2 clinical trial. As a result, our exposure to the foreign currencies, particularly the Australian dollar, will increase.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04" w:lineRule="exact"/>
        <w:rPr>
          <w:sz w:val="20"/>
          <w:szCs w:val="20"/>
          <w:color w:val="auto"/>
        </w:rPr>
      </w:pPr>
    </w:p>
    <w:p>
      <w:pPr>
        <w:ind w:right="360" w:firstLine="576"/>
        <w:spacing w:after="0" w:line="276" w:lineRule="auto"/>
        <w:rPr>
          <w:sz w:val="20"/>
          <w:szCs w:val="20"/>
          <w:color w:val="auto"/>
        </w:rPr>
      </w:pPr>
      <w:r>
        <w:rPr>
          <w:rFonts w:ascii="Arial" w:cs="Arial" w:eastAsia="Arial" w:hAnsi="Arial"/>
          <w:sz w:val="18"/>
          <w:szCs w:val="18"/>
          <w:color w:val="auto"/>
        </w:rPr>
        <w:t>Inflation generally affects us by increasing our cost of labor and clinical trial costs. We believe that inflation has not had a material effect on our financial statements included elsewhere in this prospectus.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7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at least $1.07 billion in annual revenue; (2)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(3) the date on which we have issued more than $1.0 billion in non-convertible debt securities during the prior three-year period; and (4) the last day of the fiscal year ending after the fifth anniversary of this offering.</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07" w:name="page108"/>
    <w:bookmarkEnd w:id="107"/>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6"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Athira is derived from the word Athir, the energy that reaches everyone. It captures our mission to develop therapies that can reach and positively impact everyone. We aim to restore neuronal health for those suffering from devastating neurological diseases, including Alzheimer’s disease, so that patients can regain their memories, lives, and family relationships.</w:t>
      </w:r>
    </w:p>
    <w:p>
      <w:pPr>
        <w:spacing w:after="0" w:line="191" w:lineRule="exact"/>
        <w:rPr>
          <w:sz w:val="20"/>
          <w:szCs w:val="20"/>
          <w:color w:val="auto"/>
        </w:rPr>
      </w:pPr>
    </w:p>
    <w:p>
      <w:pPr>
        <w:ind w:right="80" w:firstLine="576"/>
        <w:spacing w:after="0" w:line="237" w:lineRule="auto"/>
        <w:rPr>
          <w:sz w:val="20"/>
          <w:szCs w:val="20"/>
          <w:color w:val="auto"/>
        </w:rPr>
      </w:pPr>
      <w:r>
        <w:rPr>
          <w:rFonts w:ascii="Arial" w:cs="Arial" w:eastAsia="Arial" w:hAnsi="Arial"/>
          <w:sz w:val="18"/>
          <w:szCs w:val="18"/>
          <w:color w:val="auto"/>
        </w:rPr>
        <w:t>We are a late clinical-stage biopharmaceutical company focused on developing small molecules to restore neuronal health and stop neurodegeneration. With our product candidates, we aim to provide rapid cognitive improvement and alter the course of neurological diseases with our novel mechanism of action. Our approach is designed to augment neuronal growth factor signaling through HGF/MET, a naturally occurring regenerative system. We believe enhancing HGF/MET signaling has the potential to protect existing neurons from damage, reduce inflammation, promote regeneration, and positively modulate brain activity. We anticipate that all of these characteristics may improve neuronal health and translate into clinical benefits. Our pipeline is built from our proprietary drug discovery platform, or ATH platform, and consists of a series of small molecules that are designed to target either (1) the central nervous system, or CNS, by crossing the blood brain barrier, or BBB, or (2) the peripheral nervous system. Our lead candidate, ATH-1017, is a subcutaneous administered, BBB-penetrating, small molecule HGF/MET activator. In our Phase 1a and Phase 1b clinical trials, ATH-1017 for the treatment of Alzheimer’s disease, or AD, was well tolerated with no serious adverse events. These clinical trials recruited 88 subjects, including 11 subjects with mild-to-moderate AD, who were assigned to treatment and control groups. Nonclinical studies and Phase 1 clinical trials with ATH-1017 demonstrated improvements in brain network activity indicating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In September 2020, we began site initiation and patient screening for LIFT-AD, a Phase 2/3 clinical trial for ATH-1017 that may provide pivotal data in support of registration, for the treatment of mild-to-moderate AD with topline results expected by the end of 2022. By the end of 2020, we also plan to initiate ACT-AD, a P300 Phase 2 clinical trial, in mild-to-moderate AD to better understand the overall effects of ATH-1017 on working memory processing speed and cognitive measures, with topline results expected by early 2022.</w:t>
      </w:r>
    </w:p>
    <w:p>
      <w:pPr>
        <w:spacing w:after="0" w:line="209"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primary focus of our Phase 1a and Phase 1b clinical trials of ATH-1017 for the treatment of AD was to establish safety and drug exposure levels. ATH-1017 was well tolerated at all tested doses, produced predictable pharmacokinetics with dose-linear exposures, and did not accumulate over the course of treatment. Pharmacodynamic measures evaluating brain penetration, target engagement and brain function with electroencephalogram, or EEG, methods produced a strong suite of data justifying further investigation of ATH-1017 in future clinical trials. Individuals with AD typically experience a general slowing of EEG, including a reduction in higher frequency waves, such as gamma. Gamma power is typically associated with learning, memory and cognitive function. Administration of ATH-1017 treatment increased high frequency gamma power activity with a single dose in both young healthy volunteers and elderly healthy volunteers. Gamma power also improved in AD subjects. P300 latency, a functional measure of working memory processing speed and executive function that highly correlates with cognition, was also substantially improved.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These results suggest that ATH-1017 has the potential to substantially improve synaptic connectivity and brain function in AD subjects.</w:t>
      </w:r>
    </w:p>
    <w:p>
      <w:pPr>
        <w:spacing w:after="0" w:line="183"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 is a significant unmet medical need with as many as 35 million cases estimated worldwide and no treatments that can significantly reduce the burden on people impacted by the disease. Failures of approaches targeting specific hypotheses of underlying AD pathology highlight the need for novel strategies to address the disease. Regardless of the underlying pathology, it has been established that the loss of synaptic density and breakdown of the neuronal network leads to cognitive impairment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08" w:name="page109"/>
    <w:bookmarkEnd w:id="108"/>
    <w:p>
      <w:pPr>
        <w:jc w:val="both"/>
        <w:ind w:right="400"/>
        <w:spacing w:after="0" w:line="255" w:lineRule="auto"/>
        <w:rPr>
          <w:sz w:val="20"/>
          <w:szCs w:val="20"/>
          <w:color w:val="auto"/>
        </w:rPr>
      </w:pPr>
      <w:r>
        <w:rPr>
          <w:rFonts w:ascii="Arial" w:cs="Arial" w:eastAsia="Arial" w:hAnsi="Arial"/>
          <w:sz w:val="18"/>
          <w:szCs w:val="18"/>
          <w:color w:val="auto"/>
        </w:rPr>
        <w:t>subjects with AD and other forms of dementia. We believe the activation of the HGF/MET growth factor in the brain will lead to increased synaptic density, network recovery and information transmission in the brain, which could ultimately result in cognitive improvement and clinical benefit.</w:t>
      </w:r>
    </w:p>
    <w:p>
      <w:pPr>
        <w:spacing w:after="0" w:line="164" w:lineRule="exact"/>
        <w:rPr>
          <w:sz w:val="20"/>
          <w:szCs w:val="20"/>
          <w:color w:val="auto"/>
        </w:rPr>
      </w:pPr>
    </w:p>
    <w:p>
      <w:pPr>
        <w:ind w:right="340" w:firstLine="576"/>
        <w:spacing w:after="0" w:line="248" w:lineRule="auto"/>
        <w:rPr>
          <w:sz w:val="20"/>
          <w:szCs w:val="20"/>
          <w:color w:val="auto"/>
        </w:rPr>
      </w:pPr>
      <w:r>
        <w:rPr>
          <w:rFonts w:ascii="Arial" w:cs="Arial" w:eastAsia="Arial" w:hAnsi="Arial"/>
          <w:sz w:val="18"/>
          <w:szCs w:val="18"/>
          <w:color w:val="auto"/>
        </w:rPr>
        <w:t>ATH-1017 is designed to address the broader dementia patient population beyond AD and we are planning to initiate a Phase 2 clinical trial for the treatment of Parkinson’s disease dementia, or PDD, by the end of 2021. Dementia is a significant unmet medical need affecting over 50 million worldwide. Given underlying healthcare trends, specifically the aging population globally, dementia patients are expected to grow significantly and almost triple by 2050.</w:t>
      </w:r>
    </w:p>
    <w:p>
      <w:pPr>
        <w:spacing w:after="0" w:line="170"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We are pioneering the use of small molecules that are designed to promote hepatocyte growth factor/MET, or HGF/MET, a naturally occurring regenerative system, in neurological disorders. While discovered in the liver, HGF is a critical growth factor across multiple organs, including in the brain. HGF/MET has long been known as a promising therapeutic target for CNS disorders; however, delivery of large proteins or gene therapy to the CNS to augment HGF/MET is challenging due to the invasive methods needed for them to bypass the BBB and the risk of potential adverse immune response. Our novel BBB-penetrating small molecules are designed to overcome many of these hurdles, allowing us to efficiently tap into the regenerative potential of HGF/MET. For therapeutic applications in CNS disorders, particularly AD, treatments that target neuronal growth factors can potentially accomplish several therapeutic goals, including rapid cognitive improvement and sustained neuroprotective effects.</w:t>
      </w:r>
    </w:p>
    <w:p>
      <w:pPr>
        <w:spacing w:after="0" w:line="18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It is our goal to establish in future clinical trials that our ATH platform, which is designed to enhance the body’s repair mechanism of HGF/MET, can potentially address a wide range of clinical applications ranging from CNS disorders, such as AD, PDD, multiple sclerosis, or MS, and amyotrophic lateral sclerosis, or ALS, to more peripheral conditions such as neuropathy. In addition, we believe that HGF/MET biology plays a role in neuropsychiatric disorders such as depression and anxiety. Currently we have two preclinical candidates for non-AD indications: ATH-1019, which is being advanced to address depression, and ATH-1018, which is being advanced to address peripheral neuropathy. Our ATH platform allows us the flexibility to engineer compounds that are BBB-penetrating or that generate specific activity in the periphery and molecules are suitable for subcutaneous or oral route of administration.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Investors</w:t>
      </w:r>
    </w:p>
    <w:p>
      <w:pPr>
        <w:spacing w:after="0" w:line="106"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Our leadership team includes experienced neuroscience biotech executives who have both developed and commercialized CNS drugs and founded successful companies. Dr. Kawas, our founder and chief executive officer, has been essential in creating our innovative translational development strategy. Dr. Hans Moebius, our chief medical officer, is a pioneer in the AD space and led the effort in getting Namenda, among other CNS drugs, approved. Dr. Mark Litton, our chief operating officer, is one of the co-founders and builders of Alder BioPharmaceuticals, which was acquired by Lundbeck A/S in October 2019. Dr. Kevin Church, our vice president of discovery, has over 10 years of research and management experience in the biotech space and is an expert in HGF biology.</w:t>
      </w:r>
    </w:p>
    <w:p>
      <w:pPr>
        <w:spacing w:after="0" w:line="17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Our advisory board is a world-class team of leaders in the neuroregenerative, drug development and neurophysiology fields, including Dr. Larry Ereshefsky and Dr. Marwan Sabbagh. Dr. Ereshefsky is a pioneer in the application of translational drug development tools, including neurocircuitry/biomarker-based strategies, such as qEEG, ERP P300 latency, and cognitive and behavioral paradigms. Dr. Sabbagh, the Director of Cleveland Clinic Lou Ruvo Center for Brain Health, is considered to be one of the leading experts in AD and dementia.</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Our team is further supported by a group of investors that share our vision, mission, and commitment to develop innovative therapies for neurodegeneration. Our key investors include Perceptive Advisors, RTW Investments, Viking Global Investors, Venrock Healthcare Capital Partners, Franklin Templeton, Rock Springs Capital, LifeSci Venture Partners, Surveyor Capital (a Citadel company), Highside Capital Management, Logos Capital, funds managed by Janus Henderson Investors, Sofinnova Investments, and Avidity Partners.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Our Pipeline</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Figure 1 below illustrates the current development stage of our ATH compounds and discovery and development programs. In addition, we are expanding our ATH platform to additional indications in the CNS and peripheral nervous system as we aim to improve neuronal health in multiple disorders. Our drug discovery efforts are focused on exploring the potential of ATH technology, which is designed to promote HGF/MET activity for a variety of clinical applications.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 Summary of Our Preclinical and Clinical ATH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40780" cy="34036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40780" cy="3403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0" w:hanging="432"/>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RoA: route of administration; SC: subcutaneous; PO: oral.</w:t>
      </w:r>
    </w:p>
    <w:p>
      <w:pPr>
        <w:spacing w:after="0" w:line="55" w:lineRule="exact"/>
        <w:rPr>
          <w:rFonts w:ascii="Arial" w:cs="Arial" w:eastAsia="Arial" w:hAnsi="Arial"/>
          <w:sz w:val="14"/>
          <w:szCs w:val="14"/>
          <w:color w:val="auto"/>
        </w:rPr>
      </w:pPr>
    </w:p>
    <w:p>
      <w:pPr>
        <w:ind w:left="440" w:hanging="432"/>
        <w:spacing w:after="0"/>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ATH-1017 for AD is moving from Phase 1b to a Phase 2/3 clinical trial that may provide pivotal data in support of registration based on discussions with FDA.</w:t>
      </w:r>
    </w:p>
    <w:p>
      <w:pPr>
        <w:spacing w:after="0" w:line="55" w:lineRule="exact"/>
        <w:rPr>
          <w:rFonts w:ascii="Arial" w:cs="Arial" w:eastAsia="Arial" w:hAnsi="Arial"/>
          <w:sz w:val="14"/>
          <w:szCs w:val="14"/>
          <w:color w:val="auto"/>
        </w:rPr>
      </w:pPr>
    </w:p>
    <w:p>
      <w:pPr>
        <w:jc w:val="both"/>
        <w:ind w:left="440" w:right="100" w:hanging="432"/>
        <w:spacing w:after="0" w:line="266" w:lineRule="auto"/>
        <w:tabs>
          <w:tab w:leader="none" w:pos="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We plan to initiate a Phase 2 clinical trial in PDD based on results from Phase 1a and 1b clinical trials in AD with ATH-1017. A second IND for PDD can cross-reference the already active IND for AD. It is not required that we repeat any studies or trials that are applicable across the two indications for the second IND for PDD, including a Phase 1 clinical trial.</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6" w:lineRule="exact"/>
        <w:rPr>
          <w:sz w:val="20"/>
          <w:szCs w:val="20"/>
          <w:color w:val="auto"/>
        </w:rPr>
      </w:pPr>
    </w:p>
    <w:p>
      <w:pPr>
        <w:ind w:right="680" w:firstLine="576"/>
        <w:spacing w:after="0" w:line="276" w:lineRule="auto"/>
        <w:rPr>
          <w:sz w:val="20"/>
          <w:szCs w:val="20"/>
          <w:color w:val="auto"/>
        </w:rPr>
      </w:pPr>
      <w:r>
        <w:rPr>
          <w:rFonts w:ascii="Arial" w:cs="Arial" w:eastAsia="Arial" w:hAnsi="Arial"/>
          <w:sz w:val="18"/>
          <w:szCs w:val="18"/>
          <w:color w:val="auto"/>
        </w:rPr>
        <w:t>We intend to create, develop, and commercialize therapeutics with the potential to transform lives by repairing, restoring, and reversing the damage to nerve cells throughout the body. Key aspects of our business strategy to achieve these goals are to:</w:t>
      </w:r>
    </w:p>
    <w:p>
      <w:pPr>
        <w:spacing w:after="0" w:line="37" w:lineRule="exact"/>
        <w:rPr>
          <w:sz w:val="20"/>
          <w:szCs w:val="20"/>
          <w:color w:val="auto"/>
        </w:rPr>
      </w:pPr>
    </w:p>
    <w:p>
      <w:pPr>
        <w:ind w:left="1300" w:hanging="442"/>
        <w:spacing w:after="0" w:line="242" w:lineRule="auto"/>
        <w:tabs>
          <w:tab w:leader="none" w:pos="1300" w:val="left"/>
        </w:tabs>
        <w:numPr>
          <w:ilvl w:val="0"/>
          <w:numId w:val="7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Advance ATH-1017 through clinical development for AD</w:t>
      </w:r>
      <w:r>
        <w:rPr>
          <w:rFonts w:ascii="Arial" w:cs="Arial" w:eastAsia="Arial" w:hAnsi="Arial"/>
          <w:sz w:val="18"/>
          <w:szCs w:val="18"/>
          <w:color w:val="auto"/>
        </w:rPr>
        <w:t>. We believe ATH-1017 has the potential to rapidly improve cognition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durably improve the lives of the millions of people suffering from AD who currently have limited therapeutic options. We have initiated one clinical trial for AD in September 2020 and plan to initiate an additional clinical trial for AD by the end of 2020 to potentially accelerate our development timelines and further inform our development decisions. The first of these clinical trials is LIFT-AD, our Phase 2/3 clinical trial evaluating the holistic impact of ATH-1017, initiated in September 2020 with topline results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110" w:name="page111"/>
    <w:bookmarkEnd w:id="110"/>
    <w:p>
      <w:pPr>
        <w:ind w:left="1300"/>
        <w:spacing w:after="0" w:line="216" w:lineRule="exact"/>
        <w:rPr>
          <w:sz w:val="20"/>
          <w:szCs w:val="20"/>
          <w:color w:val="auto"/>
        </w:rPr>
      </w:pPr>
      <w:r>
        <w:rPr>
          <w:rFonts w:ascii="Arial" w:cs="Arial" w:eastAsia="Arial" w:hAnsi="Arial"/>
          <w:sz w:val="18"/>
          <w:szCs w:val="18"/>
          <w:color w:val="auto"/>
        </w:rPr>
        <w:t>expected by the end of 2022, which results may provide pivotal data in support of registration. The second clinical trial will be our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for AD evaluating the overall effects of ATH-1017 on working memory processing speed and cognitive measures, expected to be initiated by the end of 2020 with topline results expected by early 2022.</w:t>
      </w:r>
    </w:p>
    <w:p>
      <w:pPr>
        <w:spacing w:after="0" w:line="69" w:lineRule="exact"/>
        <w:rPr>
          <w:sz w:val="20"/>
          <w:szCs w:val="20"/>
          <w:color w:val="auto"/>
        </w:rPr>
      </w:pPr>
    </w:p>
    <w:p>
      <w:pPr>
        <w:ind w:left="1300" w:hanging="442"/>
        <w:spacing w:after="0" w:line="241"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Expand the development of ATH-1017 to include additional indications and delivery methods</w:t>
      </w:r>
      <w:r>
        <w:rPr>
          <w:rFonts w:ascii="Arial" w:cs="Arial" w:eastAsia="Arial" w:hAnsi="Arial"/>
          <w:sz w:val="18"/>
          <w:szCs w:val="18"/>
          <w:color w:val="auto"/>
        </w:rPr>
        <w:t>. We are developing ATH-1017</w:t>
      </w:r>
      <w:r>
        <w:rPr>
          <w:rFonts w:ascii="Arial" w:cs="Arial" w:eastAsia="Arial" w:hAnsi="Arial"/>
          <w:sz w:val="18"/>
          <w:szCs w:val="18"/>
          <w:i w:val="1"/>
          <w:iCs w:val="1"/>
          <w:color w:val="auto"/>
        </w:rPr>
        <w:t xml:space="preserve"> </w:t>
      </w:r>
      <w:r>
        <w:rPr>
          <w:rFonts w:ascii="Arial" w:cs="Arial" w:eastAsia="Arial" w:hAnsi="Arial"/>
          <w:sz w:val="18"/>
          <w:szCs w:val="18"/>
          <w:color w:val="auto"/>
        </w:rPr>
        <w:t>as a treatment for mild-to-moderate AD, but over time we aim to expand development to cover all stages of AD. Beyond AD, we believe that ATH-1017 can ultimately address the broader dementia patient population. In an effort to begin this expansion, we are planning to conduct a Phase 2 clinical trial for PDD to commence by the end of 2021. ATH-1017 is initially being developed to be delivered via pre-filled syringes, and we are exploring the development of alternative delivery devices, including multi-dose pen injectors, to increase patient comfort and ease of use for patients and caregivers, ultimately improving patient compliance and outcomes.</w:t>
      </w:r>
    </w:p>
    <w:p>
      <w:pPr>
        <w:spacing w:after="0" w:line="69" w:lineRule="exact"/>
        <w:rPr>
          <w:rFonts w:ascii="Times New Roman" w:cs="Times New Roman" w:eastAsia="Times New Roman" w:hAnsi="Times New Roman"/>
          <w:sz w:val="18"/>
          <w:szCs w:val="18"/>
          <w:color w:val="auto"/>
        </w:rPr>
      </w:pPr>
    </w:p>
    <w:p>
      <w:pPr>
        <w:ind w:left="1300" w:right="120" w:hanging="442"/>
        <w:spacing w:after="0" w:line="244"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translational and functional endpoints to efficiently develop product candidates</w:t>
      </w:r>
      <w:r>
        <w:rPr>
          <w:rFonts w:ascii="Arial" w:cs="Arial" w:eastAsia="Arial" w:hAnsi="Arial"/>
          <w:sz w:val="18"/>
          <w:szCs w:val="18"/>
          <w:color w:val="auto"/>
        </w:rPr>
        <w:t>. We intend to use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translatable and predictive measures, such as EEG and event-related potential, or ERP, methods, early in development to guide clinical dose decisions, provide predictable measures for potential clinical benefit, and advance product candidates through clinical development. We have focused on changes in cognitive processing and function, coupled with measures of brain function with EEG and ERP, allowing for more efficient and cost-effective clinical trials.</w:t>
      </w:r>
    </w:p>
    <w:p>
      <w:pPr>
        <w:spacing w:after="0" w:line="6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Continue developing additional pipeline programs and utilize our ATH platform for further drug discovery</w:t>
      </w:r>
      <w:r>
        <w:rPr>
          <w:rFonts w:ascii="Arial" w:cs="Arial" w:eastAsia="Arial" w:hAnsi="Arial"/>
          <w:sz w:val="18"/>
          <w:szCs w:val="18"/>
          <w:color w:val="auto"/>
        </w:rPr>
        <w:t>. Our strategy is to</w:t>
      </w:r>
      <w:r>
        <w:rPr>
          <w:rFonts w:ascii="Arial" w:cs="Arial" w:eastAsia="Arial" w:hAnsi="Arial"/>
          <w:sz w:val="18"/>
          <w:szCs w:val="18"/>
          <w:i w:val="1"/>
          <w:iCs w:val="1"/>
          <w:color w:val="auto"/>
        </w:rPr>
        <w:t xml:space="preserve"> </w:t>
      </w:r>
      <w:r>
        <w:rPr>
          <w:rFonts w:ascii="Arial" w:cs="Arial" w:eastAsia="Arial" w:hAnsi="Arial"/>
          <w:sz w:val="18"/>
          <w:szCs w:val="18"/>
          <w:color w:val="auto"/>
        </w:rPr>
        <w:t>only advance product candidates that show both strong translation and early predictive clinical data. We plan to continue growing our discovery organization in the field of neuronal health and regeneration by building on our strong foundational knowledge of neuronal network, behavior, and translatable measures. It is our goal to establish in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71" w:lineRule="exact"/>
        <w:rPr>
          <w:rFonts w:ascii="Times New Roman" w:cs="Times New Roman" w:eastAsia="Times New Roman" w:hAnsi="Times New Roman"/>
          <w:sz w:val="18"/>
          <w:szCs w:val="18"/>
          <w:color w:val="auto"/>
        </w:rPr>
      </w:pPr>
    </w:p>
    <w:p>
      <w:pPr>
        <w:ind w:left="1300" w:hanging="442"/>
        <w:spacing w:after="0" w:line="248" w:lineRule="auto"/>
        <w:tabs>
          <w:tab w:leader="none" w:pos="1300" w:val="left"/>
        </w:tabs>
        <w:numPr>
          <w:ilvl w:val="0"/>
          <w:numId w:val="7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Optimize the value of ATH-1017 and other candidates in major markets</w:t>
      </w:r>
      <w:r>
        <w:rPr>
          <w:rFonts w:ascii="Arial" w:cs="Arial" w:eastAsia="Arial" w:hAnsi="Arial"/>
          <w:sz w:val="18"/>
          <w:szCs w:val="18"/>
          <w:color w:val="auto"/>
        </w:rPr>
        <w:t>. We own worldwide rights to ATH-1017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our pipeline of small molecule candidates. We plan to develop and pursue approval of ATH-1017 and other future candidates in major markets. Where appropriate, we may use strategic collaborations or partnerships to accelerate development and maximize the commercial potential of our programs.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Addressing the Key Aspects of Neuronal Health and Alzheimer’s Disease</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Maintenance of neuronal health is critical to preserving normal neuronal and brain function. Several neurodegenerative diseases, such as AD, PDD, MS, and ALS, share a common consequence of continued neuronal damage and death that ultimately lead to progressive impairment of the neuronal network and loss of both cognitive and general functions. Globally, these diseases affect millions of people.</w:t>
      </w:r>
    </w:p>
    <w:p>
      <w:pPr>
        <w:spacing w:after="0" w:line="164" w:lineRule="exact"/>
        <w:rPr>
          <w:sz w:val="20"/>
          <w:szCs w:val="20"/>
          <w:color w:val="auto"/>
        </w:rPr>
      </w:pPr>
    </w:p>
    <w:p>
      <w:pPr>
        <w:ind w:right="40" w:firstLine="576"/>
        <w:spacing w:after="0" w:line="268" w:lineRule="auto"/>
        <w:rPr>
          <w:sz w:val="20"/>
          <w:szCs w:val="20"/>
          <w:color w:val="auto"/>
        </w:rPr>
      </w:pPr>
      <w:r>
        <w:rPr>
          <w:rFonts w:ascii="Arial" w:cs="Arial" w:eastAsia="Arial" w:hAnsi="Arial"/>
          <w:sz w:val="17"/>
          <w:szCs w:val="17"/>
          <w:color w:val="auto"/>
        </w:rPr>
        <w:t>AD, our initial focus, is a progressive dementia caused by widespread neurodegeneration. The causal pathophysiological mechanism of AD has yet to be identified. This fundamental lack of understanding, combined with the complex range of pathological features, has led to a history of late-stage drug development failures. Regardless of the underlying pathology, it has been established that the loss of synaptic density and breakdown of the neuronal network leads to cognitive impairment in subjects with AD and other forms of dementia.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11" w:name="page112"/>
    <w:bookmarkEnd w:id="111"/>
    <w:p>
      <w:pPr>
        <w:ind w:right="200" w:firstLine="576"/>
        <w:spacing w:after="0" w:line="243" w:lineRule="auto"/>
        <w:rPr>
          <w:sz w:val="20"/>
          <w:szCs w:val="20"/>
          <w:color w:val="auto"/>
        </w:rPr>
      </w:pPr>
      <w:r>
        <w:rPr>
          <w:rFonts w:ascii="Arial" w:cs="Arial" w:eastAsia="Arial" w:hAnsi="Arial"/>
          <w:sz w:val="18"/>
          <w:szCs w:val="18"/>
          <w:color w:val="auto"/>
        </w:rPr>
        <w:t>There is a vast unmet need for effective pharmacological treatment for AD. Despite significant investments in drug discovery programs and strategies to treat AD there have been no approved therapeutics developed that can boost cognition, alter the course of the disease, and provide long-term symptomatic improvement. There are currently four marketed drugs for the management of AD symptoms: donepezil, galantamine, and rivastigmine (all acting on cholinergic pathways) and memantine (targeting the NMDA receptor and glutaminergic pathways). The long-term efficacy for these drugs has not been proven and they provide only temporary and modest clinical improvement.</w:t>
      </w:r>
    </w:p>
    <w:p>
      <w:pPr>
        <w:spacing w:after="0" w:line="17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Additionally, there are currently a number of experimental therapeutic agents for AD in various stages of development with clinical testing directed towards amyloid-beta, or Aβ, clearance, and inhibition of Tau protein aggregation or phosphorylated-Tau, or pTau, clearance. Recent clinical failures involving Aβ clearance highlight the incomplete understanding of the pathological processes in AD and clearly demonstrate the need for novel strategies to fight the disease.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HGF/MET Pathway – A Crucial System for Regeneration</w:t>
      </w:r>
    </w:p>
    <w:p>
      <w:pPr>
        <w:spacing w:after="0" w:line="104" w:lineRule="exact"/>
        <w:rPr>
          <w:sz w:val="20"/>
          <w:szCs w:val="20"/>
          <w:color w:val="auto"/>
        </w:rPr>
      </w:pPr>
    </w:p>
    <w:p>
      <w:pPr>
        <w:ind w:right="240" w:firstLine="576"/>
        <w:spacing w:after="0" w:line="268" w:lineRule="auto"/>
        <w:rPr>
          <w:sz w:val="20"/>
          <w:szCs w:val="20"/>
          <w:color w:val="auto"/>
        </w:rPr>
      </w:pPr>
      <w:r>
        <w:rPr>
          <w:rFonts w:ascii="Arial" w:cs="Arial" w:eastAsia="Arial" w:hAnsi="Arial"/>
          <w:sz w:val="17"/>
          <w:szCs w:val="17"/>
          <w:color w:val="auto"/>
        </w:rPr>
        <w:t>The HGF/MET system has diverse roles relevant for synaptic function, network recovery, survival, and regeneration. We believe activation of HGF/MET offers a unique opportunity to address many aspects of AD pathology through a single target approach. Promoting the HGF/MET system has been shown to have multiple downstream beneficial effects relevant to improving symptoms and reversing the neurodegenerative process, making it an ideal target for complex neurodegenerative diseases, as illustrated below in Figure 2.</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12" w:name="page113"/>
    <w:bookmarkEnd w:id="112"/>
    <w:p>
      <w:pPr>
        <w:ind w:firstLine="576"/>
        <w:spacing w:after="0" w:line="243" w:lineRule="auto"/>
        <w:rPr>
          <w:sz w:val="20"/>
          <w:szCs w:val="20"/>
          <w:color w:val="auto"/>
        </w:rPr>
      </w:pPr>
      <w:r>
        <w:rPr>
          <w:rFonts w:ascii="Arial" w:cs="Arial" w:eastAsia="Arial" w:hAnsi="Arial"/>
          <w:sz w:val="18"/>
          <w:szCs w:val="18"/>
          <w:i w:val="1"/>
          <w:iCs w:val="1"/>
          <w:color w:val="auto"/>
        </w:rPr>
        <w:t xml:space="preserve">Figure 2. Normal HGF/MET System and Pathway. </w:t>
      </w:r>
      <w:r>
        <w:rPr>
          <w:rFonts w:ascii="Arial" w:cs="Arial" w:eastAsia="Arial" w:hAnsi="Arial"/>
          <w:sz w:val="18"/>
          <w:szCs w:val="18"/>
          <w:color w:val="auto"/>
        </w:rPr>
        <w:t>HGF is a protein ligand that binds to MET, which is a receptor expressed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surface of neurons, glia, and vascular cells in the brain. HGF binding converts MET to an active state and initiates processes including changes in gene expression that help maintain normal cellular health and function. In the brain, the HGF/MET system contributes to neuronal signaling and healthy function including regulating N-methyl-D-aspartate, or NMDA, receptor activity, modulating glial activity to regulate inflammation, and helping maintain cerebral blood flow. These multiple downstream effects of the HGF/MET system play critical roles in maintaining healthy connectivity and brain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124460</wp:posOffset>
            </wp:positionV>
            <wp:extent cx="4354830" cy="61550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54830" cy="615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3" w:name="page114"/>
    <w:bookmarkEnd w:id="113"/>
    <w:p>
      <w:pPr>
        <w:ind w:firstLine="576"/>
        <w:spacing w:after="0" w:line="248" w:lineRule="auto"/>
        <w:rPr>
          <w:sz w:val="20"/>
          <w:szCs w:val="20"/>
          <w:color w:val="auto"/>
        </w:rPr>
      </w:pPr>
      <w:r>
        <w:rPr>
          <w:rFonts w:ascii="Arial" w:cs="Arial" w:eastAsia="Arial" w:hAnsi="Arial"/>
          <w:sz w:val="18"/>
          <w:szCs w:val="18"/>
          <w:color w:val="auto"/>
        </w:rPr>
        <w:t>The multi-modal effect of HGF/MET across the nervous, vascular, and immune systems may address the impact of neurodegnerative diseases where neuronal health, cerebral blood flow, and excess inflammation play a significant role in disease progression. Promotion of the HGF/MET system has the potential to directly halt neurodegeneration, induce regeneration, improve cerebral blood flow, and reduce inflammation.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Scientific Data Support HGF/MET’s Role in Maintaining Neuronal Health and Function</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Normal MET expression is crucial in maintaining the healthy adult brain. Multiple studies have demonstrated that the MET system is strictly regulated to have a stable expression pattern. MET is one of a small number of uniquely regulated genes with very high differential stability in its quantitative pattern of mRNA gene transcript levels across hundreds of structures throughout the neurotypical healthy adult brain. In fact, compared to approximately 17,000 other human genes, the MET receptor has the most differentially stable expression pattern in the cortex of the normal adult human brain. The cortex is a brain region that has important roles in learning, memory, and executive functioning, and this stable expression pattern demonstrates that the MET receptor is an important signature of a healthy brain.</w:t>
      </w:r>
    </w:p>
    <w:p>
      <w:pPr>
        <w:spacing w:after="0" w:line="17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Additionally, although MET expression is very stable in healthy adults, expression is reduced in AD subjects, particularly in the hippocampus, as illustrated below in Figure 3. Previous studies have shown that AD subjects have approximately 25%-75% less MET expression in different brain regions compared to healthy age-matched adults. This reduction highlights another rationale to rescue the activity of this critical regenerative system. The HGF/MET system is neuroprotective in models of neurodegenerative disorders, including AD, PDD, MS, and ALS. Amplification of the HGF/MET system has the potential to provide critical neuroprotective and neuroregenerative effects to rescue damaged and dysfunctional neurons and promote recovery of cognitive functions.</w:t>
      </w:r>
    </w:p>
    <w:p>
      <w:pPr>
        <w:spacing w:after="0" w:line="174" w:lineRule="exact"/>
        <w:rPr>
          <w:sz w:val="20"/>
          <w:szCs w:val="20"/>
          <w:color w:val="auto"/>
        </w:rPr>
      </w:pPr>
    </w:p>
    <w:p>
      <w:pPr>
        <w:ind w:right="360" w:firstLine="576"/>
        <w:spacing w:after="0" w:line="255" w:lineRule="auto"/>
        <w:rPr>
          <w:sz w:val="20"/>
          <w:szCs w:val="20"/>
          <w:color w:val="auto"/>
        </w:rPr>
      </w:pPr>
      <w:r>
        <w:rPr>
          <w:rFonts w:ascii="Arial" w:cs="Arial" w:eastAsia="Arial" w:hAnsi="Arial"/>
          <w:sz w:val="18"/>
          <w:szCs w:val="18"/>
          <w:i w:val="1"/>
          <w:iCs w:val="1"/>
          <w:color w:val="auto"/>
        </w:rPr>
        <w:t xml:space="preserve">Figure 3. Neuronal MET Expression Is Reduced in the Hippocampus of AD Subjects. </w:t>
      </w:r>
      <w:r>
        <w:rPr>
          <w:rFonts w:ascii="Arial" w:cs="Arial" w:eastAsia="Arial" w:hAnsi="Arial"/>
          <w:sz w:val="18"/>
          <w:szCs w:val="18"/>
          <w:color w:val="auto"/>
        </w:rPr>
        <w:t>A study measuring MET mRNA levels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hippocampus of AD subjects shows reduced MET expression compared to healthy samples, suggesting that the reduced activity of this critical regenerative system may potentially play a role in the progressive neurodegeneration in AD</w:t>
      </w:r>
      <w:r>
        <w:rPr>
          <w:rFonts w:ascii="Arial" w:cs="Arial" w:eastAsia="Arial" w:hAnsi="Arial"/>
          <w:sz w:val="18"/>
          <w:szCs w:val="18"/>
          <w:i w:val="1"/>
          <w:i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MET and mRNA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1847215</wp:posOffset>
            </wp:positionV>
            <wp:extent cx="7283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227330</wp:posOffset>
            </wp:positionV>
            <wp:extent cx="814070" cy="15347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1407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Hokama et al., 2014</w:t>
      </w:r>
      <w:r>
        <w:rPr>
          <w:rFonts w:ascii="Arial" w:cs="Arial" w:eastAsia="Arial" w:hAnsi="Arial"/>
          <w:sz w:val="14"/>
          <w:szCs w:val="14"/>
          <w:color w:val="auto"/>
        </w:rPr>
        <w:t>.</w:t>
      </w:r>
    </w:p>
    <w:p>
      <w:pPr>
        <w:spacing w:after="0" w:line="207"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Multiple third-party studies have documented the regenerative impact of HGF/MET promotion in models of AD, PDD, MS, and ALS, with examples shown in Figure 4 below. Notably, promotion of the HGF/MET system improved memory in AD and PDD models and improvement in neuronal survival was reported in various disease models including MS and ALS. These studies indicate that an enhanced HGF/MET system has substantial beneficial effects and support the HGF/MET system as a therapeutic target in a diverse array of nervous system disorders.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14" w:name="page115"/>
    <w:bookmarkEnd w:id="114"/>
    <w:p>
      <w:pPr>
        <w:ind w:right="20" w:firstLine="576"/>
        <w:spacing w:after="0" w:line="245" w:lineRule="auto"/>
        <w:rPr>
          <w:sz w:val="20"/>
          <w:szCs w:val="20"/>
          <w:color w:val="auto"/>
        </w:rPr>
      </w:pPr>
      <w:r>
        <w:rPr>
          <w:rFonts w:ascii="Arial" w:cs="Arial" w:eastAsia="Arial" w:hAnsi="Arial"/>
          <w:sz w:val="18"/>
          <w:szCs w:val="18"/>
          <w:i w:val="1"/>
          <w:iCs w:val="1"/>
          <w:color w:val="auto"/>
        </w:rPr>
        <w:t xml:space="preserve">Figure 4. Effects of HGF Treatment in Animal Models of CNS Disorders. </w:t>
      </w:r>
      <w:r>
        <w:rPr>
          <w:rFonts w:ascii="Arial" w:cs="Arial" w:eastAsia="Arial" w:hAnsi="Arial"/>
          <w:sz w:val="18"/>
          <w:szCs w:val="18"/>
          <w:color w:val="auto"/>
        </w:rPr>
        <w:t>Below is a list of preclinical studies conducted by third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that shows the beneficial effects of HGF/MET on functional endpoint or processes that are critical in recovering neuronal health and function. These studies demonstrate that boosting the activity of the HGF/MET system, whether through direct injection of HGF or increasing expression of HGF by gene therapy techniques, promotes neuronal health and regeneration, and rescues memory and function in several animal models of CNS disorders.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Borders>
              <w:top w:val="single" w:sz="8" w:color="5B9BD5"/>
              <w:bottom w:val="single" w:sz="8" w:color="5B9BD5"/>
            </w:tcBorders>
          </w:tcPr>
          <w:p>
            <w:pPr>
              <w:jc w:val="center"/>
              <w:spacing w:after="0"/>
              <w:rPr>
                <w:sz w:val="20"/>
                <w:szCs w:val="20"/>
                <w:color w:val="auto"/>
              </w:rPr>
            </w:pPr>
            <w:r>
              <w:rPr>
                <w:rFonts w:ascii="Arial" w:cs="Arial" w:eastAsia="Arial" w:hAnsi="Arial"/>
                <w:sz w:val="13"/>
                <w:szCs w:val="13"/>
                <w:b w:val="1"/>
                <w:bCs w:val="1"/>
                <w:color w:val="auto"/>
                <w:w w:val="97"/>
              </w:rPr>
              <w:t>Disease</w:t>
            </w:r>
          </w:p>
        </w:tc>
        <w:tc>
          <w:tcPr>
            <w:tcW w:w="2480" w:type="dxa"/>
            <w:vAlign w:val="bottom"/>
            <w:tcBorders>
              <w:top w:val="single" w:sz="8" w:color="5B9BD5"/>
              <w:bottom w:val="single" w:sz="8" w:color="5B9BD5"/>
            </w:tcBorders>
          </w:tcPr>
          <w:p>
            <w:pPr>
              <w:jc w:val="center"/>
              <w:ind w:left="97"/>
              <w:spacing w:after="0"/>
              <w:rPr>
                <w:sz w:val="20"/>
                <w:szCs w:val="20"/>
                <w:color w:val="auto"/>
              </w:rPr>
            </w:pPr>
            <w:r>
              <w:rPr>
                <w:rFonts w:ascii="Arial" w:cs="Arial" w:eastAsia="Arial" w:hAnsi="Arial"/>
                <w:sz w:val="13"/>
                <w:szCs w:val="13"/>
                <w:b w:val="1"/>
                <w:bCs w:val="1"/>
                <w:color w:val="auto"/>
                <w:w w:val="96"/>
              </w:rPr>
              <w:t>Animal model (species)</w:t>
            </w:r>
          </w:p>
        </w:tc>
        <w:tc>
          <w:tcPr>
            <w:tcW w:w="1920" w:type="dxa"/>
            <w:vAlign w:val="bottom"/>
            <w:tcBorders>
              <w:top w:val="single" w:sz="8" w:color="5B9BD5"/>
              <w:bottom w:val="single" w:sz="8" w:color="5B9BD5"/>
            </w:tcBorders>
          </w:tcPr>
          <w:p>
            <w:pPr>
              <w:jc w:val="center"/>
              <w:ind w:left="237"/>
              <w:spacing w:after="0"/>
              <w:rPr>
                <w:sz w:val="20"/>
                <w:szCs w:val="20"/>
                <w:color w:val="auto"/>
              </w:rPr>
            </w:pPr>
            <w:r>
              <w:rPr>
                <w:rFonts w:ascii="Arial" w:cs="Arial" w:eastAsia="Arial" w:hAnsi="Arial"/>
                <w:sz w:val="13"/>
                <w:szCs w:val="13"/>
                <w:b w:val="1"/>
                <w:bCs w:val="1"/>
                <w:color w:val="auto"/>
                <w:w w:val="95"/>
              </w:rPr>
              <w:t>HGF Delivery Method</w:t>
            </w:r>
          </w:p>
        </w:tc>
        <w:tc>
          <w:tcPr>
            <w:tcW w:w="3420" w:type="dxa"/>
            <w:vAlign w:val="bottom"/>
            <w:tcBorders>
              <w:top w:val="single" w:sz="8" w:color="5B9BD5"/>
              <w:bottom w:val="single" w:sz="8" w:color="5B9BD5"/>
            </w:tcBorders>
          </w:tcPr>
          <w:p>
            <w:pPr>
              <w:jc w:val="center"/>
              <w:ind w:right="57"/>
              <w:spacing w:after="0"/>
              <w:rPr>
                <w:sz w:val="20"/>
                <w:szCs w:val="20"/>
                <w:color w:val="auto"/>
              </w:rPr>
            </w:pPr>
            <w:r>
              <w:rPr>
                <w:rFonts w:ascii="Arial" w:cs="Arial" w:eastAsia="Arial" w:hAnsi="Arial"/>
                <w:sz w:val="13"/>
                <w:szCs w:val="13"/>
                <w:b w:val="1"/>
                <w:bCs w:val="1"/>
                <w:color w:val="auto"/>
                <w:w w:val="97"/>
              </w:rPr>
              <w:t>Outcomes</w:t>
            </w:r>
          </w:p>
        </w:tc>
        <w:tc>
          <w:tcPr>
            <w:tcW w:w="2020" w:type="dxa"/>
            <w:vAlign w:val="bottom"/>
            <w:tcBorders>
              <w:top w:val="single" w:sz="8" w:color="5B9BD5"/>
              <w:bottom w:val="single" w:sz="8" w:color="5B9BD5"/>
            </w:tcBorders>
          </w:tcPr>
          <w:p>
            <w:pPr>
              <w:jc w:val="center"/>
              <w:ind w:right="197"/>
              <w:spacing w:after="0"/>
              <w:rPr>
                <w:sz w:val="20"/>
                <w:szCs w:val="20"/>
                <w:color w:val="auto"/>
              </w:rPr>
            </w:pPr>
            <w:r>
              <w:rPr>
                <w:rFonts w:ascii="Arial" w:cs="Arial" w:eastAsia="Arial" w:hAnsi="Arial"/>
                <w:sz w:val="13"/>
                <w:szCs w:val="13"/>
                <w:b w:val="1"/>
                <w:bCs w:val="1"/>
                <w:color w:val="auto"/>
                <w:w w:val="95"/>
              </w:rPr>
              <w:t>Reference</w:t>
            </w:r>
          </w:p>
        </w:tc>
        <w:tc>
          <w:tcPr>
            <w:tcW w:w="0" w:type="dxa"/>
            <w:vAlign w:val="bottom"/>
          </w:tcPr>
          <w:p>
            <w:pPr>
              <w:spacing w:after="0"/>
              <w:rPr>
                <w:sz w:val="1"/>
                <w:szCs w:val="1"/>
                <w:color w:val="auto"/>
              </w:rPr>
            </w:pPr>
          </w:p>
        </w:tc>
      </w:tr>
      <w:tr>
        <w:trPr>
          <w:trHeight w:val="120"/>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9"/>
              </w:rPr>
              <w:t>AD</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Aβ-injection</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shd w:val="clear" w:color="auto" w:fill="EAEFF7"/>
          </w:tcPr>
          <w:p>
            <w:pPr>
              <w:jc w:val="center"/>
              <w:ind w:right="37"/>
              <w:spacing w:after="0" w:line="120" w:lineRule="exact"/>
              <w:rPr>
                <w:sz w:val="20"/>
                <w:szCs w:val="20"/>
                <w:color w:val="auto"/>
              </w:rPr>
            </w:pPr>
            <w:r>
              <w:rPr>
                <w:rFonts w:ascii="Arial" w:cs="Arial" w:eastAsia="Arial" w:hAnsi="Arial"/>
                <w:sz w:val="13"/>
                <w:szCs w:val="13"/>
                <w:color w:val="auto"/>
                <w:w w:val="96"/>
              </w:rPr>
              <w:t>Improvement in memory, increased cerebral blood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Takeuchi et. al. 2008</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flow, increased BDNF expression</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5"/>
              </w:rPr>
              <w:t>Parkinson’s</w:t>
            </w: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7"/>
              </w:rPr>
              <w:t>6-OHDA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7"/>
              </w:rPr>
              <w:t>Improved survival of dopaminergic neurons, improved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4"/>
              </w:rPr>
              <w:t>Koike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7"/>
              </w:rPr>
              <w:t>motor function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2006</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jc w:val="center"/>
              <w:spacing w:after="0"/>
              <w:rPr>
                <w:sz w:val="20"/>
                <w:szCs w:val="20"/>
                <w:color w:val="auto"/>
              </w:rPr>
            </w:pPr>
            <w:r>
              <w:rPr>
                <w:rFonts w:ascii="Arial" w:cs="Arial" w:eastAsia="Arial" w:hAnsi="Arial"/>
                <w:sz w:val="13"/>
                <w:szCs w:val="13"/>
                <w:color w:val="auto"/>
                <w:w w:val="96"/>
              </w:rPr>
              <w:t>Brain ischemia</w:t>
            </w:r>
          </w:p>
        </w:tc>
        <w:tc>
          <w:tcPr>
            <w:tcW w:w="2480" w:type="dxa"/>
            <w:vAlign w:val="bottom"/>
            <w:shd w:val="clear" w:color="auto" w:fill="EAEFF7"/>
          </w:tcPr>
          <w:p>
            <w:pPr>
              <w:jc w:val="center"/>
              <w:ind w:left="77"/>
              <w:spacing w:after="0"/>
              <w:rPr>
                <w:sz w:val="20"/>
                <w:szCs w:val="20"/>
                <w:color w:val="auto"/>
              </w:rPr>
            </w:pPr>
            <w:r>
              <w:rPr>
                <w:rFonts w:ascii="Arial" w:cs="Arial" w:eastAsia="Arial" w:hAnsi="Arial"/>
                <w:sz w:val="13"/>
                <w:szCs w:val="13"/>
                <w:color w:val="auto"/>
                <w:w w:val="97"/>
              </w:rPr>
              <w:t>Transient ischemia</w:t>
            </w:r>
          </w:p>
        </w:tc>
        <w:tc>
          <w:tcPr>
            <w:tcW w:w="1920" w:type="dxa"/>
            <w:vAlign w:val="bottom"/>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rPr>
                <w:sz w:val="20"/>
                <w:szCs w:val="20"/>
                <w:color w:val="auto"/>
              </w:rPr>
            </w:pPr>
            <w:r>
              <w:rPr>
                <w:rFonts w:ascii="Arial" w:cs="Arial" w:eastAsia="Arial" w:hAnsi="Arial"/>
                <w:sz w:val="13"/>
                <w:szCs w:val="13"/>
                <w:color w:val="auto"/>
                <w:w w:val="96"/>
              </w:rPr>
              <w:t>Improved neuronal survival</w:t>
            </w:r>
          </w:p>
        </w:tc>
        <w:tc>
          <w:tcPr>
            <w:tcW w:w="2020" w:type="dxa"/>
            <w:vAlign w:val="bottom"/>
            <w:shd w:val="clear" w:color="auto" w:fill="EAEFF7"/>
          </w:tcPr>
          <w:p>
            <w:pPr>
              <w:jc w:val="center"/>
              <w:ind w:right="197"/>
              <w:spacing w:after="0"/>
              <w:rPr>
                <w:sz w:val="20"/>
                <w:szCs w:val="20"/>
                <w:color w:val="auto"/>
              </w:rPr>
            </w:pPr>
            <w:r>
              <w:rPr>
                <w:rFonts w:ascii="Arial" w:cs="Arial" w:eastAsia="Arial" w:hAnsi="Arial"/>
                <w:sz w:val="13"/>
                <w:szCs w:val="13"/>
                <w:color w:val="auto"/>
                <w:w w:val="95"/>
              </w:rPr>
              <w:t>Miyazawa et. al. 2007</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shd w:val="clear" w:color="auto" w:fill="EAEFF7"/>
          </w:tcPr>
          <w:p>
            <w:pPr>
              <w:jc w:val="center"/>
              <w:ind w:left="97"/>
              <w:spacing w:after="0"/>
              <w:rPr>
                <w:sz w:val="20"/>
                <w:szCs w:val="20"/>
                <w:color w:val="auto"/>
              </w:rPr>
            </w:pPr>
            <w:r>
              <w:rPr>
                <w:rFonts w:ascii="Arial" w:cs="Arial" w:eastAsia="Arial" w:hAnsi="Arial"/>
                <w:sz w:val="13"/>
                <w:szCs w:val="13"/>
                <w:color w:val="auto"/>
                <w:w w:val="98"/>
              </w:rPr>
              <w:t>(gerbil)</w:t>
            </w: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7"/>
              </w:rPr>
              <w:t>ALS</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SOD1-G93)</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Improved survival of motor neurons, prolonged</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Sun et. al.</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37"/>
              <w:spacing w:after="0"/>
              <w:rPr>
                <w:sz w:val="20"/>
                <w:szCs w:val="20"/>
                <w:color w:val="auto"/>
              </w:rPr>
            </w:pPr>
            <w:r>
              <w:rPr>
                <w:rFonts w:ascii="Arial" w:cs="Arial" w:eastAsia="Arial" w:hAnsi="Arial"/>
                <w:sz w:val="13"/>
                <w:szCs w:val="13"/>
                <w:color w:val="auto"/>
                <w:w w:val="98"/>
              </w:rPr>
              <w:t>lifespan</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2002</w:t>
            </w:r>
          </w:p>
        </w:tc>
        <w:tc>
          <w:tcPr>
            <w:tcW w:w="0" w:type="dxa"/>
            <w:vAlign w:val="bottom"/>
          </w:tcPr>
          <w:p>
            <w:pPr>
              <w:spacing w:after="0"/>
              <w:rPr>
                <w:sz w:val="1"/>
                <w:szCs w:val="1"/>
                <w:color w:val="auto"/>
              </w:rPr>
            </w:pPr>
          </w:p>
        </w:tc>
      </w:tr>
      <w:tr>
        <w:trPr>
          <w:trHeight w:val="136"/>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w w:val="97"/>
              </w:rPr>
              <w:t>Cerebral infarction</w:t>
            </w: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w w:val="98"/>
              </w:rPr>
              <w:t>Embolism</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Improvement in learning and memory,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5"/>
              </w:rPr>
              <w:t>Date et. al.</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5"/>
              </w:rPr>
              <w:t>neuronal survival</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2004</w:t>
            </w:r>
          </w:p>
        </w:tc>
        <w:tc>
          <w:tcPr>
            <w:tcW w:w="0" w:type="dxa"/>
            <w:vAlign w:val="bottom"/>
          </w:tcPr>
          <w:p>
            <w:pPr>
              <w:spacing w:after="0"/>
              <w:rPr>
                <w:sz w:val="1"/>
                <w:szCs w:val="1"/>
                <w:color w:val="auto"/>
              </w:rPr>
            </w:pPr>
          </w:p>
        </w:tc>
      </w:tr>
      <w:tr>
        <w:trPr>
          <w:trHeight w:val="148"/>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vMerge w:val="continue"/>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Spinal cord injury</w:t>
            </w:r>
          </w:p>
        </w:tc>
        <w:tc>
          <w:tcPr>
            <w:tcW w:w="2480" w:type="dxa"/>
            <w:vAlign w:val="bottom"/>
            <w:vMerge w:val="restart"/>
          </w:tcPr>
          <w:p>
            <w:pPr>
              <w:jc w:val="center"/>
              <w:ind w:left="77"/>
              <w:spacing w:after="0"/>
              <w:rPr>
                <w:sz w:val="20"/>
                <w:szCs w:val="20"/>
                <w:color w:val="auto"/>
              </w:rPr>
            </w:pPr>
            <w:r>
              <w:rPr>
                <w:rFonts w:ascii="Arial" w:cs="Arial" w:eastAsia="Arial" w:hAnsi="Arial"/>
                <w:sz w:val="13"/>
                <w:szCs w:val="13"/>
                <w:color w:val="auto"/>
                <w:w w:val="93"/>
              </w:rPr>
              <w:t>Trauma</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37"/>
              <w:spacing w:after="0" w:line="127" w:lineRule="exact"/>
              <w:rPr>
                <w:sz w:val="20"/>
                <w:szCs w:val="20"/>
                <w:color w:val="auto"/>
              </w:rPr>
            </w:pPr>
            <w:r>
              <w:rPr>
                <w:rFonts w:ascii="Arial" w:cs="Arial" w:eastAsia="Arial" w:hAnsi="Arial"/>
                <w:sz w:val="13"/>
                <w:szCs w:val="13"/>
                <w:color w:val="auto"/>
                <w:w w:val="96"/>
              </w:rPr>
              <w:t>Promoted neuron survival and axonal regrowth,</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6"/>
              </w:rPr>
              <w:t>Kitamura et. al. 2007</w:t>
            </w:r>
          </w:p>
        </w:tc>
        <w:tc>
          <w:tcPr>
            <w:tcW w:w="0" w:type="dxa"/>
            <w:vAlign w:val="bottom"/>
          </w:tcPr>
          <w:p>
            <w:pPr>
              <w:spacing w:after="0"/>
              <w:rPr>
                <w:sz w:val="1"/>
                <w:szCs w:val="1"/>
                <w:color w:val="auto"/>
              </w:rPr>
            </w:pPr>
          </w:p>
        </w:tc>
      </w:tr>
      <w:tr>
        <w:trPr>
          <w:trHeight w:val="102"/>
        </w:trPr>
        <w:tc>
          <w:tcPr>
            <w:tcW w:w="140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improved functional recovery</w:t>
            </w:r>
          </w:p>
        </w:tc>
        <w:tc>
          <w:tcPr>
            <w:tcW w:w="2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00" w:type="dxa"/>
            <w:vAlign w:val="bottom"/>
          </w:tcPr>
          <w:p>
            <w:pPr>
              <w:spacing w:after="0"/>
              <w:rPr>
                <w:sz w:val="5"/>
                <w:szCs w:val="5"/>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rPr>
              <w:t>(rat)</w:t>
            </w: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480" w:type="dxa"/>
            <w:vAlign w:val="bottom"/>
            <w:vMerge w:val="continue"/>
          </w:tcPr>
          <w:p>
            <w:pPr>
              <w:spacing w:after="0"/>
              <w:rPr>
                <w:sz w:val="11"/>
                <w:szCs w:val="11"/>
                <w:color w:val="auto"/>
              </w:rPr>
            </w:pPr>
          </w:p>
        </w:tc>
        <w:tc>
          <w:tcPr>
            <w:tcW w:w="19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00" w:type="dxa"/>
            <w:vAlign w:val="bottom"/>
            <w:vMerge w:val="restart"/>
            <w:shd w:val="clear" w:color="auto" w:fill="EAEFF7"/>
          </w:tcPr>
          <w:p>
            <w:pPr>
              <w:jc w:val="center"/>
              <w:spacing w:after="0"/>
              <w:rPr>
                <w:sz w:val="20"/>
                <w:szCs w:val="20"/>
                <w:color w:val="auto"/>
              </w:rPr>
            </w:pPr>
            <w:r>
              <w:rPr>
                <w:rFonts w:ascii="Arial" w:cs="Arial" w:eastAsia="Arial" w:hAnsi="Arial"/>
                <w:sz w:val="13"/>
                <w:szCs w:val="13"/>
                <w:color w:val="auto"/>
              </w:rPr>
              <w:t>MS</w:t>
            </w: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9"/>
              </w:rPr>
              <w:t>EAE</w:t>
            </w:r>
          </w:p>
        </w:tc>
        <w:tc>
          <w:tcPr>
            <w:tcW w:w="1920" w:type="dxa"/>
            <w:vAlign w:val="bottom"/>
            <w:vMerge w:val="restart"/>
            <w:shd w:val="clear" w:color="auto" w:fill="EAEFF7"/>
          </w:tcPr>
          <w:p>
            <w:pPr>
              <w:jc w:val="center"/>
              <w:ind w:left="237"/>
              <w:spacing w:after="0"/>
              <w:rPr>
                <w:sz w:val="20"/>
                <w:szCs w:val="20"/>
                <w:color w:val="auto"/>
              </w:rPr>
            </w:pPr>
            <w:r>
              <w:rPr>
                <w:rFonts w:ascii="Arial" w:cs="Arial" w:eastAsia="Arial" w:hAnsi="Arial"/>
                <w:sz w:val="13"/>
                <w:szCs w:val="13"/>
                <w:color w:val="auto"/>
                <w:w w:val="97"/>
              </w:rPr>
              <w:t>Injection of HGF protein</w:t>
            </w:r>
          </w:p>
        </w:tc>
        <w:tc>
          <w:tcPr>
            <w:tcW w:w="3420" w:type="dxa"/>
            <w:vAlign w:val="bottom"/>
            <w:shd w:val="clear" w:color="auto" w:fill="EAEFF7"/>
          </w:tcPr>
          <w:p>
            <w:pPr>
              <w:jc w:val="center"/>
              <w:ind w:right="57"/>
              <w:spacing w:after="0" w:line="127" w:lineRule="exact"/>
              <w:rPr>
                <w:sz w:val="20"/>
                <w:szCs w:val="20"/>
                <w:color w:val="auto"/>
              </w:rPr>
            </w:pPr>
            <w:r>
              <w:rPr>
                <w:rFonts w:ascii="Arial" w:cs="Arial" w:eastAsia="Arial" w:hAnsi="Arial"/>
                <w:sz w:val="13"/>
                <w:szCs w:val="13"/>
                <w:color w:val="auto"/>
                <w:w w:val="96"/>
              </w:rPr>
              <w:t>Promoted remyelination of damaged axons, improved</w:t>
            </w:r>
          </w:p>
        </w:tc>
        <w:tc>
          <w:tcPr>
            <w:tcW w:w="2020" w:type="dxa"/>
            <w:vAlign w:val="bottom"/>
            <w:vMerge w:val="restart"/>
            <w:shd w:val="clear" w:color="auto" w:fill="EAEFF7"/>
          </w:tcPr>
          <w:p>
            <w:pPr>
              <w:jc w:val="center"/>
              <w:ind w:right="197"/>
              <w:spacing w:after="0"/>
              <w:rPr>
                <w:sz w:val="20"/>
                <w:szCs w:val="20"/>
                <w:color w:val="auto"/>
              </w:rPr>
            </w:pPr>
            <w:r>
              <w:rPr>
                <w:rFonts w:ascii="Arial" w:cs="Arial" w:eastAsia="Arial" w:hAnsi="Arial"/>
                <w:sz w:val="13"/>
                <w:szCs w:val="13"/>
                <w:color w:val="auto"/>
                <w:w w:val="96"/>
              </w:rPr>
              <w:t>Bai et al., 2012</w:t>
            </w:r>
          </w:p>
        </w:tc>
        <w:tc>
          <w:tcPr>
            <w:tcW w:w="0" w:type="dxa"/>
            <w:vAlign w:val="bottom"/>
          </w:tcPr>
          <w:p>
            <w:pPr>
              <w:spacing w:after="0"/>
              <w:rPr>
                <w:sz w:val="1"/>
                <w:szCs w:val="1"/>
                <w:color w:val="auto"/>
              </w:rPr>
            </w:pPr>
          </w:p>
        </w:tc>
      </w:tr>
      <w:tr>
        <w:trPr>
          <w:trHeight w:val="102"/>
        </w:trPr>
        <w:tc>
          <w:tcPr>
            <w:tcW w:w="1400" w:type="dxa"/>
            <w:vAlign w:val="bottom"/>
            <w:vMerge w:val="continue"/>
            <w:shd w:val="clear" w:color="auto" w:fill="EAEFF7"/>
          </w:tcPr>
          <w:p>
            <w:pPr>
              <w:spacing w:after="0"/>
              <w:rPr>
                <w:sz w:val="8"/>
                <w:szCs w:val="8"/>
                <w:color w:val="auto"/>
              </w:rPr>
            </w:pPr>
          </w:p>
        </w:tc>
        <w:tc>
          <w:tcPr>
            <w:tcW w:w="2480" w:type="dxa"/>
            <w:vAlign w:val="bottom"/>
            <w:vMerge w:val="continue"/>
            <w:shd w:val="clear" w:color="auto" w:fill="EAEFF7"/>
          </w:tcPr>
          <w:p>
            <w:pPr>
              <w:spacing w:after="0"/>
              <w:rPr>
                <w:sz w:val="8"/>
                <w:szCs w:val="8"/>
                <w:color w:val="auto"/>
              </w:rPr>
            </w:pPr>
          </w:p>
        </w:tc>
        <w:tc>
          <w:tcPr>
            <w:tcW w:w="1920" w:type="dxa"/>
            <w:vAlign w:val="bottom"/>
            <w:vMerge w:val="continue"/>
            <w:shd w:val="clear" w:color="auto" w:fill="EAEFF7"/>
          </w:tcPr>
          <w:p>
            <w:pPr>
              <w:spacing w:after="0"/>
              <w:rPr>
                <w:sz w:val="8"/>
                <w:szCs w:val="8"/>
                <w:color w:val="auto"/>
              </w:rPr>
            </w:pPr>
          </w:p>
        </w:tc>
        <w:tc>
          <w:tcPr>
            <w:tcW w:w="3420" w:type="dxa"/>
            <w:vAlign w:val="bottom"/>
            <w:vMerge w:val="restart"/>
            <w:shd w:val="clear" w:color="auto" w:fill="EAEFF7"/>
          </w:tcPr>
          <w:p>
            <w:pPr>
              <w:jc w:val="center"/>
              <w:ind w:right="57"/>
              <w:spacing w:after="0"/>
              <w:rPr>
                <w:sz w:val="20"/>
                <w:szCs w:val="20"/>
                <w:color w:val="auto"/>
              </w:rPr>
            </w:pPr>
            <w:r>
              <w:rPr>
                <w:rFonts w:ascii="Arial" w:cs="Arial" w:eastAsia="Arial" w:hAnsi="Arial"/>
                <w:sz w:val="13"/>
                <w:szCs w:val="13"/>
                <w:color w:val="auto"/>
                <w:w w:val="96"/>
              </w:rPr>
              <w:t>clinical scoring</w:t>
            </w:r>
          </w:p>
        </w:tc>
        <w:tc>
          <w:tcPr>
            <w:tcW w:w="2020" w:type="dxa"/>
            <w:vAlign w:val="bottom"/>
            <w:vMerge w:val="continue"/>
            <w:shd w:val="clear" w:color="auto" w:fill="EAEFF7"/>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400" w:type="dxa"/>
            <w:vAlign w:val="bottom"/>
            <w:shd w:val="clear" w:color="auto" w:fill="EAEFF7"/>
          </w:tcPr>
          <w:p>
            <w:pPr>
              <w:spacing w:after="0"/>
              <w:rPr>
                <w:sz w:val="4"/>
                <w:szCs w:val="4"/>
                <w:color w:val="auto"/>
              </w:rPr>
            </w:pPr>
          </w:p>
        </w:tc>
        <w:tc>
          <w:tcPr>
            <w:tcW w:w="2480" w:type="dxa"/>
            <w:vAlign w:val="bottom"/>
            <w:vMerge w:val="restart"/>
            <w:shd w:val="clear" w:color="auto" w:fill="EAEFF7"/>
          </w:tcPr>
          <w:p>
            <w:pPr>
              <w:jc w:val="center"/>
              <w:ind w:left="77"/>
              <w:spacing w:after="0"/>
              <w:rPr>
                <w:sz w:val="20"/>
                <w:szCs w:val="20"/>
                <w:color w:val="auto"/>
              </w:rPr>
            </w:pPr>
            <w:r>
              <w:rPr>
                <w:rFonts w:ascii="Arial" w:cs="Arial" w:eastAsia="Arial" w:hAnsi="Arial"/>
                <w:sz w:val="13"/>
                <w:szCs w:val="13"/>
                <w:color w:val="auto"/>
                <w:w w:val="96"/>
              </w:rPr>
              <w:t>(mouse)</w:t>
            </w:r>
          </w:p>
        </w:tc>
        <w:tc>
          <w:tcPr>
            <w:tcW w:w="1920" w:type="dxa"/>
            <w:vAlign w:val="bottom"/>
            <w:shd w:val="clear" w:color="auto" w:fill="EAEFF7"/>
          </w:tcPr>
          <w:p>
            <w:pPr>
              <w:spacing w:after="0"/>
              <w:rPr>
                <w:sz w:val="4"/>
                <w:szCs w:val="4"/>
                <w:color w:val="auto"/>
              </w:rPr>
            </w:pPr>
          </w:p>
        </w:tc>
        <w:tc>
          <w:tcPr>
            <w:tcW w:w="3420" w:type="dxa"/>
            <w:vAlign w:val="bottom"/>
            <w:vMerge w:val="continue"/>
            <w:shd w:val="clear" w:color="auto" w:fill="EAEFF7"/>
          </w:tcPr>
          <w:p>
            <w:pPr>
              <w:spacing w:after="0"/>
              <w:rPr>
                <w:sz w:val="4"/>
                <w:szCs w:val="4"/>
                <w:color w:val="auto"/>
              </w:rPr>
            </w:pPr>
          </w:p>
        </w:tc>
        <w:tc>
          <w:tcPr>
            <w:tcW w:w="2020" w:type="dxa"/>
            <w:vAlign w:val="bottom"/>
            <w:shd w:val="clear" w:color="auto" w:fill="EAEFF7"/>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400" w:type="dxa"/>
            <w:vAlign w:val="bottom"/>
            <w:shd w:val="clear" w:color="auto" w:fill="EAEFF7"/>
          </w:tcPr>
          <w:p>
            <w:pPr>
              <w:spacing w:after="0"/>
              <w:rPr>
                <w:sz w:val="12"/>
                <w:szCs w:val="12"/>
                <w:color w:val="auto"/>
              </w:rPr>
            </w:pPr>
          </w:p>
        </w:tc>
        <w:tc>
          <w:tcPr>
            <w:tcW w:w="2480" w:type="dxa"/>
            <w:vAlign w:val="bottom"/>
            <w:vMerge w:val="continue"/>
            <w:shd w:val="clear" w:color="auto" w:fill="EAEFF7"/>
          </w:tcPr>
          <w:p>
            <w:pPr>
              <w:spacing w:after="0"/>
              <w:rPr>
                <w:sz w:val="12"/>
                <w:szCs w:val="12"/>
                <w:color w:val="auto"/>
              </w:rPr>
            </w:pPr>
          </w:p>
        </w:tc>
        <w:tc>
          <w:tcPr>
            <w:tcW w:w="1920" w:type="dxa"/>
            <w:vAlign w:val="bottom"/>
            <w:shd w:val="clear" w:color="auto" w:fill="EAEFF7"/>
          </w:tcPr>
          <w:p>
            <w:pPr>
              <w:spacing w:after="0"/>
              <w:rPr>
                <w:sz w:val="12"/>
                <w:szCs w:val="12"/>
                <w:color w:val="auto"/>
              </w:rPr>
            </w:pPr>
          </w:p>
        </w:tc>
        <w:tc>
          <w:tcPr>
            <w:tcW w:w="3420" w:type="dxa"/>
            <w:vAlign w:val="bottom"/>
            <w:shd w:val="clear" w:color="auto" w:fill="EAEFF7"/>
          </w:tcPr>
          <w:p>
            <w:pPr>
              <w:spacing w:after="0"/>
              <w:rPr>
                <w:sz w:val="12"/>
                <w:szCs w:val="12"/>
                <w:color w:val="auto"/>
              </w:rPr>
            </w:pPr>
          </w:p>
        </w:tc>
        <w:tc>
          <w:tcPr>
            <w:tcW w:w="2020" w:type="dxa"/>
            <w:vAlign w:val="bottom"/>
            <w:shd w:val="clear" w:color="auto" w:fill="EAEFF7"/>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400" w:type="dxa"/>
            <w:vAlign w:val="bottom"/>
          </w:tcPr>
          <w:p>
            <w:pPr>
              <w:spacing w:after="0"/>
              <w:rPr>
                <w:sz w:val="11"/>
                <w:szCs w:val="11"/>
                <w:color w:val="auto"/>
              </w:rPr>
            </w:pPr>
          </w:p>
        </w:tc>
        <w:tc>
          <w:tcPr>
            <w:tcW w:w="2480" w:type="dxa"/>
            <w:vAlign w:val="bottom"/>
            <w:vMerge w:val="restart"/>
          </w:tcPr>
          <w:p>
            <w:pPr>
              <w:jc w:val="center"/>
              <w:ind w:left="97"/>
              <w:spacing w:after="0"/>
              <w:rPr>
                <w:sz w:val="20"/>
                <w:szCs w:val="20"/>
                <w:color w:val="auto"/>
              </w:rPr>
            </w:pPr>
            <w:r>
              <w:rPr>
                <w:rFonts w:ascii="Arial" w:cs="Arial" w:eastAsia="Arial" w:hAnsi="Arial"/>
                <w:sz w:val="13"/>
                <w:szCs w:val="13"/>
                <w:color w:val="auto"/>
                <w:w w:val="96"/>
              </w:rPr>
              <w:t>Nerve crush</w:t>
            </w:r>
          </w:p>
        </w:tc>
        <w:tc>
          <w:tcPr>
            <w:tcW w:w="1920" w:type="dxa"/>
            <w:vAlign w:val="bottom"/>
            <w:vMerge w:val="restart"/>
          </w:tcPr>
          <w:p>
            <w:pPr>
              <w:jc w:val="center"/>
              <w:ind w:left="237"/>
              <w:spacing w:after="0"/>
              <w:rPr>
                <w:sz w:val="20"/>
                <w:szCs w:val="20"/>
                <w:color w:val="auto"/>
              </w:rPr>
            </w:pPr>
            <w:r>
              <w:rPr>
                <w:rFonts w:ascii="Arial" w:cs="Arial" w:eastAsia="Arial" w:hAnsi="Arial"/>
                <w:sz w:val="13"/>
                <w:szCs w:val="13"/>
                <w:color w:val="auto"/>
                <w:w w:val="95"/>
              </w:rPr>
              <w:t>HGF gene therapy</w:t>
            </w:r>
          </w:p>
        </w:tc>
        <w:tc>
          <w:tcPr>
            <w:tcW w:w="3420" w:type="dxa"/>
            <w:vAlign w:val="bottom"/>
          </w:tcPr>
          <w:p>
            <w:pPr>
              <w:jc w:val="center"/>
              <w:ind w:right="57"/>
              <w:spacing w:after="0" w:line="127" w:lineRule="exact"/>
              <w:rPr>
                <w:sz w:val="20"/>
                <w:szCs w:val="20"/>
                <w:color w:val="auto"/>
              </w:rPr>
            </w:pPr>
            <w:r>
              <w:rPr>
                <w:rFonts w:ascii="Arial" w:cs="Arial" w:eastAsia="Arial" w:hAnsi="Arial"/>
                <w:sz w:val="13"/>
                <w:szCs w:val="13"/>
                <w:color w:val="auto"/>
                <w:w w:val="97"/>
              </w:rPr>
              <w:t>Promoted regeneration of nerve tissue by recruitment</w:t>
            </w: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1400" w:type="dxa"/>
            <w:vAlign w:val="bottom"/>
            <w:vMerge w:val="restart"/>
          </w:tcPr>
          <w:p>
            <w:pPr>
              <w:jc w:val="center"/>
              <w:spacing w:after="0"/>
              <w:rPr>
                <w:sz w:val="20"/>
                <w:szCs w:val="20"/>
                <w:color w:val="auto"/>
              </w:rPr>
            </w:pPr>
            <w:r>
              <w:rPr>
                <w:rFonts w:ascii="Arial" w:cs="Arial" w:eastAsia="Arial" w:hAnsi="Arial"/>
                <w:sz w:val="13"/>
                <w:szCs w:val="13"/>
                <w:color w:val="auto"/>
                <w:w w:val="96"/>
              </w:rPr>
              <w:t>Peripheral neuropathy</w:t>
            </w:r>
          </w:p>
        </w:tc>
        <w:tc>
          <w:tcPr>
            <w:tcW w:w="2480" w:type="dxa"/>
            <w:vAlign w:val="bottom"/>
            <w:vMerge w:val="continue"/>
          </w:tcPr>
          <w:p>
            <w:pPr>
              <w:spacing w:after="0"/>
              <w:rPr>
                <w:sz w:val="8"/>
                <w:szCs w:val="8"/>
                <w:color w:val="auto"/>
              </w:rPr>
            </w:pPr>
          </w:p>
        </w:tc>
        <w:tc>
          <w:tcPr>
            <w:tcW w:w="1920" w:type="dxa"/>
            <w:vAlign w:val="bottom"/>
            <w:vMerge w:val="continue"/>
          </w:tcPr>
          <w:p>
            <w:pPr>
              <w:spacing w:after="0"/>
              <w:rPr>
                <w:sz w:val="8"/>
                <w:szCs w:val="8"/>
                <w:color w:val="auto"/>
              </w:rPr>
            </w:pPr>
          </w:p>
        </w:tc>
        <w:tc>
          <w:tcPr>
            <w:tcW w:w="3420" w:type="dxa"/>
            <w:vAlign w:val="bottom"/>
            <w:vMerge w:val="restart"/>
          </w:tcPr>
          <w:p>
            <w:pPr>
              <w:jc w:val="center"/>
              <w:ind w:right="57"/>
              <w:spacing w:after="0"/>
              <w:rPr>
                <w:sz w:val="20"/>
                <w:szCs w:val="20"/>
                <w:color w:val="auto"/>
              </w:rPr>
            </w:pPr>
            <w:r>
              <w:rPr>
                <w:rFonts w:ascii="Arial" w:cs="Arial" w:eastAsia="Arial" w:hAnsi="Arial"/>
                <w:sz w:val="13"/>
                <w:szCs w:val="13"/>
                <w:color w:val="auto"/>
                <w:w w:val="97"/>
              </w:rPr>
              <w:t>of Schwann cells and remyelination</w:t>
            </w:r>
          </w:p>
        </w:tc>
        <w:tc>
          <w:tcPr>
            <w:tcW w:w="2020" w:type="dxa"/>
            <w:vAlign w:val="bottom"/>
            <w:vMerge w:val="restart"/>
          </w:tcPr>
          <w:p>
            <w:pPr>
              <w:jc w:val="center"/>
              <w:ind w:right="197"/>
              <w:spacing w:after="0"/>
              <w:rPr>
                <w:sz w:val="20"/>
                <w:szCs w:val="20"/>
                <w:color w:val="auto"/>
              </w:rPr>
            </w:pPr>
            <w:r>
              <w:rPr>
                <w:rFonts w:ascii="Arial" w:cs="Arial" w:eastAsia="Arial" w:hAnsi="Arial"/>
                <w:sz w:val="13"/>
                <w:szCs w:val="13"/>
                <w:color w:val="auto"/>
                <w:w w:val="95"/>
              </w:rPr>
              <w:t>Ko et al., 2018</w:t>
            </w:r>
          </w:p>
        </w:tc>
        <w:tc>
          <w:tcPr>
            <w:tcW w:w="0" w:type="dxa"/>
            <w:vAlign w:val="bottom"/>
          </w:tcPr>
          <w:p>
            <w:pPr>
              <w:spacing w:after="0"/>
              <w:rPr>
                <w:sz w:val="1"/>
                <w:szCs w:val="1"/>
                <w:color w:val="auto"/>
              </w:rPr>
            </w:pPr>
          </w:p>
        </w:tc>
      </w:tr>
      <w:tr>
        <w:trPr>
          <w:trHeight w:val="62"/>
        </w:trPr>
        <w:tc>
          <w:tcPr>
            <w:tcW w:w="1400" w:type="dxa"/>
            <w:vAlign w:val="bottom"/>
            <w:vMerge w:val="continue"/>
          </w:tcPr>
          <w:p>
            <w:pPr>
              <w:spacing w:after="0"/>
              <w:rPr>
                <w:sz w:val="5"/>
                <w:szCs w:val="5"/>
                <w:color w:val="auto"/>
              </w:rPr>
            </w:pPr>
          </w:p>
        </w:tc>
        <w:tc>
          <w:tcPr>
            <w:tcW w:w="2480" w:type="dxa"/>
            <w:vAlign w:val="bottom"/>
          </w:tcPr>
          <w:p>
            <w:pPr>
              <w:spacing w:after="0"/>
              <w:rPr>
                <w:sz w:val="5"/>
                <w:szCs w:val="5"/>
                <w:color w:val="auto"/>
              </w:rPr>
            </w:pPr>
          </w:p>
        </w:tc>
        <w:tc>
          <w:tcPr>
            <w:tcW w:w="192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2480"/>
        <w:spacing w:after="0"/>
        <w:rPr>
          <w:sz w:val="20"/>
          <w:szCs w:val="20"/>
          <w:color w:val="auto"/>
        </w:rPr>
      </w:pPr>
      <w:r>
        <w:rPr>
          <w:rFonts w:ascii="Arial" w:cs="Arial" w:eastAsia="Arial" w:hAnsi="Arial"/>
          <w:sz w:val="13"/>
          <w:szCs w:val="13"/>
          <w:color w:val="auto"/>
        </w:rPr>
        <w:t>(mouse)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i w:val="1"/>
          <w:iCs w:val="1"/>
          <w:color w:val="auto"/>
        </w:rPr>
        <w:t>6-OHDA: 6-hydroxydopamine; BDNF: brain-derived neurotrophic factor; EAE: experimental autoimmune encephalomyelitis</w:t>
      </w:r>
    </w:p>
    <w:p>
      <w:pPr>
        <w:spacing w:after="0" w:line="193"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As demonstrated by these studies, HGF/MET has long been known as a promising therapeutic target for CNS disorders, but the delivery of large proteins or gene therapy to the CNS to augment HGF/MET has been problematic and fraught with challenges. These approaches are not BBB-penetrating and require invasive methods to deliver to the CNS, which increases the risk of an immune reaction. Further, they are also expensive and more challenging to scale which might limit their availability to patients.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with Approved and Traditional Neuronal and AD Therapy Approaches</w:t>
      </w:r>
    </w:p>
    <w:p>
      <w:pPr>
        <w:spacing w:after="0" w:line="106"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development of neuronal therapies presents unique challenges including: an imperfect understanding of the biology, the presence of the BBB that restricts the flow of drugs to the brain, and a lack of translatability of preclinical study results in human trials. Currently approved neuronal therapies have limited efficacy, poor side effect profiles, and minimal impact on quality of life. There remains an urgent need for new and novel approaches to address most neuronal disorders including progressive and severe conditions such as AD, PDD, MS, and others.</w:t>
      </w:r>
    </w:p>
    <w:p>
      <w:pPr>
        <w:spacing w:after="0" w:line="17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Specific to AD, each of the currently approved therapies only works on a single neurotransmitter target with limited and transient effects on cognition and low tolerability, which negatively impacts compliance and minimally reduces the caregiver burden. Other therapies in development that target a slowdown in disease progression have a marginal benefit on clinical decline and are mainly focused on mild cognitive impairment, or MCI, and early-mild AD, and lack any immediate benefit in reducing the burden on people impacted by the disease. These approaches rely on the body’s repair mechanisms, which may be damaged, and do not promote additional activation of regenerative pathways. This can lead to variability of treatment outcomes and longer clinical development timelines.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5" w:name="page116"/>
    <w:bookmarkEnd w:id="115"/>
    <w:p>
      <w:pPr>
        <w:ind w:firstLine="576"/>
        <w:spacing w:after="0" w:line="243" w:lineRule="auto"/>
        <w:rPr>
          <w:sz w:val="20"/>
          <w:szCs w:val="20"/>
          <w:color w:val="auto"/>
        </w:rPr>
      </w:pPr>
      <w:r>
        <w:rPr>
          <w:rFonts w:ascii="Arial" w:cs="Arial" w:eastAsia="Arial" w:hAnsi="Arial"/>
          <w:sz w:val="18"/>
          <w:szCs w:val="18"/>
          <w:color w:val="auto"/>
        </w:rPr>
        <w:t>Further complicating drug development in AD has been the lack of utilization of biomarkers and measures that are able to detect early signs of efficacy and find promising candidates to take forward into larger trials. These methods have revolutionized clinical research in oncology and other therapeutic areas, but traditionally not in AD. Historically, AD testing in clinical trials has relied heavily on imaging techniques to assess changes in amyloid PET scans over several years, creating enormous costs and elongated timelines for the development process while not showing any direct correlation to cognitive functional improvement. We believe that these traditional methods can be replaced or supplemented by the use of rapid, non-invasive markers of brain activity and cognitive processing, like EEG and ERP.</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Differentiated Approach</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We believe our ATH platform of small molecules will promote neuronal health and function through stimulating the HGF/MET system. Our small molecules are BBB-penetrating, can be delivered non-invasively, have very low risk of an immune reaction and are more cost efficient to manufacture and distribute. Boosting the HGF/MET system leads to the following primary downstream effects:</w:t>
      </w:r>
    </w:p>
    <w:p>
      <w:pPr>
        <w:spacing w:after="0" w:line="56" w:lineRule="exact"/>
        <w:rPr>
          <w:sz w:val="20"/>
          <w:szCs w:val="20"/>
          <w:color w:val="auto"/>
        </w:rPr>
      </w:pPr>
    </w:p>
    <w:p>
      <w:pPr>
        <w:ind w:left="1300" w:hanging="442"/>
        <w:spacing w:after="0" w:line="248"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Modulation of NMDA neurotransmitter system by enhancing synaptic localization and signaling</w:t>
      </w:r>
      <w:r>
        <w:rPr>
          <w:rFonts w:ascii="Arial" w:cs="Arial" w:eastAsia="Arial" w:hAnsi="Arial"/>
          <w:sz w:val="18"/>
          <w:szCs w:val="18"/>
          <w:color w:val="auto"/>
        </w:rPr>
        <w:t>, leading to a rapid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brain network function. The NMDA receptor plays a key role in memory and learning. Other approaches work directly on the NMDA receptors and lack the specificity to modulate the NMDA receptor to the synaptic cleft, which is required to increase transmission of brain signals.</w:t>
      </w:r>
    </w:p>
    <w:p>
      <w:pPr>
        <w:spacing w:after="0" w:line="61" w:lineRule="exact"/>
        <w:rPr>
          <w:rFonts w:ascii="Times New Roman" w:cs="Times New Roman" w:eastAsia="Times New Roman" w:hAnsi="Times New Roman"/>
          <w:sz w:val="18"/>
          <w:szCs w:val="18"/>
          <w:color w:val="auto"/>
        </w:rPr>
      </w:pPr>
    </w:p>
    <w:p>
      <w:pPr>
        <w:ind w:left="1300" w:right="100" w:hanging="442"/>
        <w:spacing w:after="0" w:line="255"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Restoration of traditional neuronal growth factor pathways </w:t>
      </w:r>
      <w:r>
        <w:rPr>
          <w:rFonts w:ascii="Arial" w:cs="Arial" w:eastAsia="Arial" w:hAnsi="Arial"/>
          <w:sz w:val="18"/>
          <w:szCs w:val="18"/>
          <w:color w:val="auto"/>
        </w:rPr>
        <w:t>that are critical to neuronal survival, and activate brain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that reduce oxidative stress, which is expected to reduce damage and slow down disease progression and improve network activity. Many therapies in development are focused only on slowing disease progression.</w:t>
      </w:r>
    </w:p>
    <w:p>
      <w:pPr>
        <w:spacing w:after="0" w:line="54"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7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Improvement in cerebral blood flow, as well as reducing inflammation </w:t>
      </w:r>
      <w:r>
        <w:rPr>
          <w:rFonts w:ascii="Arial" w:cs="Arial" w:eastAsia="Arial" w:hAnsi="Arial"/>
          <w:sz w:val="18"/>
          <w:szCs w:val="18"/>
          <w:color w:val="auto"/>
        </w:rPr>
        <w:t>by modulating inflammatory cytokine expression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glia. Many other therapies only have a single mode of activity.</w:t>
      </w:r>
    </w:p>
    <w:p>
      <w:pPr>
        <w:spacing w:after="0" w:line="146" w:lineRule="exact"/>
        <w:rPr>
          <w:sz w:val="20"/>
          <w:szCs w:val="20"/>
          <w:color w:val="auto"/>
        </w:rPr>
      </w:pPr>
    </w:p>
    <w:p>
      <w:pPr>
        <w:jc w:val="both"/>
        <w:ind w:right="180" w:firstLine="576"/>
        <w:spacing w:after="0" w:line="255" w:lineRule="auto"/>
        <w:rPr>
          <w:sz w:val="20"/>
          <w:szCs w:val="20"/>
          <w:color w:val="auto"/>
        </w:rPr>
      </w:pPr>
      <w:r>
        <w:rPr>
          <w:rFonts w:ascii="Arial" w:cs="Arial" w:eastAsia="Arial" w:hAnsi="Arial"/>
          <w:sz w:val="18"/>
          <w:szCs w:val="18"/>
          <w:color w:val="auto"/>
        </w:rPr>
        <w:t>It is our goal to establish in future clinical trials that our ATH platform can positively impact neuronal health and function, not only by slowing down disease progression but also by improving brain network activity and function. We believe these effects could position Athira, and initially ATH-1017, to address the complex pathology in neurodegenerative diseases.</w:t>
      </w:r>
    </w:p>
    <w:p>
      <w:pPr>
        <w:spacing w:after="0" w:line="164" w:lineRule="exact"/>
        <w:rPr>
          <w:sz w:val="20"/>
          <w:szCs w:val="20"/>
          <w:color w:val="auto"/>
        </w:rPr>
      </w:pPr>
    </w:p>
    <w:p>
      <w:pPr>
        <w:jc w:val="both"/>
        <w:ind w:right="180" w:firstLine="576"/>
        <w:spacing w:after="0" w:line="276" w:lineRule="auto"/>
        <w:rPr>
          <w:sz w:val="20"/>
          <w:szCs w:val="20"/>
          <w:color w:val="auto"/>
        </w:rPr>
      </w:pPr>
      <w:r>
        <w:rPr>
          <w:rFonts w:ascii="Arial" w:cs="Arial" w:eastAsia="Arial" w:hAnsi="Arial"/>
          <w:sz w:val="18"/>
          <w:szCs w:val="18"/>
          <w:color w:val="auto"/>
        </w:rPr>
        <w:t>We have designed ATH-1017 to enhance the ability of HGF to activate MET. This substantially increases MET activation levels, and amplifies the beneficial effects downstream of the HGF/MET system.</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16" w:name="page117"/>
    <w:bookmarkEnd w:id="116"/>
    <w:p>
      <w:pPr>
        <w:ind w:right="360" w:firstLine="576"/>
        <w:spacing w:after="0" w:line="274" w:lineRule="auto"/>
        <w:rPr>
          <w:sz w:val="20"/>
          <w:szCs w:val="20"/>
          <w:color w:val="auto"/>
        </w:rPr>
      </w:pPr>
      <w:r>
        <w:rPr>
          <w:rFonts w:ascii="Arial" w:cs="Arial" w:eastAsia="Arial" w:hAnsi="Arial"/>
          <w:sz w:val="18"/>
          <w:szCs w:val="18"/>
          <w:i w:val="1"/>
          <w:iCs w:val="1"/>
          <w:color w:val="auto"/>
        </w:rPr>
        <w:t>Figure 5. Our ATH Small Molecule Candidates Are Designed to Enhance the HGF/MET System and Promote Multiple Beneficial Effects with the Potential to Improve Connectivity and Brain Function in Neurodegenerative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107315</wp:posOffset>
            </wp:positionV>
            <wp:extent cx="5340350" cy="40462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0350" cy="404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By promoting endogenous pro-survival and regenerative mechanisms orchestrated by HGF/MET signaling, our ATH platform is designed to be a novel path to treat AD and neurodegeneration using a systemic approach. Activation of the HGF/MET system captures the modulation of the NMDA neurotransmitter pathway. Modulation of neurotransmitter systems serves as the basis for the four currently approved AD drugs. However, unlike these currently approved AD drugs, ATH-1017 is designed to also activate regenerative and anti-inflammatory pathways. Figure 6 below illustrates the typical timing of the different beneficial effects as an outcome of activating the HGF/MET system.</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686" w:right="459" w:bottom="1440" w:gutter="0" w:footer="0" w:header="0"/>
        </w:sectPr>
      </w:pPr>
    </w:p>
    <w:bookmarkStart w:id="117" w:name="page118"/>
    <w:bookmarkEnd w:id="117"/>
    <w:p>
      <w:pPr>
        <w:ind w:right="100" w:firstLine="576"/>
        <w:spacing w:after="0" w:line="247" w:lineRule="auto"/>
        <w:rPr>
          <w:sz w:val="20"/>
          <w:szCs w:val="20"/>
          <w:color w:val="auto"/>
        </w:rPr>
      </w:pPr>
      <w:r>
        <w:rPr>
          <w:rFonts w:ascii="Arial" w:cs="Arial" w:eastAsia="Arial" w:hAnsi="Arial"/>
          <w:sz w:val="18"/>
          <w:szCs w:val="18"/>
          <w:i w:val="1"/>
          <w:iCs w:val="1"/>
          <w:color w:val="auto"/>
        </w:rPr>
        <w:t xml:space="preserve">Figure 6. Our ATH Candidates Are Designed to Promote the HGF/MET System Which May Lead to Both Rapid and Long-term Beneficial Effects. </w:t>
      </w:r>
      <w:r>
        <w:rPr>
          <w:rFonts w:ascii="Arial" w:cs="Arial" w:eastAsia="Arial" w:hAnsi="Arial"/>
          <w:sz w:val="18"/>
          <w:szCs w:val="18"/>
          <w:color w:val="auto"/>
        </w:rPr>
        <w:t>We believe that following administration of ATH-1017, the HGF/MET system will activate and lead to several downstream</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We anticipate that these effects may rapidly boost cognition with multiple regenerative mechanisms and lead to a stable and sustained recovery of the brain network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123825</wp:posOffset>
            </wp:positionV>
            <wp:extent cx="5340350" cy="22371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34035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For therapeutic applications in CNS disorders, particularly AD, treatments that target neuronal growth factors can potentially accomplish several therapeutic goals including rapid cognitive improvement and sustained neuroprotective effects.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Highly Translatable and Predictive Measures to Guide Clinical Development</w:t>
      </w:r>
    </w:p>
    <w:p>
      <w:pPr>
        <w:spacing w:after="0" w:line="104"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We believe EEG and ERP have the potential to revolutionize the paradigm in AD clinical trials. EEG and ERP methods are highly translatable and predictive measures that can guide clinical dose decisions and provide predictable measures of potential clinical benefit. These methods focus on changes in cognitive processing and function, can result in more efficient and cost-effective clinical trials, and potentially provide an accelerated development path compared to traditional AD drug development programs.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EEG and ERP Methods Reflect Brain Activity and Function</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Our focused drug development approach aims to understand the potential clinical benefit of a product candidate at the early stages of clinical development by utilizing EEG and ERP methods. Commonly used in clinical research and clinical practice, EEG and ERP methods provide valuable insight into cognitive function but have been largely overlooked in AD clinical trials. At Athira, we are innovatively using these non-invasive methods to gain early insight into potential therapeutic effects. Improvement in the brain network, as well as changes in neurotransmitter activity, can be captured in the electrical activity of the brain. EEG methods measure the brain’s electrical activity from electrodes on the scalp. This noninvasive look at brain activity is highly informative and can give insight into the brain penetration and neuroactivity of therapeutics directed to the brain. EEG is a measure of the brain at rest, while ERP is measured from the same electrodes but only arises in response to a task-related stimulus. EEG/ERP methods can give substantial insight into the overall brain health and connectivity, as these measures are significantly altered in disorders that lead to cognitive impairment, such as AD. Certain EEG/ERP components are valuable measures of cognition, such as quantitative EEG, or qEEG, an assessment of high frequency gamma power brain waves, and the P300 latency component of ERP.</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8" w:right="379" w:bottom="1440" w:gutter="0" w:footer="0" w:header="0"/>
        </w:sectPr>
      </w:pPr>
    </w:p>
    <w:bookmarkStart w:id="118" w:name="page119"/>
    <w:bookmarkEnd w:id="118"/>
    <w:p>
      <w:pPr>
        <w:ind w:right="60" w:firstLine="576"/>
        <w:spacing w:after="0" w:line="248" w:lineRule="auto"/>
        <w:rPr>
          <w:sz w:val="20"/>
          <w:szCs w:val="20"/>
          <w:color w:val="auto"/>
        </w:rPr>
      </w:pPr>
      <w:r>
        <w:rPr>
          <w:rFonts w:ascii="Arial" w:cs="Arial" w:eastAsia="Arial" w:hAnsi="Arial"/>
          <w:sz w:val="18"/>
          <w:szCs w:val="18"/>
          <w:color w:val="auto"/>
        </w:rPr>
        <w:t>For ATH-1017, we incorporated a variety of translatable tools and measures into our clinical development plan. These measures, including both qEEG and P300 latency, have guided dose selection and provided predictive measures of cognitive improvement. By focusing on these direct measures of brain activity and cognitive processing, we believe we will be able to develop ATH-1017 more efficiently for treatment of AD and broader dementia.</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Electroencephalogram: qEEG</w:t>
      </w:r>
    </w:p>
    <w:p>
      <w:pPr>
        <w:spacing w:after="0" w:line="102"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EEG is a way to measure the electrical activity of the brain using small electrodes placed on the scalp. Neurons communicate and perform all functions using electrical impulses. EEG captures this electrical activity through the scalp and displays these electrical impulses as waves, as illustrated in Figure 7 below. The electrical activity will present at different frequencies or waves which provide various insights into neuronal health. We are most focused on the faster, higher frequency gamma waves which are associated with learning, memory formation and higher cognitive functions. qEEG is a method to quantitatively determine the amount of electrical signal that resides in each waveform, often described as power.</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7. Noninvasive EEG Recordings Reflect Brain Activity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7630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3403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Changes in qEEG power or shifts in the amount of activity in each waveform can be caused by several factors including response to stimulus, cognitive state (healthy or dementia), and CNS-directed therapies. Because qEEG is a non-invasive direct measure of brain activity, it represents a valuable tool for investigating therapies in AD and broader dementia. Changes in qEEG signals following administration of therapies targeting the brain indicate the therapy has reached the brain and likely engaged the intended target. Additionally, AD subjects present a general slowing of qEEG, where activity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9" w:name="page120"/>
    <w:bookmarkEnd w:id="119"/>
    <w:p>
      <w:pPr>
        <w:ind w:right="320"/>
        <w:spacing w:after="0" w:line="255" w:lineRule="auto"/>
        <w:rPr>
          <w:sz w:val="20"/>
          <w:szCs w:val="20"/>
          <w:color w:val="auto"/>
        </w:rPr>
      </w:pPr>
      <w:r>
        <w:rPr>
          <w:rFonts w:ascii="Arial" w:cs="Arial" w:eastAsia="Arial" w:hAnsi="Arial"/>
          <w:sz w:val="18"/>
          <w:szCs w:val="18"/>
          <w:color w:val="auto"/>
        </w:rPr>
        <w:t>in higher frequency waves, such as gamma, is reduced. If therapies can reverse this pattern in AD, and increase gamma power, this may suggest treatment has helped improve brain activity. We utilized qEEG in our ATH-1017 Phase 1 clinical trial in healthy young, healthy elderly, and AD subjects as a measure of CNS penetration and target engagement.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Event-related Potential: P300</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ERP refers to changes in the electrical activity of the brain in response to external stimuli. Recording brain activity while a subject is presented with a task reveals neural activity related to cognitive processing. Presenting subjects with a stimulus associated with a task, such as counting specific tones within a sequence, induces a series of electrical peaks that represent cognitive processing and memory access</w:t>
      </w:r>
      <w:r>
        <w:rPr>
          <w:rFonts w:ascii="Arial" w:cs="Arial" w:eastAsia="Arial" w:hAnsi="Arial"/>
          <w:sz w:val="18"/>
          <w:szCs w:val="18"/>
          <w:i w:val="1"/>
          <w:iCs w:val="1"/>
          <w:color w:val="auto"/>
        </w:rPr>
        <w:t>.</w:t>
      </w:r>
      <w:r>
        <w:rPr>
          <w:rFonts w:ascii="Arial" w:cs="Arial" w:eastAsia="Arial" w:hAnsi="Arial"/>
          <w:sz w:val="18"/>
          <w:szCs w:val="18"/>
          <w:color w:val="auto"/>
        </w:rPr>
        <w:t xml:space="preserve"> P300 is the peak positive signal which is reported to typically arise 300 milliseconds after a tone stimulus and is the most studied component of the ERP waveform.</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8. ERP Recording with an Auditory Oddball Paradigm.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7630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4035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latency, or the amount of time that it takes to reach the peak of the positive wave following the stimulus, is typically reported to be 300 milliseconds in healthy, cognitively normal individuals. Numerous studies have shown that P300 latency is strongly correlated with cognition. P300 latency is increased and continues to worsen as AD and cognitive decline progresses. As an example, P300 latency is expected to be increased in subjects with severe AD, compared to subjects with mild AD. The connection between P300 latency and increased cognitive decline has been characterized in a number of diseases including AD, PDD, Lewy body dementia, Huntington’s, major depressive disorder with cognitive impairment, and traumatic brain injury. Loss of synaptic connections and neuronal dysfunction are well characterized in AD, and likely are the primary causes of the increased P300 latency. Figure 9 below illustrates the latency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00" w:right="379" w:bottom="1440" w:gutter="0" w:footer="0" w:header="0"/>
        </w:sectPr>
      </w:pPr>
    </w:p>
    <w:bookmarkStart w:id="120" w:name="page121"/>
    <w:bookmarkEnd w:id="120"/>
    <w:p>
      <w:pPr>
        <w:spacing w:after="0" w:line="255" w:lineRule="auto"/>
        <w:rPr>
          <w:sz w:val="20"/>
          <w:szCs w:val="20"/>
          <w:color w:val="auto"/>
        </w:rPr>
      </w:pPr>
      <w:r>
        <w:rPr>
          <w:rFonts w:ascii="Arial" w:cs="Arial" w:eastAsia="Arial" w:hAnsi="Arial"/>
          <w:sz w:val="18"/>
          <w:szCs w:val="18"/>
          <w:color w:val="auto"/>
        </w:rPr>
        <w:t>of cognitive processing as demonstrated by the delayed peaks in P300 in AD subjects compared to healthy, age-matched subjects. While the P300 amplitude is often reported as lower in AD subjects compared to healthy, age-matched subjects, this measure is much less consistent and not as strongly correlated to cognition as latency.</w:t>
      </w:r>
    </w:p>
    <w:p>
      <w:pPr>
        <w:spacing w:after="0" w:line="27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9. ERP Waveforms in AD Subjects Show Increased P300 Latency.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147320</wp:posOffset>
            </wp:positionV>
            <wp:extent cx="4663440" cy="3008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634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Insights from Approved Therapies</w:t>
      </w:r>
    </w:p>
    <w:p>
      <w:pPr>
        <w:spacing w:after="0" w:line="10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Companies with approved therapies have demonstrated parallel improvement in P300 latency and cognition as assessed by the Alzheimer’s Disease Assessment Scale-Cognitive Subscale, or ADAS-cog, as shown in Figure 10 below. ADAS-cog is a neuropsychological assessment used to assess the severity of cognitive symptoms of dementia. While these changes induced by acetylcholinesterase inhibitors are modest and often transient, these previously published results support the correlation of P300 latency and cognition in AD subjects. The magnitude of effects in P300 latency measures for current AD treatments is shown in Figure 10 below. The studies of donepezil and rivastigmine were conducted in patient populations at similar stages of disease (mild to moderate AD with an average P300 latency of 382.7 ms for the donepezil group and 382.3 ms for the rivastigmine group). The P300 methodology used was similar to that of our ATH-1017 study. Both drugs showed a modest improvement in P300 latency, with donepezil demonstrating an improvement of 16 ms and rivastigmine demonstrating an improvement of 22 ms.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00" w:right="359" w:bottom="1440" w:gutter="0" w:footer="0" w:header="0"/>
        </w:sectPr>
      </w:pPr>
    </w:p>
    <w:bookmarkStart w:id="121" w:name="page122"/>
    <w:bookmarkEnd w:id="121"/>
    <w:p>
      <w:pPr>
        <w:ind w:left="580"/>
        <w:spacing w:after="0"/>
        <w:rPr>
          <w:sz w:val="20"/>
          <w:szCs w:val="20"/>
          <w:color w:val="auto"/>
        </w:rPr>
      </w:pPr>
      <w:r>
        <w:rPr>
          <w:rFonts w:ascii="Arial" w:cs="Arial" w:eastAsia="Arial" w:hAnsi="Arial"/>
          <w:sz w:val="18"/>
          <w:szCs w:val="18"/>
          <w:i w:val="1"/>
          <w:iCs w:val="1"/>
          <w:color w:val="auto"/>
        </w:rPr>
        <w:t>Figure 10. Changes in P300 Latency Correlate with Cognitive Outcomes with Treatment of Approved Therapies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6240780" cy="5589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40780"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Adapted from Thomas et al., 2001.</w:t>
      </w:r>
    </w:p>
    <w:p>
      <w:pPr>
        <w:spacing w:after="0" w:line="24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Figure 11, below, summarizes the correlation between P300 latency and changes in cognition in studies involving approved therapies.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6" w:right="359" w:bottom="1440" w:gutter="0" w:footer="0" w:header="0"/>
        </w:sectPr>
      </w:pPr>
    </w:p>
    <w:bookmarkStart w:id="122" w:name="page123"/>
    <w:bookmarkEnd w:id="122"/>
    <w:p>
      <w:pPr>
        <w:ind w:left="580"/>
        <w:spacing w:after="0"/>
        <w:rPr>
          <w:sz w:val="20"/>
          <w:szCs w:val="20"/>
          <w:color w:val="auto"/>
        </w:rPr>
      </w:pPr>
      <w:r>
        <w:rPr>
          <w:rFonts w:ascii="Arial" w:cs="Arial" w:eastAsia="Arial" w:hAnsi="Arial"/>
          <w:sz w:val="18"/>
          <w:szCs w:val="18"/>
          <w:i w:val="1"/>
          <w:iCs w:val="1"/>
          <w:color w:val="auto"/>
        </w:rPr>
        <w:t>Figure 11. Studies Suggest Changes in P300 Latency Have Been Predictive of Changes in 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214745" cy="18948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14745"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i w:val="1"/>
          <w:iCs w:val="1"/>
          <w:color w:val="auto"/>
        </w:rPr>
        <w:t>Source: Results for donepezil and rivastigmine adapted from Thomas et al., 2001; results for memantine adapted from Sallach et al., 2011, and results for scopolamine adapted from Potter et al., 2000.</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 to Our ATH Platform</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CNS disorders, fluid or imaging biomarkers have been extensively used in drug development. However, these can be invasive and expensive, and inconclusive in determining the connection of these biomarkers to cognition. We sought to develop a translational strategy for ATH that was highly correlated to brain function and cognition which led us to use EEG/ERP for the clinical development of ATH-1017. We believe these measures are particularly well-suited to provide insight into early therapeutic effects in AD, given that as cognitive decline progresses, subjects display a decrease in EEG gamma power, and a progressive increase in ERP P300 latency.</w:t>
      </w:r>
    </w:p>
    <w:p>
      <w:pPr>
        <w:spacing w:after="0" w:line="172"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Utilizing EEG/ERP as non-invasive and efficient translatable measures early in clinical development allows us to assess therapeutic effects and helps to inform future clinical trial design. Positive changes in EEG and ERP P300 latency potentially indicate a positive cognitive effect of our ATH treatments, which increases our confidence that these effects may translate to clinical benefit in later-stage clinical trials.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ATH-1017 for the Potential Treatment of AD and Other Neuronal Diseases</w:t>
      </w:r>
    </w:p>
    <w:p>
      <w:pPr>
        <w:spacing w:after="0" w:line="106"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We are developing our lead product candidate, ATH-1017, for the treatment of neurodegenerative disorders, with an initial focus on AD. ATH-1017 is designed to improve neuronal health and promote regeneration, thereby improving symptoms in cognitively impaired subjects. As we continue to develop ATH-1017, we will plan to assess additional functional and behavioral benefits. In our Phase 1a and Phase 1b clinical trials, ATH-1017 for the treatment of AD was well tolerated with no serious adverse events across 88 subjects recruited in the study, including 11 subjects with mild-to-moderate AD, who were assigned to treatment and control groups. Additionally, ATH-1017 treatment led to improvements in brain network activity that indicated potentially positive effects on brain function. In the AD subjects, multiple dosing of ATH-1017 significantly improved P300 latency. P300 latency is a functional measure that is highly correlated with cognition; however, we have not yet established a connection between these P300 latency results and improved cognition. It is our goal to establish in future clinical trials that administration of ATH-1017 is effective in promoting cognitive improvement. We identified ATH-1017 in 2016 and less than five years later, we are planning to initiate our Phase 2/3 LIFT-AD trial, which has the potential to provide pivotal data in support of registration. In September 2020, we began site initiation and patient screening for our LIFT-AD clinical trial for ATH-1017 for the treatment of mild-to-moderate AD, with topline results expected by the end of 2022. By the end of 2020, we also plan to initiate ACT-AD, our P300 Phase 2 clinical trial, in mild-to-moderate AD to evaluate the overall effects of ATH-1017 on working memory processing speed and cognitive measurements, with topline results expected by early 2022, which will inform our strategy with respect to an additional Phase 3 clinical trial. We believe that ATH-1017 has the potential to provide meaningful benefit to individuals impacted by AD and substantially enhance overall quality of life for the subjects and their families.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right="360" w:firstLine="576"/>
        <w:spacing w:after="0" w:line="245" w:lineRule="auto"/>
        <w:rPr>
          <w:sz w:val="20"/>
          <w:szCs w:val="20"/>
          <w:color w:val="auto"/>
        </w:rPr>
      </w:pPr>
      <w:r>
        <w:rPr>
          <w:rFonts w:ascii="Arial" w:cs="Arial" w:eastAsia="Arial" w:hAnsi="Arial"/>
          <w:sz w:val="18"/>
          <w:szCs w:val="18"/>
          <w:color w:val="auto"/>
        </w:rPr>
        <w:t>Growing evidence suggests that complex CNS disorders, such as AD, are unlikely to be caused by a single route of pathology. Modulation of a neuronal growth factor has gained considerable attention for the potential treatment of neurodegenerative disorders. Our lead candidate, ATH-1017, is a small molecule therapeutic specifically designed to promote the ability of HGF to activate MET. This promotion substantially increases MET activation levels and amplifies the beneficial downstream effects of the HGF/MET system, with several attributes relevant to AD:</w:t>
      </w:r>
    </w:p>
    <w:p>
      <w:pPr>
        <w:spacing w:after="0" w:line="64" w:lineRule="exact"/>
        <w:rPr>
          <w:sz w:val="20"/>
          <w:szCs w:val="20"/>
          <w:color w:val="auto"/>
        </w:rPr>
      </w:pPr>
    </w:p>
    <w:p>
      <w:pPr>
        <w:ind w:left="1300" w:hanging="442"/>
        <w:spacing w:after="0"/>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HGF/MET is a critical neurotrophic factor for normative brain function and it is reduced in AD subjects;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promotion of the HGF/MET system has shown in several animal models the potential to directly halt neurodegeneration and induce regeneration, improve cerebral blood flow, and reduce inflammation;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74"/>
        </w:numPr>
        <w:rPr>
          <w:rFonts w:ascii="Times New Roman" w:cs="Times New Roman" w:eastAsia="Times New Roman" w:hAnsi="Times New Roman"/>
          <w:sz w:val="18"/>
          <w:szCs w:val="18"/>
          <w:color w:val="auto"/>
        </w:rPr>
      </w:pPr>
      <w:r>
        <w:rPr>
          <w:rFonts w:ascii="Arial" w:cs="Arial" w:eastAsia="Arial" w:hAnsi="Arial"/>
          <w:sz w:val="18"/>
          <w:szCs w:val="18"/>
          <w:color w:val="auto"/>
        </w:rPr>
        <w:t>we expect HGF/MET system activation to improve P300 latency, as observed in AD subjects after ATH-1017 treatment in our Phase 1a and Phase 1b clinical trials.</w:t>
      </w:r>
    </w:p>
    <w:p>
      <w:pPr>
        <w:spacing w:after="0" w:line="256" w:lineRule="exact"/>
        <w:rPr>
          <w:sz w:val="20"/>
          <w:szCs w:val="20"/>
          <w:color w:val="auto"/>
        </w:rPr>
      </w:pPr>
    </w:p>
    <w:p>
      <w:pPr>
        <w:ind w:right="160" w:firstLine="576"/>
        <w:spacing w:after="0" w:line="274" w:lineRule="auto"/>
        <w:rPr>
          <w:sz w:val="20"/>
          <w:szCs w:val="20"/>
          <w:color w:val="auto"/>
        </w:rPr>
      </w:pPr>
      <w:r>
        <w:rPr>
          <w:rFonts w:ascii="Arial" w:cs="Arial" w:eastAsia="Arial" w:hAnsi="Arial"/>
          <w:sz w:val="18"/>
          <w:szCs w:val="18"/>
          <w:i w:val="1"/>
          <w:iCs w:val="1"/>
          <w:color w:val="auto"/>
        </w:rPr>
        <w:t>Figure 12. ATH-1017 Is Designed to Increase HGF/MET Activity and May Promote Regeneration of Neurons, Reduce Inflammation, Enhance Cognitive Processing Represented by a Decreased P300 Latency, and Improve Overall Brain Health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107315</wp:posOffset>
            </wp:positionV>
            <wp:extent cx="5340350" cy="3068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340350" cy="306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520" w:firstLine="576"/>
        <w:spacing w:after="0" w:line="276" w:lineRule="auto"/>
        <w:rPr>
          <w:sz w:val="20"/>
          <w:szCs w:val="20"/>
          <w:color w:val="auto"/>
        </w:rPr>
      </w:pPr>
      <w:r>
        <w:rPr>
          <w:rFonts w:ascii="Arial" w:cs="Arial" w:eastAsia="Arial" w:hAnsi="Arial"/>
          <w:sz w:val="18"/>
          <w:szCs w:val="18"/>
          <w:color w:val="auto"/>
        </w:rPr>
        <w:t>Unlike most approved or in development drugs, ATH-1017 has the potential to be regenerative, and is designed to slow, halt, or potentially reverse the effects of AD all while using a naturally modulated approach.</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1a and Phase 1b Clinical Trials</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IND for ATH-1017 in AD was filed in September 2017. Since then, we have completed our Phase 1a and Phase 1b clinical trials, which enrolled a total of 88 subjects, including 11 AD subjects, as illustrated below in Figure 13. The clinical trials were randomized and double-blind and consisted of daily single injections over a nine-day period. While the primary endpoints of our Phase 1a single ascending dose, or SAD, and Phase 1b multiple ascending dose, or MAD, trials were focused on safety and assessment of human pharmacokinetics, we also included qEEG and ERP as measures to evaluate effects of ATH-1017 on brain activity in AD subjects. Together, these clinical trials assessed qEEG as a measure of brain circuitry and network activity and ERP as a measure of working memory access and cognitive processes in the brain.</w:t>
      </w:r>
    </w:p>
    <w:p>
      <w:pPr>
        <w:spacing w:after="0" w:line="28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13. 88 Subjects Included in the Phase 1a and Phase 1b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32095" cy="21170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33209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ATH-1017 was shown to be well tolerated with no serious adverse events across a wide dose range (2-90 mg) with single and multiple doses over 9 days. ATH-1017 demonstrated a pulsatile mode of target activation, and as shown in Figure 14, the PK profile is compelling, with linear dose relationship, no accumulation, and no sex or age effect. We did not have any subject dropout due to serious adverse events during these clinical trials.</w:t>
      </w:r>
    </w:p>
    <w:p>
      <w:pPr>
        <w:spacing w:after="0" w:line="280"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14. ATH-1017 Demonstrated a Dose-Linear PK Profile and Did Not Accumulate with Multiple Doses.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164465</wp:posOffset>
            </wp:positionV>
            <wp:extent cx="5332095" cy="16459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32095" cy="164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i w:val="1"/>
          <w:iCs w:val="1"/>
          <w:color w:val="auto"/>
        </w:rPr>
        <w:t>Translation of ATH-1017 Changes in Brain Circuitry Activity</w:t>
      </w:r>
    </w:p>
    <w:p>
      <w:pPr>
        <w:spacing w:after="0" w:line="102" w:lineRule="exact"/>
        <w:rPr>
          <w:sz w:val="20"/>
          <w:szCs w:val="20"/>
          <w:color w:val="auto"/>
        </w:rPr>
      </w:pPr>
    </w:p>
    <w:p>
      <w:pPr>
        <w:jc w:val="both"/>
        <w:ind w:right="100" w:firstLine="576"/>
        <w:spacing w:after="0" w:line="255" w:lineRule="auto"/>
        <w:rPr>
          <w:sz w:val="20"/>
          <w:szCs w:val="20"/>
          <w:color w:val="auto"/>
        </w:rPr>
      </w:pPr>
      <w:r>
        <w:rPr>
          <w:rFonts w:ascii="Arial" w:cs="Arial" w:eastAsia="Arial" w:hAnsi="Arial"/>
          <w:sz w:val="18"/>
          <w:szCs w:val="18"/>
          <w:color w:val="auto"/>
        </w:rPr>
        <w:t>qEEG was used as a translational tool to recapitulate the changes in brain network activity from ATH-1017 that were observed in our preclinical models and to help guide dose selection for late-stage clinical development. We collected qEEG recordings from healthy young, healthy elderly, and AD subjects to determine qEEG changes after the administration of ATH-1017.</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criteria for healthy young were male subjects who at the time of screening were between the ages of 18 and 45, met certain body mass index and weight standards, and who were determined at the investigators’ discretion to be generally in good health as determined by medical history, vital signs, and physical and clinical examination. The criteria for healthy elderly were male and female subjects, who at the time of screening were between the ages of 60 and 85, met certain body mass index and weight standards, and who were determined at the investigators’ discretion to be generally in good health as determined by medical history, vital signs, and physical and clinical examination.</w:t>
      </w:r>
    </w:p>
    <w:p>
      <w:pPr>
        <w:spacing w:after="0" w:line="172"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In the clinical trials, ATH-1017 increased the levels of the high frequency gamma power which is the frequency band that is associated with learning, memory, and cognitive function. Gamma is typically decreased in AD subjects. ATH-1017 showed dose-dependent and consistent changes in gamma brain activity signals across all treated cohorts, consistent with the changes observed in non-clinical models.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EEG Changes Observed in the Phase 1a SAD Clinical Trial</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Rapid induction in the high frequency gamma power was observed after a single dose and is most likely explained by ATH-1017 promoting HGF/MET induced synaptic relocation of NMDA receptors and potentiation of NMDA receptor currents. A dose-dependent increase was observed across the low, mid, and high doses with statistically significant changes at the highest dose levels assessed. Figure 15 below shows the change in qEEG gamma power from baseline following administration of placebo, low dose ATH-1017 (2 and 6 mg, pooled), mid dose (20 and 40 mg, pooled), and high dose (60 and 90 mg, pooled).The p-value maps show the statistics based on analysis of covariance, or ANCOVA, analysis. There were 12 subjects for each of the low- and mid-dose groups, and 11 subjects for the high-dose group. A single subject from the high-dose group in the single-dose data set in Figure 15 below was excluded from analysis due to an inability to capture or analyze data as a result of technical issues such as electrode placement or subject movement. All AD subjects’ data were captured at all data points.</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15. Single Dose of ATH-1017 Increased qEEG Gamma Power in Humans.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164465</wp:posOffset>
            </wp:positionV>
            <wp:extent cx="4594860" cy="17487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594860"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0" w:right="37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i w:val="1"/>
          <w:iCs w:val="1"/>
          <w:color w:val="auto"/>
        </w:rPr>
        <w:t>Quantitative EEG Changes Observed in Phase 1b MAD Clinical Trial in Healthy Elderly Subjects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main qEEG effect of ATH-1017 administration at all doses (20, 40, and 60 mg) in the healthy elderly subjects was increased gamma power, both at 3 hours post-dose on Day 1 and across multiple data points collected on Days 4 and 8 for all assessed doses of ATH-1017. Figure 16 below shows the change in gamma power with once-daily administration of the 20 mg dose of ATH-1017 over 9 days. Similar results were observed for the 40 and 60 mg doses. All subjects completed the planned administration and data collection schedule; however, data from two of the healthy elderly subjects on Day 8 was lost due to an inability to capture or analyze that data as a result of technical issues such as electrode placement or subject movement. All AD subjects’ data were captured at all data points.</w:t>
      </w:r>
    </w:p>
    <w:p>
      <w:pPr>
        <w:spacing w:after="0" w:line="284"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16. ATH-1017 Administration Increased qEEG Gamma Power in Elderly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147320</wp:posOffset>
            </wp:positionV>
            <wp:extent cx="4526280" cy="21088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5262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We also observed increased gamma power on Days 4 and 8 at the pre-dose recording: 24 hours after the last dose of ATH-1017, ATH-1017 was measured and shown to be completely cleared from the plasma. These results suggest that the beneficial effects of ATH-1017 are sustained. The increase in gamma power was specific to the treatment groups as no increase was observed in subjects receiving placebo.</w:t>
      </w:r>
    </w:p>
    <w:p>
      <w:pPr>
        <w:spacing w:after="0" w:line="17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multiple dose clinical trial in AD subjects (40 mg subcutaneous injection once daily over 9 days) suggested a potential effect in AD subjects. Analysis of qEEG indicates an acute induction of gamma power (Day 4 and Day 8) after multiple doses. Figure 17 below shows emerging recovery of acute gamma power induction after 4 days of ATH-1017 treatment which continues to increase after 8 days of treatment. This pattern was not observed in subjects receiving placebo, where there was no consistent change in acute gamma power induction.</w:t>
      </w:r>
    </w:p>
    <w:p>
      <w:pPr>
        <w:spacing w:after="0" w:line="282"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Figure 17. ATH-1017 Administration Rescued Acute Gamma Power Signal in AD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164465</wp:posOffset>
            </wp:positionV>
            <wp:extent cx="3042920" cy="4972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04292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10" w:right="39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1588135</wp:posOffset>
            </wp:positionH>
            <wp:positionV relativeFrom="page">
              <wp:posOffset>243205</wp:posOffset>
            </wp:positionV>
            <wp:extent cx="4337685" cy="168846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433768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Overall, the qEEG results in humans are indicative of CNS penetration and target engagement, suggesting an active dose range of ATH-1017 from 20 to 90 mg.</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Event-related Potential</w:t>
      </w:r>
    </w:p>
    <w:p>
      <w:pPr>
        <w:spacing w:after="0" w:line="104" w:lineRule="exact"/>
        <w:rPr>
          <w:sz w:val="20"/>
          <w:szCs w:val="20"/>
          <w:color w:val="auto"/>
        </w:rPr>
      </w:pPr>
    </w:p>
    <w:p>
      <w:pPr>
        <w:ind w:firstLine="576"/>
        <w:spacing w:after="0" w:line="253" w:lineRule="auto"/>
        <w:rPr>
          <w:sz w:val="20"/>
          <w:szCs w:val="20"/>
          <w:color w:val="auto"/>
        </w:rPr>
      </w:pPr>
      <w:r>
        <w:rPr>
          <w:rFonts w:ascii="Arial" w:cs="Arial" w:eastAsia="Arial" w:hAnsi="Arial"/>
          <w:sz w:val="17"/>
          <w:szCs w:val="17"/>
          <w:color w:val="auto"/>
        </w:rPr>
        <w:t>In our Phase 1b clinical trial, ERP P300 recordings were collected from the MAD healthy elderly and AD subjects. Analysis of these P300 data demonstrated that one daily dose of ATH-1017 improved P300 latency over an 8-day dosing period in AD subjects, as shown in Figures 18-20. P300 latency, a functional measure of working memory processing speed and executive function that highly correlates with cognition, was dramatically improved; however, we have not yet established a connection between these P300 latency results and improved cognition. After a single dose of ATH-1017, all AD subjects tested had improved P300 latency, and by the end of an 8-day treatment cycle, average P300 latency across the AD treatment group had improved by 73 milliseconds, a statistically significant change compared to placebo group that did not show any significant directional change. We also observed sustained effects on P300 latency in the pre-dose recordings on subsequent testing days (the arrows in Figure 18 show the average P300 latency value from the ATH-1017 group as a heat map). At these time points, which are 24 hours after the last dose, ATH-1017 was measured and shown to be completely cleared from the plasma, while recorded P300 latency values remained lower than baseline. These data indicate ATH-1017 treatment potentially recovered disruptions to brain function and network connectivity, which we believe are likely through several components of the mechanism, including NMDA receptor modulation, increased connectivity through recovery of synaptic density, and improved overall neuronal health and function.</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28" w:name="page129"/>
    <w:bookmarkEnd w:id="128"/>
    <w:p>
      <w:pPr>
        <w:ind w:right="60" w:firstLine="576"/>
        <w:spacing w:after="0" w:line="276" w:lineRule="auto"/>
        <w:rPr>
          <w:sz w:val="20"/>
          <w:szCs w:val="20"/>
          <w:color w:val="auto"/>
        </w:rPr>
      </w:pPr>
      <w:r>
        <w:rPr>
          <w:rFonts w:ascii="Arial" w:cs="Arial" w:eastAsia="Arial" w:hAnsi="Arial"/>
          <w:sz w:val="18"/>
          <w:szCs w:val="18"/>
          <w:i w:val="1"/>
          <w:iCs w:val="1"/>
          <w:color w:val="auto"/>
        </w:rPr>
        <w:t xml:space="preserve">Figure 18. ATH-1017 Treatment Led to Continued and Sustained Improvement in P300 Latency in AD Subjects. </w:t>
      </w:r>
      <w:r>
        <w:rPr>
          <w:rFonts w:ascii="Arial" w:cs="Arial" w:eastAsia="Arial" w:hAnsi="Arial"/>
          <w:sz w:val="18"/>
          <w:szCs w:val="18"/>
          <w:color w:val="auto"/>
        </w:rPr>
        <w:t>The arrows highlight</w:t>
      </w:r>
      <w:r>
        <w:rPr>
          <w:rFonts w:ascii="Arial" w:cs="Arial" w:eastAsia="Arial" w:hAnsi="Arial"/>
          <w:sz w:val="18"/>
          <w:szCs w:val="18"/>
          <w:i w:val="1"/>
          <w:iCs w:val="1"/>
          <w:color w:val="auto"/>
        </w:rPr>
        <w:t xml:space="preserve"> </w:t>
      </w:r>
      <w:r>
        <w:rPr>
          <w:rFonts w:ascii="Arial" w:cs="Arial" w:eastAsia="Arial" w:hAnsi="Arial"/>
          <w:sz w:val="18"/>
          <w:szCs w:val="18"/>
          <w:color w:val="auto"/>
        </w:rPr>
        <w:t>the sustained P300 latency benefit due to ATH-1017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106680</wp:posOffset>
            </wp:positionV>
            <wp:extent cx="5332095" cy="21685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32095" cy="216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firstLine="576"/>
        <w:spacing w:after="0" w:line="254" w:lineRule="auto"/>
        <w:rPr>
          <w:sz w:val="20"/>
          <w:szCs w:val="20"/>
          <w:color w:val="auto"/>
        </w:rPr>
      </w:pPr>
      <w:r>
        <w:rPr>
          <w:rFonts w:ascii="Arial" w:cs="Arial" w:eastAsia="Arial" w:hAnsi="Arial"/>
          <w:sz w:val="18"/>
          <w:szCs w:val="18"/>
          <w:i w:val="1"/>
          <w:iCs w:val="1"/>
          <w:color w:val="auto"/>
        </w:rPr>
        <w:t xml:space="preserve">Figure 19. Quantification of the Change in P300 Latency from Baseline, ATH-1017 Significantly Reduced P300 Latency Compared to the Placebo Group on Day 8 Recordings. </w:t>
      </w:r>
      <w:r>
        <w:rPr>
          <w:rFonts w:ascii="Arial" w:cs="Arial" w:eastAsia="Arial" w:hAnsi="Arial"/>
          <w:sz w:val="18"/>
          <w:szCs w:val="18"/>
          <w:color w:val="auto"/>
        </w:rPr>
        <w:t>Data show average P300 latency values of 7 AD subjects treated with ATH-1017 vs. 4 AD subjects</w:t>
      </w:r>
      <w:r>
        <w:rPr>
          <w:rFonts w:ascii="Arial" w:cs="Arial" w:eastAsia="Arial" w:hAnsi="Arial"/>
          <w:sz w:val="18"/>
          <w:szCs w:val="18"/>
          <w:i w:val="1"/>
          <w:iCs w:val="1"/>
          <w:color w:val="auto"/>
        </w:rPr>
        <w:t xml:space="preserve"> </w:t>
      </w:r>
      <w:r>
        <w:rPr>
          <w:rFonts w:ascii="Arial" w:cs="Arial" w:eastAsia="Arial" w:hAnsi="Arial"/>
          <w:sz w:val="18"/>
          <w:szCs w:val="18"/>
          <w:color w:val="auto"/>
        </w:rPr>
        <w:t>on placebo * p≤0.05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135890</wp:posOffset>
            </wp:positionV>
            <wp:extent cx="5109210" cy="26657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0921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29" w:name="page130"/>
    <w:bookmarkEnd w:id="129"/>
    <w:p>
      <w:pPr>
        <w:ind w:right="240" w:firstLine="576"/>
        <w:spacing w:after="0" w:line="254" w:lineRule="auto"/>
        <w:rPr>
          <w:sz w:val="20"/>
          <w:szCs w:val="20"/>
          <w:color w:val="auto"/>
        </w:rPr>
      </w:pPr>
      <w:r>
        <w:rPr>
          <w:rFonts w:ascii="Arial" w:cs="Arial" w:eastAsia="Arial" w:hAnsi="Arial"/>
          <w:sz w:val="18"/>
          <w:szCs w:val="18"/>
          <w:i w:val="1"/>
          <w:iCs w:val="1"/>
          <w:color w:val="auto"/>
        </w:rPr>
        <w:t>Figure 20. Data from Each Subject in the Clinical Trial Showing the Change in P300 Latency from Baseline, What Is Clear Is that Every Subject Receiving ATH-1017 Showed a Level of Improvement in P300 Latency and Subjects Receiving Placebo Had No Consistent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118745</wp:posOffset>
            </wp:positionV>
            <wp:extent cx="3840480" cy="29832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84048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Safety</w:t>
      </w:r>
    </w:p>
    <w:p>
      <w:pPr>
        <w:spacing w:after="0" w:line="10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color w:val="auto"/>
        </w:rPr>
        <w:t>ATH-1017 was well tolerated with no serious adverse events in our placebo-controlled double blind Phase 1a and Phase 1b clinical trials conducted to date where we enrolled 88 subjects recruited in the study, including 11 subjects with mild-to-moderate AD, who were assigned to treatment and control groups.</w:t>
      </w:r>
    </w:p>
    <w:p>
      <w:pPr>
        <w:spacing w:after="0" w:line="164" w:lineRule="exact"/>
        <w:rPr>
          <w:sz w:val="20"/>
          <w:szCs w:val="20"/>
          <w:color w:val="auto"/>
        </w:rPr>
      </w:pPr>
    </w:p>
    <w:p>
      <w:pPr>
        <w:ind w:right="180" w:firstLine="576"/>
        <w:spacing w:after="0" w:line="245" w:lineRule="auto"/>
        <w:rPr>
          <w:sz w:val="20"/>
          <w:szCs w:val="20"/>
          <w:color w:val="auto"/>
        </w:rPr>
      </w:pPr>
      <w:r>
        <w:rPr>
          <w:rFonts w:ascii="Arial" w:cs="Arial" w:eastAsia="Arial" w:hAnsi="Arial"/>
          <w:sz w:val="18"/>
          <w:szCs w:val="18"/>
          <w:color w:val="auto"/>
        </w:rPr>
        <w:t>Additionally, standard 26-week chronic GLP toxicology studies in rats and dogs showed no adverse findings in clinical observations, behavior, and clinical pathology laboratory parameters. Daily subcutaneous administration of ATH-1017 to rats for 26 weeks was tolerated. The only adverse finding was necrosis of the injection site subcutaneous tissue in male animals that largely resolved after the 28-day recovery period. Moreover, GLP safety pharmacology studies on rats and dogs reported no effects on cardiovascular, respiratory, or CNS function.</w:t>
      </w:r>
    </w:p>
    <w:p>
      <w:pPr>
        <w:spacing w:after="0" w:line="172"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In summary, human exposures from the planned dose range of 20-80 mg for the Phase 2 clinical trials are well below the animal no observable adverse event level, or NOAEL, exposures. Furthermore, the NOAEL from the 26-week GLP toxicity study was defined by injection site reactions, which are monitorable and reversible, and may be less of a risk in humans due to greater surface area, a higher number of injection sites, and a lower volume of injection relative to body size.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ATH-1017 is delivered by once-daily subcutaneous injection. The ATH-1017 formulation is non-viscous, with a neutral pH, and is expected to be dispensed and administered at room temperature. These attributes and the use of small-gauge needles, and minimal volumes (≤ 1 mL) significantly optimize the ATH-1017 product profile for a subcutaneous route of administration. Subcutaneous injections are a common route of administration of chronic therapies, including those for diabetic or MS patients, and are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10" w:right="359" w:bottom="1440" w:gutter="0" w:footer="0" w:header="0"/>
        </w:sectPr>
      </w:pPr>
    </w:p>
    <w:bookmarkStart w:id="130" w:name="page131"/>
    <w:bookmarkEnd w:id="130"/>
    <w:p>
      <w:pPr>
        <w:ind w:right="220"/>
        <w:spacing w:after="0" w:line="276" w:lineRule="auto"/>
        <w:rPr>
          <w:sz w:val="20"/>
          <w:szCs w:val="20"/>
          <w:color w:val="auto"/>
        </w:rPr>
      </w:pPr>
      <w:r>
        <w:rPr>
          <w:rFonts w:ascii="Arial" w:cs="Arial" w:eastAsia="Arial" w:hAnsi="Arial"/>
          <w:sz w:val="18"/>
          <w:szCs w:val="18"/>
          <w:color w:val="auto"/>
        </w:rPr>
        <w:t>easy to administer for patients and/or caregivers while being generally well tolerated. With the progression of neurodegenerative disorders, oral administration can become challenging as:</w:t>
      </w:r>
    </w:p>
    <w:p>
      <w:pPr>
        <w:spacing w:after="0" w:line="37" w:lineRule="exact"/>
        <w:rPr>
          <w:sz w:val="20"/>
          <w:szCs w:val="20"/>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safe swallowing often becomes increasingly difficult;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daily trays of multiple solid oral dosage forms add to patient/caregiver burden;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resistance to care can also impact compliance.</w:t>
      </w:r>
    </w:p>
    <w:p>
      <w:pPr>
        <w:spacing w:after="0" w:line="22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Subcutaneous injectables are expected to improve compliance and overall treatment outcomes. We have conducted a medication management research initiative, where we surveyed a number of caregivers and medical professionals to understand compliance challenges in the AD population. Top issues impeding compliance included forgetfulness, resistance to care, pill handling, and swallowing. The results of this study combined with the potential for a subcutaneous product profile to address several of these challenges, support ATH-1017 to be advanced as a once-daily subcutaneous injectable therapy for AD and dementia patients.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Plans for Alternative Delivery Devices for ATH-1017</w:t>
      </w:r>
    </w:p>
    <w:p>
      <w:pPr>
        <w:spacing w:after="0" w:line="102"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ATH-1017 is initially being developed to be delivered via pre-filled syringes for Phase 2/3 clinical trials and initial market penetration. We are exploring the development of alternative delivery devices, including multi-dose pen injectors, to increase patient comfort and ease of use for patients and caregivers, with a view towards improving patient compliance and outcomes.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Strategy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LIFT-AD Trial: A 26-Week Phase 2/3 Clinical Trial in Mild-to-Moderate AD Subjects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Based on the safety and translational Phase 1a and Phase 1b clinical trial results, including AD subjects, we have initiated LIFT-AD, a Phase 2/3 randomized, double-blind, placebo-controlled clinical trial. This clinical trial is designed to assess the efficacy, safety, and tolerability of two dose levels of ATH-1017 (low and high) in subjects with mild-to-moderate AD compared to placebo. The clinical trial is intended to enroll approximately 240 to 300 AD subjects. Subjects enrolled in the clinical trial will have a severity range within the conventional boundaries for mild-to -moderate AD, based on MMSE 14-24 inclusive. Clinical dementia rating, or CDR, is a 5-point scale used to assess cognitive processing and function in AD and related dementias. CDR 1 or 2 are an additional inclusion criterion to ensure overt dementia. In September 2020, we began the site initiation and patient screening for the LIFT-AD trial and anticipate topline results by the end of 2022. These topline results may provide pivotal data in support of registration, but the FDA or other regulators may still require additional trials even if results from the LIFT-AD trial are positive.</w:t>
      </w:r>
    </w:p>
    <w:p>
      <w:pPr>
        <w:spacing w:after="0" w:line="176"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Compared to therapies focused on AD progression, which traditionally require multi-year clinical trials to measure changes in disease progression, we believe that ATH-1017 may induce a rapid boost in cognition, which enables us to design our trial with a 26-week treatment period and potentially accelerate the clinical development of ATH-1017.</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primary endpoint in this clinical trial will be the Global Statistical Test, or GST, and this outcome will provide proof-of-concept data. GST is based on actual psychometric performance tests of ADAS-cog-11 and ADCS-CGIC, both of which are key secondary endpoints and will potentially provide pivotal evidence to support registration. ADAS-cog-11 refers to the 11 tasks that make up the ADAS-cog neuropsychological assessment. ADCS-CGIC refers to the Alzheimer's Disease Cooperative Study-Clinical Global Impression of Change, a systematic method for assessing clinically significant change in a clinical trial. GST provides a more sensitive endpoint to the overall treatment effect of multiple variables and increases our chances of understanding the full impact of ATH-1017 clinical outcomes. If each of the key secondary endpoints – ADAS-cog-11 and ADCS-CGIC – is positive, then GST will also be positive. Positive GST data will support proof of concept and positive results from the key secondary endpoints will potentially provide pivotal evidence to support regulatory approval.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1" w:name="page132"/>
    <w:bookmarkEnd w:id="131"/>
    <w:p>
      <w:pPr>
        <w:ind w:right="280" w:firstLine="576"/>
        <w:spacing w:after="0" w:line="255" w:lineRule="auto"/>
        <w:rPr>
          <w:sz w:val="20"/>
          <w:szCs w:val="20"/>
          <w:color w:val="auto"/>
        </w:rPr>
      </w:pPr>
      <w:r>
        <w:rPr>
          <w:rFonts w:ascii="Arial" w:cs="Arial" w:eastAsia="Arial" w:hAnsi="Arial"/>
          <w:sz w:val="18"/>
          <w:szCs w:val="18"/>
          <w:color w:val="auto"/>
        </w:rPr>
        <w:t>Further secondary endpoints will include the Controlled Oral Word Association Test, or COWAT, to specifically assess changes in executive memory function, the Disability Assessment for Dementia, or DAD, scale to assess instrumental activities of daily living, and the Neuropsychiatric Inventory, or NPI, to assess any changes in behavior.</w:t>
      </w:r>
    </w:p>
    <w:p>
      <w:pPr>
        <w:spacing w:after="0" w:line="164"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Exploratory pharmaco-economic outcomes will be comprised of validated scales to capture resource utilization (RUD-lite 3.3), caregiver burden (Zarit Burden Interview) and the EQ-5D-5L.</w:t>
      </w:r>
    </w:p>
    <w:p>
      <w:pPr>
        <w:spacing w:after="0" w:line="145" w:lineRule="exact"/>
        <w:rPr>
          <w:sz w:val="20"/>
          <w:szCs w:val="20"/>
          <w:color w:val="auto"/>
        </w:rPr>
      </w:pPr>
    </w:p>
    <w:p>
      <w:pPr>
        <w:ind w:right="780" w:firstLine="576"/>
        <w:spacing w:after="0" w:line="255" w:lineRule="auto"/>
        <w:rPr>
          <w:sz w:val="20"/>
          <w:szCs w:val="20"/>
          <w:color w:val="auto"/>
        </w:rPr>
      </w:pPr>
      <w:r>
        <w:rPr>
          <w:rFonts w:ascii="Arial" w:cs="Arial" w:eastAsia="Arial" w:hAnsi="Arial"/>
          <w:sz w:val="18"/>
          <w:szCs w:val="18"/>
          <w:color w:val="auto"/>
        </w:rPr>
        <w:t>The clinical trial design for LIFT-AD was informed by our previous interactions and discussions with the FDA. In order to be considered a pivotal trial supportive of FDA approval for mild to moderate AD, LIFT-AD will need to achieve a statistically significant improvement separately on both the ADAS-Cog11 and ADCS-CGIC.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ACT-AD P300 Trial: A 26-Week Phase 2 Clinical Trial in Mild-to-Moderate AD Subjects</w:t>
      </w:r>
    </w:p>
    <w:p>
      <w:pPr>
        <w:spacing w:after="0" w:line="77" w:lineRule="exact"/>
        <w:rPr>
          <w:sz w:val="20"/>
          <w:szCs w:val="20"/>
          <w:color w:val="auto"/>
        </w:rPr>
      </w:pPr>
    </w:p>
    <w:p>
      <w:pPr>
        <w:ind w:right="100" w:firstLine="576"/>
        <w:spacing w:after="0" w:line="224" w:lineRule="exact"/>
        <w:rPr>
          <w:sz w:val="20"/>
          <w:szCs w:val="20"/>
          <w:color w:val="auto"/>
        </w:rPr>
      </w:pPr>
      <w:r>
        <w:rPr>
          <w:rFonts w:ascii="Arial" w:cs="Arial" w:eastAsia="Arial" w:hAnsi="Arial"/>
          <w:sz w:val="17"/>
          <w:szCs w:val="17"/>
          <w:color w:val="auto"/>
        </w:rPr>
        <w:t>In addition to LIFT-AD, we are planning ACT</w:t>
      </w:r>
      <w:r>
        <w:rPr>
          <w:rFonts w:ascii="MS PGothic" w:cs="MS PGothic" w:eastAsia="MS PGothic" w:hAnsi="MS PGothic"/>
          <w:sz w:val="17"/>
          <w:szCs w:val="17"/>
          <w:color w:val="auto"/>
        </w:rPr>
        <w:t>‑</w:t>
      </w:r>
      <w:r>
        <w:rPr>
          <w:rFonts w:ascii="Arial" w:cs="Arial" w:eastAsia="Arial" w:hAnsi="Arial"/>
          <w:sz w:val="17"/>
          <w:szCs w:val="17"/>
          <w:color w:val="auto"/>
        </w:rPr>
        <w:t>AD, a randomized, placebo-controlled P300 Phase 2 clinical trial designed to test the same dose levels of ATH-1017 (low and high) in subjects with mild-to-moderate AD compared to placebo. We intend to enroll approximately 60 to 75 mild-to-moderate AD subjects using the same enrollment criteria as described above and include a 26-week treatment period.</w:t>
      </w:r>
    </w:p>
    <w:p>
      <w:pPr>
        <w:spacing w:after="0" w:line="176" w:lineRule="exact"/>
        <w:rPr>
          <w:sz w:val="20"/>
          <w:szCs w:val="20"/>
          <w:color w:val="auto"/>
        </w:rPr>
      </w:pPr>
    </w:p>
    <w:p>
      <w:pPr>
        <w:ind w:firstLine="576"/>
        <w:spacing w:after="0" w:line="207" w:lineRule="exact"/>
        <w:rPr>
          <w:sz w:val="20"/>
          <w:szCs w:val="20"/>
          <w:color w:val="auto"/>
        </w:rPr>
      </w:pPr>
      <w:r>
        <w:rPr>
          <w:rFonts w:ascii="Arial" w:cs="Arial" w:eastAsia="Arial" w:hAnsi="Arial"/>
          <w:sz w:val="18"/>
          <w:szCs w:val="18"/>
          <w:color w:val="auto"/>
        </w:rPr>
        <w:t>The primary endpoint of this clinical trial is to establish the correlation of P300 latency changes due to ATH-1017 treatment to cognitive benefits, as previously shown for cholinergic drugs and cognitive therapies. Secondary endpoints include the GST as well as psychometric performance tests of ADAS-cog-11 and ADCS-CGIC, which are the primary endpoint and key secondary endpoints of LIFT-AD. This clinical trial will help define the safety profile and effect size of ATH-1017 in mild-to-moderate AD. Additionally, because this clinical trial is expected to have a faster readout due to a smaller sample size than LIFT-AD, it will help support strategic decisions around additional clinical trials, including any additional pivotal trials that we may initiate in parallel to the LIFT-AD trial if the results from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do not meet our expectations. By the end of 2020, we plan to initiate the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 in mild-to-moderate AD to better understand the overall effects of ATH-1017 on working memory processing speed and cognitive measures, with topline results expected by early 2022.</w:t>
      </w:r>
    </w:p>
    <w:p>
      <w:pPr>
        <w:spacing w:after="0" w:line="28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Expand Development of ATH-1017 to Include Additional Indications.</w:t>
      </w:r>
    </w:p>
    <w:p>
      <w:pPr>
        <w:spacing w:after="0" w:line="102"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We are developing ATH-1017 as a treatment for mild-to-moderate AD patients, but over time, we aim to expand development to cover all stages of AD. Ultimately, we believe that ATH-1017 can address the broader dementia patient population.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2 Proof-of-Concept Clinical Trial in PDD Subjects</w:t>
      </w:r>
    </w:p>
    <w:p>
      <w:pPr>
        <w:spacing w:after="0" w:line="102"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In addition to the two AD clinical trials, we are also planning to test the effects of ATH-1017 in PDD subjects. PDD is a disease that impacts neuronal health and leads to a progressive damage of the brain network, ultimately impacting function and cognition. Like AD, PDD subjects demonstrate an increase in their P300 latency, which increases the likelihood that ATH-1017 can potentially address dementia in PDD subjects. This clinical trial will be a randomized, placebo-controlled, Phase 2 proof-of-concept clinical trial in PDD subjects with a planned start by the end of 2021. The population severity will include Hoehn-Yahr stages 2 and 3, who will receive 40 mg ATH-1017 versus placebo. Endpoints will include P300 latency and Parkinson’s Disease-Cognitive Rating Scale, or PD-CRS.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Results</w:t>
      </w:r>
    </w:p>
    <w:p>
      <w:pPr>
        <w:spacing w:after="0" w:line="104" w:lineRule="exact"/>
        <w:rPr>
          <w:sz w:val="20"/>
          <w:szCs w:val="20"/>
          <w:color w:val="auto"/>
        </w:rPr>
      </w:pPr>
    </w:p>
    <w:p>
      <w:pPr>
        <w:ind w:right="120" w:firstLine="576"/>
        <w:spacing w:after="0" w:line="255" w:lineRule="auto"/>
        <w:rPr>
          <w:sz w:val="20"/>
          <w:szCs w:val="20"/>
          <w:color w:val="auto"/>
        </w:rPr>
      </w:pPr>
      <w:r>
        <w:rPr>
          <w:rFonts w:ascii="Arial" w:cs="Arial" w:eastAsia="Arial" w:hAnsi="Arial"/>
          <w:sz w:val="18"/>
          <w:szCs w:val="18"/>
          <w:color w:val="auto"/>
        </w:rPr>
        <w:t xml:space="preserve">ATH-1017 was assessed in multiple preclinical studies, including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and several animal models of memory deficits. ATH-1017 promoted the formation of new spines and functional synapses in hippocampal neurons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(neuronal cultures). ATH-1017 also activated HGF/MET, which in turn has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2" w:name="page133"/>
    <w:bookmarkEnd w:id="132"/>
    <w:p>
      <w:pPr>
        <w:ind w:right="360"/>
        <w:spacing w:after="0" w:line="255" w:lineRule="auto"/>
        <w:rPr>
          <w:sz w:val="20"/>
          <w:szCs w:val="20"/>
          <w:color w:val="auto"/>
        </w:rPr>
      </w:pPr>
      <w:r>
        <w:rPr>
          <w:rFonts w:ascii="Arial" w:cs="Arial" w:eastAsia="Arial" w:hAnsi="Arial"/>
          <w:sz w:val="18"/>
          <w:szCs w:val="18"/>
          <w:color w:val="auto"/>
        </w:rPr>
        <w:t>been shown to enhance long-term potentiation. Long-term potentiation refers to a process at the individual neuron level, where memory formation is thought to involve a sustained increase in synaptic efficiency following repeated stimulation. In the aged animal model of dementia, ATH-1017 increased synaptic density and in multiple models of dementia improved performance in tests of spatial memory.</w:t>
      </w:r>
    </w:p>
    <w:p>
      <w:pPr>
        <w:spacing w:after="0" w:line="16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Similar to the clinical findings, ATH-1017 treatment also increased the qEEG gamma power that is associated with cognitive processing and memory in a non-clinical AD animal model (APP1/PS1), as shown in Figure 21. Changes in gamma brain activity signals are highly translatable which helped guide our selection of the clinical doses.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68" w:right="439" w:bottom="1440" w:gutter="0" w:footer="0" w:header="0"/>
        </w:sectPr>
      </w:pPr>
    </w:p>
    <w:bookmarkStart w:id="133" w:name="page134"/>
    <w:bookmarkEnd w:id="133"/>
    <w:p>
      <w:pPr>
        <w:ind w:right="620" w:firstLine="576"/>
        <w:spacing w:after="0" w:line="274" w:lineRule="auto"/>
        <w:rPr>
          <w:sz w:val="20"/>
          <w:szCs w:val="20"/>
          <w:color w:val="auto"/>
        </w:rPr>
      </w:pPr>
      <w:r>
        <w:rPr>
          <w:rFonts w:ascii="Arial" w:cs="Arial" w:eastAsia="Arial" w:hAnsi="Arial"/>
          <w:sz w:val="18"/>
          <w:szCs w:val="18"/>
          <w:i w:val="1"/>
          <w:iCs w:val="1"/>
          <w:color w:val="auto"/>
        </w:rPr>
        <w:t>Figure 21. ATH-1017 Treatment Induces Acute Increases in Gamma Power within One Hour of Administration (left); and Daily Treatment for Two Weeks Followed by a Seven-Day Washout Shows a Sustained Effect on Gamma Power (right).</w:t>
      </w:r>
    </w:p>
    <w:p>
      <w:pPr>
        <w:sectPr>
          <w:pgSz w:w="11900" w:h="16838" w:orient="portrait"/>
          <w:cols w:equalWidth="0" w:num="1">
            <w:col w:w="11180"/>
          </w:cols>
          <w:pgMar w:left="320" w:top="686" w:right="399" w:bottom="1440" w:gutter="0" w:footer="0" w:header="0"/>
        </w:sectPr>
      </w:pPr>
    </w:p>
    <w:p>
      <w:pPr>
        <w:spacing w:after="0" w:line="144" w:lineRule="exact"/>
        <w:rPr>
          <w:sz w:val="20"/>
          <w:szCs w:val="20"/>
          <w:color w:val="auto"/>
        </w:rPr>
      </w:pPr>
    </w:p>
    <w:p>
      <w:pPr>
        <w:jc w:val="center"/>
        <w:ind w:left="60"/>
        <w:spacing w:after="0" w:line="287" w:lineRule="auto"/>
        <w:rPr>
          <w:sz w:val="20"/>
          <w:szCs w:val="20"/>
          <w:color w:val="auto"/>
        </w:rPr>
      </w:pPr>
      <w:r>
        <w:rPr>
          <w:rFonts w:ascii="Arial" w:cs="Arial" w:eastAsia="Arial" w:hAnsi="Arial"/>
          <w:sz w:val="18"/>
          <w:szCs w:val="18"/>
          <w:b w:val="1"/>
          <w:bCs w:val="1"/>
          <w:color w:val="auto"/>
        </w:rPr>
        <w:t>ATH-1017 Induces an Acute Dose-Dependent Increase in Gamma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95885</wp:posOffset>
            </wp:positionV>
            <wp:extent cx="2254250" cy="1929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254250" cy="1929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40"/>
        <w:spacing w:after="0" w:line="287" w:lineRule="auto"/>
        <w:rPr>
          <w:sz w:val="20"/>
          <w:szCs w:val="20"/>
          <w:color w:val="auto"/>
        </w:rPr>
      </w:pPr>
      <w:r>
        <w:rPr>
          <w:rFonts w:ascii="Arial" w:cs="Arial" w:eastAsia="Arial" w:hAnsi="Arial"/>
          <w:sz w:val="18"/>
          <w:szCs w:val="18"/>
          <w:b w:val="1"/>
          <w:bCs w:val="1"/>
          <w:color w:val="auto"/>
        </w:rPr>
        <w:t>Two Weeks of ATH-1017 Treatment Induced Increased Gamma Power That Was Sustained After Seven Days of Washout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95885</wp:posOffset>
            </wp:positionV>
            <wp:extent cx="2871470" cy="18942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71470" cy="18942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60"/>
            <w:col w:w="6040"/>
          </w:cols>
          <w:pgMar w:left="320" w:top="686"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ATH Platform</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ATH platform leverages the activity of a validated regenerative pathway, the HGF/MET system, that is critical for normal brain function. It is our goal to establish in future clinical trials that our ATH platform, which is designed to enhance the body’s repair mechanism of HGF/MET, can potentially address a wide range of clinical applications ranging from CNS disorders, such as AD, PDD, MS, and ALS, to more peripheral conditions such as neuropathy. In addition, we believe that HGF/MET biology plays a role in neuropsychiatric disorders such as depression and anxiety.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Aspects of Our ATH Platform</w:t>
      </w:r>
    </w:p>
    <w:p>
      <w:pPr>
        <w:spacing w:after="0" w:line="104"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Our ATH platform utilizes proprietary technology to target and enhance the activity of a vital neuronal growth factor that promotes neuronal health and regeneration. We believe that our ATH platform has multiple advantages compared to previous strategies that have targeted growth factors, including:</w:t>
      </w:r>
    </w:p>
    <w:p>
      <w:pPr>
        <w:spacing w:after="0" w:line="56" w:lineRule="exact"/>
        <w:rPr>
          <w:sz w:val="20"/>
          <w:szCs w:val="20"/>
          <w:color w:val="auto"/>
        </w:rPr>
      </w:pPr>
    </w:p>
    <w:p>
      <w:pPr>
        <w:ind w:left="1300" w:right="100" w:hanging="442"/>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Small molecules</w:t>
      </w:r>
      <w:r>
        <w:rPr>
          <w:rFonts w:ascii="Arial" w:cs="Arial" w:eastAsia="Arial" w:hAnsi="Arial"/>
          <w:sz w:val="18"/>
          <w:szCs w:val="18"/>
          <w:color w:val="auto"/>
        </w:rPr>
        <w:t>. Previous attempts to promote neurotrophic factor activity with recombinant proteins or stem cells involved</w:t>
      </w:r>
      <w:r>
        <w:rPr>
          <w:rFonts w:ascii="Arial" w:cs="Arial" w:eastAsia="Arial" w:hAnsi="Arial"/>
          <w:sz w:val="18"/>
          <w:szCs w:val="18"/>
          <w:i w:val="1"/>
          <w:iCs w:val="1"/>
          <w:color w:val="auto"/>
        </w:rPr>
        <w:t xml:space="preserve"> </w:t>
      </w:r>
      <w:r>
        <w:rPr>
          <w:rFonts w:ascii="Arial" w:cs="Arial" w:eastAsia="Arial" w:hAnsi="Arial"/>
          <w:sz w:val="18"/>
          <w:szCs w:val="18"/>
          <w:color w:val="auto"/>
        </w:rPr>
        <w:t>invasive surgeries or risked immune response. Our small molecules overcome these challenges, allowing for non-invasive systemic drug delivery through subcutaneous or oral routes that distribute to the nervous system.</w:t>
      </w:r>
    </w:p>
    <w:p>
      <w:pPr>
        <w:spacing w:after="0" w:line="54"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Efficient and scalable manufacturing process</w:t>
      </w:r>
      <w:r>
        <w:rPr>
          <w:rFonts w:ascii="Arial" w:cs="Arial" w:eastAsia="Arial" w:hAnsi="Arial"/>
          <w:sz w:val="18"/>
          <w:szCs w:val="18"/>
          <w:color w:val="auto"/>
        </w:rPr>
        <w:t>. Small molecules are manufactured using scalable chemical synthesis routes,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a cost and time efficient process that does not require custom manufacturing infrastructure.</w:t>
      </w:r>
    </w:p>
    <w:p>
      <w:pPr>
        <w:spacing w:after="0" w:line="37" w:lineRule="exact"/>
        <w:rPr>
          <w:rFonts w:ascii="Times New Roman" w:cs="Times New Roman" w:eastAsia="Times New Roman" w:hAnsi="Times New Roman"/>
          <w:sz w:val="18"/>
          <w:szCs w:val="18"/>
          <w:color w:val="auto"/>
        </w:rPr>
      </w:pPr>
    </w:p>
    <w:p>
      <w:pPr>
        <w:ind w:left="1300" w:right="40" w:hanging="442"/>
        <w:spacing w:after="0" w:line="255" w:lineRule="auto"/>
        <w:tabs>
          <w:tab w:leader="none" w:pos="1300" w:val="left"/>
        </w:tabs>
        <w:numPr>
          <w:ilvl w:val="0"/>
          <w:numId w:val="7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Avoids alteration of target system regulation</w:t>
      </w:r>
      <w:r>
        <w:rPr>
          <w:rFonts w:ascii="Arial" w:cs="Arial" w:eastAsia="Arial" w:hAnsi="Arial"/>
          <w:sz w:val="18"/>
          <w:szCs w:val="18"/>
          <w:color w:val="auto"/>
        </w:rPr>
        <w:t>. ATH compounds are designed to enhance the activity of the target system with</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disruption to nor evasion of the normal regulatory processes that are in place to prevent hypo- or hyper-activation. This design aims to reduce safety risks.</w:t>
      </w:r>
    </w:p>
    <w:p>
      <w:pPr>
        <w:spacing w:after="0" w:line="163"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We believe that the ATH platform represents a significant opportunity to develop therapeutics for the treatment of diseases of the nervous system and has the potential to drive significant advancement in regenerative medicine.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type w:val="continuous"/>
        </w:sectPr>
      </w:pPr>
    </w:p>
    <w:bookmarkStart w:id="134" w:name="page135"/>
    <w:bookmarkEnd w:id="134"/>
    <w:p>
      <w:pPr>
        <w:spacing w:after="0"/>
        <w:rPr>
          <w:sz w:val="20"/>
          <w:szCs w:val="20"/>
          <w:color w:val="auto"/>
        </w:rPr>
      </w:pPr>
      <w:r>
        <w:rPr>
          <w:rFonts w:ascii="Arial" w:cs="Arial" w:eastAsia="Arial" w:hAnsi="Arial"/>
          <w:sz w:val="18"/>
          <w:szCs w:val="18"/>
          <w:b w:val="1"/>
          <w:bCs w:val="1"/>
          <w:i w:val="1"/>
          <w:iCs w:val="1"/>
          <w:color w:val="auto"/>
        </w:rPr>
        <w:t>Our Therapeutic Discovery Process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utilize a rigorous process to identify small-molecule compounds that activate regenerative systems.</w:t>
      </w:r>
    </w:p>
    <w:p>
      <w:pPr>
        <w:spacing w:after="0" w:line="104" w:lineRule="exact"/>
        <w:rPr>
          <w:sz w:val="20"/>
          <w:szCs w:val="20"/>
          <w:color w:val="auto"/>
        </w:rPr>
      </w:pPr>
    </w:p>
    <w:p>
      <w:pPr>
        <w:ind w:left="1300" w:right="40" w:hanging="442"/>
        <w:spacing w:after="0" w:line="25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Focus on activity</w:t>
      </w:r>
      <w:r>
        <w:rPr>
          <w:rFonts w:ascii="Arial" w:cs="Arial" w:eastAsia="Arial" w:hAnsi="Arial"/>
          <w:sz w:val="18"/>
          <w:szCs w:val="18"/>
          <w:color w:val="auto"/>
        </w:rPr>
        <w:t>. Our drug screening process is an efficient blend of modern and traditional methods, starting with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modeling to create compound libraries. In our process, focus is placed on early activity assays, in which potential hits are advanced to further discovery.</w:t>
      </w:r>
    </w:p>
    <w:p>
      <w:pPr>
        <w:spacing w:after="0" w:line="54"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7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Maximize hit potential</w:t>
      </w:r>
      <w:r>
        <w:rPr>
          <w:rFonts w:ascii="Arial" w:cs="Arial" w:eastAsia="Arial" w:hAnsi="Arial"/>
          <w:sz w:val="18"/>
          <w:szCs w:val="18"/>
          <w:color w:val="auto"/>
        </w:rPr>
        <w:t>. When hits are identified, we employ a comprehensive set of studies to collect compound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and optimize for drug-like characteristics with medicinal chemistry and structure-activity relationship studies to produce candidates ready for further development.</w:t>
      </w:r>
    </w:p>
    <w:p>
      <w:pPr>
        <w:spacing w:after="0" w:line="54" w:lineRule="exact"/>
        <w:rPr>
          <w:rFonts w:ascii="Times New Roman" w:cs="Times New Roman" w:eastAsia="Times New Roman" w:hAnsi="Times New Roman"/>
          <w:sz w:val="18"/>
          <w:szCs w:val="18"/>
          <w:color w:val="auto"/>
        </w:rPr>
      </w:pPr>
    </w:p>
    <w:p>
      <w:pPr>
        <w:jc w:val="both"/>
        <w:ind w:left="1300" w:right="280" w:hanging="442"/>
        <w:spacing w:after="0" w:line="305" w:lineRule="auto"/>
        <w:tabs>
          <w:tab w:leader="none" w:pos="1300" w:val="left"/>
        </w:tabs>
        <w:numPr>
          <w:ilvl w:val="0"/>
          <w:numId w:val="77"/>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Gain insight to inform future therapeutic development</w:t>
      </w:r>
      <w:r>
        <w:rPr>
          <w:rFonts w:ascii="Arial" w:cs="Arial" w:eastAsia="Arial" w:hAnsi="Arial"/>
          <w:sz w:val="17"/>
          <w:szCs w:val="17"/>
          <w:color w:val="auto"/>
        </w:rPr>
        <w:t>. We consider the drug discovery process as a cycle, with past work</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continuously informing future drug design, ultimately optimizing the process as we advance our knowledge and expertise.</w:t>
      </w:r>
    </w:p>
    <w:p>
      <w:pPr>
        <w:spacing w:after="0" w:line="123"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This system has supported the identification of several candidates for development, including ATH-1017. We are using our ATH platform and discovery engine to explore potential development of therapeutic candidates in additional nervous system disorders including ALS, MS, and neuropsychiatric disorders, as well as in peripheral indications such as peripheral neuropathy. We are also actively exploring the potential of expanding the focus of our discovery engine to multiple molecular targets relevant to nervous system disorders.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Development Opportunities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Neuropsychiatric Program (ATH-1019)</w:t>
      </w:r>
    </w:p>
    <w:p>
      <w:pPr>
        <w:spacing w:after="0" w:line="10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We are currently developing ATH compounds for neuropsychiatric conditions including depression and anxiety. The lifetime prevalence of common mental disorders is reported to be almost 30% and, despite the sizable number of available treatments, a large portion of subjects show an unsatisfactory or a lack of response to treatment. This context, combined with slow responses to common treatments, results in a major burden for patients, public healthcare, and disability systems. ATH compounds represent a novel mechanism for the treatment of neuropsychiatric conditions with a fast onset of action that may help to reduce disease burden on multiple levels. ATH-1019 is a novel, orally active candidate that is designed to activate the HGF/MET system, and distribute to the CNS, and is neuroactive in animal models.</w:t>
      </w:r>
    </w:p>
    <w:p>
      <w:pPr>
        <w:spacing w:after="0" w:line="179"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We believe the stimulating activity of ATH-1019 on the HGF/MET system is well-suited to address neuropsychiatric conditions because:</w:t>
      </w:r>
    </w:p>
    <w:p>
      <w:pPr>
        <w:spacing w:after="0" w:line="37" w:lineRule="exact"/>
        <w:rPr>
          <w:sz w:val="20"/>
          <w:szCs w:val="20"/>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HGF/MET signaling is deficient in neuropsychiatric patients and negatively correlated to disease severity;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in HGF/MET signaling is a causative agent of depression and anxiety behaviors in rodents;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8"/>
        </w:numPr>
        <w:rPr>
          <w:rFonts w:ascii="Times New Roman" w:cs="Times New Roman" w:eastAsia="Times New Roman" w:hAnsi="Times New Roman"/>
          <w:sz w:val="18"/>
          <w:szCs w:val="18"/>
          <w:color w:val="auto"/>
        </w:rPr>
      </w:pPr>
      <w:r>
        <w:rPr>
          <w:rFonts w:ascii="Arial" w:cs="Arial" w:eastAsia="Arial" w:hAnsi="Arial"/>
          <w:sz w:val="18"/>
          <w:szCs w:val="18"/>
          <w:color w:val="auto"/>
        </w:rPr>
        <w:t>enhancement of HGF concentrations in the brain has anti-depressive and anxiolytic effects in rodent models.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35" w:name="page136"/>
    <w:bookmarkEnd w:id="135"/>
    <w:p>
      <w:pPr>
        <w:ind w:left="580"/>
        <w:spacing w:after="0"/>
        <w:rPr>
          <w:sz w:val="20"/>
          <w:szCs w:val="20"/>
          <w:color w:val="auto"/>
        </w:rPr>
      </w:pPr>
      <w:r>
        <w:rPr>
          <w:rFonts w:ascii="Arial" w:cs="Arial" w:eastAsia="Arial" w:hAnsi="Arial"/>
          <w:sz w:val="18"/>
          <w:szCs w:val="18"/>
          <w:i w:val="1"/>
          <w:iCs w:val="1"/>
          <w:color w:val="auto"/>
        </w:rPr>
        <w:t>Figure 22. ATH-1019 Has the Potential to Rescue HGF/MET Signaling and Promote Activity to Address Depression and Anxiety.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147320</wp:posOffset>
            </wp:positionV>
            <wp:extent cx="5340350" cy="3600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34035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firstLine="576"/>
        <w:spacing w:after="0" w:line="255" w:lineRule="auto"/>
        <w:rPr>
          <w:sz w:val="20"/>
          <w:szCs w:val="20"/>
          <w:color w:val="auto"/>
        </w:rPr>
      </w:pPr>
      <w:r>
        <w:rPr>
          <w:rFonts w:ascii="Arial" w:cs="Arial" w:eastAsia="Arial" w:hAnsi="Arial"/>
          <w:sz w:val="17"/>
          <w:szCs w:val="17"/>
          <w:color w:val="auto"/>
        </w:rPr>
        <w:t>Further, patients suffering from major depression display reduced function and connectivity of neural pathways, resulting in prolonged P300 latency compared to healthy controls. This effect is particularly apparent in those experiencing cognitive dysfunction. The extent of P300 latency slowing is strongly correlated with the severity of depression, and a normalization of P300 latency is associated with response to treatment. Our HGF activator for the treatment of AD, ATH-1017, reduced the P300 latency of AD subjects in a Phase 1b clinical trial within 8 days of treatment. While the patient populations in neuropsychiatric conditions and AD are substantially different, the root cause of the diseases may not be, and properties of P300 latency have been shown to be conserved across many diseases. These results highlight the ability of HGF/MET activators to impact P300 latency, which when combined with the preexisting research on the effects of activating the HGF/MET system in neuropsychiatric disorders indicates that treatment with HGF/MET activating compounds may be capable of improving patient outcomes in neuropsychiatric indications. We are advancing ATH-1019 to further development for neuropsychiatric indications including depression and anxiety and are targeting an IND submission to the FDA for depression and/or anxiety in the first half of 2022.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Neuropathy Program (ATH-1018)</w:t>
      </w:r>
    </w:p>
    <w:p>
      <w:pPr>
        <w:spacing w:after="0" w:line="104" w:lineRule="exact"/>
        <w:rPr>
          <w:sz w:val="20"/>
          <w:szCs w:val="20"/>
          <w:color w:val="auto"/>
        </w:rPr>
      </w:pPr>
    </w:p>
    <w:p>
      <w:pPr>
        <w:ind w:right="220" w:firstLine="576"/>
        <w:spacing w:after="0" w:line="243" w:lineRule="auto"/>
        <w:rPr>
          <w:sz w:val="20"/>
          <w:szCs w:val="20"/>
          <w:color w:val="auto"/>
        </w:rPr>
      </w:pPr>
      <w:r>
        <w:rPr>
          <w:rFonts w:ascii="Arial" w:cs="Arial" w:eastAsia="Arial" w:hAnsi="Arial"/>
          <w:sz w:val="18"/>
          <w:szCs w:val="18"/>
          <w:color w:val="auto"/>
        </w:rPr>
        <w:t>We have initiated a discovery program to evaluate ATH compounds for peripheral neuropathy. ATH-1018 is a novel, orally active candidate that has demonstrated ability to significantly promote the activity of the HGF/MET system. We are planning to administer ATH-1018 at doses that are expected to largely relegate its activity to the periphery. ATH-1018 potentially represents a new strategy to address neuropathy by promoting the regenerative power of the HGF/MET system with a small molecule therapy. Consideration of HGF/MET activators as a therapeutic approach for neuropathy was initiated following review of studies demonstrating that HGF/MET activating treatment repaired peripheral nerve injury and reduced neuropathy.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6" w:right="399" w:bottom="1440" w:gutter="0" w:footer="0" w:header="0"/>
        </w:sectPr>
      </w:pPr>
    </w:p>
    <w:bookmarkStart w:id="136" w:name="page137"/>
    <w:bookmarkEnd w:id="136"/>
    <w:p>
      <w:pPr>
        <w:ind w:right="20" w:firstLine="576"/>
        <w:spacing w:after="0" w:line="245" w:lineRule="auto"/>
        <w:rPr>
          <w:sz w:val="20"/>
          <w:szCs w:val="20"/>
          <w:color w:val="auto"/>
        </w:rPr>
      </w:pPr>
      <w:r>
        <w:rPr>
          <w:rFonts w:ascii="Arial" w:cs="Arial" w:eastAsia="Arial" w:hAnsi="Arial"/>
          <w:sz w:val="18"/>
          <w:szCs w:val="18"/>
          <w:color w:val="auto"/>
        </w:rPr>
        <w:t>Despite a reported prevalence of up to 10% of the population, neuropathy has proven difficult to manage, and clinical outcomes are unsatisfactory. Management of pain symptoms with opiates serves as a common form of pain therapy and the only reliable one but is palliative only. As well, opiates are fraught with major clinical liabilities. Nerve injury and subsequent neuropathy are typically caused by lesion or disease, commonly diabetes, MS, or stroke. The nerve injury is then followed by an inflammatory response and upregulation of pain signaling factors, which lead to chronic neuropathy.</w:t>
      </w:r>
    </w:p>
    <w:p>
      <w:pPr>
        <w:spacing w:after="0" w:line="172"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We believe the activity of ATH compounds, through enhancement of the HGF/MET system, is well-suited to address neuropathy given that HGF/MET signaling has been shown to:</w:t>
      </w:r>
    </w:p>
    <w:p>
      <w:pPr>
        <w:spacing w:after="0" w:line="37" w:lineRule="exact"/>
        <w:rPr>
          <w:sz w:val="20"/>
          <w:szCs w:val="20"/>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promote regeneration of damaged peripheral nerves, mediated through Schwann cell activity;</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inhibit inflammation by reduction of the expression of pro-inflammatory cytokines;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79"/>
        </w:numPr>
        <w:rPr>
          <w:rFonts w:ascii="Times New Roman" w:cs="Times New Roman" w:eastAsia="Times New Roman" w:hAnsi="Times New Roman"/>
          <w:sz w:val="18"/>
          <w:szCs w:val="18"/>
          <w:color w:val="auto"/>
        </w:rPr>
      </w:pPr>
      <w:r>
        <w:rPr>
          <w:rFonts w:ascii="Arial" w:cs="Arial" w:eastAsia="Arial" w:hAnsi="Arial"/>
          <w:sz w:val="18"/>
          <w:szCs w:val="18"/>
          <w:color w:val="auto"/>
        </w:rPr>
        <w:t>down-regulate the expression of pain-related genes in damaged peripheral neurons, including ATF3.</w:t>
      </w:r>
    </w:p>
    <w:p>
      <w:pPr>
        <w:spacing w:after="0" w:line="334" w:lineRule="exact"/>
        <w:rPr>
          <w:sz w:val="20"/>
          <w:szCs w:val="20"/>
          <w:color w:val="auto"/>
        </w:rPr>
      </w:pPr>
    </w:p>
    <w:p>
      <w:pPr>
        <w:ind w:right="220" w:firstLine="576"/>
        <w:spacing w:after="0" w:line="274" w:lineRule="auto"/>
        <w:rPr>
          <w:sz w:val="20"/>
          <w:szCs w:val="20"/>
          <w:color w:val="auto"/>
        </w:rPr>
      </w:pPr>
      <w:r>
        <w:rPr>
          <w:rFonts w:ascii="Arial" w:cs="Arial" w:eastAsia="Arial" w:hAnsi="Arial"/>
          <w:sz w:val="18"/>
          <w:szCs w:val="18"/>
          <w:i w:val="1"/>
          <w:iCs w:val="1"/>
          <w:color w:val="auto"/>
        </w:rPr>
        <w:t>Figure 23. ATH-1018 Activity Has the Potential Both to Block Several Processes that Lead to Neuropathy and to Promote Neuronal Regeneration.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107315</wp:posOffset>
            </wp:positionV>
            <wp:extent cx="4671695" cy="44062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71695" cy="440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7" w:name="page138"/>
    <w:bookmarkEnd w:id="137"/>
    <w:p>
      <w:pPr>
        <w:ind w:firstLine="576"/>
        <w:spacing w:after="0" w:line="241" w:lineRule="auto"/>
        <w:rPr>
          <w:sz w:val="20"/>
          <w:szCs w:val="20"/>
          <w:color w:val="auto"/>
        </w:rPr>
      </w:pPr>
      <w:r>
        <w:rPr>
          <w:rFonts w:ascii="Arial" w:cs="Arial" w:eastAsia="Arial" w:hAnsi="Arial"/>
          <w:sz w:val="18"/>
          <w:szCs w:val="18"/>
          <w:color w:val="auto"/>
        </w:rPr>
        <w:t>Furthermore, previous clinical trials have shown that with HGF plasmid therapy, designed to increase circulating HGF, promoting the HGF/MET system significantly reduced pain in patients with diabetic peripheral neuropathy. We believe these clinical trials provide a proof of concept for the therapeutic target. However, our oral small-molecule candidates offer distinct advantages over plasmid therapies, including controlled dose and ease of administration. Targeting HGF/MET signaling for the treatment of neuropathy is supported by both preclinical and clinical research, and we are evaluating the next generation oral ATH compounds for activity to address neuropathy. Validated methods for the assessment of peripheral nerve function (neurography) and pain (VAS rating) are well established. We are advancing ATH-1018 to further development for neuropathy indications and are targeting an IND submission to the FDA by the end of 2022.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 and Dementia</w:t>
      </w:r>
    </w:p>
    <w:p>
      <w:pPr>
        <w:spacing w:after="0" w:line="104"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ATH-1017 is being advanced for mild-to-moderate AD patients initially. The AD dementia market today in 2020 is reported to be 5.8 million Americans and is projected to reach nearly 14 million by 2050 in the U.S. Worldwide, as many as 35 million people are estimated to have AD and the patient population was projected in 2007 to grow to over 100 million by 2050. Our strategy is to ultimately position ATH-1017 as a treatment for dementia broadly. Spanning all dementias globally, an estimated 50 million people are reported to be affected today in 2020 and this number is projected to be 150 million by 2050. Many factors contribute to the growing numbers of the potentially treatable population, including “baby boomers” reaching age 65 and increasing life expectancy beyond 80.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Target Indications</w:t>
      </w:r>
    </w:p>
    <w:p>
      <w:pPr>
        <w:spacing w:after="0" w:line="104" w:lineRule="exact"/>
        <w:rPr>
          <w:sz w:val="20"/>
          <w:szCs w:val="20"/>
          <w:color w:val="auto"/>
        </w:rPr>
      </w:pPr>
    </w:p>
    <w:p>
      <w:pPr>
        <w:ind w:right="260" w:firstLine="576"/>
        <w:spacing w:after="0" w:line="245" w:lineRule="auto"/>
        <w:rPr>
          <w:sz w:val="20"/>
          <w:szCs w:val="20"/>
          <w:color w:val="auto"/>
        </w:rPr>
      </w:pPr>
      <w:r>
        <w:rPr>
          <w:rFonts w:ascii="Arial" w:cs="Arial" w:eastAsia="Arial" w:hAnsi="Arial"/>
          <w:sz w:val="18"/>
          <w:szCs w:val="18"/>
          <w:color w:val="auto"/>
        </w:rPr>
        <w:t>Our immediate next pipeline opportunities include: ATH-1019 for neuropsychiatry and ATH-1018 for neuropathy. Neuropsychiatric indications, specifically depression, are estimated to affect 7% of all U.S. adults 18 and older representing an estimated addressable potential patient population of approximately 17 million adults as of 2017, and was projected in 2008 to reach approximately 37 million by 2050. Beyond depression, and with a reported lifetime prevalence of nearly 30% for all neuropsychiatric indications, the addressable 2020 patient population of adults 18 and older is reported to reach nearly 50 million in the U.S. alone.</w:t>
      </w:r>
    </w:p>
    <w:p>
      <w:pPr>
        <w:spacing w:after="0" w:line="172"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The estimated prevalence of neuropathy in the U.S. averages approximately 10% but could be higher due to a larger undiagnosed population. Conservatively, and with nearly 10% of the U.S. population over 30 years old estimated to be diagnosed with some form of neuropathy, the reported addressable patient population today is approximately 30 million patients for peripheral neuropathy, a type of neuropathic pain, alone.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Commercialization Plan</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ATH-1017 is initially being developed as a regenerative medicine for AD. For the initial target patient population of mild-to-moderate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AD patients, our commercialization strategy of ATH-1017 will consider the following key elements:</w:t>
      </w:r>
    </w:p>
    <w:p>
      <w:pPr>
        <w:spacing w:after="0" w:line="82" w:lineRule="exact"/>
        <w:rPr>
          <w:sz w:val="20"/>
          <w:szCs w:val="20"/>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an add-on therapy for patients on existing therapies;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are not suitable for acetylcholinesterase inhibitors, or AChEIs;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monotherapy for patients who have stopped AChEIs due to loss of effect or side effects;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0"/>
        </w:numPr>
        <w:rPr>
          <w:rFonts w:ascii="Times New Roman" w:cs="Times New Roman" w:eastAsia="Times New Roman" w:hAnsi="Times New Roman"/>
          <w:sz w:val="18"/>
          <w:szCs w:val="18"/>
          <w:color w:val="auto"/>
        </w:rPr>
      </w:pPr>
      <w:r>
        <w:rPr>
          <w:rFonts w:ascii="Arial" w:cs="Arial" w:eastAsia="Arial" w:hAnsi="Arial"/>
          <w:sz w:val="18"/>
          <w:szCs w:val="18"/>
          <w:color w:val="auto"/>
        </w:rPr>
        <w:t>a treatment to other dementias such as PDD, Lewy body dementia and Frontal temporal dementia over time.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00" w:right="339" w:bottom="1440" w:gutter="0" w:footer="0" w:header="0"/>
        </w:sectPr>
      </w:pPr>
    </w:p>
    <w:bookmarkStart w:id="138" w:name="page139"/>
    <w:bookmarkEnd w:id="138"/>
    <w:p>
      <w:pPr>
        <w:ind w:right="80" w:firstLine="576"/>
        <w:spacing w:after="0" w:line="255" w:lineRule="auto"/>
        <w:rPr>
          <w:sz w:val="20"/>
          <w:szCs w:val="20"/>
          <w:color w:val="auto"/>
        </w:rPr>
      </w:pPr>
      <w:r>
        <w:rPr>
          <w:rFonts w:ascii="Arial" w:cs="Arial" w:eastAsia="Arial" w:hAnsi="Arial"/>
          <w:sz w:val="18"/>
          <w:szCs w:val="18"/>
          <w:color w:val="auto"/>
        </w:rPr>
        <w:t>We aim to demonstrate the unique short- and long-term value provided by ATH-1017 by linking the core symptoms of dementia (cognition and behavioral and psychological symptoms of dementia) to both improved outcomes and reduced costs and the benefits of ATH-1017 through increased compliance rates in our initial indications.</w:t>
      </w:r>
    </w:p>
    <w:p>
      <w:pPr>
        <w:spacing w:after="0" w:line="16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We anticipate exploring two distribution strategies for ATH-1017, traditional wholesaler and specialty pharmacy. While the traditional wholesaler could be a suitable option, we believe that the additional patient services that could be provided through specialty pharmacy may offer more value to patients, caregivers, and their providers. Such services could include training on subcutaneous administration, patient counseling and assistance with reimbursement or insurance issues. This could also allow us to reduce the need for costly in house or field-based resources such as patient training or reimbursement support specialists.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are focused on the development of small molecule therapeutics which enables us to use well-established and widely available manufacturing processes and infrastructure, formulation compositions, and drug administration technologies or devices. We do not currently operate our own facilities for manufacturing, storing, or distributing our product candidates. We utilize third-party contract development and manufacturing organizations, or CDMOs, to manufacture and supply our preclinical and clinical materials during the development of our product candidates. We and various regulatory bodies have audited the CDMOs we contract with, and they have a proven track record of FDA-compliant manufacturing with an infrastructure to support large and commercial scale manufacturing.</w:t>
      </w:r>
    </w:p>
    <w:p>
      <w:pPr>
        <w:spacing w:after="0" w:line="149" w:lineRule="exact"/>
        <w:rPr>
          <w:sz w:val="20"/>
          <w:szCs w:val="20"/>
          <w:color w:val="auto"/>
        </w:rPr>
      </w:pPr>
    </w:p>
    <w:p>
      <w:pPr>
        <w:ind w:firstLine="576"/>
        <w:spacing w:after="0" w:line="215" w:lineRule="exact"/>
        <w:rPr>
          <w:sz w:val="20"/>
          <w:szCs w:val="20"/>
          <w:color w:val="auto"/>
        </w:rPr>
      </w:pPr>
      <w:r>
        <w:rPr>
          <w:rFonts w:ascii="Arial" w:cs="Arial" w:eastAsia="Arial" w:hAnsi="Arial"/>
          <w:sz w:val="18"/>
          <w:szCs w:val="18"/>
          <w:color w:val="auto"/>
        </w:rPr>
        <w:t>We have enough ATH-1017 supply to begin our LIFT-AD and our planned ACT</w:t>
      </w:r>
      <w:r>
        <w:rPr>
          <w:rFonts w:ascii="MS PGothic" w:cs="MS PGothic" w:eastAsia="MS PGothic" w:hAnsi="MS PGothic"/>
          <w:sz w:val="18"/>
          <w:szCs w:val="18"/>
          <w:color w:val="auto"/>
        </w:rPr>
        <w:t>‑</w:t>
      </w:r>
      <w:r>
        <w:rPr>
          <w:rFonts w:ascii="Arial" w:cs="Arial" w:eastAsia="Arial" w:hAnsi="Arial"/>
          <w:sz w:val="18"/>
          <w:szCs w:val="18"/>
          <w:color w:val="auto"/>
        </w:rPr>
        <w:t>AD P300 Phase 2 clinical trials in AD. We believe the synthesis of ATH-1017 is reliable and reproducible and the synthetic routes can be further optimized to enable large-scale production that continues to avoid use of toxic materials or specialized equipment or handling during the manufacturing process. We continue to optimize the manufacturing process to support future large-scale and commercial supply. ATH-1017 is purified as a stable solid and then released to additional CDMOs for formulation and packaging into final drug product for use in clinical testing.</w:t>
      </w:r>
    </w:p>
    <w:p>
      <w:pPr>
        <w:spacing w:after="0" w:line="179"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The final drug product profile is a ready-to-use pre-filled syringe with a clear, non-viscous aqueous solution of ATH-1017. The syringes utilize materials and components that are readily available commercially. The ATH-1017 drug product has shown extended stability (at least 2 years) under storage conditions when stored in vials that were composed of identical materials to the syringes. Confirmatory stability studies in syringes are ongoing and data collected thus far support the translation of the extended stability from vials to syringes under refrigerated conditions as well as short-term dispensation and at-home storage in ambient conditions. Room temperature storage allows patients to avoid cumbersome storage requirements and reduces overall burden.</w:t>
      </w:r>
    </w:p>
    <w:p>
      <w:pPr>
        <w:spacing w:after="0" w:line="174" w:lineRule="exact"/>
        <w:rPr>
          <w:sz w:val="20"/>
          <w:szCs w:val="20"/>
          <w:color w:val="auto"/>
        </w:rPr>
      </w:pPr>
    </w:p>
    <w:p>
      <w:pPr>
        <w:ind w:right="420" w:firstLine="576"/>
        <w:spacing w:after="0" w:line="276" w:lineRule="auto"/>
        <w:rPr>
          <w:sz w:val="20"/>
          <w:szCs w:val="20"/>
          <w:color w:val="auto"/>
        </w:rPr>
      </w:pPr>
      <w:r>
        <w:rPr>
          <w:rFonts w:ascii="Arial" w:cs="Arial" w:eastAsia="Arial" w:hAnsi="Arial"/>
          <w:sz w:val="18"/>
          <w:szCs w:val="18"/>
          <w:color w:val="auto"/>
        </w:rPr>
        <w:t>We plan to maintain our focus to identify and develop small molecule product candidates that are expected to have cost-effective manufacturing using third party CDMOs.</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We expect to use similar contract resources for commercialization of our products, at least until our resources and operations are at a scale that justifies investment in internal manufacturing capabilities.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6"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The biotechnology and biopharmaceuticals industries are characterized by rapid technological advancement, significant competition, and an emphasis on intellectual property. As a clinical-stage biopharmaceutical company developing small molecules to restore neuronal health and stop neurodegeneration, with our most advanced product candidates focused on the treatment of AD and dementia, we face, and in the future may face increased, competitive pressures from both large and small pharmaceutical companies and from established and emerging biotechnology companies, as well as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39" w:name="page140"/>
    <w:bookmarkEnd w:id="139"/>
    <w:p>
      <w:pPr>
        <w:ind w:right="20"/>
        <w:spacing w:after="0" w:line="241" w:lineRule="auto"/>
        <w:rPr>
          <w:sz w:val="20"/>
          <w:szCs w:val="20"/>
          <w:color w:val="auto"/>
        </w:rPr>
      </w:pPr>
      <w:r>
        <w:rPr>
          <w:rFonts w:ascii="Arial" w:cs="Arial" w:eastAsia="Arial" w:hAnsi="Arial"/>
          <w:sz w:val="18"/>
          <w:szCs w:val="18"/>
          <w:color w:val="auto"/>
        </w:rPr>
        <w:t>academic, government, and public and private research institutions. Any product candidates that we successfully develop and commercialize will compete with current treatments and new treatments that may become available in the future. With the advancement of ATH-1017 as a novel small molecule therapeutic activating a neurotrophic factor pathway, the HGF/MET system, and its liquid formulation as a subcutaneous deliverable, we also consider as competitors companies developing small molecule AD therapies targeting neurotrophic factors with or without a subcutaneous route of administration. Despite the immediate commercialization plan to launch ATH-1017, if approved, in pre-filled syringes with future plans for device innovation, including potentially smart multi-dose pen injectors, we do not view the medical device industry as competition but rather potential partners enabling the manufacture and commercialization of ATH-1017.</w:t>
      </w:r>
    </w:p>
    <w:p>
      <w:pPr>
        <w:spacing w:after="0" w:line="179" w:lineRule="exact"/>
        <w:rPr>
          <w:sz w:val="20"/>
          <w:szCs w:val="20"/>
          <w:color w:val="auto"/>
        </w:rPr>
      </w:pPr>
    </w:p>
    <w:p>
      <w:pPr>
        <w:ind w:right="60" w:firstLine="576"/>
        <w:spacing w:after="0" w:line="238" w:lineRule="auto"/>
        <w:rPr>
          <w:sz w:val="20"/>
          <w:szCs w:val="20"/>
          <w:color w:val="auto"/>
        </w:rPr>
      </w:pPr>
      <w:r>
        <w:rPr>
          <w:rFonts w:ascii="Arial" w:cs="Arial" w:eastAsia="Arial" w:hAnsi="Arial"/>
          <w:sz w:val="18"/>
          <w:szCs w:val="18"/>
          <w:color w:val="auto"/>
        </w:rPr>
        <w:t>Because of the range of potential competitors, many of our competitors, alone or with strategic partners, have greater access to financial resources, market presence, and resources and expertise in development, preclinical and clinical testing, manufacturing, commercialization, the regulatory approval process, and/or marketing and sales than we do. In addition, these same competitors, who may be in a clinical development stage, could also be competing with us for patient recruitment, clinical research organization, and operational resources. These entities also compete with us in the recruitment and retaining of qualified scientific and management personnel, as well as the acquisition of enabling or complementary technologies for advancing ATH-1017 across all competitors. Merger and acquisition activity in the biotechnology and biopharmaceutical industries may result in even more resources being concentrated among a smaller number of our competitors. Smaller or early-stage companies may also prove to be significant competitors, particularly through collaborative arrangements with large and established companies. Our commercial opportunity could be substantially limited if our competitors develop and commercialize products that are more effective, safer, more convenient or less expensive than our comparable products. In geographies that are critical to our commercial success, competitors may also obtain regulatory approvals before us, resulting in our competitors building a strong market position in advance of the entry of our products. In addition, our ability to compete may be affected in many cases by insurers or other third-party payors seeking to encourage the use of other treatments.</w:t>
      </w:r>
    </w:p>
    <w:p>
      <w:pPr>
        <w:spacing w:after="0" w:line="180"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Key competitive forces that could potentially affect the success of our products, if approved, are safety, efficacy, price, adoption, convenience, time-to-market, level of promotional activity, intellectual property protection, and reimbursement likelihood from government and private payors. Despite these forces, we view our competitive advantage in not only our lead product candidate, ATH-1017, but also our novel pipeline of therapeutics with a focus on overall neuronal health. In particular, the following summarizes certain categories of our potential competition.</w:t>
      </w:r>
    </w:p>
    <w:p>
      <w:pPr>
        <w:spacing w:after="0" w:line="172"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As a small molecule therapeutic targeting the HGF/MET system, we are aware of a number of potential competitors in this space, including ANG-3777, an HGF mimetic, developed by Angion for the treatment of kidney injury and Collategene developed by Mitsubishi Tanabe and AnGes as a gene therapy for the treatment of critical limb ischemia. ANG-3777 is currently in Phase 3 clinical trials while Collategene was launched in Japan in the third quarter of 2019. In addition, we are aware of p75 ligands being developed by PharmatrophiX for the treatment of neurodegenerative and other disorders, including AD, as well as VM-202, a regenerative plasmid DNA therapy candidate in development by Helixmith for the treatment of diabetic peripheral neuropathy. We are not aware of any direct competitors currently targeting the HGF/MET system for neurological conditions.</w:t>
      </w:r>
    </w:p>
    <w:p>
      <w:pPr>
        <w:spacing w:after="0" w:line="179"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ATH-1017 is being advanced as either a monotherapy or an add-on therapy for patients on AChEIs. In addition to being a potential add-on therapy to currently approved therapies, we do not anticipate ATH-1017 to be a direct competitor to, but rather complementary to, other therapeutic developments focused on Aβ, pTau, AChE, BACE inhibitors, inflammation and others. Similarly, because ATH-1017 presents a novel mechanism of action, we do not view monoclonal antibody therapies currently under development by large pharmaceutical companies of which we are aware, including Biogen, Eli Lilly and Roche, as competitors, but potentially as complementary to our approach.</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Intellectual Property</w:t>
      </w:r>
    </w:p>
    <w:p>
      <w:pPr>
        <w:spacing w:after="0" w:line="106"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We own or have in-licensed numerous patents and patent applications and possess substantial know-how and trade secrets relating to the development and commercialization of our product candidates, including related manufacturing processes and technologies.</w:t>
      </w:r>
    </w:p>
    <w:p>
      <w:pPr>
        <w:spacing w:after="0" w:line="145"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As of June 30, 2020, our patent portfolio consisted of nine owned or in-licensed U.S. issued patents, one owned or in-licensed U.S. pending patent application, 12 owned or in-licensed patents issued in jurisdictions outside of the United States, and nine owned or in-licensed pending patent applications in jurisdictions outside of the United States. The patents and patent applications issued and pending outside the United States are generally counterparts to the foregoing U.S. patents and patent applications and are held primarily in Europe, Canada, Japan, Australia, Hong Kong, India, and China. Our solely-owned and in-licensed patents and patent applications include, among others, claims directed to:</w:t>
      </w:r>
    </w:p>
    <w:p>
      <w:pPr>
        <w:spacing w:after="0" w:line="66" w:lineRule="exact"/>
        <w:rPr>
          <w:sz w:val="20"/>
          <w:szCs w:val="20"/>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ATH-1017 and related compounds;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ATH-1017;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1"/>
        </w:numPr>
        <w:rPr>
          <w:rFonts w:ascii="Times New Roman" w:cs="Times New Roman" w:eastAsia="Times New Roman" w:hAnsi="Times New Roman"/>
          <w:sz w:val="18"/>
          <w:szCs w:val="18"/>
          <w:color w:val="auto"/>
        </w:rPr>
      </w:pPr>
      <w:r>
        <w:rPr>
          <w:rFonts w:ascii="Arial" w:cs="Arial" w:eastAsia="Arial" w:hAnsi="Arial"/>
          <w:sz w:val="18"/>
          <w:szCs w:val="18"/>
          <w:color w:val="auto"/>
        </w:rPr>
        <w:t>methods of using related compounds.</w:t>
      </w:r>
    </w:p>
    <w:p>
      <w:pPr>
        <w:spacing w:after="0" w:line="224"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We intend to pursue, when possible, further composition, method of use, dosing, formulation, and device patent protection directed to the neuroregenerative products and processes we develop. We may also pursue patent protection with respect to manufacturing and drug development processes and technology.</w:t>
      </w:r>
    </w:p>
    <w:p>
      <w:pPr>
        <w:spacing w:after="0" w:line="164"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nonprovisional filing date. In addition, in certain instances, a patent term can be adjusted or extended to recapture a portion of the term effectively lost as a result of the USPTO delay and the FDA regulatory review period. The restoration period for FDA delay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nonprovisional filing date. Our in-licensed issued patents will expire on dates ranging from 2023 to 2035, exclusive of any patent term adjustment or patent term extension. If patents are issued on our pending patent applications, the resulting patents are projected to expire on dates ranging from 2032 to 2037, exclusive of any patent term adjustment or patent term extension.</w:t>
      </w:r>
    </w:p>
    <w:p>
      <w:pPr>
        <w:spacing w:after="0" w:line="18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We further seek to protect our technology and product candidates, in part, as trade secrets,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w:t>
      </w:r>
    </w:p>
    <w:p>
      <w:pPr>
        <w:spacing w:after="0" w:line="170"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Our trademark portfolio currently consists of two pending trademark applications in the United States, two pending trademark applications in Australia, and two issued trademark registrations in the European Union.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2"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i w:val="1"/>
          <w:iCs w:val="1"/>
          <w:color w:val="auto"/>
        </w:rPr>
        <w:t>Our Collaboration and Grant Agreements</w:t>
      </w:r>
    </w:p>
    <w:p>
      <w:pPr>
        <w:spacing w:after="0" w:line="106"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i w:val="1"/>
          <w:iCs w:val="1"/>
          <w:color w:val="auto"/>
        </w:rPr>
        <w:t>Washington State University Research Foundation License Agreement and Amended and Restated Washington State University License Agreement</w:t>
      </w:r>
    </w:p>
    <w:p>
      <w:pPr>
        <w:spacing w:after="0" w:line="38"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In December 2011, we entered into an exclusive license agreement with Washington State University Research Fund, or WSURF, which, after the dissolution of WSURF in 2013, was superseded by an amended and restated exclusive license agreement with Washington State University, or WSU, in September of 2015. Under this agreement, WSU granted us an exclusive license to make, use, sell, and offer for sale licensed products and licensed processes that embody the licensed patents (including WSU’s rights to a patent jointly owned with Pacific Northwest Biotechnology, Inc.) and that form the underlying technology of the drug therapies we are developing. We do not expect WSU’s joint ownership of the patent with Pacific Northwest Biotechnology, Inc. will materially affect our license of such patent or the development of any of our product candidates to which the patent relates.</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to WSU the following if the related milestones are reached:</w:t>
      </w:r>
    </w:p>
    <w:p>
      <w:pPr>
        <w:spacing w:after="0" w:line="104" w:lineRule="exact"/>
        <w:rPr>
          <w:sz w:val="20"/>
          <w:szCs w:val="20"/>
          <w:color w:val="auto"/>
        </w:rPr>
      </w:pPr>
    </w:p>
    <w:p>
      <w:pPr>
        <w:ind w:left="1300" w:right="320" w:hanging="442"/>
        <w:spacing w:after="0" w:line="275" w:lineRule="auto"/>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2"/>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are obligated to pay WSU a royalty in the mid-single digits of net sales.</w:t>
      </w:r>
    </w:p>
    <w:p>
      <w:pPr>
        <w:spacing w:after="0" w:line="212"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Additionally, under the agreement we have the right to sublicense the licensed rights, subject to additional payments to WSU for sublicense consideration received. Such amounts are dependent on the terms of the underlying sublicense, and range from the mid-single digits to mid tens of any non-sales based payments received, and low twenties of net sales-based sublicense royalties.</w:t>
      </w:r>
    </w:p>
    <w:p>
      <w:pPr>
        <w:spacing w:after="0" w:line="16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The term of the agreement will continue until the earlier of the date that no valid claim in a licensed patent remains enforceable or payment of earned royalties, once such payments begin, ceases for more than four consecutive calendar quarters. We have not yet commenced payment of royalties to WSU pursuant to the terms of the agreement, since, as of the date of this prospectus, we do not have any approved products with respect to which we may generate revenue. If any of our product candidates to which the patents relate are approved for commercial sale, our obligations to pay royalties would commence upon net sales of such approved product candidates and cease no later than the date that no valid claim in a licensed patent remains enforceable. Such licensed patents in major markets with respect to indications we are currently pursuing will expire on dates ranging from 2023 to 2032, exclusive of any patent term adjustment or patent term extension. We may terminate this agreement with 90 days’ prior written notice to WSU. WSU may terminate this agreement with 90 days’ prior written notice if we fail to achieve certain performance milestones by the agreed upon dates. WSU may also terminate this agreement with 90 days’ prior written notice (or thirty days’ prior written notice in the case of our failure to make a timely payment owed to WSU) following our failure to conduct certain development activities for two consecutive calendar quarters or upon our material breach of the agreement and our failure to cure any such breach within 90 days of our receipt of notice of such breach from WSU (or within 30 days in the case of our failure to make a timely payment owed to WSU).</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Grant Liability</w:t>
      </w:r>
    </w:p>
    <w:p>
      <w:pPr>
        <w:spacing w:after="0" w:line="10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2014 and 2015, we received $250,000 and $500,000, respectively, from the Washington Life Sciences Discovery Fund, or LSDF, under the terms of two matching grant award agreements. In connection with the agreements, LSDF retained the right to receive cash payments of up to twice the amounts received, or $1.5 million, upon the occurrence of specified triggering events, including the completion of this offering.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National Institutes of Health Grant</w:t>
      </w:r>
    </w:p>
    <w:p>
      <w:pPr>
        <w:spacing w:after="0" w:line="102"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 September 2020, we were awarded a grant from the National Institutes of Health, or NIH, for Alzheimer’s research in the amount of approximately $7.8 million with the potential for an additional $7.4 million up to an aggregate of $15.2 million, subject to the availability of funds and satisfactory progress of the research. As this grant involves federally funded research, per the Bayh-Dole Act, if we accept the grant funds we will be obligated to (1) report each new invention to the government, (2) decide whether to retain ownership, (3) file for patent protection to retain title, and (4) provide a license to the government to practice the invention. The “march-in” rights provided by the Bayh-Dole Act would apply to new subject matter arising from the use of the NIH funds, but would exclude pre-existing subject matter such as our product candidates existing prior to the receipt of such grant. We also are expected to commercialize any inventions we file patent protection on for the benefit of public health. For more information see the section of this prospectus titled “Risk Factors—Risks Relating to Our Intellectual Property—Intellectual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06"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nonclinical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 the drug’s quality, safety, and efficacy. Such data must then be organized into a format specific for each regulatory authority, submitted for review and approved by the regulatory authority.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the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1300" w:right="100" w:hanging="442"/>
        <w:spacing w:after="0" w:line="275" w:lineRule="auto"/>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nonclinical laboratory tests, animal studies, and formulation studies in accordance with FDA’s good laboratory practice requirements and other applicable regulations;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6"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approval by an independent IRB ethics committee, either centralized or with respect to each clinical site, before each clinical trial may be initiated;</w:t>
      </w:r>
    </w:p>
    <w:p>
      <w:pPr>
        <w:spacing w:after="0" w:line="37"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83"/>
        </w:numPr>
        <w:rPr>
          <w:rFonts w:ascii="Times New Roman" w:cs="Times New Roman" w:eastAsia="Times New Roman" w:hAnsi="Times New Roman"/>
          <w:sz w:val="18"/>
          <w:szCs w:val="18"/>
          <w:color w:val="auto"/>
        </w:rPr>
      </w:pPr>
      <w:r>
        <w:rPr>
          <w:rFonts w:ascii="Arial" w:cs="Arial" w:eastAsia="Arial" w:hAnsi="Arial"/>
          <w:sz w:val="18"/>
          <w:szCs w:val="18"/>
          <w:color w:val="auto"/>
        </w:rPr>
        <w:t>performance of adequate and well-controlled human clinical trials in accordance with GCP requirements to establish the safety and efficacy of the proposed drug for its intended use;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43" w:name="page144"/>
    <w:bookmarkEnd w:id="143"/>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submission to the FDA of an NDA after completion of all pivotal trials;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advisory committee review, if applicable;</w:t>
      </w:r>
    </w:p>
    <w:p>
      <w:pPr>
        <w:spacing w:after="0" w:line="116" w:lineRule="exact"/>
        <w:rPr>
          <w:rFonts w:ascii="Times New Roman" w:cs="Times New Roman" w:eastAsia="Times New Roman" w:hAnsi="Times New Roman"/>
          <w:sz w:val="18"/>
          <w:szCs w:val="18"/>
          <w:color w:val="auto"/>
        </w:rPr>
      </w:pPr>
    </w:p>
    <w:p>
      <w:pPr>
        <w:ind w:left="1300" w:hanging="442"/>
        <w:spacing w:after="0" w:line="25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cGMP requirements to ensure that the facilities, methods and controls are adequate to preserve the drug’s identity, strength, quality, and purity, and of selected clinical investigation sites to assess compliance with GCPs; and</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84"/>
        </w:numPr>
        <w:rPr>
          <w:rFonts w:ascii="Times New Roman" w:cs="Times New Roman" w:eastAsia="Times New Roman" w:hAnsi="Times New Roman"/>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clinical trial is unlikely to meet its stated objectives. Some studies also include oversight by an independent group of qualified experts organized by the clinical study sponsor, known as a data safety monitoring board, which may review data and endpoints at designated check points, make recommendations and/or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ind w:left="1300" w:right="100" w:hanging="442"/>
        <w:spacing w:after="0" w:line="262" w:lineRule="auto"/>
        <w:tabs>
          <w:tab w:leader="none" w:pos="1300" w:val="left"/>
        </w:tabs>
        <w:numPr>
          <w:ilvl w:val="0"/>
          <w:numId w:val="85"/>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Phase 1</w:t>
      </w:r>
      <w:r>
        <w:rPr>
          <w:rFonts w:ascii="Arial" w:cs="Arial" w:eastAsia="Arial" w:hAnsi="Arial"/>
          <w:sz w:val="17"/>
          <w:szCs w:val="17"/>
          <w:color w:val="auto"/>
        </w:rPr>
        <w:t>: The product candidate is initially introduced into healthy human subjects or patients with the target disease or</w:t>
      </w:r>
      <w:r>
        <w:rPr>
          <w:rFonts w:ascii="Arial" w:cs="Arial" w:eastAsia="Arial" w:hAnsi="Arial"/>
          <w:sz w:val="17"/>
          <w:szCs w:val="17"/>
          <w:i w:val="1"/>
          <w:iCs w:val="1"/>
          <w:color w:val="auto"/>
        </w:rPr>
        <w:t xml:space="preserve"> </w:t>
      </w:r>
      <w:r>
        <w:rPr>
          <w:rFonts w:ascii="Arial" w:cs="Arial" w:eastAsia="Arial" w:hAnsi="Arial"/>
          <w:sz w:val="17"/>
          <w:szCs w:val="17"/>
          <w:color w:val="auto"/>
        </w:rPr>
        <w:t>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52" w:lineRule="exact"/>
        <w:rPr>
          <w:rFonts w:ascii="Times New Roman" w:cs="Times New Roman" w:eastAsia="Times New Roman" w:hAnsi="Times New Roman"/>
          <w:sz w:val="17"/>
          <w:szCs w:val="17"/>
          <w:color w:val="auto"/>
        </w:rPr>
      </w:pPr>
    </w:p>
    <w:p>
      <w:pPr>
        <w:ind w:left="1300" w:right="580" w:hanging="442"/>
        <w:spacing w:after="0" w:line="275" w:lineRule="auto"/>
        <w:tabs>
          <w:tab w:leader="none" w:pos="1300" w:val="left"/>
        </w:tabs>
        <w:numPr>
          <w:ilvl w:val="0"/>
          <w:numId w:val="8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product candidate is administered to a limited patient population with a specified disease or condition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 the preliminary efficacy, optimal dosages, and</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4" w:name="page145"/>
    <w:bookmarkEnd w:id="144"/>
    <w:p>
      <w:pPr>
        <w:ind w:left="1300" w:right="700"/>
        <w:spacing w:after="0" w:line="276" w:lineRule="auto"/>
        <w:rPr>
          <w:sz w:val="20"/>
          <w:szCs w:val="20"/>
          <w:color w:val="auto"/>
        </w:rPr>
      </w:pPr>
      <w:r>
        <w:rPr>
          <w:rFonts w:ascii="Arial" w:cs="Arial" w:eastAsia="Arial" w:hAnsi="Arial"/>
          <w:sz w:val="18"/>
          <w:szCs w:val="18"/>
          <w:color w:val="auto"/>
        </w:rPr>
        <w:t>dosing schedule and to identify possible adverse side effects and safety risks. Multiple Phase 2 clinical trials may be conducted to obtain information prior to beginning larger and more expensive Phase 3 clinical trials.</w:t>
      </w:r>
    </w:p>
    <w:p>
      <w:pPr>
        <w:spacing w:after="0" w:line="37" w:lineRule="exact"/>
        <w:rPr>
          <w:sz w:val="20"/>
          <w:szCs w:val="20"/>
          <w:color w:val="auto"/>
        </w:rPr>
      </w:pPr>
    </w:p>
    <w:p>
      <w:pPr>
        <w:ind w:left="1300" w:hanging="442"/>
        <w:spacing w:after="0" w:line="248" w:lineRule="auto"/>
        <w:tabs>
          <w:tab w:leader="none" w:pos="1300" w:val="left"/>
        </w:tabs>
        <w:numPr>
          <w:ilvl w:val="0"/>
          <w:numId w:val="8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The product candidate is administered to an expanded patient population to further evaluate dosage, to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Post-approval clinical trials, sometimes referred to as Phase 4 studies, may be conducted after initial marketing approval. These clinical trials are used to gain additional experience from the treatment of patients in the intended therapeutic indication. In certain instances, the FDA may mandate the performance of Phase 4 clinical trials as a condition of approval of an NDA.</w:t>
      </w:r>
    </w:p>
    <w:p>
      <w:pPr>
        <w:spacing w:after="0" w:line="16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clinical trial may move forward at designated check points based on access to certain data from the clinical trial.</w:t>
      </w:r>
    </w:p>
    <w:p>
      <w:pPr>
        <w:spacing w:after="0" w:line="17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clinical trial to discuss Phase 2 clinical results and present plans for the pivotal Phase 3 clinical trials that they believe will support approval of the new drug.</w:t>
      </w:r>
    </w:p>
    <w:p>
      <w:pPr>
        <w:spacing w:after="0" w:line="17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on NDAs for products designated as orphan drugs, unless the product also includes a non-orphan indication.</w:t>
      </w:r>
    </w:p>
    <w:p>
      <w:pPr>
        <w:spacing w:after="0" w:line="212"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12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is also subject to review before the FDA accepts it for filing.</w:t>
      </w:r>
    </w:p>
    <w:p>
      <w:pPr>
        <w:spacing w:after="0" w:line="176"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an NDA,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clinical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It could include medication guides, physician communication plans, or elements to assure safe use, such as restricted distribution methods, patient registries, and other risk minimization tools. The FDA also may offer conditional approval subject to,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4" w:lineRule="exact"/>
        <w:rPr>
          <w:sz w:val="20"/>
          <w:szCs w:val="20"/>
          <w:color w:val="auto"/>
        </w:rPr>
      </w:pPr>
    </w:p>
    <w:p>
      <w:pPr>
        <w:ind w:right="200" w:firstLine="576"/>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right="120" w:firstLine="576"/>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6"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0" w:lineRule="exact"/>
        <w:rPr>
          <w:sz w:val="20"/>
          <w:szCs w:val="20"/>
          <w:color w:val="auto"/>
        </w:rPr>
      </w:pPr>
    </w:p>
    <w:p>
      <w:pPr>
        <w:ind w:right="240" w:firstLine="576"/>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300" w:right="40" w:hanging="442"/>
        <w:spacing w:after="0" w:line="275"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untitled letters;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holds on post-approval or Phase IV clinical studies, if applicable;</w:t>
      </w:r>
    </w:p>
    <w:p>
      <w:pPr>
        <w:spacing w:after="0" w:line="116"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6" w:lineRule="exact"/>
        <w:rPr>
          <w:rFonts w:ascii="Times New Roman" w:cs="Times New Roman" w:eastAsia="Times New Roman" w:hAnsi="Times New Roman"/>
          <w:sz w:val="18"/>
          <w:szCs w:val="18"/>
          <w:color w:val="auto"/>
        </w:rPr>
      </w:pPr>
    </w:p>
    <w:p>
      <w:pPr>
        <w:ind w:left="1300" w:right="660" w:hanging="442"/>
        <w:spacing w:after="0" w:line="275" w:lineRule="auto"/>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7"/>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68" w:right="37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permits patent term restoration of up to five years as compensation for a patent term lost during product development and FDA regulatory review process to the first applicant to obtain approval of an NDA for a new chemical entity in the United States. Patent-term restoration, however, cannot extend the remaining term of a patent beyond a total of 14 years from the product’s approval date.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76"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nonclinical studies and adequate and well-controlled clinical trials necessary to demonstrate safety and effectiveness.</w:t>
      </w:r>
    </w:p>
    <w:p>
      <w:pPr>
        <w:spacing w:after="0" w:line="180" w:lineRule="exact"/>
        <w:rPr>
          <w:sz w:val="20"/>
          <w:szCs w:val="20"/>
          <w:color w:val="auto"/>
        </w:rPr>
      </w:pPr>
    </w:p>
    <w:p>
      <w:pPr>
        <w:jc w:val="both"/>
        <w:ind w:right="460" w:firstLine="576"/>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Pharmaceutical manufacturers are subject to additional healthcare laws, regulation, and enforcement by the federal government and by authorities in the states and foreign jurisdictions in which they conduct their business. Such laws include, without limitation, U.S. federal anti-kickback, anti-self-referral, false claims, transparency, including the federal Physician Payments Sunshine Act, consumer fraud, pricing reporting, data privacy, data protection, and security laws and regulations as well as similar foreign laws in the 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the tracking of gifts and other remuneration and any transfer of value provided to physicians, other healthcare providers and entities; and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49" w:name="page150"/>
    <w:bookmarkEnd w:id="149"/>
    <w:p>
      <w:pPr>
        <w:ind w:firstLine="576"/>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Actual or alleged violation of any such laws or regulations may lead to investigations and other claims and proceedings by regulatory authorities and in certain cases, private actors, and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details, information on cost-effectiveness, and clinical support for the use of a product to each payor separately. This can be a time-consuming process, with no assurance that coverage and adequate reimbursement will be applied consistently or obtained in the first instance.</w:t>
      </w:r>
    </w:p>
    <w:p>
      <w:pPr>
        <w:spacing w:after="0" w:line="18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7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that it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of 2010, or collectively, the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it required collection of rebates for drugs paid by Medicaid managed care organizations; imposed a non-deductible annual fee on pharmaceutical manufacturers or importers who sell certain “branded prescription drugs” to specified federal government programs; it implemented a new methodology under which rebates owed by manufacturers under the Medicaid Drug Rebate Program are calculated for drugs that are inhaled, infused, instilled, implanted, or injected; it expanded the eligibility criteria for Medicaid programs; it created a new Patient-Centered Outcomes Research Institute to oversee, identify priorities in, and conduct comparative clinical effectiveness research, along with funding for such research; and it established a Center for Medicare Innovation at the Centers for Medicare &amp; Medicaid Services, or CMS, to test innovative payment and service delivery models to lower Medicare and Medicaid spending, potentially including prescription drug spending.</w:t>
      </w:r>
    </w:p>
    <w:p>
      <w:pPr>
        <w:spacing w:after="0" w:line="183" w:lineRule="exact"/>
        <w:rPr>
          <w:sz w:val="20"/>
          <w:szCs w:val="20"/>
          <w:color w:val="auto"/>
        </w:rPr>
      </w:pPr>
    </w:p>
    <w:p>
      <w:pPr>
        <w:ind w:right="60" w:firstLine="576"/>
        <w:spacing w:after="0" w:line="237" w:lineRule="auto"/>
        <w:rPr>
          <w:sz w:val="20"/>
          <w:szCs w:val="20"/>
          <w:color w:val="auto"/>
        </w:rPr>
      </w:pPr>
      <w:r>
        <w:rPr>
          <w:rFonts w:ascii="Arial" w:cs="Arial" w:eastAsia="Arial" w:hAnsi="Arial"/>
          <w:sz w:val="18"/>
          <w:szCs w:val="18"/>
          <w:color w:val="auto"/>
        </w:rPr>
        <w:t>Since its enactment, there have been executive, judicial and Congressional challenges to certain aspects of the ACA, and we expect there will be additional challenges and amendments to the ACA in the future. Since January 2017, President Trump has signed several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For example, in 2017, Congress enacted the Tax Act, which eliminated the tax-based shared responsibility payment imposed by the ACA on certain individuals who fail to maintain qualifying health coverage for all or part of a year, a process that is commonly referred to as the “individual mandate.” In addition, the 2020 federal spending package permanently eliminated,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 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8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and which is designed to provide financial support and resources to individuals and businesses affected by the COVID-19 pandemic, suspended the 2% Medicare sequester from May 1, 2020, through December 31, 2020, and extended the end date of the sequester by one year, through 2030, in order to offset the 2020 suspension.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at the federal level, the Trump administration released a “Blueprint”, designed to lower drug prices and reduce out of pocket costs of drugs, that contained proposals to increase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1" w:name="page152"/>
    <w:bookmarkEnd w:id="151"/>
    <w:p>
      <w:pPr>
        <w:spacing w:after="0" w:line="238" w:lineRule="auto"/>
        <w:rPr>
          <w:sz w:val="20"/>
          <w:szCs w:val="20"/>
          <w:color w:val="auto"/>
        </w:rPr>
      </w:pPr>
      <w:r>
        <w:rPr>
          <w:rFonts w:ascii="Arial" w:cs="Arial" w:eastAsia="Arial" w:hAnsi="Arial"/>
          <w:sz w:val="18"/>
          <w:szCs w:val="18"/>
          <w:color w:val="auto"/>
        </w:rPr>
        <w:t>manufacturer competition, increase the negotiating power of certain federal healthcare programs, incentivize manufacturers to lower the list price of their products and reduce the out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they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It is possible that additional governmental action may be taken to address the COVID-19 pandemic. Furthermore, there has been increased interest by third party payors and governmental authorities in reference to pricing systems and publication of discounts and list prices.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As of June 30, 2020, we had 15 employees, 14 of whom were full-time and eight of whom were engaged in research and development activities. Nine of our employees hold Ph.D. or M.D. degrees. Substantially all our employees are located in or around Seattle, Washington. None of our employees are represented by a labor union or covered under a collective bargaining agreement. We consider our relationship with our employees to be good.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6"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Our corporate headquarters are located in Seattle, Washington, where we currently lease approximately 1,270 square feet of laboratory and office space. Our Seattle lease expires in June 2021. We intend to relocate to facilities in Bothell, Washington starting in September 2020 as we add employees and scale our operations. We believe these facilities will be adequate for the foreseeable future and that suitable additional or substitute space will be available as and when needed.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6"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September 4,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Age</w:t>
            </w:r>
          </w:p>
        </w:tc>
        <w:tc>
          <w:tcPr>
            <w:tcW w:w="4340" w:type="dxa"/>
            <w:vAlign w:val="bottom"/>
          </w:tcPr>
          <w:p>
            <w:pPr>
              <w:ind w:left="188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Executive Officers</w:t>
            </w:r>
          </w:p>
        </w:tc>
        <w:tc>
          <w:tcPr>
            <w:tcW w:w="1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340" w:type="dxa"/>
            <w:vAlign w:val="bottom"/>
            <w:tcBorders>
              <w:top w:val="single" w:sz="8" w:color="auto"/>
            </w:tcBorders>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Leen Kawas,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Glenna Mileson</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62</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Financial Officer and Corporate Secretary</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Mark Litton,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Hans Moebius, M.D, Ph.D.</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Kevin Church, Ph.D.</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36</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Vice President of Discovery</w:t>
            </w:r>
          </w:p>
        </w:tc>
      </w:tr>
      <w:tr>
        <w:trPr>
          <w:trHeight w:val="216"/>
        </w:trPr>
        <w:tc>
          <w:tcPr>
            <w:tcW w:w="4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18"/>
                <w:szCs w:val="18"/>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Chairman of the Board</w:t>
            </w: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(2)(3)</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18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0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(1)(3)</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77</w:t>
            </w:r>
          </w:p>
        </w:tc>
        <w:tc>
          <w:tcPr>
            <w:tcW w:w="180" w:type="dxa"/>
            <w:vAlign w:val="bottom"/>
            <w:shd w:val="clear" w:color="auto" w:fill="CFF0FC"/>
          </w:tcPr>
          <w:p>
            <w:pPr>
              <w:spacing w:after="0"/>
              <w:rPr>
                <w:sz w:val="18"/>
                <w:szCs w:val="18"/>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Director</w:t>
            </w:r>
          </w:p>
        </w:tc>
      </w:tr>
      <w:tr>
        <w:trPr>
          <w:trHeight w:val="243"/>
        </w:trPr>
        <w:tc>
          <w:tcPr>
            <w:tcW w:w="506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(1)(2)</w:t>
            </w:r>
          </w:p>
        </w:tc>
        <w:tc>
          <w:tcPr>
            <w:tcW w:w="166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180" w:type="dxa"/>
            <w:vAlign w:val="bottom"/>
          </w:tcPr>
          <w:p>
            <w:pPr>
              <w:spacing w:after="0"/>
              <w:rPr>
                <w:sz w:val="21"/>
                <w:szCs w:val="21"/>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0972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29" w:lineRule="exact"/>
        <w:rPr>
          <w:sz w:val="20"/>
          <w:szCs w:val="20"/>
          <w:color w:val="auto"/>
        </w:rPr>
      </w:pPr>
    </w:p>
    <w:p>
      <w:pPr>
        <w:ind w:left="480" w:hanging="472"/>
        <w:spacing w:after="0"/>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6"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i w:val="1"/>
          <w:iCs w:val="1"/>
          <w:color w:val="auto"/>
        </w:rPr>
        <w:t>Leen Kawas, Ph.D.</w:t>
      </w:r>
      <w:r>
        <w:rPr>
          <w:rFonts w:ascii="Arial" w:cs="Arial" w:eastAsia="Arial" w:hAnsi="Arial"/>
          <w:sz w:val="18"/>
          <w:szCs w:val="18"/>
          <w:color w:val="auto"/>
        </w:rPr>
        <w:t>, has served as our chief executive officer and as a member of our board of directors since January 2014.</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Dr. Kawas served as our vice president. Dr. Kawas serves on multiple boards, including the Washington Governor’s Life Science Advisory Board, Scientific Review Board for the Alzheimer’s Drug Discovery Foundation, and Alzheimer’s Association – Washington Chapter Board. She also served as the co-chair of the International Alzheimer's Association Business Consortium. Dr. Kawas earned a Ph.D. in molecular pharmacology from Washington State University in 2011 and a pharmacy degree from the University of Jordan in 2008. We believe Dr. Kawas’s scientific and professional training, her instrumental role in building Athira Pharma, Inc., and her extensive understanding of our business, operations and strategy qualify her to serve on our board of directors.</w:t>
      </w:r>
    </w:p>
    <w:p>
      <w:pPr>
        <w:spacing w:after="0" w:line="179" w:lineRule="exact"/>
        <w:rPr>
          <w:sz w:val="20"/>
          <w:szCs w:val="20"/>
          <w:color w:val="auto"/>
        </w:rPr>
      </w:pPr>
    </w:p>
    <w:p>
      <w:pPr>
        <w:ind w:right="60" w:firstLine="576"/>
        <w:spacing w:after="0"/>
        <w:rPr>
          <w:sz w:val="20"/>
          <w:szCs w:val="20"/>
          <w:color w:val="auto"/>
        </w:rPr>
      </w:pPr>
      <w:r>
        <w:rPr>
          <w:rFonts w:ascii="Arial" w:cs="Arial" w:eastAsia="Arial" w:hAnsi="Arial"/>
          <w:sz w:val="18"/>
          <w:szCs w:val="18"/>
          <w:i w:val="1"/>
          <w:iCs w:val="1"/>
          <w:color w:val="auto"/>
        </w:rPr>
        <w:t xml:space="preserve">Glenna Mileson </w:t>
      </w:r>
      <w:r>
        <w:rPr>
          <w:rFonts w:ascii="Arial" w:cs="Arial" w:eastAsia="Arial" w:hAnsi="Arial"/>
          <w:sz w:val="18"/>
          <w:szCs w:val="18"/>
          <w:color w:val="auto"/>
        </w:rPr>
        <w:t>has served as our chief financial officer since October 2015. Before she served as our chief financial officer, Ms.</w:t>
      </w:r>
      <w:r>
        <w:rPr>
          <w:rFonts w:ascii="Arial" w:cs="Arial" w:eastAsia="Arial" w:hAnsi="Arial"/>
          <w:sz w:val="18"/>
          <w:szCs w:val="18"/>
          <w:i w:val="1"/>
          <w:iCs w:val="1"/>
          <w:color w:val="auto"/>
        </w:rPr>
        <w:t xml:space="preserve"> </w:t>
      </w:r>
      <w:r>
        <w:rPr>
          <w:rFonts w:ascii="Arial" w:cs="Arial" w:eastAsia="Arial" w:hAnsi="Arial"/>
          <w:sz w:val="18"/>
          <w:szCs w:val="18"/>
          <w:color w:val="auto"/>
        </w:rPr>
        <w:t>Mileson provided outsourced financial management services to us as a partner at B2B CFO Partners LLC. While at B2B CFO Partners LLC from May 2008 until July 2020, Ms. Mileson also provided financial management services to a variety of mid-size companies, including to Precision Genome Engineering, Inc. (Pregenen), a biotech company developing gene editing and cell signaling technologies, from 2012 to 2014. Before that, Ms. Mileson held a variety of accounting and finance leadership positions including vice president of finance at POP, a marketing and advertising company, from 2006 to 2008 and chief financial officer/director of finance at DDB Seattle, an advertising firm owned by Omnicom Group Inc., from 1997 to 2006. Ms. Mileson began her career as an auditor and information systems consultant with Laventhol &amp; Horwath, a national public accounting firm, where she earned certification as a certified public accountant. Ms. Mileson earned a B.A. in business administration from the University of Washington in 1980.</w:t>
      </w:r>
    </w:p>
    <w:p>
      <w:pPr>
        <w:spacing w:after="0" w:line="176" w:lineRule="exact"/>
        <w:rPr>
          <w:sz w:val="20"/>
          <w:szCs w:val="20"/>
          <w:color w:val="auto"/>
        </w:rPr>
      </w:pPr>
    </w:p>
    <w:p>
      <w:pPr>
        <w:ind w:right="220" w:firstLine="576"/>
        <w:spacing w:after="0" w:line="255" w:lineRule="auto"/>
        <w:rPr>
          <w:sz w:val="20"/>
          <w:szCs w:val="20"/>
          <w:color w:val="auto"/>
        </w:rPr>
      </w:pPr>
      <w:r>
        <w:rPr>
          <w:rFonts w:ascii="Arial" w:cs="Arial" w:eastAsia="Arial" w:hAnsi="Arial"/>
          <w:sz w:val="18"/>
          <w:szCs w:val="18"/>
          <w:i w:val="1"/>
          <w:iCs w:val="1"/>
          <w:color w:val="auto"/>
        </w:rPr>
        <w:t>Mark Litton, M.B.A., Ph.D.</w:t>
      </w:r>
      <w:r>
        <w:rPr>
          <w:rFonts w:ascii="Arial" w:cs="Arial" w:eastAsia="Arial" w:hAnsi="Arial"/>
          <w:sz w:val="18"/>
          <w:szCs w:val="18"/>
          <w:color w:val="auto"/>
        </w:rPr>
        <w:t>, has served as our chief operating officer since July 2019. Prior to joining Athira Pharma, Inc., Dr. Litton</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the president and chief operating officer of Alpine Immune Sciences, Inc., a publicly traded biotechnology company, from August 2018 to April 2019. Dr. Litton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3" w:name="page154"/>
    <w:bookmarkEnd w:id="153"/>
    <w:p>
      <w:pPr>
        <w:spacing w:after="0" w:line="239" w:lineRule="auto"/>
        <w:rPr>
          <w:sz w:val="20"/>
          <w:szCs w:val="20"/>
          <w:color w:val="auto"/>
        </w:rPr>
      </w:pPr>
      <w:r>
        <w:rPr>
          <w:rFonts w:ascii="Arial" w:cs="Arial" w:eastAsia="Arial" w:hAnsi="Arial"/>
          <w:sz w:val="18"/>
          <w:szCs w:val="18"/>
          <w:color w:val="auto"/>
        </w:rPr>
        <w:t>served as the chief business officer, treasurer, and secretary from 2004 to 2018 of Alder BioPharmaceuticals, Inc., a publicly traded biopharmaceutical company co-founded by Dr. Litton in 2004, which was acquired by Lundbeck A/S in October 2019. From 1999 to 2004, Dr. Litton served as vice president of business development for Celltech Group, where he was responsible for securing, commercializing, and partnering on numerous novel discoveries and therapeutic programs. In 1999, Dr. Litton joined Celltech Group as an employee of Chiroscience Group plc and was later promoted to vice president of business development after Chiroscience’s merger with Celltech Group in 1999. From 1997 to 1999, Dr. Litton served as the manager of business development for Ribozyme Pharmaceuticals Inc. (now Sirna Therapeutics, Inc.), a biopharmaceutical company and wholly owned subsidiary of Alnylam Pharmaceuticals, Inc., where he helped form relationships with Eli Lilly and Company, Roche Bioscience and GlaxoWellcome plc (now GlaxoSmithKline plc) a biopharmaceutical company. From 1991 to 1994, Dr. Litton served as a research associate for DNAX Research Institute, a research facility of Schering-Plough (now Merck &amp; Co., a publicly traded pharmaceutical company). Dr. Litton earned a Ph.D. in immunology from Stockholm University in 1997, an M.B.A. from Santa Clara University in 1994 and a B.S. in biochemistry from the University of California Santa Cruz in 1990.</w:t>
      </w:r>
    </w:p>
    <w:p>
      <w:pPr>
        <w:spacing w:after="0" w:line="176"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i w:val="1"/>
          <w:iCs w:val="1"/>
          <w:color w:val="auto"/>
        </w:rPr>
        <w:t xml:space="preserve">Hans Moebius, M.D., Ph.D., </w:t>
      </w:r>
      <w:r>
        <w:rPr>
          <w:rFonts w:ascii="Arial" w:cs="Arial" w:eastAsia="Arial" w:hAnsi="Arial"/>
          <w:sz w:val="18"/>
          <w:szCs w:val="18"/>
          <w:color w:val="auto"/>
        </w:rPr>
        <w:t>has served as our chief medical officer since April 2019. Prior to joining Athira Pharma, Inc., Dr. Moebius</w:t>
      </w:r>
      <w:r>
        <w:rPr>
          <w:rFonts w:ascii="Arial" w:cs="Arial" w:eastAsia="Arial" w:hAnsi="Arial"/>
          <w:sz w:val="18"/>
          <w:szCs w:val="18"/>
          <w:i w:val="1"/>
          <w:iCs w:val="1"/>
          <w:color w:val="auto"/>
        </w:rPr>
        <w:t xml:space="preserve"> </w:t>
      </w:r>
      <w:r>
        <w:rPr>
          <w:rFonts w:ascii="Arial" w:cs="Arial" w:eastAsia="Arial" w:hAnsi="Arial"/>
          <w:sz w:val="18"/>
          <w:szCs w:val="18"/>
          <w:color w:val="auto"/>
        </w:rPr>
        <w:t>co-founded Exciva GmbH, a company focusing on targeted drug rescue, and served as its chief executive officer and chief medical officer from 2016 to 2019, and again as acting chief medical officer since April 2020. Dr. Moebius also served as scientific advisory board member at Rodin Therapeutics from October 2016 until the company was sold to Alkermes in December 2019. At Rodin Therapeutics, he also served as acting chief medical officer from December 2016 to April 2018. Prior to that, Dr. Moebius served as executive vice president of clinical research at CHASE Pharmaceuticals, until the company was acquired by Allergan in 2016. Dr. Moebius earned his Ph.D. in experimental pharmacology from the University of Heidelberg in 1983 and a B.S. in chemistry from the University of Kaiserslautern, Germany, in 1976. Dr. Moebius completed his medical studies at the Karls University of Heidelberg in 1982 and was board certified in neurology and psychiatry after completion of residencies at the Goethe University Frankfurt/Main from 1986-1991. During his research tenure at the Max-Planck-Institute for Brain Research from 1984-1986, he lectured in neuropathology and neuroscience. Dr. Moebius also holds the European Certificate in Pharmaceutical Medicine (ECPM) from the EUCOR Universities Basel/Switzerland, Freiburg/Germany and Strasbourg/France.</w:t>
      </w:r>
    </w:p>
    <w:p>
      <w:pPr>
        <w:spacing w:after="0" w:line="176"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i w:val="1"/>
          <w:iCs w:val="1"/>
          <w:color w:val="auto"/>
        </w:rPr>
        <w:t xml:space="preserve">Kevin Church, Ph.D., </w:t>
      </w:r>
      <w:r>
        <w:rPr>
          <w:rFonts w:ascii="Arial" w:cs="Arial" w:eastAsia="Arial" w:hAnsi="Arial"/>
          <w:sz w:val="18"/>
          <w:szCs w:val="18"/>
          <w:color w:val="auto"/>
        </w:rPr>
        <w:t>has served in various roles at Athira since 2016, including research scientist, director of discovery, now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discovery. Dr. Church has research experience in diverse fields of study including neurodegenerative diseases, wound healing, and cancer. Dr. Church earned his Ph.D. in molecular biosciences from Washington State University in 2016, and prior to that earned his B.S. in microbiology from the University of Idaho in 2006. While in graduate school, Dr. Church was recognized for excellence in his graduate teaching assistantships. Dr. Church’s graduate work primarily focused on the development of novel therapeutics for the treatment of pancreatic cancer, but also included research relating to the treatment of diabetic ulcers and neurodegenerative diseases such as Parkinson’s disease dementia and Alzheimer’s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Board of Directors</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7"/>
          <w:szCs w:val="17"/>
          <w:i w:val="1"/>
          <w:iCs w:val="1"/>
          <w:color w:val="auto"/>
        </w:rPr>
        <w:t>Tadataka Yamada, M.D.</w:t>
      </w:r>
      <w:r>
        <w:rPr>
          <w:rFonts w:ascii="Arial" w:cs="Arial" w:eastAsia="Arial" w:hAnsi="Arial"/>
          <w:sz w:val="17"/>
          <w:szCs w:val="17"/>
          <w:color w:val="auto"/>
        </w:rPr>
        <w:t>, has served on our board of directors since June 2019 and as the chair of our board of directors since</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2020. He is also a venture partner at Frazier Healthcare and co-founder of, and currently serves on the board of directors for, Phathom Pharmaceuticals, Passage Bio, Scout Bio, and Outpost Medicine. Dr. Yamada also serves on the board of directors of Agilent Technologies, Inc., as board of directors chair at the Clinton Health Access Initiative and is a member of the Council of the National Academy of Medicine. He is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held executive leadership roles at Takeda Pharmaceuticals, the Bill and Melinda Gates Foundation, GlaxoSmithKline, and at the University of Michigan in Ann Arbor. Dr. Yamada received his M.D. from New York University School of Medicine in 1971 and a B.A. in history from Stanford University 1967. In recognition of his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contributions to medicine and science he has been elected to membership in the National Academy of Medicine (U.S.), the Academy of Medical Sciences (U.K.) and the National Academy of Medicine (Mexico). He has been awarded the Order of the Rising Sun, Gold and Silver Star by the Government of Japan, received an honorary appointment as Knight Commander of the Most Excellent Order of the British Empire (KBE), and been conferred the degree of D.Sc. h.c. from five universities. He has also been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 We believe that Dr. Yamada’s extensive background in medical and biopharmaceutical research, as well as his service as a director or officer of other healthcare companies, qualifies him to serve as chair of our board of directors.</w:t>
      </w:r>
    </w:p>
    <w:p>
      <w:pPr>
        <w:spacing w:after="0" w:line="180"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i w:val="1"/>
          <w:iCs w:val="1"/>
          <w:color w:val="auto"/>
        </w:rPr>
        <w:t xml:space="preserve">Joseph Edelman </w:t>
      </w:r>
      <w:r>
        <w:rPr>
          <w:rFonts w:ascii="Arial" w:cs="Arial" w:eastAsia="Arial" w:hAnsi="Arial"/>
          <w:sz w:val="18"/>
          <w:szCs w:val="18"/>
          <w:color w:val="auto"/>
        </w:rPr>
        <w:t>has served on our board of directors since May 2020. Mr. Edelman is founder, chief executive officer, and portfolio</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in 1986 and a B.A., magna cum laude, in psychology from the University of California San Diego in 1978. We believe Mr. Edelman’s experience as a board member and investor in many successful biotechnology companies qualifies him to serve on our board of directors.</w:t>
      </w:r>
    </w:p>
    <w:p>
      <w:pPr>
        <w:spacing w:after="0" w:line="179"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i w:val="1"/>
          <w:iCs w:val="1"/>
          <w:color w:val="auto"/>
        </w:rPr>
        <w:t xml:space="preserve">John M. Fluke, Jr. </w:t>
      </w:r>
      <w:r>
        <w:rPr>
          <w:rFonts w:ascii="Arial" w:cs="Arial" w:eastAsia="Arial" w:hAnsi="Arial"/>
          <w:sz w:val="18"/>
          <w:szCs w:val="18"/>
          <w:color w:val="auto"/>
        </w:rPr>
        <w:t>has served on our board of directors since December 2014. Mr. Fluke is chairman of Fluke Capital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L.P., which he founded in 1976, and was chairman and chief executive officer of the John Fluke Manufacturing Co. until 1990. Mr. Fluke previously served on the boards of PACCAR Inc., CellCyte Genetics Corporation, Cell Therapeutics, Primus International, and American Seafoods Group. Mr. Fluke is a current trustee of the Greater Seattle Chamber of Commerce (formerly serving as its chairman) and previously served as chairman of the Washington State China Relations Council and a trustee emeritus of the Museum of Flight. He also previously served as chairman of the Washington Technology Center at the University of Washington, which is an organization responsible for managing technology transfers from public universities in Washington state to the private sector for commercialization. Mr. Fluke has also served as chairman of the trustees of Junior Achievement of Washington and president of the Seattle Council of Boy Scouts of America. Mr. Fluke earned an M.S. in electrical engineering from Stanford University in 1966 and a B.S. in electrical engineering from the University of Washington in 1964. We believe Mr. Fluke’s extensive leadership experience and background as an investor in many successful companies qualifies him to serve on our board of directors.</w:t>
      </w:r>
    </w:p>
    <w:p>
      <w:pPr>
        <w:spacing w:after="0" w:line="176" w:lineRule="exact"/>
        <w:rPr>
          <w:sz w:val="20"/>
          <w:szCs w:val="20"/>
          <w:color w:val="auto"/>
        </w:rPr>
      </w:pPr>
    </w:p>
    <w:p>
      <w:pPr>
        <w:ind w:right="40" w:firstLine="576"/>
        <w:spacing w:after="0" w:line="238" w:lineRule="auto"/>
        <w:rPr>
          <w:sz w:val="20"/>
          <w:szCs w:val="20"/>
          <w:color w:val="auto"/>
        </w:rPr>
      </w:pPr>
      <w:r>
        <w:rPr>
          <w:rFonts w:ascii="Arial" w:cs="Arial" w:eastAsia="Arial" w:hAnsi="Arial"/>
          <w:sz w:val="18"/>
          <w:szCs w:val="18"/>
          <w:i w:val="1"/>
          <w:iCs w:val="1"/>
          <w:color w:val="auto"/>
        </w:rPr>
        <w:t xml:space="preserve">James A. Johnson </w:t>
      </w:r>
      <w:r>
        <w:rPr>
          <w:rFonts w:ascii="Arial" w:cs="Arial" w:eastAsia="Arial" w:hAnsi="Arial"/>
          <w:sz w:val="18"/>
          <w:szCs w:val="18"/>
          <w:color w:val="auto"/>
        </w:rPr>
        <w:t>has served on our board of directors since August 2020. Mr. Johnson previously served as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Nohla Therapeutics, a cell therapy company. Prior to Nohla, Mr. Johnson served for five years as the chief financial officer of NanoString Technologies, a publicly held provider of life science tools for translational research and molecular diagnostics. During his tenure as chief financial officer at NanoString, Mr. Johnson oversaw strategic and corporate finance activities from private stage through the company’s initial public offering and additional rounds of financing, marking the third initial public offering in his career as a chief financial officer. Prior to joining NanoString, Mr. Johnson served as chief financial officer of Relypsa, Inc., a clinical-stage biopharmaceutical company. Prior to Relypsa, Mr. Johnson served for nearly 10 years as chief financial officer of ZymoGenetics, Inc., until the company was acquired by Bristol-Myers Squibb in October 2010. Previously, he served for seven years as chief financial officer of Targeted Genetics Corporation (now Armata Pharmaceuticals) and as Vice President of Finance at Immunex Corporation during its evolution from product development to commercial operations. Mr. Johnson received a B.A. in business administration from the University of Washington in 1979. We believe Mr. Johnson’s depth of experience in the biopharmaceuticals industry, including as chief financial officer of a number of publicly traded biopharmaceutical companies, qualifies him to serve on our board of directors.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Family Relationships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family relationships among any of our executive officers or directors.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Risk Oversight</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Our board of directors is currently composed of five members. Each of our directors other than Dr. Kawas is independent within the meaning of the independent director guidelines of the Nasdaq Global Select Market. All of the directors other than Dr. Kawas were elected to our board of directors pursuant to a voting agreement that will terminate automatically by its terms upon the completion of a qualified initial public offering. Our certificate of incorporation and bylaws to be in effect upon the completion of this offering provide that the number of our directors shall be at least one and will be fixed from time to time by resolution of our board of directors.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Immediately prior to the completion of this offering, our board of directors will be divided into three classes of directors. At each annual meeting of stockholders, a class of directors will be elected for a three -year term to succeed the class whose terms are then expiring. The terms of the directors will expire upon the election and qualification of successor directors at the annual meeting of stockholders to be held during the years 2021 for the Class I directors, 2022 for the Class II directors and 2023 for the Class III director.</w:t>
      </w:r>
    </w:p>
    <w:p>
      <w:pPr>
        <w:spacing w:after="0" w:line="62" w:lineRule="exact"/>
        <w:rPr>
          <w:sz w:val="20"/>
          <w:szCs w:val="20"/>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 directors will be Tadataka Yamada and Leen Kawas.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 directors will be Joseph Edelman and John M. Fluke, Jr.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89"/>
        </w:numPr>
        <w:rPr>
          <w:rFonts w:ascii="Times New Roman" w:cs="Times New Roman" w:eastAsia="Times New Roman" w:hAnsi="Times New Roman"/>
          <w:sz w:val="18"/>
          <w:szCs w:val="18"/>
          <w:color w:val="auto"/>
        </w:rPr>
      </w:pPr>
      <w:r>
        <w:rPr>
          <w:rFonts w:ascii="Arial" w:cs="Arial" w:eastAsia="Arial" w:hAnsi="Arial"/>
          <w:sz w:val="18"/>
          <w:szCs w:val="18"/>
          <w:color w:val="auto"/>
        </w:rPr>
        <w:t>Our Class III director will be James A. Johnson.</w:t>
      </w:r>
    </w:p>
    <w:p>
      <w:pPr>
        <w:spacing w:after="0" w:line="224"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a change of our management or a change in control. See the section of this prospectus titled “Description of Capital Stock—Anti-Takeover Effects of Delaware and Washington Law and Our Certificate of Incorporation and Bylaws” for a discussion of other anti-takeover provisions found in our certificate of incorporation.</w:t>
      </w:r>
    </w:p>
    <w:p>
      <w:pPr>
        <w:spacing w:after="0" w:line="170"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The board of directors is responsible for general oversight of risks and regular review of information regarding our risks, including credit risks, liquidity risks and operational risks. Our compensation committee is responsible for overseeing the management of risks relating to our executive compensation plans and arrangements. Our audit committee is responsible for overseeing the management of our risks relating to accounting matters and financial reporting. Our nominating and corporate governance committee is responsible for overseeing the management of our risks associated with the independence of our board of directors and potential conflicts of interest. While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affected the board of directors’ leadership structure.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06"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Our common stock has been approved for listing on the Nasdaq Global Select Market. Under the rules of the Nasdaq Global Select Market, independent directors must comprise a majority of a listed company’s board of directors within a specified period of the completion of this offering. In addition, the rules of the Nasdaq Global Select Market require that, subject to specified exceptions, each member of a listed company’s audit, compensation and nominating and corporate governance committees be independent. Audit committee members must also satisfy the independence criteria set forth in Rule 10A-3 under the Exchange Act. Under the rules of the Nasdaq Global Select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56" w:name="page157"/>
    <w:bookmarkEnd w:id="156"/>
    <w:p>
      <w:pPr>
        <w:ind w:right="60" w:firstLine="576"/>
        <w:spacing w:after="0" w:line="248" w:lineRule="auto"/>
        <w:rPr>
          <w:sz w:val="20"/>
          <w:szCs w:val="20"/>
          <w:color w:val="auto"/>
        </w:rPr>
      </w:pPr>
      <w:r>
        <w:rPr>
          <w:rFonts w:ascii="Arial" w:cs="Arial" w:eastAsia="Arial" w:hAnsi="Arial"/>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70"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August 2020, our board of directors undertook a review of its composition, the composition of its committees and the independence of our directors and considered whether any director has a material relationship with us that could compromise his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other than Dr. Kawas, none of our directors has a relationship that would interfere with the exercise of independent judgment in carrying out the responsibilities of a director and that each of these directors is “independent” as that term is defined under the rules of the Nasdaq Global Select Market. In August 2020, our board of directors also determined that Messrs. Johnson and Fluke, who comprise our audit committee; Dr. Yamada and Messrs. Edelman and Johnson, who comprise our compensation committee; and Dr. Yamada and Messrs. Edelman and Fluke, who comprise our nominating and corporate governance committee, satisfy the independence standards for those committees established by applicable SEC rules and the rules of the Nasdaq Global Select Market. In making this determination, our board of directors considered the relationships that each non-employee director has with us and all other facts and circumstances our board of directors deemed relevant in determining their independence, including the beneficial ownership of our capital stock by each non-employee director.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06"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Dr. Yamada serves as the chairman of the board of directors, and Dr. Kawas serves as our president and chief executive officer. The roles of chief executive officer and chairman of the board of directors are currently separated in recognition of the differences between the two roles. We believe that it is in the best interests of our stockholders for the board of directors to make a determination regarding the separation or combination of these roles each time it elects a new chairman or appoints a chief executive officer, based on the relevant facts and circumstances applicable at such time. In 2014, when Dr. Kawas was first appointed as our president and chief executive officer, the Board determined it was in the best interests of our stockholders to continue to maintain an independent chairman to allow Dr. Kawas to focus on her primary responsibility for the operational leadership and strategic direction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members of our audit committee are Messrs. Johnson and Fluke, each of whom is a non-employee member of our board of directors. Our audit committee chairman, Mr. Johnson, is our audit committee financial expert, as that term is defined under the SEC rules implementing Section 407 of the Sarbanes-Oxley Act of 2002, and possesses financial sophistication, as defined under the rules of the Nasdaq Global Select Market. Our audit committee oversees our corporate accounting and financial reporting process and assists our board of directors in monitoring our financial systems. Our audit committee operates under a written charter that specifies its duties and responsibilities and satisfies the applicable listing standards of the Nasdaq Global Select Market. Our board of directors has determined that each of Messrs. Johnson and Fluke is independent for audit committee purposes, as that term is defined in the rules of the SEC and the applicable Nasdaq rules, and have sufficient knowledge in financial and auditing matters to serve on the audit committee. We intend to rely on the phase-in provisions of Rule 10A-3 of the Exchange Act and the Nasdaq transition rules applicable to companies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57" w:name="page158"/>
    <w:bookmarkEnd w:id="157"/>
    <w:p>
      <w:pPr>
        <w:ind w:right="1000"/>
        <w:spacing w:after="0" w:line="276" w:lineRule="auto"/>
        <w:rPr>
          <w:sz w:val="20"/>
          <w:szCs w:val="20"/>
          <w:color w:val="auto"/>
        </w:rPr>
      </w:pPr>
      <w:r>
        <w:rPr>
          <w:rFonts w:ascii="Arial" w:cs="Arial" w:eastAsia="Arial" w:hAnsi="Arial"/>
          <w:sz w:val="18"/>
          <w:szCs w:val="18"/>
          <w:color w:val="auto"/>
        </w:rPr>
        <w:t>completing an initial public offering, and we plan to have an audit committee comprised entirely of at least three directors that are independent for purposes of serving on an audit committee within one year after our listing.</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audit committee will:</w:t>
      </w:r>
    </w:p>
    <w:p>
      <w:pPr>
        <w:spacing w:after="0" w:line="104" w:lineRule="exact"/>
        <w:rPr>
          <w:sz w:val="20"/>
          <w:szCs w:val="20"/>
          <w:color w:val="auto"/>
        </w:rPr>
      </w:pPr>
    </w:p>
    <w:p>
      <w:pPr>
        <w:ind w:left="1300" w:right="86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37"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audit;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evaluate the independence and qualification of the independent registered public accounting firm;</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internal controls and integrity of financial statements;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financial information presentation, earnings press releases and guidance;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116" w:lineRule="exact"/>
        <w:rPr>
          <w:rFonts w:ascii="Times New Roman" w:cs="Times New Roman" w:eastAsia="Times New Roman" w:hAnsi="Times New Roman"/>
          <w:sz w:val="18"/>
          <w:szCs w:val="18"/>
          <w:color w:val="auto"/>
        </w:rPr>
      </w:pPr>
    </w:p>
    <w:p>
      <w:pPr>
        <w:ind w:left="1300" w:right="48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set hiring policies with regard to the hiring of employees and former employees of our independent auditor and oversee compliance with such policies;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approve and monitor related party transactions;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adopt and oversee procedures to address complaints regarding accounting, internal accounting controls or auditing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with our management and the independent auditor our compliance with various laws;</w:t>
      </w:r>
    </w:p>
    <w:p>
      <w:pPr>
        <w:spacing w:after="0" w:line="116" w:lineRule="exact"/>
        <w:rPr>
          <w:rFonts w:ascii="Times New Roman" w:cs="Times New Roman" w:eastAsia="Times New Roman" w:hAnsi="Times New Roman"/>
          <w:sz w:val="18"/>
          <w:szCs w:val="18"/>
          <w:color w:val="auto"/>
        </w:rPr>
      </w:pPr>
    </w:p>
    <w:p>
      <w:pPr>
        <w:ind w:left="1300" w:right="560" w:hanging="442"/>
        <w:spacing w:after="0" w:line="275" w:lineRule="auto"/>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with management our independent auditor guidelines and policies to identify, monitor, and address enterprise risks;</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engage independent legal, accounting and other advisors;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provide appropriate funding for compensation to independent registered accounting firm, advisors and related expenses;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0"/>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audit committee charter and recommend any proposed changes to our board of directors.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members of our compensation committee are Dr. Yamada and Messrs. Edelman and Johnson. Dr. Yamada is the chairman of our compensation committee. Our compensation committee oversees our compensation policies, plans and benefits programs. Our compensation committee operates under a written charter that specifies its duties and responsibilities and satisfies the applicable listing standards of the Nasdaq Global Select Market. The compensation committee will:</w:t>
      </w:r>
    </w:p>
    <w:p>
      <w:pPr>
        <w:spacing w:after="0" w:line="62" w:lineRule="exact"/>
        <w:rPr>
          <w:sz w:val="20"/>
          <w:szCs w:val="20"/>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corporate goals and objectives applicable to the compensation of our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approve the compensation and benefits for our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approve, and administer employee compensation plans;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advise on proposals to stockholders on executive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oversee compensation plans and programs;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review and discuss our compensation policies and practices and the risks related thereto;</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1"/>
        </w:numPr>
        <w:rPr>
          <w:rFonts w:ascii="Times New Roman" w:cs="Times New Roman" w:eastAsia="Times New Roman" w:hAnsi="Times New Roman"/>
          <w:sz w:val="18"/>
          <w:szCs w:val="18"/>
          <w:color w:val="auto"/>
        </w:rPr>
      </w:pPr>
      <w:r>
        <w:rPr>
          <w:rFonts w:ascii="Arial" w:cs="Arial" w:eastAsia="Arial" w:hAnsi="Arial"/>
          <w:sz w:val="18"/>
          <w:szCs w:val="18"/>
          <w:color w:val="auto"/>
        </w:rPr>
        <w:t>monitor compliance with any stock ownership guidelines;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8" w:name="page159"/>
    <w:bookmarkEnd w:id="158"/>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approve the creation or revision of any clawback policy allowing us to recoup compensation paid to employees;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oversee regulatory compliance with respect to compensation matters;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retain or obtain the advice of compensation consultants; and</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92"/>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compensation committee charter and recommend any proposed changes to our board of directors.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 members of our nominating and corporate governance committee are Dr. Yamada and Messrs. Edelman and Fluke. Dr. Yamada is the chairman of our nominating and corporate governance committee. Our nominating and corporate governance committee oversees and assists our board of directors in reviewing and recommending nominees for election as directors. Our nominating and corporate governance committee operates under a written charter that specifies its duties and responsibilities and satisfies the applicable listing standards of the Nasdaq Global Select Market. The nominating and corporate governance committee will:</w:t>
      </w:r>
    </w:p>
    <w:p>
      <w:pPr>
        <w:spacing w:after="0" w:line="64" w:lineRule="exact"/>
        <w:rPr>
          <w:sz w:val="20"/>
          <w:szCs w:val="20"/>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procedures for the submission of candidates for election to our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conduct a periodic review of our succession planning process for the executive management team;</w:t>
      </w:r>
    </w:p>
    <w:p>
      <w:pPr>
        <w:spacing w:after="0" w:line="116"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structure and composition of each committee of our board of directors and make recommendations for changes to the committees;</w:t>
      </w:r>
    </w:p>
    <w:p>
      <w:pPr>
        <w:spacing w:after="0" w:line="37" w:lineRule="exact"/>
        <w:rPr>
          <w:rFonts w:ascii="Times New Roman" w:cs="Times New Roman" w:eastAsia="Times New Roman" w:hAnsi="Times New Roman"/>
          <w:sz w:val="18"/>
          <w:szCs w:val="18"/>
          <w:color w:val="auto"/>
        </w:rPr>
      </w:pPr>
    </w:p>
    <w:p>
      <w:pPr>
        <w:ind w:left="1300" w:right="60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develop and recommend to the board of directors corporate governance guidelines and annually review the corporate governance guidelines and their application;</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oversee governance practices;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oversee our director orientation and continuing education;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oversee the evaluation of our board of directors and its committees;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develop, approve, review and monitor compliance with our Code of Business Conduct and Ethics;</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administer policies and procedures for various constituencies that are involved with us to communicate with the non-management members of our board of directors;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93"/>
        </w:numPr>
        <w:rPr>
          <w:rFonts w:ascii="Times New Roman" w:cs="Times New Roman" w:eastAsia="Times New Roman" w:hAnsi="Times New Roman"/>
          <w:sz w:val="18"/>
          <w:szCs w:val="18"/>
          <w:color w:val="auto"/>
        </w:rPr>
      </w:pPr>
      <w:r>
        <w:rPr>
          <w:rFonts w:ascii="Arial" w:cs="Arial" w:eastAsia="Arial" w:hAnsi="Arial"/>
          <w:sz w:val="18"/>
          <w:szCs w:val="18"/>
          <w:color w:val="auto"/>
        </w:rPr>
        <w:t>review the adequacy of the nominating and corporate governance committee charter and recommend any proposed changes to our board of directors.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1" w:lineRule="exact"/>
        <w:rPr>
          <w:sz w:val="20"/>
          <w:szCs w:val="20"/>
          <w:color w:val="auto"/>
        </w:rPr>
      </w:pPr>
    </w:p>
    <w:p>
      <w:pPr>
        <w:ind w:right="220" w:firstLine="576"/>
        <w:spacing w:after="0" w:line="219" w:lineRule="exact"/>
        <w:rPr>
          <w:sz w:val="20"/>
          <w:szCs w:val="20"/>
          <w:color w:val="auto"/>
        </w:rPr>
      </w:pPr>
      <w:r>
        <w:rPr>
          <w:rFonts w:ascii="Arial" w:cs="Arial" w:eastAsia="Arial" w:hAnsi="Arial"/>
          <w:sz w:val="18"/>
          <w:szCs w:val="18"/>
          <w:color w:val="auto"/>
        </w:rPr>
        <w:t>Prior to this offering, we did not have a formal policy with respect to compensation payable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their service as directors. From time to time, we have granted equity awards to attract them to join our board of directors and for their continued service on our board of directors. We also have reimbursed our directors for expenses associated with attending meetings of our board of directors and its committees.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2019 Director Compensation</w:t>
      </w:r>
    </w:p>
    <w:p>
      <w:pPr>
        <w:spacing w:after="0" w:line="106" w:lineRule="exact"/>
        <w:rPr>
          <w:sz w:val="20"/>
          <w:szCs w:val="20"/>
          <w:color w:val="auto"/>
        </w:rPr>
      </w:pPr>
    </w:p>
    <w:p>
      <w:pPr>
        <w:ind w:right="240" w:firstLine="576"/>
        <w:spacing w:after="0" w:line="276"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 Awards</w:t>
            </w: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Total</w:t>
            </w:r>
          </w:p>
        </w:tc>
      </w:tr>
      <w:tr>
        <w:trPr>
          <w:trHeight w:val="177"/>
        </w:trPr>
        <w:tc>
          <w:tcPr>
            <w:tcW w:w="7720" w:type="dxa"/>
            <w:vAlign w:val="bottom"/>
            <w:gridSpan w:val="2"/>
          </w:tcPr>
          <w:p>
            <w:pPr>
              <w:ind w:left="3580"/>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right"/>
              <w:ind w:right="515"/>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1560" w:type="dxa"/>
            <w:vAlign w:val="bottom"/>
          </w:tcPr>
          <w:p>
            <w:pPr>
              <w:jc w:val="right"/>
              <w:ind w:right="61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r>
      <w:tr>
        <w:trPr>
          <w:trHeight w:val="210"/>
        </w:trPr>
        <w:tc>
          <w:tcPr>
            <w:tcW w:w="7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Tadataka Yamada, M.D.</w:t>
            </w:r>
            <w:r>
              <w:rPr>
                <w:rFonts w:ascii="Arial" w:cs="Arial" w:eastAsia="Arial" w:hAnsi="Arial"/>
                <w:sz w:val="15"/>
                <w:szCs w:val="15"/>
                <w:color w:val="auto"/>
              </w:rPr>
              <w:t>(2)</w:t>
            </w:r>
          </w:p>
        </w:tc>
        <w:tc>
          <w:tcPr>
            <w:tcW w:w="16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22,140</w:t>
            </w:r>
          </w:p>
        </w:tc>
        <w:tc>
          <w:tcPr>
            <w:tcW w:w="280" w:type="dxa"/>
            <w:vAlign w:val="bottom"/>
            <w:tcBorders>
              <w:top w:val="single" w:sz="8" w:color="CFF0FC"/>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(3)</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John M. Fluke</w:t>
            </w:r>
            <w:r>
              <w:rPr>
                <w:rFonts w:ascii="Arial" w:cs="Arial" w:eastAsia="Arial" w:hAnsi="Arial"/>
                <w:sz w:val="15"/>
                <w:szCs w:val="15"/>
                <w:color w:val="auto"/>
              </w:rPr>
              <w:t>(4)</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(5)</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Joseph Harding</w:t>
            </w:r>
            <w:r>
              <w:rPr>
                <w:rFonts w:ascii="Arial" w:cs="Arial" w:eastAsia="Arial" w:hAnsi="Arial"/>
                <w:sz w:val="15"/>
                <w:szCs w:val="15"/>
                <w:color w:val="auto"/>
              </w:rPr>
              <w:t>(6)</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jc w:val="both"/>
        <w:ind w:left="480" w:right="140" w:hanging="472"/>
        <w:spacing w:after="0" w:line="261" w:lineRule="auto"/>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 accordance with SEC rules, the amount in this column reflects the aggregate grant date fair value of stock options granted during 2019 computed in accordance with Accounting Standards Codification (ASC) Topic 718, rather than the amount paid or realized by the director. We provide information regarding the assumptions used to calculate the value of all stock options granted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right="120" w:hanging="472"/>
        <w:spacing w:after="0" w:line="256" w:lineRule="auto"/>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Dr. Yamada became a member of our board of directors in June 2019. As of December 31, 2019, Dr. Yamada held stock options to purchase 50,440 shares of our common stock. 25,220 shares subject to the options vest over two years, with 1/2 vesting on each anniversary of the vesting commencement date, subject to continued service with us through the applicable vesting date. 25,220 shares subject to the options vest over three years, with 1/3 vesting on the first anniversary of the vesting commencement date and 1/36 vesting in monthly installments thereafter, subject to continued service with us through the applicable vesting date.</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Edelman became a member of our board of directors in May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Fluke became a member of our board of directors in December 2014.</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Mr. Johnson became a member of our board of directors in August 2020.</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4"/>
        </w:numPr>
        <w:rPr>
          <w:rFonts w:ascii="Arial" w:cs="Arial" w:eastAsia="Arial" w:hAnsi="Arial"/>
          <w:sz w:val="14"/>
          <w:szCs w:val="14"/>
          <w:color w:val="auto"/>
        </w:rPr>
      </w:pPr>
      <w:r>
        <w:rPr>
          <w:rFonts w:ascii="Arial" w:cs="Arial" w:eastAsia="Arial" w:hAnsi="Arial"/>
          <w:sz w:val="14"/>
          <w:szCs w:val="14"/>
          <w:color w:val="auto"/>
        </w:rPr>
        <w:t>Dr. Harding resigned from our board of directors in August 2020.</w:t>
      </w:r>
    </w:p>
    <w:p>
      <w:pPr>
        <w:spacing w:after="0" w:line="207" w:lineRule="exact"/>
        <w:rPr>
          <w:sz w:val="20"/>
          <w:szCs w:val="20"/>
          <w:color w:val="auto"/>
        </w:rPr>
      </w:pPr>
    </w:p>
    <w:p>
      <w:pPr>
        <w:ind w:right="20" w:firstLine="576"/>
        <w:spacing w:after="0" w:line="209" w:lineRule="exact"/>
        <w:rPr>
          <w:sz w:val="20"/>
          <w:szCs w:val="20"/>
          <w:color w:val="auto"/>
        </w:rPr>
      </w:pPr>
      <w:r>
        <w:rPr>
          <w:rFonts w:ascii="Arial" w:cs="Arial" w:eastAsia="Arial" w:hAnsi="Arial"/>
          <w:sz w:val="18"/>
          <w:szCs w:val="18"/>
          <w:color w:val="auto"/>
        </w:rPr>
        <w:t>In 2020, our compensation committee retained Radford, a third-party compensation consultant, to provide our board of directors and its compensation committee with an analysis of publicly available market data and assistance in determining compensation to be provided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 Based on the discussions with and assistance from Radford, in September 2020 our board of directors adopted, and our stockholders approved, an Outside Director Compensation Policy providing for certain compensation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on and after the effective date of the registration statement of which this prospectus forms a part.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77" w:lineRule="exact"/>
        <w:rPr>
          <w:sz w:val="20"/>
          <w:szCs w:val="20"/>
          <w:color w:val="auto"/>
        </w:rPr>
      </w:pPr>
    </w:p>
    <w:p>
      <w:pPr>
        <w:ind w:right="340" w:firstLine="576"/>
        <w:spacing w:after="0" w:line="235" w:lineRule="exact"/>
        <w:rPr>
          <w:sz w:val="20"/>
          <w:szCs w:val="20"/>
          <w:color w:val="auto"/>
        </w:rPr>
      </w:pPr>
      <w:r>
        <w:rPr>
          <w:rFonts w:ascii="Arial" w:cs="Arial" w:eastAsia="Arial" w:hAnsi="Arial"/>
          <w:sz w:val="18"/>
          <w:szCs w:val="18"/>
          <w:color w:val="auto"/>
        </w:rPr>
        <w:t>The Outside Director Compensation Policy provides for the following cash compensation program for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starting on the effective date of the registration statement of which this prospectus forms a part:</w:t>
      </w:r>
    </w:p>
    <w:p>
      <w:pPr>
        <w:spacing w:after="0" w:line="44" w:lineRule="exact"/>
        <w:rPr>
          <w:sz w:val="20"/>
          <w:szCs w:val="20"/>
          <w:color w:val="auto"/>
        </w:rPr>
      </w:pPr>
    </w:p>
    <w:p>
      <w:pPr>
        <w:ind w:left="1300" w:hanging="442"/>
        <w:spacing w:after="0" w:line="208" w:lineRule="exact"/>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$35,000 per year for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40"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$30,000 per year for service as chair of the board of directors;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$15,000 per year for service as chair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$7,500 per year for service as a member of the audit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$10,000 per year for service as chair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$5,000 per year for service as a member of the compensation committee;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$8,000 per year for service as chair of the nominating and corporate governance committee;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5"/>
        </w:numPr>
        <w:rPr>
          <w:rFonts w:ascii="Times New Roman" w:cs="Times New Roman" w:eastAsia="Times New Roman" w:hAnsi="Times New Roman"/>
          <w:sz w:val="18"/>
          <w:szCs w:val="18"/>
          <w:color w:val="auto"/>
        </w:rPr>
      </w:pPr>
      <w:r>
        <w:rPr>
          <w:rFonts w:ascii="Arial" w:cs="Arial" w:eastAsia="Arial" w:hAnsi="Arial"/>
          <w:sz w:val="18"/>
          <w:szCs w:val="18"/>
          <w:color w:val="auto"/>
        </w:rPr>
        <w:t>$4,000 per year for service as a member of the nominating and corporate governance committee.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0" w:name="page161"/>
    <w:bookmarkEnd w:id="160"/>
    <w:p>
      <w:pPr>
        <w:ind w:right="240" w:firstLine="576"/>
        <w:spacing w:after="0" w:line="215" w:lineRule="exact"/>
        <w:rPr>
          <w:sz w:val="20"/>
          <w:szCs w:val="20"/>
          <w:color w:val="auto"/>
        </w:rPr>
      </w:pPr>
      <w:r>
        <w:rPr>
          <w:rFonts w:ascii="Arial" w:cs="Arial" w:eastAsia="Arial" w:hAnsi="Arial"/>
          <w:sz w:val="18"/>
          <w:szCs w:val="18"/>
          <w:color w:val="auto"/>
        </w:rPr>
        <w:t>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serves as a committee chair receives only the cash retainer fee as the chair of the committee but not the cash retainer fee as a member of that committee. These fees to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are paid quarterly in arrears on a prorated basis. Under our Outside Director Compensation Policy, we also will reimburse our non</w:t>
      </w:r>
      <w:r>
        <w:rPr>
          <w:rFonts w:ascii="MS PGothic" w:cs="MS PGothic" w:eastAsia="MS PGothic" w:hAnsi="MS PGothic"/>
          <w:sz w:val="18"/>
          <w:szCs w:val="18"/>
          <w:color w:val="auto"/>
        </w:rPr>
        <w:t>‑</w:t>
      </w:r>
      <w:r>
        <w:rPr>
          <w:rFonts w:ascii="Arial" w:cs="Arial" w:eastAsia="Arial" w:hAnsi="Arial"/>
          <w:sz w:val="18"/>
          <w:szCs w:val="18"/>
          <w:color w:val="auto"/>
        </w:rPr>
        <w:t>employee directors for reasonable travel expenses to attend meetings of our board of directors and its committees. The above-listed fees for service as chair or members of committees are payable in addition to the non-employee director retainer.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02" w:lineRule="exact"/>
        <w:rPr>
          <w:sz w:val="20"/>
          <w:szCs w:val="20"/>
          <w:color w:val="auto"/>
        </w:rPr>
      </w:pPr>
    </w:p>
    <w:p>
      <w:pPr>
        <w:ind w:firstLine="576"/>
        <w:spacing w:after="0"/>
        <w:rPr>
          <w:sz w:val="20"/>
          <w:szCs w:val="20"/>
          <w:color w:val="auto"/>
        </w:rPr>
      </w:pPr>
      <w:r>
        <w:rPr>
          <w:rFonts w:ascii="Arial" w:cs="Arial" w:eastAsia="Arial" w:hAnsi="Arial"/>
          <w:sz w:val="18"/>
          <w:szCs w:val="18"/>
          <w:i w:val="1"/>
          <w:iCs w:val="1"/>
          <w:color w:val="auto"/>
        </w:rPr>
        <w:t>IPO Award</w:t>
      </w:r>
      <w:r>
        <w:rPr>
          <w:rFonts w:ascii="Arial" w:cs="Arial" w:eastAsia="Arial" w:hAnsi="Arial"/>
          <w:sz w:val="18"/>
          <w:szCs w:val="18"/>
          <w:color w:val="auto"/>
        </w:rPr>
        <w:t>. Pursuant to our Outside Director Compensation Policy, each non-employee director received,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effectiveness of the registration statement of which this prospectus forms a part, an award, or the IPO Award, of stock options to purchase 27,742 shares of our common stock. For each non-employee director other than Mr. Johnson, each IPO Award is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the IPO Award’s grant date, on the same day of the month as the grant date, subject to continued services to us through the applicable vesting dates. Mr. Johnson’s IPO Award is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IPO Award on a monthly basis following August 26, 2020, the date Mr. Johnson joined our board of directors, on the same day of the month, subject to his continued service to us through the applicable vesting dates.</w:t>
      </w:r>
    </w:p>
    <w:p>
      <w:pPr>
        <w:spacing w:after="0" w:line="156" w:lineRule="exact"/>
        <w:rPr>
          <w:sz w:val="20"/>
          <w:szCs w:val="20"/>
          <w:color w:val="auto"/>
        </w:rPr>
      </w:pPr>
    </w:p>
    <w:p>
      <w:pPr>
        <w:ind w:right="200" w:firstLine="576"/>
        <w:spacing w:after="0" w:line="212" w:lineRule="exact"/>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policy will receive, on the first trading day on or after the date that the person first becomes a non</w:t>
      </w:r>
      <w:r>
        <w:rPr>
          <w:rFonts w:ascii="MS PGothic" w:cs="MS PGothic" w:eastAsia="MS PGothic" w:hAnsi="MS PGothic"/>
          <w:sz w:val="18"/>
          <w:szCs w:val="18"/>
          <w:color w:val="auto"/>
        </w:rPr>
        <w:t>‑</w:t>
      </w:r>
      <w:r>
        <w:rPr>
          <w:rFonts w:ascii="Arial" w:cs="Arial" w:eastAsia="Arial" w:hAnsi="Arial"/>
          <w:sz w:val="18"/>
          <w:szCs w:val="18"/>
          <w:color w:val="auto"/>
        </w:rPr>
        <w:t>employee director, an initial award (or, the Initial Award) of stock options to purchase 27,742 shares of our common stock. The Initial Award will be scheduled to vest in equal installments as to 1/36</w:t>
      </w:r>
      <w:r>
        <w:rPr>
          <w:rFonts w:ascii="Arial" w:cs="Arial" w:eastAsia="Arial" w:hAnsi="Arial"/>
          <w:sz w:val="15"/>
          <w:szCs w:val="15"/>
          <w:color w:val="auto"/>
        </w:rPr>
        <w:t>th</w:t>
      </w:r>
      <w:r>
        <w:rPr>
          <w:rFonts w:ascii="Arial" w:cs="Arial" w:eastAsia="Arial" w:hAnsi="Arial"/>
          <w:sz w:val="18"/>
          <w:szCs w:val="18"/>
          <w:color w:val="auto"/>
        </w:rPr>
        <w:t xml:space="preserve">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w:t>
      </w:r>
      <w:r>
        <w:rPr>
          <w:rFonts w:ascii="MS PGothic" w:cs="MS PGothic" w:eastAsia="MS PGothic" w:hAnsi="MS PGothic"/>
          <w:sz w:val="18"/>
          <w:szCs w:val="18"/>
          <w:color w:val="auto"/>
        </w:rPr>
        <w:t>‑</w:t>
      </w:r>
      <w:r>
        <w:rPr>
          <w:rFonts w:ascii="Arial" w:cs="Arial" w:eastAsia="Arial" w:hAnsi="Arial"/>
          <w:sz w:val="18"/>
          <w:szCs w:val="18"/>
          <w:color w:val="auto"/>
        </w:rPr>
        <w:t>employee director due to termination of employment will not entitle the person to an Initial Award.</w:t>
      </w:r>
    </w:p>
    <w:p>
      <w:pPr>
        <w:spacing w:after="0" w:line="154" w:lineRule="exact"/>
        <w:rPr>
          <w:sz w:val="20"/>
          <w:szCs w:val="20"/>
          <w:color w:val="auto"/>
        </w:rPr>
      </w:pPr>
    </w:p>
    <w:p>
      <w:pPr>
        <w:ind w:firstLine="576"/>
        <w:spacing w:after="0" w:line="214" w:lineRule="exact"/>
        <w:rPr>
          <w:sz w:val="20"/>
          <w:szCs w:val="20"/>
          <w:color w:val="auto"/>
        </w:rPr>
      </w:pPr>
      <w:r>
        <w:rPr>
          <w:rFonts w:ascii="Arial" w:cs="Arial" w:eastAsia="Arial" w:hAnsi="Arial"/>
          <w:sz w:val="18"/>
          <w:szCs w:val="18"/>
          <w:i w:val="1"/>
          <w:iCs w:val="1"/>
          <w:color w:val="auto"/>
        </w:rPr>
        <w:t>Annual Award</w:t>
      </w:r>
      <w:r>
        <w:rPr>
          <w:rFonts w:ascii="Arial" w:cs="Arial" w:eastAsia="Arial" w:hAnsi="Arial"/>
          <w:sz w:val="18"/>
          <w:szCs w:val="18"/>
          <w:color w:val="auto"/>
        </w:rPr>
        <w:t>.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 who has completed at least six months of continuous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will receive, on the first trading day immediately after the date of each annual meeting of our stockholders that occurs following the effective date of our Outside Director Compensation Policy, an annual award (or, the Annual Award) of stock options to purchase 13,871 shares of our common stock. Each Annual Award will be scheduled to vest on the earlier of the one-year anniversary of the grant date, or the day immediately before the day of the next annual meeting of stockholders that occurs after the grant date of the Annual Award, subject to continued services to us through the applicable vesting date.</w:t>
      </w:r>
    </w:p>
    <w:p>
      <w:pPr>
        <w:spacing w:after="0" w:line="153" w:lineRule="exact"/>
        <w:rPr>
          <w:sz w:val="20"/>
          <w:szCs w:val="20"/>
          <w:color w:val="auto"/>
        </w:rPr>
      </w:pPr>
    </w:p>
    <w:p>
      <w:pPr>
        <w:ind w:right="80" w:firstLine="576"/>
        <w:spacing w:after="0" w:line="229" w:lineRule="exact"/>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our 2020 Equity Incentive Plan, each non</w:t>
      </w:r>
      <w:r>
        <w:rPr>
          <w:rFonts w:ascii="MS PGothic" w:cs="MS PGothic" w:eastAsia="MS PGothic" w:hAnsi="MS PGothic"/>
          <w:sz w:val="18"/>
          <w:szCs w:val="18"/>
          <w:color w:val="auto"/>
        </w:rPr>
        <w:t>‑</w:t>
      </w:r>
      <w:r>
        <w:rPr>
          <w:rFonts w:ascii="Arial" w:cs="Arial" w:eastAsia="Arial" w:hAnsi="Arial"/>
          <w:sz w:val="18"/>
          <w:szCs w:val="18"/>
          <w:color w:val="auto"/>
        </w:rPr>
        <w:t>employee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equity awards covering shares of our common stock will accelerate vesting in full, provided that he or she remains a non</w:t>
      </w:r>
      <w:r>
        <w:rPr>
          <w:rFonts w:ascii="MS PGothic" w:cs="MS PGothic" w:eastAsia="MS PGothic" w:hAnsi="MS PGothic"/>
          <w:sz w:val="18"/>
          <w:szCs w:val="18"/>
          <w:color w:val="auto"/>
        </w:rPr>
        <w:t>‑</w:t>
      </w:r>
      <w:r>
        <w:rPr>
          <w:rFonts w:ascii="Arial" w:cs="Arial" w:eastAsia="Arial" w:hAnsi="Arial"/>
          <w:sz w:val="18"/>
          <w:szCs w:val="18"/>
          <w:color w:val="auto"/>
        </w:rPr>
        <w:t>employee director through the date of our change in control.</w:t>
      </w:r>
    </w:p>
    <w:p>
      <w:pPr>
        <w:spacing w:after="0" w:line="162" w:lineRule="exact"/>
        <w:rPr>
          <w:sz w:val="20"/>
          <w:szCs w:val="20"/>
          <w:color w:val="auto"/>
        </w:rPr>
      </w:pPr>
    </w:p>
    <w:p>
      <w:pPr>
        <w:jc w:val="both"/>
        <w:ind w:right="160" w:firstLine="576"/>
        <w:spacing w:after="0" w:line="248"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IPO Award, Initial Award and Annual Award will be granted under our 2020 Equity Incentive Plan (or its</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plan, as applicable) and form of award agreement under such plan. These awards will have a maximum term to expiration of 10 years from their grant and a per share exercise price equal to 100% of the fair market value of a share of our common stock on the award’s grant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1" w:name="page162"/>
    <w:bookmarkEnd w:id="161"/>
    <w:p>
      <w:pPr>
        <w:ind w:right="120" w:firstLine="576"/>
        <w:spacing w:after="0" w:line="212" w:lineRule="exact"/>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w:t>
      </w:r>
      <w:r>
        <w:rPr>
          <w:rFonts w:ascii="MS PGothic" w:cs="MS PGothic" w:eastAsia="MS PGothic" w:hAnsi="MS PGothic"/>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$500,000 (with the value of equity awards based on its grant date fair value determined in accordance with U.S. Generally Accepted Accounting Principles for purposes of this limit), with such limit increased to $ 750,000 for the fiscal year of his or her initial service as a non</w:t>
      </w:r>
      <w:r>
        <w:rPr>
          <w:rFonts w:ascii="MS PGothic" w:cs="MS PGothic" w:eastAsia="MS PGothic" w:hAnsi="MS PGothic"/>
          <w:sz w:val="18"/>
          <w:szCs w:val="18"/>
          <w:color w:val="auto"/>
        </w:rPr>
        <w:t>‑</w:t>
      </w:r>
      <w:r>
        <w:rPr>
          <w:rFonts w:ascii="Arial" w:cs="Arial" w:eastAsia="Arial" w:hAnsi="Arial"/>
          <w:sz w:val="18"/>
          <w:szCs w:val="18"/>
          <w:color w:val="auto"/>
        </w:rPr>
        <w:t>employee director. Equity awards granted or other compensation provided to a non</w:t>
      </w:r>
      <w:r>
        <w:rPr>
          <w:rFonts w:ascii="MS PGothic" w:cs="MS PGothic" w:eastAsia="MS PGothic" w:hAnsi="MS PGothic"/>
          <w:sz w:val="18"/>
          <w:szCs w:val="18"/>
          <w:color w:val="auto"/>
        </w:rPr>
        <w:t>‑</w:t>
      </w:r>
      <w:r>
        <w:rPr>
          <w:rFonts w:ascii="Arial" w:cs="Arial" w:eastAsia="Arial" w:hAnsi="Arial"/>
          <w:sz w:val="18"/>
          <w:szCs w:val="18"/>
          <w:color w:val="auto"/>
        </w:rPr>
        <w:t>employee director while he or she was an employee or consultant (other than a non</w:t>
      </w:r>
      <w:r>
        <w:rPr>
          <w:rFonts w:ascii="MS PGothic" w:cs="MS PGothic" w:eastAsia="MS PGothic" w:hAnsi="MS PGothic"/>
          <w:sz w:val="18"/>
          <w:szCs w:val="18"/>
          <w:color w:val="auto"/>
        </w:rPr>
        <w:t>‑</w:t>
      </w:r>
      <w:r>
        <w:rPr>
          <w:rFonts w:ascii="Arial" w:cs="Arial" w:eastAsia="Arial" w:hAnsi="Arial"/>
          <w:sz w:val="18"/>
          <w:szCs w:val="18"/>
          <w:color w:val="auto"/>
        </w:rPr>
        <w:t>employee director), or granted or provided prior to the effective date of the registration statement of which this prospectus forms a part, will not count toward this annual limit.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06" w:lineRule="exact"/>
        <w:rPr>
          <w:sz w:val="20"/>
          <w:szCs w:val="20"/>
          <w:color w:val="auto"/>
        </w:rPr>
      </w:pPr>
    </w:p>
    <w:p>
      <w:pPr>
        <w:ind w:right="160" w:firstLine="576"/>
        <w:spacing w:after="0" w:line="248" w:lineRule="auto"/>
        <w:rPr>
          <w:sz w:val="20"/>
          <w:szCs w:val="20"/>
          <w:color w:val="auto"/>
        </w:rPr>
      </w:pPr>
      <w:r>
        <w:rPr>
          <w:rFonts w:ascii="Arial" w:cs="Arial" w:eastAsia="Arial" w:hAnsi="Arial"/>
          <w:sz w:val="18"/>
          <w:szCs w:val="18"/>
          <w:color w:val="auto"/>
        </w:rPr>
        <w:t>In August 2020, we adopted a written code of business conduct and ethics that applies to our directors, officers and employees, including our principal executive officer, principal financial officer, principal accounting officer or controller, or persons performing similar functions. The code of business conduct and ethics became effective on the date of effectiveness of the registration statement of which this prospectus forms a part. Following this offering, a copy of the code will be posted on the investor section of our website.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06"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The members of our compensation committee are Dr. Yamada and Messrs. Edelman and Johnson. None of the members of our compensation committee is an officer or employee of our company. None of our executive officers currently serves, or in the past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Our certificate of incorporation and bylaws provide for the indemnification of our directors and officers to the fullest extent permitted under the Delaware General Corporation Law. In addition, our certificate of incorporation provides that our directors shall not be personally liable to us or our stockholders for monetary damages for breach of fiduciary duty as a director and that if the Delaware General Corporation Law is amended to authorize corporate action further limiting the personal liability of directors, then the liability of our directors shall be limited to the fullest extent permitted by the Delaware General Corporation Law, as so amended.</w:t>
      </w:r>
    </w:p>
    <w:p>
      <w:pPr>
        <w:spacing w:after="0" w:line="17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As permitted by the Delaware General Corporation Law, we have entered into separate indemnification agreements with each of our directors and certain of our officers that require us, among other things, to indemnify them against certain liabilities which may arise by reason of their status as directors or officers. We expect to obtain and maintain insurance policies under which our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 The coverage provided by these policies may apply whether or not we would have the power to indemnify such person against such liability under the provisions of the Delaware General Corporation Law.</w:t>
      </w:r>
    </w:p>
    <w:p>
      <w:pPr>
        <w:spacing w:after="0" w:line="179" w:lineRule="exact"/>
        <w:rPr>
          <w:sz w:val="20"/>
          <w:szCs w:val="20"/>
          <w:color w:val="auto"/>
        </w:rPr>
      </w:pPr>
    </w:p>
    <w:p>
      <w:pPr>
        <w:jc w:val="both"/>
        <w:ind w:right="200" w:firstLine="576"/>
        <w:spacing w:after="0" w:line="255" w:lineRule="auto"/>
        <w:rPr>
          <w:sz w:val="20"/>
          <w:szCs w:val="20"/>
          <w:color w:val="auto"/>
        </w:rPr>
      </w:pPr>
      <w:r>
        <w:rPr>
          <w:rFonts w:ascii="Arial" w:cs="Arial" w:eastAsia="Arial" w:hAnsi="Arial"/>
          <w:sz w:val="18"/>
          <w:szCs w:val="18"/>
          <w:color w:val="auto"/>
        </w:rPr>
        <w:t>We believe that these provisions and agreements are necessary to attract and retain qualified persons as our officers and directors. At present, there is no pending litigation or proceeding involving our directors or officers for whom indemnification is required or permitted, and we are not aware of any threatened litigation or proceeding that may result in a claim for indemnification.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subsection titled “—2019 Summary Compensation Table” below. For 2019, our “named executive officers” and their positions were as follows:</w:t>
      </w:r>
    </w:p>
    <w:p>
      <w:pPr>
        <w:spacing w:after="0" w:line="56" w:lineRule="exact"/>
        <w:rPr>
          <w:sz w:val="20"/>
          <w:szCs w:val="20"/>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Leen Kawas, Ph.D., our president and chief executive officer;</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Mark Litton, Ph.D., our chief operating officer;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Kevin Church, Ph.D., our vice president of discovery.</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 Compensation Table</w:t>
      </w:r>
    </w:p>
    <w:p>
      <w:pPr>
        <w:spacing w:after="0" w:line="106" w:lineRule="exact"/>
        <w:rPr>
          <w:sz w:val="20"/>
          <w:szCs w:val="20"/>
          <w:color w:val="auto"/>
        </w:rPr>
      </w:pPr>
    </w:p>
    <w:p>
      <w:pPr>
        <w:ind w:right="280" w:firstLine="576"/>
        <w:spacing w:after="0" w:line="276" w:lineRule="auto"/>
        <w:rPr>
          <w:sz w:val="20"/>
          <w:szCs w:val="20"/>
          <w:color w:val="auto"/>
        </w:rPr>
      </w:pPr>
      <w:r>
        <w:rPr>
          <w:rFonts w:ascii="Arial" w:cs="Arial" w:eastAsia="Arial" w:hAnsi="Arial"/>
          <w:sz w:val="18"/>
          <w:szCs w:val="18"/>
          <w:color w:val="auto"/>
        </w:rPr>
        <w:t>The following table represents information regarding the total compensation awarded to, earned by or paid to our named executive officers during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Salary</w:t>
            </w: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Awards</w:t>
            </w: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Bonus</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980" w:type="dxa"/>
            <w:vAlign w:val="bottom"/>
            <w:gridSpan w:val="2"/>
          </w:tcPr>
          <w:p>
            <w:pPr>
              <w:ind w:left="260"/>
              <w:spacing w:after="0"/>
              <w:rPr>
                <w:sz w:val="20"/>
                <w:szCs w:val="20"/>
                <w:color w:val="auto"/>
              </w:rPr>
            </w:pPr>
            <w:r>
              <w:rPr>
                <w:rFonts w:ascii="Arial" w:cs="Arial" w:eastAsia="Arial" w:hAnsi="Arial"/>
                <w:sz w:val="14"/>
                <w:szCs w:val="14"/>
                <w:b w:val="1"/>
                <w:bCs w:val="1"/>
                <w:color w:val="auto"/>
              </w:rPr>
              <w:t>Total</w:t>
            </w:r>
          </w:p>
        </w:tc>
      </w:tr>
      <w:tr>
        <w:trPr>
          <w:trHeight w:val="177"/>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880" w:type="dxa"/>
            <w:vAlign w:val="bottom"/>
          </w:tcPr>
          <w:p>
            <w:pPr>
              <w:jc w:val="right"/>
              <w:ind w:right="204"/>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880" w:type="dxa"/>
            <w:vAlign w:val="bottom"/>
          </w:tcPr>
          <w:p>
            <w:pPr>
              <w:jc w:val="right"/>
              <w:ind w:right="283"/>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r>
      <w:tr>
        <w:trPr>
          <w:trHeight w:val="178"/>
        </w:trPr>
        <w:tc>
          <w:tcPr>
            <w:tcW w:w="4540" w:type="dxa"/>
            <w:vAlign w:val="bottom"/>
            <w:tcBorders>
              <w:top w:val="single" w:sz="8" w:color="auto"/>
            </w:tcBorders>
            <w:shd w:val="clear" w:color="auto" w:fill="CFF0FC"/>
          </w:tcPr>
          <w:p>
            <w:pPr>
              <w:spacing w:after="0" w:line="178" w:lineRule="exact"/>
              <w:rPr>
                <w:sz w:val="20"/>
                <w:szCs w:val="20"/>
                <w:color w:val="auto"/>
              </w:rPr>
            </w:pPr>
            <w:r>
              <w:rPr>
                <w:rFonts w:ascii="Arial" w:cs="Arial" w:eastAsia="Arial" w:hAnsi="Arial"/>
                <w:sz w:val="16"/>
                <w:szCs w:val="16"/>
                <w:color w:val="auto"/>
              </w:rPr>
              <w:t>Leen Kawas, Ph.D., President</w:t>
            </w:r>
          </w:p>
        </w:tc>
        <w:tc>
          <w:tcPr>
            <w:tcW w:w="100" w:type="dxa"/>
            <w:vAlign w:val="bottom"/>
            <w:tcBorders>
              <w:top w:val="single" w:sz="8" w:color="CFF0FC"/>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207"/>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and Chief Executive Officer</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284,999</w:t>
            </w:r>
          </w:p>
        </w:tc>
        <w:tc>
          <w:tcPr>
            <w:tcW w:w="2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9"/>
              </w:rPr>
              <w:t>—</w:t>
            </w:r>
          </w:p>
        </w:tc>
        <w:tc>
          <w:tcPr>
            <w:tcW w:w="108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9"/>
              </w:rPr>
              <w:t>—</w:t>
            </w:r>
          </w:p>
        </w:tc>
        <w:tc>
          <w:tcPr>
            <w:tcW w:w="1020" w:type="dxa"/>
            <w:vAlign w:val="bottom"/>
            <w:shd w:val="clear" w:color="auto" w:fill="CFF0FC"/>
          </w:tcPr>
          <w:p>
            <w:pPr>
              <w:jc w:val="right"/>
              <w:ind w:right="184"/>
              <w:spacing w:after="0"/>
              <w:rPr>
                <w:sz w:val="20"/>
                <w:szCs w:val="20"/>
                <w:color w:val="auto"/>
              </w:rPr>
            </w:pPr>
            <w:r>
              <w:rPr>
                <w:rFonts w:ascii="Arial" w:cs="Arial" w:eastAsia="Arial" w:hAnsi="Arial"/>
                <w:sz w:val="16"/>
                <w:szCs w:val="16"/>
                <w:color w:val="auto"/>
              </w:rPr>
              <w:t>2,016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287,015</w:t>
            </w:r>
          </w:p>
        </w:tc>
        <w:tc>
          <w:tcPr>
            <w:tcW w:w="100" w:type="dxa"/>
            <w:vAlign w:val="bottom"/>
            <w:shd w:val="clear" w:color="auto" w:fill="CFF0FC"/>
          </w:tcPr>
          <w:p>
            <w:pPr>
              <w:spacing w:after="0"/>
              <w:rPr>
                <w:sz w:val="18"/>
                <w:szCs w:val="18"/>
                <w:color w:val="auto"/>
              </w:rPr>
            </w:pPr>
          </w:p>
        </w:tc>
      </w:tr>
      <w:tr>
        <w:trPr>
          <w:trHeight w:val="203"/>
        </w:trPr>
        <w:tc>
          <w:tcPr>
            <w:tcW w:w="4640" w:type="dxa"/>
            <w:vAlign w:val="bottom"/>
            <w:gridSpan w:val="2"/>
          </w:tcPr>
          <w:p>
            <w:pPr>
              <w:spacing w:after="0"/>
              <w:rPr>
                <w:sz w:val="20"/>
                <w:szCs w:val="20"/>
                <w:color w:val="auto"/>
              </w:rPr>
            </w:pPr>
            <w:r>
              <w:rPr>
                <w:rFonts w:ascii="Arial" w:cs="Arial" w:eastAsia="Arial" w:hAnsi="Arial"/>
                <w:sz w:val="16"/>
                <w:szCs w:val="16"/>
                <w:color w:val="auto"/>
              </w:rPr>
              <w:t>Mark Litton, Ph.D., Chief Operating Officer</w:t>
            </w:r>
          </w:p>
        </w:tc>
        <w:tc>
          <w:tcPr>
            <w:tcW w:w="1000" w:type="dxa"/>
            <w:vAlign w:val="bottom"/>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880" w:type="dxa"/>
            <w:vAlign w:val="bottom"/>
          </w:tcPr>
          <w:p>
            <w:pPr>
              <w:jc w:val="center"/>
              <w:ind w:left="23"/>
              <w:spacing w:after="0"/>
              <w:rPr>
                <w:sz w:val="20"/>
                <w:szCs w:val="20"/>
                <w:color w:val="auto"/>
              </w:rPr>
            </w:pPr>
            <w:r>
              <w:rPr>
                <w:rFonts w:ascii="Arial" w:cs="Arial" w:eastAsia="Arial" w:hAnsi="Arial"/>
                <w:sz w:val="16"/>
                <w:szCs w:val="16"/>
                <w:color w:val="auto"/>
              </w:rPr>
              <w:t>12,000</w:t>
            </w:r>
          </w:p>
        </w:tc>
        <w:tc>
          <w:tcPr>
            <w:tcW w:w="220" w:type="dxa"/>
            <w:vAlign w:val="bottom"/>
          </w:tcPr>
          <w:p>
            <w:pPr>
              <w:spacing w:after="0"/>
              <w:rPr>
                <w:sz w:val="17"/>
                <w:szCs w:val="17"/>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180,480</w:t>
            </w:r>
          </w:p>
        </w:tc>
        <w:tc>
          <w:tcPr>
            <w:tcW w:w="22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192,480</w:t>
            </w:r>
          </w:p>
        </w:tc>
        <w:tc>
          <w:tcPr>
            <w:tcW w:w="100" w:type="dxa"/>
            <w:vAlign w:val="bottom"/>
          </w:tcPr>
          <w:p>
            <w:pPr>
              <w:spacing w:after="0"/>
              <w:rPr>
                <w:sz w:val="17"/>
                <w:szCs w:val="17"/>
                <w:color w:val="auto"/>
              </w:rPr>
            </w:pPr>
          </w:p>
        </w:tc>
      </w:tr>
      <w:tr>
        <w:trPr>
          <w:trHeight w:val="184"/>
        </w:trPr>
        <w:tc>
          <w:tcPr>
            <w:tcW w:w="4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 Vice President of</w:t>
            </w:r>
          </w:p>
        </w:tc>
        <w:tc>
          <w:tcPr>
            <w:tcW w:w="10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464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Discovery</w:t>
            </w:r>
          </w:p>
        </w:tc>
        <w:tc>
          <w:tcPr>
            <w:tcW w:w="10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jc w:val="center"/>
              <w:ind w:left="23"/>
              <w:spacing w:after="0"/>
              <w:rPr>
                <w:sz w:val="20"/>
                <w:szCs w:val="20"/>
                <w:color w:val="auto"/>
              </w:rPr>
            </w:pPr>
            <w:r>
              <w:rPr>
                <w:rFonts w:ascii="Arial" w:cs="Arial" w:eastAsia="Arial" w:hAnsi="Arial"/>
                <w:sz w:val="16"/>
                <w:szCs w:val="16"/>
                <w:color w:val="auto"/>
              </w:rPr>
              <w:t>113,666</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11,650</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63"/>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center"/>
              <w:ind w:right="240"/>
              <w:spacing w:after="0"/>
              <w:rPr>
                <w:sz w:val="20"/>
                <w:szCs w:val="20"/>
                <w:color w:val="auto"/>
              </w:rPr>
            </w:pPr>
            <w:r>
              <w:rPr>
                <w:rFonts w:ascii="Arial" w:cs="Arial" w:eastAsia="Arial" w:hAnsi="Arial"/>
                <w:sz w:val="16"/>
                <w:szCs w:val="16"/>
                <w:color w:val="auto"/>
                <w:w w:val="99"/>
              </w:rPr>
              <w:t>—</w:t>
            </w:r>
          </w:p>
        </w:tc>
        <w:tc>
          <w:tcPr>
            <w:tcW w:w="88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135,316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83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3" w:lineRule="exact"/>
        <w:rPr>
          <w:sz w:val="20"/>
          <w:szCs w:val="20"/>
          <w:color w:val="auto"/>
        </w:rPr>
      </w:pPr>
    </w:p>
    <w:p>
      <w:pPr>
        <w:ind w:left="480" w:right="180" w:hanging="472"/>
        <w:spacing w:after="0" w:line="261" w:lineRule="auto"/>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In accordance with SEC rules, amounts in this column reflect the aggregate grant date fair value of stock options granted during 2019 computed in accordance with Accounting Standards Codification (ASC) Topic 718, rather than the amounts paid or realized by the named executive officer. We provide information regarding the assumptions used to calculate the value of all stock options made to our directors in Note 12 to our audited financial statements included elsewhere in this prospectus.</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Reflects a discretionary bonus paid to Dr. Church.</w:t>
      </w:r>
    </w:p>
    <w:p>
      <w:pPr>
        <w:spacing w:after="0" w:line="41" w:lineRule="exact"/>
        <w:rPr>
          <w:rFonts w:ascii="Arial" w:cs="Arial" w:eastAsia="Arial" w:hAnsi="Arial"/>
          <w:sz w:val="14"/>
          <w:szCs w:val="14"/>
          <w:color w:val="auto"/>
        </w:rPr>
      </w:pPr>
    </w:p>
    <w:p>
      <w:pPr>
        <w:ind w:left="480" w:hanging="472"/>
        <w:spacing w:after="0"/>
        <w:tabs>
          <w:tab w:leader="none" w:pos="48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amounts in this column represent reimbursements paid to Dr. Kawas to cover parking fees.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table shows grants of stock options and stock awards to each of our named executive officers outstanding at December 31, 2019.</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Vesting</w:t>
            </w:r>
          </w:p>
        </w:tc>
        <w:tc>
          <w:tcPr>
            <w:tcW w:w="1460" w:type="dxa"/>
            <w:vAlign w:val="bottom"/>
            <w:tcBorders>
              <w:bottom w:val="single" w:sz="8" w:color="auto"/>
            </w:tcBorders>
          </w:tcPr>
          <w:p>
            <w:pPr>
              <w:spacing w:after="0"/>
              <w:rPr>
                <w:sz w:val="15"/>
                <w:szCs w:val="15"/>
                <w:color w:val="auto"/>
              </w:rPr>
            </w:pPr>
          </w:p>
        </w:tc>
        <w:tc>
          <w:tcPr>
            <w:tcW w:w="392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Number of Securities Underlying Unexercised Options</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2"/>
            <w:vMerge w:val="continue"/>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00" w:type="dxa"/>
            <w:vAlign w:val="bottom"/>
            <w:gridSpan w:val="3"/>
          </w:tcPr>
          <w:p>
            <w:pPr>
              <w:jc w:val="center"/>
              <w:ind w:right="440"/>
              <w:spacing w:after="0" w:line="154" w:lineRule="exact"/>
              <w:rPr>
                <w:sz w:val="20"/>
                <w:szCs w:val="20"/>
                <w:color w:val="auto"/>
              </w:rPr>
            </w:pPr>
            <w:r>
              <w:rPr>
                <w:rFonts w:ascii="Arial" w:cs="Arial" w:eastAsia="Arial" w:hAnsi="Arial"/>
                <w:sz w:val="14"/>
                <w:szCs w:val="14"/>
                <w:b w:val="1"/>
                <w:bCs w:val="1"/>
                <w:color w:val="auto"/>
              </w:rPr>
              <w:t>Option Exercise</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Commencement</w:t>
            </w:r>
          </w:p>
        </w:tc>
        <w:tc>
          <w:tcPr>
            <w:tcW w:w="1460" w:type="dxa"/>
            <w:vAlign w:val="bottom"/>
          </w:tcPr>
          <w:p>
            <w:pPr>
              <w:jc w:val="right"/>
              <w:ind w:right="261"/>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4"/>
                <w:szCs w:val="14"/>
                <w:color w:val="auto"/>
              </w:rPr>
            </w:pPr>
          </w:p>
        </w:tc>
        <w:tc>
          <w:tcPr>
            <w:tcW w:w="1740" w:type="dxa"/>
            <w:vAlign w:val="bottom"/>
            <w:gridSpan w:val="2"/>
          </w:tcPr>
          <w:p>
            <w:pPr>
              <w:ind w:left="240"/>
              <w:spacing w:after="0"/>
              <w:rPr>
                <w:sz w:val="20"/>
                <w:szCs w:val="20"/>
                <w:color w:val="auto"/>
              </w:rPr>
            </w:pPr>
            <w:r>
              <w:rPr>
                <w:rFonts w:ascii="Arial" w:cs="Arial" w:eastAsia="Arial" w:hAnsi="Arial"/>
                <w:sz w:val="14"/>
                <w:szCs w:val="14"/>
                <w:b w:val="1"/>
                <w:bCs w:val="1"/>
                <w:color w:val="auto"/>
              </w:rPr>
              <w:t>Unexercisable</w:t>
            </w:r>
          </w:p>
        </w:tc>
        <w:tc>
          <w:tcPr>
            <w:tcW w:w="19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Prices</w:t>
            </w:r>
          </w:p>
        </w:tc>
        <w:tc>
          <w:tcPr>
            <w:tcW w:w="1460" w:type="dxa"/>
            <w:vAlign w:val="bottom"/>
          </w:tcPr>
          <w:p>
            <w:pPr>
              <w:jc w:val="right"/>
              <w:ind w:right="501"/>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77"/>
        </w:trPr>
        <w:tc>
          <w:tcPr>
            <w:tcW w:w="2660" w:type="dxa"/>
            <w:vAlign w:val="bottom"/>
            <w:gridSpan w:val="2"/>
          </w:tcPr>
          <w:p>
            <w:pPr>
              <w:ind w:left="1040"/>
              <w:spacing w:after="0"/>
              <w:rPr>
                <w:sz w:val="20"/>
                <w:szCs w:val="20"/>
                <w:color w:val="auto"/>
              </w:rPr>
            </w:pPr>
            <w:r>
              <w:rPr>
                <w:rFonts w:ascii="Arial" w:cs="Arial" w:eastAsia="Arial" w:hAnsi="Arial"/>
                <w:sz w:val="14"/>
                <w:szCs w:val="14"/>
                <w:b w:val="1"/>
                <w:bCs w:val="1"/>
                <w:color w:val="auto"/>
              </w:rPr>
              <w:t>Name</w:t>
            </w:r>
          </w:p>
        </w:tc>
        <w:tc>
          <w:tcPr>
            <w:tcW w:w="1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Date</w:t>
            </w:r>
          </w:p>
        </w:tc>
        <w:tc>
          <w:tcPr>
            <w:tcW w:w="1460" w:type="dxa"/>
            <w:vAlign w:val="bottom"/>
          </w:tcPr>
          <w:p>
            <w:pPr>
              <w:jc w:val="right"/>
              <w:ind w:right="561"/>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61"/>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jc w:val="right"/>
              <w:ind w:right="201"/>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Leen Kawas, Ph.D.</w:t>
            </w:r>
          </w:p>
        </w:tc>
        <w:tc>
          <w:tcPr>
            <w:tcW w:w="16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1/20/2014</w:t>
            </w:r>
          </w:p>
        </w:tc>
        <w:tc>
          <w:tcPr>
            <w:tcW w:w="1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25,220</w:t>
            </w:r>
          </w:p>
        </w:tc>
        <w:tc>
          <w:tcPr>
            <w:tcW w:w="28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08/29/2014</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50,440</w:t>
            </w:r>
          </w:p>
        </w:tc>
        <w:tc>
          <w:tcPr>
            <w:tcW w:w="280" w:type="dxa"/>
            <w:vAlign w:val="bottom"/>
          </w:tcPr>
          <w:p>
            <w:pPr>
              <w:spacing w:after="0"/>
              <w:rPr>
                <w:sz w:val="17"/>
                <w:szCs w:val="17"/>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0.16</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08/28/2024</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10/24/2015</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226,980</w:t>
            </w:r>
          </w:p>
        </w:tc>
        <w:tc>
          <w:tcPr>
            <w:tcW w:w="28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0.48</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10/23/2025</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12/01/2017</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63,050</w:t>
            </w:r>
          </w:p>
        </w:tc>
        <w:tc>
          <w:tcPr>
            <w:tcW w:w="280" w:type="dxa"/>
            <w:vAlign w:val="bottom"/>
          </w:tcPr>
          <w:p>
            <w:pPr>
              <w:spacing w:after="0"/>
              <w:rPr>
                <w:sz w:val="17"/>
                <w:szCs w:val="17"/>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1.31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01/21/2023</w:t>
            </w:r>
          </w:p>
        </w:tc>
        <w:tc>
          <w:tcPr>
            <w:tcW w:w="0" w:type="dxa"/>
            <w:vAlign w:val="bottom"/>
          </w:tcPr>
          <w:p>
            <w:pPr>
              <w:spacing w:after="0"/>
              <w:rPr>
                <w:sz w:val="1"/>
                <w:szCs w:val="1"/>
                <w:color w:val="auto"/>
              </w:rPr>
            </w:pPr>
          </w:p>
        </w:tc>
      </w:tr>
      <w:tr>
        <w:trPr>
          <w:trHeight w:val="243"/>
        </w:trPr>
        <w:tc>
          <w:tcPr>
            <w:tcW w:w="25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31,525</w:t>
            </w:r>
            <w:r>
              <w:rPr>
                <w:rFonts w:ascii="Arial" w:cs="Arial" w:eastAsia="Arial" w:hAnsi="Arial"/>
                <w:sz w:val="27"/>
                <w:szCs w:val="27"/>
                <w:color w:val="auto"/>
                <w:vertAlign w:val="superscript"/>
              </w:rPr>
              <w:t>(1)</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12/17/2023</w:t>
            </w: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rPr>
                <w:sz w:val="20"/>
                <w:szCs w:val="20"/>
                <w:color w:val="auto"/>
              </w:rPr>
            </w:pPr>
            <w:r>
              <w:rPr>
                <w:rFonts w:ascii="Arial" w:cs="Arial" w:eastAsia="Arial" w:hAnsi="Arial"/>
                <w:sz w:val="16"/>
                <w:szCs w:val="16"/>
                <w:color w:val="auto"/>
              </w:rPr>
              <w:t>Mark Litton, Ph.D.</w:t>
            </w:r>
          </w:p>
        </w:tc>
        <w:tc>
          <w:tcPr>
            <w:tcW w:w="1580" w:type="dxa"/>
            <w:vAlign w:val="bottom"/>
          </w:tcPr>
          <w:p>
            <w:pPr>
              <w:jc w:val="right"/>
              <w:spacing w:after="0"/>
              <w:rPr>
                <w:sz w:val="20"/>
                <w:szCs w:val="20"/>
                <w:color w:val="auto"/>
              </w:rPr>
            </w:pPr>
            <w:r>
              <w:rPr>
                <w:rFonts w:ascii="Arial" w:cs="Arial" w:eastAsia="Arial" w:hAnsi="Arial"/>
                <w:sz w:val="16"/>
                <w:szCs w:val="16"/>
                <w:color w:val="auto"/>
              </w:rPr>
              <w:t>07/01/2019</w:t>
            </w: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line="242" w:lineRule="exact"/>
              <w:rPr>
                <w:sz w:val="20"/>
                <w:szCs w:val="20"/>
                <w:color w:val="auto"/>
              </w:rPr>
            </w:pPr>
            <w:r>
              <w:rPr>
                <w:rFonts w:ascii="Arial" w:cs="Arial" w:eastAsia="Arial" w:hAnsi="Arial"/>
                <w:sz w:val="16"/>
                <w:szCs w:val="16"/>
                <w:color w:val="auto"/>
              </w:rPr>
              <w:t>201,760</w:t>
            </w:r>
            <w:r>
              <w:rPr>
                <w:rFonts w:ascii="Arial" w:cs="Arial" w:eastAsia="Arial" w:hAnsi="Arial"/>
                <w:sz w:val="27"/>
                <w:szCs w:val="27"/>
                <w:color w:val="auto"/>
                <w:vertAlign w:val="superscript"/>
              </w:rPr>
              <w:t>(2)</w:t>
            </w: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08/14/2029</w:t>
            </w:r>
          </w:p>
        </w:tc>
        <w:tc>
          <w:tcPr>
            <w:tcW w:w="0" w:type="dxa"/>
            <w:vAlign w:val="bottom"/>
          </w:tcPr>
          <w:p>
            <w:pPr>
              <w:spacing w:after="0"/>
              <w:rPr>
                <w:sz w:val="1"/>
                <w:szCs w:val="1"/>
                <w:color w:val="auto"/>
              </w:rPr>
            </w:pPr>
          </w:p>
        </w:tc>
      </w:tr>
      <w:tr>
        <w:trPr>
          <w:trHeight w:val="243"/>
        </w:trPr>
        <w:tc>
          <w:tcPr>
            <w:tcW w:w="2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Kevin Church, Ph.D.</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07/01/2016</w:t>
            </w:r>
          </w:p>
        </w:tc>
        <w:tc>
          <w:tcPr>
            <w:tcW w:w="16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28,372</w:t>
            </w:r>
          </w:p>
        </w:tc>
        <w:tc>
          <w:tcPr>
            <w:tcW w:w="1740" w:type="dxa"/>
            <w:vAlign w:val="bottom"/>
            <w:gridSpan w:val="2"/>
            <w:shd w:val="clear" w:color="auto" w:fill="CFF0FC"/>
          </w:tcPr>
          <w:p>
            <w:pPr>
              <w:jc w:val="right"/>
              <w:spacing w:after="0" w:line="242" w:lineRule="exact"/>
              <w:rPr>
                <w:sz w:val="20"/>
                <w:szCs w:val="20"/>
                <w:color w:val="auto"/>
              </w:rPr>
            </w:pPr>
            <w:r>
              <w:rPr>
                <w:rFonts w:ascii="Arial" w:cs="Arial" w:eastAsia="Arial" w:hAnsi="Arial"/>
                <w:sz w:val="16"/>
                <w:szCs w:val="16"/>
                <w:color w:val="auto"/>
              </w:rPr>
              <w:t>9,457</w:t>
            </w:r>
            <w:r>
              <w:rPr>
                <w:rFonts w:ascii="Arial" w:cs="Arial" w:eastAsia="Arial" w:hAnsi="Arial"/>
                <w:sz w:val="27"/>
                <w:szCs w:val="27"/>
                <w:color w:val="auto"/>
                <w:vertAlign w:val="superscript"/>
              </w:rPr>
              <w:t>(2)</w:t>
            </w: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06/19/2026</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09/01/2016</w:t>
            </w: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6,305</w:t>
            </w: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08/30/2026</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06/19/2017</w:t>
            </w:r>
          </w:p>
        </w:tc>
        <w:tc>
          <w:tcPr>
            <w:tcW w:w="16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3,152</w:t>
            </w:r>
          </w:p>
        </w:tc>
        <w:tc>
          <w:tcPr>
            <w:tcW w:w="28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06/19/2027</w:t>
            </w:r>
          </w:p>
        </w:tc>
        <w:tc>
          <w:tcPr>
            <w:tcW w:w="0" w:type="dxa"/>
            <w:vAlign w:val="bottom"/>
          </w:tcPr>
          <w:p>
            <w:pPr>
              <w:spacing w:after="0"/>
              <w:rPr>
                <w:sz w:val="1"/>
                <w:szCs w:val="1"/>
                <w:color w:val="auto"/>
              </w:rPr>
            </w:pPr>
          </w:p>
        </w:tc>
      </w:tr>
      <w:tr>
        <w:trPr>
          <w:trHeight w:val="406"/>
        </w:trPr>
        <w:tc>
          <w:tcPr>
            <w:tcW w:w="2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01/01/2019</w:t>
            </w: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12,610</w:t>
            </w:r>
            <w:r>
              <w:rPr>
                <w:rFonts w:ascii="Arial" w:cs="Arial" w:eastAsia="Arial" w:hAnsi="Arial"/>
                <w:sz w:val="27"/>
                <w:szCs w:val="27"/>
                <w:color w:val="auto"/>
                <w:vertAlign w:val="superscript"/>
              </w:rPr>
              <w:t>(2)</w:t>
            </w:r>
          </w:p>
        </w:tc>
        <w:tc>
          <w:tcPr>
            <w:tcW w:w="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12/17/2028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834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ind w:left="480" w:right="20" w:hanging="472"/>
        <w:spacing w:after="0" w:line="271"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Stock option vests over three years, with 1/3 vesting on each anniversary of the vesting commencement date, subject to continued service with us through the applicable vesting date.</w:t>
      </w:r>
    </w:p>
    <w:p>
      <w:pPr>
        <w:ind w:left="480" w:right="100" w:hanging="472"/>
        <w:spacing w:after="0" w:line="291" w:lineRule="auto"/>
        <w:tabs>
          <w:tab w:leader="none" w:pos="480" w:val="left"/>
        </w:tabs>
        <w:numPr>
          <w:ilvl w:val="0"/>
          <w:numId w:val="98"/>
        </w:numPr>
        <w:rPr>
          <w:rFonts w:ascii="Arial" w:cs="Arial" w:eastAsia="Arial" w:hAnsi="Arial"/>
          <w:sz w:val="14"/>
          <w:szCs w:val="14"/>
          <w:color w:val="auto"/>
        </w:rPr>
      </w:pPr>
      <w:r>
        <w:rPr>
          <w:rFonts w:ascii="Arial" w:cs="Arial" w:eastAsia="Arial" w:hAnsi="Arial"/>
          <w:sz w:val="14"/>
          <w:szCs w:val="14"/>
          <w:color w:val="auto"/>
        </w:rPr>
        <w:t>Stock option vests over four years, with 1/4 vesting on each anniversary of the vesting commencement date, subject to continued service with us through the applicable vesting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106"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 September 2020, our board of directors authorized the grant of option awards to our named executive officers to provide them additional incentives to remain with us and to promote further alignment between their interests and those of our stockholders. The number of shares subject to each authorized option award was determined, with input from Radford, as follows: 209,956 (Dr. Kawas), 46,657 (Dr. Litton) and 69,985 (Dr. Church). These awards were issued under our 2020 Equity Incentive Plan and became effective upon the effectiveness of the registration statement of which this prospectus forms a part. The per share exercise price of each option is equal to the initial price of a share of our common stock to the public as of the effective date of the registration statement, which price is the same as the price set forth on the cover page of this prospectus. Each of the options is scheduled to vest as to 25% of the shares subject to the option on the one-, two-, three- and four-year anniversaries of August 26, 2020, in each case subject to continued service with us through each applicable vesting date, and further subject to vesting acceleration under certain circumstances as described under the subsection titled “—Change in Control and Severance Agreements.”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06"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Each of our named executive officers has executed our standard form of confidential information, invention assignment and arbitration agreement.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Leen Kawas</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Kawas, our president and chief executive officer. The confirmatory employment letter has no specific term and provides that Dr. Kawas is an at-will employee and supersedes all prior employment agreements between Dr. Kawas and us. Dr. Kawas’s current annual base salary is $285,000 and she is eligible for an annual target cash incentive payment equal to 50% of her annual base salary. In connection with this offering, Dr. Kawas’s annual base salary was increased to $510,000.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Mark Litton</w:t>
      </w:r>
    </w:p>
    <w:p>
      <w:pPr>
        <w:spacing w:after="0" w:line="104" w:lineRule="exact"/>
        <w:rPr>
          <w:sz w:val="20"/>
          <w:szCs w:val="20"/>
          <w:color w:val="auto"/>
        </w:rPr>
      </w:pPr>
    </w:p>
    <w:p>
      <w:pPr>
        <w:ind w:right="160" w:firstLine="576"/>
        <w:spacing w:after="0" w:line="268" w:lineRule="auto"/>
        <w:rPr>
          <w:sz w:val="20"/>
          <w:szCs w:val="20"/>
          <w:color w:val="auto"/>
        </w:rPr>
      </w:pPr>
      <w:r>
        <w:rPr>
          <w:rFonts w:ascii="Arial" w:cs="Arial" w:eastAsia="Arial" w:hAnsi="Arial"/>
          <w:sz w:val="17"/>
          <w:szCs w:val="17"/>
          <w:color w:val="auto"/>
        </w:rPr>
        <w:t>In September 2020, we entered into a confirmatory employment letter with Dr. Litton, our chief operating officer. The confirmatory employment letter has no specific term and provides that Dr. Litton is an at-will employee and supersedes all prior employment agreements between Dr. Litton and us. Dr. Litton’s current annual base salary is $250,000 and he is eligible for an annual target cash incentive payment equal to 40% of his annual base salary. In connection with this offering, Dr. Litton’s annual base salary was increased to $430,000.</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Kevin Church</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September 2020, we entered into a confirmatory employment letter with Dr. Kevin Church, our vice president of discovery. The confirmatory employment letter has no specific term and provides that Dr. Church is an at-will employee and supersedes all prior employment agreements between Dr. Church and us. Dr. Church’s current annual base salary is $121,000 and he is eligible for an annual target cash incentive payment equal to 25% of his annual base salary. In connection with this offering, Dr. Church’s annual base salary was increased to $230,000.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color w:val="auto"/>
        </w:rPr>
        <w:t>Change in Control and Severance Agreements</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In September 2020, we entered into change in control and severance agreements with Dr. Kawas and Dr. Litton, which agreements provide for certain severance and change in control benefits as described below.</w:t>
      </w:r>
    </w:p>
    <w:p>
      <w:pPr>
        <w:spacing w:after="0" w:line="145"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the employment of a named executive officer with whom we have entered into a change in control and severance agreement is terminated outside the period beginning one month prior to the date of a change in control and ending 12 months following that change in control (the Change in Control Period) either (1) by the company without “cause” (excluding by reason of death or disability) or (2) by the named executive officer for “good reason” (as such terms are defined in the named executive officer’s change in control and severance agreement), the named executive officer will receive the following benefits if he or she timely signs and does not revoke a release of claims in our favor:</w:t>
      </w:r>
    </w:p>
    <w:p>
      <w:pPr>
        <w:spacing w:after="0" w:line="66" w:lineRule="exact"/>
        <w:rPr>
          <w:sz w:val="20"/>
          <w:szCs w:val="20"/>
          <w:color w:val="auto"/>
        </w:rPr>
      </w:pPr>
    </w:p>
    <w:p>
      <w:pPr>
        <w:ind w:left="1300" w:right="220" w:hanging="442"/>
        <w:spacing w:after="0" w:line="255" w:lineRule="auto"/>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9 months (or 12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w:t>
      </w:r>
    </w:p>
    <w:p>
      <w:pPr>
        <w:spacing w:after="0" w:line="54" w:lineRule="exact"/>
        <w:rPr>
          <w:rFonts w:ascii="Times New Roman" w:cs="Times New Roman" w:eastAsia="Times New Roman" w:hAnsi="Times New Roman"/>
          <w:sz w:val="18"/>
          <w:szCs w:val="18"/>
          <w:color w:val="auto"/>
        </w:rPr>
      </w:pPr>
    </w:p>
    <w:p>
      <w:pPr>
        <w:ind w:left="1300" w:right="160" w:hanging="442"/>
        <w:spacing w:after="0" w:line="255" w:lineRule="auto"/>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the Consolidated Omnibus Budget Reconciliation Act of 1985, as amended (COBRA), for the named executive officer and his or her eligible dependents, if any, for up to 9 months (or 12 months in the case of Dr. Kawas); and</w:t>
      </w:r>
    </w:p>
    <w:p>
      <w:pPr>
        <w:spacing w:after="0" w:line="54"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99"/>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Dr. Litton only, vesting acceleration of 25% of the shares subject to Dr. Litton’s 2019 Company option award to the extent outstanding and unvested as of the date of the qualifying termination.</w:t>
      </w:r>
    </w:p>
    <w:p>
      <w:pPr>
        <w:spacing w:after="0" w:line="146"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If, during the Change in Control Period, the employment of a named executive officer with whom we have entered into a change in control and severance agreement is terminated either (1) by the company without cause (excluding by reason of death or disability) or (2) by the named executive officer for good reason, the named executive officer will receive the following benefits if the named executive officer timely signs and does not revoke a separation agreement and release of claims in our favor:</w:t>
      </w:r>
    </w:p>
    <w:p>
      <w:pPr>
        <w:spacing w:after="0" w:line="62" w:lineRule="exact"/>
        <w:rPr>
          <w:sz w:val="20"/>
          <w:szCs w:val="20"/>
          <w:color w:val="auto"/>
        </w:rPr>
      </w:pPr>
    </w:p>
    <w:p>
      <w:pPr>
        <w:ind w:left="1300" w:right="180" w:hanging="442"/>
        <w:spacing w:after="0" w:line="248" w:lineRule="auto"/>
        <w:tabs>
          <w:tab w:leader="none" w:pos="1300" w:val="left"/>
        </w:tabs>
        <w:numPr>
          <w:ilvl w:val="0"/>
          <w:numId w:val="100"/>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12 months (or 18 months in the case of Dr. Kawas) of the named executive officer’s annual base salary as in effect immediately prior to such termination (or if such termination is due to a resignation for good reason based on a material reduction in base salary, then as in effect immediately prior to the reduction) or if greater, at the level in effect immediately prior to the change in control;</w:t>
      </w:r>
    </w:p>
    <w:p>
      <w:pPr>
        <w:spacing w:after="0" w:line="61" w:lineRule="exact"/>
        <w:rPr>
          <w:rFonts w:ascii="Times New Roman" w:cs="Times New Roman" w:eastAsia="Times New Roman" w:hAnsi="Times New Roman"/>
          <w:sz w:val="18"/>
          <w:szCs w:val="18"/>
          <w:color w:val="auto"/>
        </w:rPr>
      </w:pPr>
    </w:p>
    <w:p>
      <w:pPr>
        <w:ind w:left="1300" w:right="20" w:hanging="442"/>
        <w:spacing w:after="0" w:line="255" w:lineRule="auto"/>
        <w:tabs>
          <w:tab w:leader="none" w:pos="1300" w:val="left"/>
        </w:tabs>
        <w:numPr>
          <w:ilvl w:val="0"/>
          <w:numId w:val="100"/>
        </w:numPr>
        <w:rPr>
          <w:rFonts w:ascii="Times New Roman" w:cs="Times New Roman" w:eastAsia="Times New Roman" w:hAnsi="Times New Roman"/>
          <w:sz w:val="18"/>
          <w:szCs w:val="18"/>
          <w:color w:val="auto"/>
        </w:rPr>
      </w:pPr>
      <w:r>
        <w:rPr>
          <w:rFonts w:ascii="Arial" w:cs="Arial" w:eastAsia="Arial" w:hAnsi="Arial"/>
          <w:sz w:val="18"/>
          <w:szCs w:val="18"/>
          <w:color w:val="auto"/>
        </w:rPr>
        <w:t>a lump-sum payment equal to 100% (or 150% in the case of Dr. Kawas) of the named executive officer’s target annual bonus as in effect for the fiscal year in which such termination occurs or if greater, at the level in effect, immediately prior to the change in control;</w:t>
      </w:r>
    </w:p>
    <w:p>
      <w:pPr>
        <w:spacing w:after="0" w:line="54"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0"/>
        </w:numPr>
        <w:rPr>
          <w:rFonts w:ascii="Times New Roman" w:cs="Times New Roman" w:eastAsia="Times New Roman" w:hAnsi="Times New Roman"/>
          <w:sz w:val="18"/>
          <w:szCs w:val="18"/>
          <w:color w:val="auto"/>
        </w:rPr>
      </w:pPr>
      <w:r>
        <w:rPr>
          <w:rFonts w:ascii="Arial" w:cs="Arial" w:eastAsia="Arial" w:hAnsi="Arial"/>
          <w:sz w:val="18"/>
          <w:szCs w:val="18"/>
          <w:color w:val="auto"/>
        </w:rPr>
        <w:t>payment of premiums for coverage under COBRA for the named executive officer and the named executive officer’s eligible dependents, if any, for up to 12 months (or 18 months in the case of Dr. Kawas); and</w:t>
      </w:r>
    </w:p>
    <w:p>
      <w:pPr>
        <w:spacing w:after="0" w:line="37" w:lineRule="exact"/>
        <w:rPr>
          <w:rFonts w:ascii="Times New Roman" w:cs="Times New Roman" w:eastAsia="Times New Roman" w:hAnsi="Times New Roman"/>
          <w:sz w:val="18"/>
          <w:szCs w:val="18"/>
          <w:color w:val="auto"/>
        </w:rPr>
      </w:pPr>
    </w:p>
    <w:p>
      <w:pPr>
        <w:ind w:left="1300" w:right="560" w:hanging="442"/>
        <w:spacing w:after="0" w:line="305" w:lineRule="auto"/>
        <w:tabs>
          <w:tab w:leader="none" w:pos="1300" w:val="left"/>
        </w:tabs>
        <w:numPr>
          <w:ilvl w:val="0"/>
          <w:numId w:val="100"/>
        </w:numPr>
        <w:rPr>
          <w:rFonts w:ascii="Times New Roman" w:cs="Times New Roman" w:eastAsia="Times New Roman" w:hAnsi="Times New Roman"/>
          <w:sz w:val="17"/>
          <w:szCs w:val="17"/>
          <w:color w:val="auto"/>
        </w:rPr>
      </w:pPr>
      <w:r>
        <w:rPr>
          <w:rFonts w:ascii="Arial" w:cs="Arial" w:eastAsia="Arial" w:hAnsi="Arial"/>
          <w:sz w:val="17"/>
          <w:szCs w:val="17"/>
          <w:color w:val="auto"/>
        </w:rPr>
        <w:t>100% accelerated vesting and exercisability of all Company equity awards with service-based vesting (but that are not subject to performance-based vesting) that are outstanding and unvested as of the date of the qualifying termination.</w:t>
      </w:r>
    </w:p>
    <w:p>
      <w:pPr>
        <w:spacing w:after="0" w:line="123" w:lineRule="exact"/>
        <w:rPr>
          <w:sz w:val="20"/>
          <w:szCs w:val="20"/>
          <w:color w:val="auto"/>
        </w:rPr>
      </w:pPr>
    </w:p>
    <w:p>
      <w:pPr>
        <w:jc w:val="both"/>
        <w:ind w:right="360" w:firstLine="576"/>
        <w:spacing w:after="0" w:line="255" w:lineRule="auto"/>
        <w:rPr>
          <w:sz w:val="20"/>
          <w:szCs w:val="20"/>
          <w:color w:val="auto"/>
        </w:rPr>
      </w:pPr>
      <w:r>
        <w:rPr>
          <w:rFonts w:ascii="Arial" w:cs="Arial" w:eastAsia="Arial" w:hAnsi="Arial"/>
          <w:sz w:val="18"/>
          <w:szCs w:val="18"/>
          <w:color w:val="auto"/>
        </w:rPr>
        <w:t>In addition, the change in control and severance agreement provides for 100% accelerated vesting and exercisability of Company equity awards granted under our 2014 Equity Incentive Plan and held by such named executive officer to the extent such awards are not assumed or substituted for by the successor corporation in a change in control.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65" w:name="page166"/>
    <w:bookmarkEnd w:id="165"/>
    <w:p>
      <w:pPr>
        <w:ind w:right="60" w:firstLine="576"/>
        <w:spacing w:after="0" w:line="245" w:lineRule="auto"/>
        <w:rPr>
          <w:sz w:val="20"/>
          <w:szCs w:val="20"/>
          <w:color w:val="auto"/>
        </w:rPr>
      </w:pPr>
      <w:r>
        <w:rPr>
          <w:rFonts w:ascii="Arial" w:cs="Arial" w:eastAsia="Arial" w:hAnsi="Arial"/>
          <w:sz w:val="18"/>
          <w:szCs w:val="18"/>
          <w:color w:val="auto"/>
        </w:rPr>
        <w:t>If any of the amounts provided for under these change in control and severance agreements or otherwise payable to Dr. Kawas or Dr. Litton would constitute “parachute payments” within the meaning of Section 280G of the Internal Revenue Code and could be subject to the related excise tax, the named executive officer would be entitled to receive either full payment of benefits or such lesser amount which would result in no portion of the benefits being subject to the excise tax, whichever results in the greater amount of after-tax benefits to the named executive officer. The change in control and severance agreements do not require us to provide any tax gross-up payments.</w:t>
      </w:r>
    </w:p>
    <w:p>
      <w:pPr>
        <w:spacing w:after="0" w:line="17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Under the change in control and severance agreement, ”cause” generally means the named executive officer’s: indictment or conviction of any felony or any crime involving dishonesty or moral turpitude; participation in any fraud against us or other dishonesty which is not the result of an innocent or inadvertent mistake by the named executive officer with respect to us; willful violation of his or her obligations to us after there has been delivered to the named executive officer a written demand for performance from the board of directors; continued violation or breach of any material written company policy, agreement with the us, or any statutory or fiduciary duty to us after we have delivered to the named executive officer a written notification of such violation or breach; or damaging or misappropriating or attempting to damage or misappropriate any of our property, including intellectual property.</w:t>
      </w:r>
    </w:p>
    <w:p>
      <w:pPr>
        <w:spacing w:after="0" w:line="179"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Under the change in control and severance agreement, “good reason” generally means that the named executive officer resigns from the company within 30 days following the end of our cure period (discussed below) as a result of any of the following that occurs without his or her consent: a material reduction in the named executive officer’s duties or responsibilities that is inconsistent with his or her position, provided that a mere change of title alone will not constitute such a material reduction; the requirement that the named executive officer change his or her principal office to a facility that increases his or her commute by more than 40 miles from his or her commute to the location at which the named executive officer was employed prior to such change; or a material reduction in base salary or a material reduction in his or her employee benefits (other than (1) in connection with a general decrease in salary or employee benefits of all similarly situated employees, and (2) following our change in control, to the extent necessary to make his or her salary or employee benefits commensurate with those of our other employees or our successor entity or parent entity who are similarly situated with him or her). For a resignation to qualify as “good reason,” the named executive officer also must provide written notice within 90 days following the initial existence of the good reason condition, and we must have failed to materially remedy such event within 30 days after receipt of such notice.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 August 2020, our board of directors adopted our Executive Incentive Compensation Plan. Our Executive Incentive Compensation Plan is administered by our board of directors or a committee appointed by our board of directors. Unless and until our board of directors determines otherwise, our compensation committee will administer our Executive Incentive Compensation Plan. Our Executive Incentive Compensation Plan allows us to grant incentive awards, generally payable in cash, to employees selected by the administrator, including our named executive officers, based upon any performance goals that may be established by the administrator.</w:t>
      </w:r>
    </w:p>
    <w:p>
      <w:pPr>
        <w:spacing w:after="0" w:line="172" w:lineRule="exact"/>
        <w:rPr>
          <w:sz w:val="20"/>
          <w:szCs w:val="20"/>
          <w:color w:val="auto"/>
        </w:rPr>
      </w:pPr>
    </w:p>
    <w:p>
      <w:pPr>
        <w:ind w:right="220" w:firstLine="576"/>
        <w:spacing w:after="0" w:line="255" w:lineRule="auto"/>
        <w:rPr>
          <w:sz w:val="20"/>
          <w:szCs w:val="20"/>
          <w:color w:val="auto"/>
        </w:rPr>
      </w:pPr>
      <w:r>
        <w:rPr>
          <w:rFonts w:ascii="Arial" w:cs="Arial" w:eastAsia="Arial" w:hAnsi="Arial"/>
          <w:sz w:val="17"/>
          <w:szCs w:val="17"/>
          <w:color w:val="auto"/>
        </w:rPr>
        <w:t>Under our Executive Incentive Compensation Plan, the administrator determines any performance goals applicable to an award, which goals may include, without limitation,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6" w:name="page167"/>
    <w:bookmarkEnd w:id="166"/>
    <w:p>
      <w:pPr>
        <w:ind w:right="320"/>
        <w:spacing w:after="0" w:line="241" w:lineRule="auto"/>
        <w:rPr>
          <w:sz w:val="20"/>
          <w:szCs w:val="20"/>
          <w:color w:val="auto"/>
        </w:rPr>
      </w:pPr>
      <w:r>
        <w:rPr>
          <w:rFonts w:ascii="Arial" w:cs="Arial" w:eastAsia="Arial" w:hAnsi="Arial"/>
          <w:sz w:val="18"/>
          <w:szCs w:val="18"/>
          <w:color w:val="auto"/>
        </w:rPr>
        <w:t>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79" w:lineRule="exact"/>
        <w:rPr>
          <w:sz w:val="20"/>
          <w:szCs w:val="20"/>
          <w:color w:val="auto"/>
        </w:rPr>
      </w:pPr>
    </w:p>
    <w:p>
      <w:pPr>
        <w:ind w:right="480" w:firstLine="576"/>
        <w:spacing w:after="0" w:line="245" w:lineRule="auto"/>
        <w:rPr>
          <w:sz w:val="20"/>
          <w:szCs w:val="20"/>
          <w:color w:val="auto"/>
        </w:rPr>
      </w:pPr>
      <w:r>
        <w:rPr>
          <w:rFonts w:ascii="Arial" w:cs="Arial" w:eastAsia="Arial" w:hAnsi="Arial"/>
          <w:sz w:val="18"/>
          <w:szCs w:val="18"/>
          <w:color w:val="auto"/>
        </w:rPr>
        <w:t>The administrator of our Executive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7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our Executive Incentive Compensation Plan reserves the right to settle an actual award with a grant of an equity award under our then-current equity compensation plan, which equity award may have such terms and conditions, including vesting, as determined by the administrator. Payment of awards occurs as soon as administratively practicable after they are earned, but no later than the dates set forth in our Executive Incentive Compensation Plan.</w:t>
      </w:r>
    </w:p>
    <w:p>
      <w:pPr>
        <w:spacing w:after="0" w:line="174" w:lineRule="exact"/>
        <w:rPr>
          <w:sz w:val="20"/>
          <w:szCs w:val="20"/>
          <w:color w:val="auto"/>
        </w:rPr>
      </w:pPr>
    </w:p>
    <w:p>
      <w:pPr>
        <w:ind w:right="260" w:firstLine="576"/>
        <w:spacing w:after="0" w:line="241" w:lineRule="auto"/>
        <w:rPr>
          <w:sz w:val="20"/>
          <w:szCs w:val="20"/>
          <w:color w:val="auto"/>
        </w:rPr>
      </w:pPr>
      <w:r>
        <w:rPr>
          <w:rFonts w:ascii="Arial" w:cs="Arial" w:eastAsia="Arial" w:hAnsi="Arial"/>
          <w:sz w:val="18"/>
          <w:szCs w:val="18"/>
          <w:color w:val="auto"/>
        </w:rPr>
        <w:t>Awards under our Executive Incentive Compensation Plan are subject to any clawback policy of ours, which we may be required to adopt from time to time to comply with applicable laws. The administrator also may impose such other clawback, recovery or recoupment provisions with respect an award under our Executive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Executive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79"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The administrator of our Executive Incentive Compensation Plan has the authority to amend, alter, suspend or terminate our Executive Incentive Compensation Plan, provided such action does not impair the existing rights of any participant with respect to any earned awards. Our Executive Incentive Compensation Plan will remain in effect until terminated in accordance with its terms.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Our board of directors adopted our 2014 Equity Incentive Plan, or our 2014 Plan, on August 29, 2014, and our stockholders approved our 2014 Plan on March 3, 2015. Prior to the effectiveness of the registration statement of which this prospectus forms a part, our 2014 Plan was terminated and we will not grant any additional awards under our 2014 Plan. However, our 2014 Plan will continue to govern the terms and conditions of the outstanding awards granted under our 2014 Plan prior to its termination.</w:t>
      </w:r>
    </w:p>
    <w:p>
      <w:pPr>
        <w:spacing w:after="0" w:line="170"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Our 2014 Plan allows for the grant of incentive stock options, within the meaning of Section 422 of the Code, nonstatutory stock options, stock appreciation rights, restricted stock awards and restricted stock units (each, an “award”) to eligible employees, directors and consultants.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As of June 30, 2020, an aggregate of 3,643,665, shares of our common stock were reserved for issuance under our 2014 Plan. As of June 30, 2020, there were stock options covering 1,258,787 shares of our common stock and restricted stock awards covering 12,610 shares of our common stock outstanding under our 2014 Plan, and no stock appreciation rights or restricted stock units outstanding under our 2014 Plan.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Our board of directors or a committee thereof appointed by our board of directors administers the 2014 Plan. The administrator has authority and discretion to administer our 2014 Plan and to control its operation, including the authority to construe and interpret the terms of our 2014 Plan and the awards granted under it, determine the terms of awards, including the recipients, the number of shares subject to each award and the vesting schedule. The administrator may amend awards to reduce the exercise price of any outstanding options or stock appreciation rights, or provide that outstanding options or stock appreciation rights may be cancelled in exchange for awards of the same type (granted under the 2014 Plan or another equity plan of ours covering the same or different number of shares), restricted stock or restricted stock unit awards and/or cash or other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Stock options have been granted under our 2014 Plan. The term of an option is stated in the applicable award agreement, but may not exceed 10 years from the grant date. The administrator determines the exercise price of options, which generally may not be less than 100% of the fair market value of our common stock on the grant date, except as provided for in the 2014 Plan. The administrator determines the method of payment of the exercise price as well as the period of time after a participant’s termination of service during which the participant may exercise his or her option, which generally must be at least 30 days (or at least six months in the event of the participant’s termination of service due to death or disability) following such termination of service. Vested options generally terminate immediately if a participant’s continuous service terminates due to “cause” (as defined in the 2014 Plan) unless the participant’s award agreement provides otherwise. In no event will an option remain exercisable beyond its original term. If a participant does not exercise his or her option within the time specified in the award agreement, the option will terminate.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Restricted stock awards have been granted under our 2014 Plan. Restricted stock are shares of our common stock subject to transfer restrictions and a risk of forfeiture that lapses in accordance with a vesting schedule determined by the administrator and set forth in the applicable award agreement. Upon termination of the participant’s service, any shares that have not vested may be reacquired by the</w:t>
      </w:r>
    </w:p>
    <w:p>
      <w:pPr>
        <w:spacing w:after="0" w:line="1" w:lineRule="exact"/>
        <w:rPr>
          <w:sz w:val="20"/>
          <w:szCs w:val="20"/>
          <w:color w:val="auto"/>
        </w:rPr>
      </w:pPr>
    </w:p>
    <w:p>
      <w:pPr>
        <w:ind w:right="600"/>
        <w:spacing w:after="0" w:line="242" w:lineRule="auto"/>
        <w:rPr>
          <w:sz w:val="20"/>
          <w:szCs w:val="20"/>
          <w:color w:val="auto"/>
        </w:rPr>
      </w:pPr>
      <w:r>
        <w:rPr>
          <w:rFonts w:ascii="Arial" w:cs="Arial" w:eastAsia="Arial" w:hAnsi="Arial"/>
          <w:sz w:val="18"/>
          <w:szCs w:val="18"/>
          <w:color w:val="auto"/>
        </w:rPr>
        <w:t>us through a forfeiture condition or repurchase right. During any period of restriction, to the extent provided in an applicable award agreement, a participant holding shares of restricted stock will be entitled to receive all dividends provided that such dividends may be subject to any vesting restrictions applicable to the shares of restricted stock to which they relate.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Transferability of Awards</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Our 2014 Plan generally does not allow for the transfer of awards except by will or the laws of descent and distribution, and only the recipient of an award may exercise an option or stock appreciation right during his or her lifetime.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In the event of certain changes in our capitalization, in order to prevent diminution or enlargement of the benefits or potential benefits intended to be made available under the 2014 Plan, the administrator will make proportionate adjustments to the number and class of shares that may be delivered under the 2014</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8" w:name="page169"/>
    <w:bookmarkEnd w:id="168"/>
    <w:p>
      <w:pPr>
        <w:ind w:right="460"/>
        <w:spacing w:after="0" w:line="255" w:lineRule="auto"/>
        <w:rPr>
          <w:sz w:val="20"/>
          <w:szCs w:val="20"/>
          <w:color w:val="auto"/>
        </w:rPr>
      </w:pPr>
      <w:r>
        <w:rPr>
          <w:rFonts w:ascii="Arial" w:cs="Arial" w:eastAsia="Arial" w:hAnsi="Arial"/>
          <w:sz w:val="18"/>
          <w:szCs w:val="18"/>
          <w:color w:val="auto"/>
        </w:rPr>
        <w:t>Plan, the class and number of shares that may be issued on the exercise of incentive stock options, and the number, class and price of shares covered by each outstanding award. The administrator’s determination regarding such adjustments will be final, binding and conclusive.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900" w:firstLine="576"/>
        <w:spacing w:after="0" w:line="276" w:lineRule="auto"/>
        <w:rPr>
          <w:sz w:val="20"/>
          <w:szCs w:val="20"/>
          <w:color w:val="auto"/>
        </w:rPr>
      </w:pPr>
      <w:r>
        <w:rPr>
          <w:rFonts w:ascii="Arial" w:cs="Arial" w:eastAsia="Arial" w:hAnsi="Arial"/>
          <w:sz w:val="18"/>
          <w:szCs w:val="18"/>
          <w:color w:val="auto"/>
        </w:rPr>
        <w:t>In the event of our dissolution or liquidation, all awards will terminate immediately prior to the completion of such proposed transaction.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Transactions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Our 2014 Plan provides that in the event of our merger or other corporate transaction (as defined in our 2014 Plan) and except as otherwise provided in the award agreements, the administrator may provide that outstanding awards may be assumed or continued, substituted with equivalent awards, accelerated as to its vesting to a date prior to the corporate transaction and terminated if not exercised (if applicable), cancelled without consideration to the extent not vested or exercised, or cancelled in exchange for a payment equal to the value of property the participant would have received upon exercise of the award less the exercise price payable in connection with such exercise. The administrator need not take the same action with respect to all awards or with respect to all participants.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Our board of directors has the authority to amend, suspend or terminate our 2014 Plan at any time. No amendment, suspension or termination of our 2014 Plan will impair the rights of a participant, unless mutually agreed otherwise between the participant and the administrator in writing. As noted above, it is expected that prior to the effectiveness of the registration statement of which this prospectus forms a part, our 2014 Plan will be terminated, and we will not grant any additional awards under our 2014 Plan thereafter.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firstLine="576"/>
        <w:spacing w:after="0" w:line="260" w:lineRule="auto"/>
        <w:rPr>
          <w:sz w:val="20"/>
          <w:szCs w:val="20"/>
          <w:color w:val="auto"/>
        </w:rPr>
      </w:pPr>
      <w:r>
        <w:rPr>
          <w:rFonts w:ascii="Arial" w:cs="Arial" w:eastAsia="Arial" w:hAnsi="Arial"/>
          <w:sz w:val="17"/>
          <w:szCs w:val="17"/>
          <w:color w:val="auto"/>
        </w:rPr>
        <w:t>In August 2020, our board of directors adopted, and in September 2020 our stockholders approved, our 2020 Equity Incentive Plan, or, the 2020 Plan. The 2020 Plan became effective on the business day immediately prior to the effective date of our registration statement of which this prospectus forms a part. Our 2020 Plan provides for the grant 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and performance awards to our employees, directors and consultants and any of our parent or subsidiary corporations’ employees and consultants.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number of shares of our common stock reserved for issuance pursuant to our 2020 Plan equals 4,733,500 shares of common stock. In addition, the shares reserved for issuance under our 2020 Plan includes shares of our common stock subject to awards granted under our 2014 Plan that, after the date the 2014 Plan is terminated, are terminated, cancelled, expire, or otherwise terminate without having been exercised in full or are forfeited to or repurchased by us, provided that the maximum number of shares that may be added to the 2020 Plan pursuant to this sentence is 1,950,834 shares. The number of shares available for issuance under our 2020 Plan also will include an annual increase on the first day of each of our fiscal years for a period of ten years, beginning with our fiscal year 2021, equal to the least of:</w:t>
      </w:r>
    </w:p>
    <w:p>
      <w:pPr>
        <w:spacing w:after="0" w:line="66" w:lineRule="exact"/>
        <w:rPr>
          <w:sz w:val="20"/>
          <w:szCs w:val="20"/>
          <w:color w:val="auto"/>
        </w:rPr>
      </w:pPr>
    </w:p>
    <w:p>
      <w:pPr>
        <w:ind w:left="1300" w:hanging="442"/>
        <w:spacing w:after="0"/>
        <w:tabs>
          <w:tab w:leader="none" w:pos="1300" w:val="left"/>
        </w:tabs>
        <w:numPr>
          <w:ilvl w:val="0"/>
          <w:numId w:val="101"/>
        </w:numPr>
        <w:rPr>
          <w:rFonts w:ascii="Times New Roman" w:cs="Times New Roman" w:eastAsia="Times New Roman" w:hAnsi="Times New Roman"/>
          <w:sz w:val="18"/>
          <w:szCs w:val="18"/>
          <w:color w:val="auto"/>
        </w:rPr>
      </w:pPr>
      <w:r>
        <w:rPr>
          <w:rFonts w:ascii="Arial" w:cs="Arial" w:eastAsia="Arial" w:hAnsi="Arial"/>
          <w:sz w:val="18"/>
          <w:szCs w:val="18"/>
          <w:color w:val="auto"/>
        </w:rPr>
        <w:t>3,230,000 shares;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68" w:right="399" w:bottom="1440" w:gutter="0" w:footer="0" w:header="0"/>
        </w:sectPr>
      </w:pPr>
    </w:p>
    <w:bookmarkStart w:id="169" w:name="page170"/>
    <w:bookmarkEnd w:id="169"/>
    <w:p>
      <w:pPr>
        <w:ind w:left="1300" w:right="720" w:hanging="442"/>
        <w:spacing w:after="0" w:line="27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Five percent (5%) of the outstanding shares of all classes of our common stock as of the last day of the immediately preceding fiscal year; and</w:t>
      </w:r>
    </w:p>
    <w:p>
      <w:pPr>
        <w:spacing w:after="0" w:line="37"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02"/>
        </w:numPr>
        <w:rPr>
          <w:rFonts w:ascii="Times New Roman" w:cs="Times New Roman" w:eastAsia="Times New Roman" w:hAnsi="Times New Roman"/>
          <w:sz w:val="18"/>
          <w:szCs w:val="18"/>
          <w:color w:val="auto"/>
        </w:rPr>
      </w:pPr>
      <w:r>
        <w:rPr>
          <w:rFonts w:ascii="Arial" w:cs="Arial" w:eastAsia="Arial" w:hAnsi="Arial"/>
          <w:sz w:val="18"/>
          <w:szCs w:val="18"/>
          <w:color w:val="auto"/>
        </w:rPr>
        <w:t>such number of shares as our board of directors may determine no later than the last day of our immediately preceding fiscal year.</w:t>
      </w:r>
    </w:p>
    <w:p>
      <w:pPr>
        <w:spacing w:after="0" w:line="146" w:lineRule="exact"/>
        <w:rPr>
          <w:sz w:val="20"/>
          <w:szCs w:val="20"/>
          <w:color w:val="auto"/>
        </w:rPr>
      </w:pPr>
    </w:p>
    <w:p>
      <w:pPr>
        <w:ind w:right="20" w:firstLine="576"/>
        <w:spacing w:after="0" w:line="238" w:lineRule="auto"/>
        <w:rPr>
          <w:sz w:val="20"/>
          <w:szCs w:val="20"/>
          <w:color w:val="auto"/>
        </w:rPr>
      </w:pPr>
      <w:r>
        <w:rPr>
          <w:rFonts w:ascii="Arial" w:cs="Arial" w:eastAsia="Arial" w:hAnsi="Arial"/>
          <w:sz w:val="18"/>
          <w:szCs w:val="18"/>
          <w:color w:val="auto"/>
        </w:rPr>
        <w:t>Shares issuable under our 2020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2020 Plan. With respect to stock appreciation rights, only the net shares actually issued will cease to be available under the 2020 Plan and all remaining shares under stock appreciation rights will remain available for future grant or sale under the 2020 Plan. Shares that have actually been issued under the 2020 Plan under any award will not be returned to the 2020 Plan; except if shares issued pursuant to awards of restricted stock, restricted stock units, or performance awards are repurchased or forfeited, such shares will become available for future grant under the 2020 Plan. Shares used to pay the exercise price of an award or satisfy the tax liabilities or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firstLine="576"/>
        <w:spacing w:after="0" w:line="237" w:lineRule="auto"/>
        <w:rPr>
          <w:sz w:val="20"/>
          <w:szCs w:val="20"/>
          <w:color w:val="auto"/>
        </w:rPr>
      </w:pPr>
      <w:r>
        <w:rPr>
          <w:rFonts w:ascii="Arial" w:cs="Arial" w:eastAsia="Arial" w:hAnsi="Arial"/>
          <w:sz w:val="18"/>
          <w:szCs w:val="18"/>
          <w:color w:val="auto"/>
        </w:rPr>
        <w:t>Our board of directors or one or more committees appointed by our board of directors have authority to administer our 2020 Plan. The compensation committee of our board of directors initially will administer our 2020 Plan. In addition, if we determine it is desirable to qualify transactions under our 2020 Plan as exempt under Rule 16b-3 of the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2020 Plan to a financial institution or other person or entity selected by the administrator, and to institute an exchange program by which outstanding awards granted under the 2020 Plan may be surrendered or cancelled in exchange for awards of the same type, which may have a higher or lower exercise price and/or different terms, awards of a different type and/or cash, or by which the exercise price of an outstanding award granted under the 2020 Plan is increased or reduced. The administrator’s decisions, interpretations and other actions are final and binding on all participants and will be given the maximum deference permitted by applicable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2" w:lineRule="exact"/>
        <w:rPr>
          <w:sz w:val="20"/>
          <w:szCs w:val="20"/>
          <w:color w:val="auto"/>
        </w:rPr>
      </w:pPr>
    </w:p>
    <w:p>
      <w:pPr>
        <w:ind w:right="260" w:firstLine="576"/>
        <w:spacing w:after="0" w:line="248" w:lineRule="auto"/>
        <w:rPr>
          <w:sz w:val="20"/>
          <w:szCs w:val="20"/>
          <w:color w:val="auto"/>
        </w:rPr>
      </w:pPr>
      <w:r>
        <w:rPr>
          <w:rFonts w:ascii="Arial" w:cs="Arial" w:eastAsia="Arial" w:hAnsi="Arial"/>
          <w:sz w:val="18"/>
          <w:szCs w:val="18"/>
          <w:color w:val="auto"/>
        </w:rPr>
        <w:t>Stock options may be granted under our 2020 Plan. The exercise price of options granted under our 2020 Plan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0" w:name="page171"/>
    <w:bookmarkEnd w:id="170"/>
    <w:p>
      <w:pPr>
        <w:spacing w:after="0" w:line="239" w:lineRule="auto"/>
        <w:rPr>
          <w:sz w:val="20"/>
          <w:szCs w:val="20"/>
          <w:color w:val="auto"/>
        </w:rPr>
      </w:pPr>
      <w:r>
        <w:rPr>
          <w:rFonts w:ascii="Arial" w:cs="Arial" w:eastAsia="Arial" w:hAnsi="Arial"/>
          <w:sz w:val="18"/>
          <w:szCs w:val="18"/>
          <w:color w:val="auto"/>
        </w:rPr>
        <w:t>years and the per share exercise price must equal at least 110% of the fair market value of a share of our common stock on the grant date. The administrator may grant incentive stock options under the 2020 Plan for a period of ten years from the earlier of the date our board of directors approves the 2020 Plan or the date that our stockholders approve the 2020 Plan. The administrator will determine the methods of payment of the exercise price of an option, which may include cash, certain shares,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terms of options.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10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Stock appreciation rights may be granted under our 2020 Plan. Stock appreciation rights allow the recipient to receive the appreciation in the fair market value of our common stock between the exercise date and the date of grant. The term of a stock appreciation right may not exceed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02" w:lineRule="exact"/>
        <w:rPr>
          <w:sz w:val="20"/>
          <w:szCs w:val="20"/>
          <w:color w:val="auto"/>
        </w:rPr>
      </w:pPr>
    </w:p>
    <w:p>
      <w:pPr>
        <w:ind w:right="100" w:firstLine="576"/>
        <w:spacing w:after="0"/>
        <w:rPr>
          <w:sz w:val="20"/>
          <w:szCs w:val="20"/>
          <w:color w:val="auto"/>
        </w:rPr>
      </w:pPr>
      <w:r>
        <w:rPr>
          <w:rFonts w:ascii="Arial" w:cs="Arial" w:eastAsia="Arial" w:hAnsi="Arial"/>
          <w:sz w:val="18"/>
          <w:szCs w:val="18"/>
          <w:color w:val="auto"/>
        </w:rPr>
        <w:t>Restricted stock may be granted under our 2020 Plan. Restricted stock awards are grants of shares of our common stock that may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and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Restricted stock units may be granted under our 2020 Plan. Restricted stock units are bookkeeping entries representing an amount equal to the fair market value of one share of our common stock. Subject to the provisions of our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i w:val="1"/>
          <w:iCs w:val="1"/>
          <w:color w:val="auto"/>
        </w:rPr>
        <w:t>Performance Awards</w:t>
      </w:r>
    </w:p>
    <w:p>
      <w:pPr>
        <w:spacing w:after="0" w:line="102"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Performance awards may be granted under the 2020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2020 Plan, the administrator determines the terms and conditions of performance awards,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Outside Directors</w:t>
      </w:r>
    </w:p>
    <w:p>
      <w:pPr>
        <w:spacing w:after="0" w:line="102"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All outside (non-employee) directors are eligible to receive all types of awards (except for incentive stock options) under our 2020 Plan. In September 2020, our board of directors adopted and our stockholders approved a formal Outside Director Compensation Policy pursuant to which our outside directors are eligible to receive certain equity awards under our 2020 Plan. Our 2020 Plan provides that in any given fiscal year, no outside director may be granted awards (the value of which is based on their grant date fair value) under our 2020 Plan and be provided any other compensation (including without limitation any cash retainers and fees) that in the aggregate exceed $500,000, provided that in the fiscal year of the individual’s initial service as an outside director, such amount is increased to $750,000. The grant date fair values of awards granted under our 2020 Plan will be determined according to U.S. Generally Accepted Accounting Principles.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This maximum limit provision does not reflect the intended size of any potential grants or a commitment to make grants to our outside directors under our 2020 Plan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Awards</w:t>
      </w:r>
    </w:p>
    <w:p>
      <w:pPr>
        <w:spacing w:after="0" w:line="10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Unless the administrator provides otherwise, our 2020 Plan generally does not allow for 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certain changes in our capitalization, such as a dividend or other distribution, recapitalization, stock split, 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2020 Plan, the administrator will adjust the number and class of shares that may be delivered under our 2020 Plan and/or the number, class and price of shares covered by each outstanding award and any numerical share limits set forth in our 2020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Dissolution or Liquidation</w:t>
      </w:r>
    </w:p>
    <w:p>
      <w:pPr>
        <w:spacing w:after="0" w:line="102"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Our 2020 Plan provides that in the event of our merger or change in control, as defined in our 2020 Plan, each outstanding award will be treated as the administrator determines, without a participant’s consent. The administrator may provide that awards granted under the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74"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7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If an outside director’s awards are assumed or substituted for in our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Clawback</w:t>
      </w:r>
    </w:p>
    <w:p>
      <w:pPr>
        <w:spacing w:after="0" w:line="102"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Awards are subject to any clawback policy of ours, which we may establish and/or amend from time to time to comply with applicable 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Termination</w:t>
      </w:r>
    </w:p>
    <w:p>
      <w:pPr>
        <w:spacing w:after="0" w:line="102"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administrator has the authority to amend, suspend or terminate our 2020 Plan, provided such action does not materially impair the rights of any participant unless mutually agreed otherwise. Our 2020 Plan will remain in effect until terminated in accordance with its terms.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jc w:val="both"/>
        <w:ind w:right="800" w:firstLine="576"/>
        <w:spacing w:after="0" w:line="255" w:lineRule="auto"/>
        <w:rPr>
          <w:sz w:val="20"/>
          <w:szCs w:val="20"/>
          <w:color w:val="auto"/>
        </w:rPr>
      </w:pPr>
      <w:r>
        <w:rPr>
          <w:rFonts w:ascii="Arial" w:cs="Arial" w:eastAsia="Arial" w:hAnsi="Arial"/>
          <w:sz w:val="18"/>
          <w:szCs w:val="18"/>
          <w:color w:val="auto"/>
        </w:rPr>
        <w:t>In August 2020, our board of directors adopted, and in September 2020 our stockholders approved, a 2020 Employee Stock Purchase Plan, or the ESPP. Our ESPP became effective on the business day immediately prior to the date of effectiveness of the registration statement of which this prospectus forms a part.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The maximum number of shares of our common stock available for issuance under our ESPP equals 323,000 shares of our common stock. In addition, our ESPP provides for annual increases in the number of shares of our common stock available for issuance under our ESPP on the first day of each of our fiscal years beginning with our fiscal year 2021, in an amount equal to the least of:</w:t>
      </w:r>
    </w:p>
    <w:p>
      <w:pPr>
        <w:spacing w:after="0" w:line="56" w:lineRule="exact"/>
        <w:rPr>
          <w:sz w:val="20"/>
          <w:szCs w:val="20"/>
          <w:color w:val="auto"/>
        </w:rPr>
      </w:pPr>
    </w:p>
    <w:p>
      <w:pPr>
        <w:ind w:left="1300" w:hanging="442"/>
        <w:spacing w:after="0"/>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646,000 shares;</w:t>
      </w:r>
    </w:p>
    <w:p>
      <w:pPr>
        <w:spacing w:after="0" w:line="116" w:lineRule="exact"/>
        <w:rPr>
          <w:rFonts w:ascii="Times New Roman" w:cs="Times New Roman" w:eastAsia="Times New Roman" w:hAnsi="Times New Roman"/>
          <w:sz w:val="18"/>
          <w:szCs w:val="18"/>
          <w:color w:val="auto"/>
        </w:rPr>
      </w:pPr>
    </w:p>
    <w:p>
      <w:pPr>
        <w:ind w:left="1300" w:right="120" w:hanging="442"/>
        <w:spacing w:after="0" w:line="27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37" w:lineRule="exact"/>
        <w:rPr>
          <w:rFonts w:ascii="Times New Roman" w:cs="Times New Roman" w:eastAsia="Times New Roman" w:hAnsi="Times New Roman"/>
          <w:sz w:val="18"/>
          <w:szCs w:val="18"/>
          <w:color w:val="auto"/>
        </w:rPr>
      </w:pPr>
    </w:p>
    <w:p>
      <w:pPr>
        <w:ind w:left="1300" w:right="440" w:hanging="442"/>
        <w:spacing w:after="0" w:line="275" w:lineRule="auto"/>
        <w:tabs>
          <w:tab w:leader="none" w:pos="1300" w:val="left"/>
        </w:tabs>
        <w:numPr>
          <w:ilvl w:val="0"/>
          <w:numId w:val="103"/>
        </w:numPr>
        <w:rPr>
          <w:rFonts w:ascii="Times New Roman" w:cs="Times New Roman" w:eastAsia="Times New Roman" w:hAnsi="Times New Roman"/>
          <w:sz w:val="18"/>
          <w:szCs w:val="18"/>
          <w:color w:val="auto"/>
        </w:rPr>
      </w:pPr>
      <w:r>
        <w:rPr>
          <w:rFonts w:ascii="Arial" w:cs="Arial" w:eastAsia="Arial" w:hAnsi="Arial"/>
          <w:sz w:val="18"/>
          <w:szCs w:val="18"/>
          <w:color w:val="auto"/>
        </w:rPr>
        <w:t>such other number of shares as our board of directors may determine as of no later than the last day of our immediately preceding fiscal year.</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right="40" w:firstLine="576"/>
        <w:spacing w:after="0" w:line="207" w:lineRule="exact"/>
        <w:rPr>
          <w:sz w:val="20"/>
          <w:szCs w:val="20"/>
          <w:color w:val="auto"/>
        </w:rPr>
      </w:pPr>
      <w:r>
        <w:rPr>
          <w:rFonts w:ascii="Arial" w:cs="Arial" w:eastAsia="Arial" w:hAnsi="Arial"/>
          <w:sz w:val="18"/>
          <w:szCs w:val="18"/>
          <w:color w:val="auto"/>
        </w:rPr>
        <w:t>Our board of directors or a committee appointed by our board of directors may administer the ESPP. The compensation committee of our board of directors initially will administer our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w:t>
      </w:r>
      <w:r>
        <w:rPr>
          <w:rFonts w:ascii="MS PGothic" w:cs="MS PGothic" w:eastAsia="MS PGothic" w:hAnsi="MS PGothic"/>
          <w:sz w:val="18"/>
          <w:szCs w:val="18"/>
          <w:color w:val="auto"/>
        </w:rPr>
        <w:t>‑</w:t>
      </w:r>
      <w:r>
        <w:rPr>
          <w:rFonts w:ascii="Arial" w:cs="Arial" w:eastAsia="Arial" w:hAnsi="Arial"/>
          <w:sz w:val="18"/>
          <w:szCs w:val="18"/>
          <w:color w:val="auto"/>
        </w:rPr>
        <w:t>U.S. nationals or employed outside the U.S. The administrator’s findings, decisions, and determinations are final and binding on all participants to the maximum extent permitted by law.</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(1) has not completed at least two years of service (or a lesser period of time determined by the administrator) since the employee’s last hire date,</w:t>
      </w:r>
    </w:p>
    <w:p>
      <w:pPr>
        <w:spacing w:after="0" w:line="1" w:lineRule="exact"/>
        <w:rPr>
          <w:sz w:val="20"/>
          <w:szCs w:val="20"/>
          <w:color w:val="auto"/>
        </w:rPr>
      </w:pPr>
    </w:p>
    <w:p>
      <w:pPr>
        <w:ind w:firstLine="8"/>
        <w:spacing w:after="0" w:line="237" w:lineRule="auto"/>
        <w:tabs>
          <w:tab w:leader="none" w:pos="2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customarily works not more than 20 hours per week (or a lesser period of time determined by the administrator), (3) 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 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7"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firstLine="576"/>
        <w:spacing w:after="0" w:line="206" w:lineRule="exact"/>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w:t>
      </w:r>
      <w:r>
        <w:rPr>
          <w:rFonts w:ascii="MS PGothic" w:cs="MS PGothic" w:eastAsia="MS PGothic" w:hAnsi="MS PGothic"/>
          <w:sz w:val="18"/>
          <w:szCs w:val="18"/>
          <w:color w:val="auto"/>
        </w:rPr>
        <w:t>‑</w:t>
      </w:r>
      <w:r>
        <w:rPr>
          <w:rFonts w:ascii="Arial" w:cs="Arial" w:eastAsia="Arial" w:hAnsi="Arial"/>
          <w:sz w:val="18"/>
          <w:szCs w:val="18"/>
          <w:color w:val="auto"/>
        </w:rPr>
        <w:t>423 Component. For purposes of this summary, a reference to our ESPP generally will mean the terms and operations of the 423 Component. Our ESPP provides for consecutive six-month offering periods. Each offering period will have one purchase period with the same duration as the offering period. The offering periods will be scheduled to begin on the first trading day on or after May 18</w:t>
      </w:r>
      <w:r>
        <w:rPr>
          <w:rFonts w:ascii="Arial" w:cs="Arial" w:eastAsia="Arial" w:hAnsi="Arial"/>
          <w:sz w:val="15"/>
          <w:szCs w:val="15"/>
          <w:color w:val="auto"/>
        </w:rPr>
        <w:t>th</w:t>
      </w:r>
      <w:r>
        <w:rPr>
          <w:rFonts w:ascii="Arial" w:cs="Arial" w:eastAsia="Arial" w:hAnsi="Arial"/>
          <w:sz w:val="18"/>
          <w:szCs w:val="18"/>
          <w:color w:val="auto"/>
        </w:rPr>
        <w:t xml:space="preserve"> and November 18</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will begin on the first trading day on or after the effective date of the registration statement of which this prospectus forms a part and end on the first trading day on or after May 18, 2021.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 If the fair market value of a share of our common stock on a purchase date is less than the fair market value on the first trading day of the offering period, participants in that offering period will be withdrawn from that offering period following their purchase of shares on that purchase date and automatically will be enrolled in a new offering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right="560" w:firstLine="576"/>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jc w:val="both"/>
        <w:ind w:right="20" w:firstLine="576"/>
        <w:spacing w:after="0" w:line="248"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 offering period and (2) the fair market value of a share of our common stock on the exercise date. A participant will be permitted to purchase a maximum of 5,000 shares during each offering period.</w:t>
      </w:r>
    </w:p>
    <w:p>
      <w:pPr>
        <w:spacing w:after="0" w:line="254" w:lineRule="exact"/>
        <w:rPr>
          <w:sz w:val="20"/>
          <w:szCs w:val="20"/>
          <w:color w:val="auto"/>
        </w:rPr>
      </w:pPr>
    </w:p>
    <w:p>
      <w:pPr>
        <w:spacing w:after="0" w:line="207" w:lineRule="exact"/>
        <w:rPr>
          <w:sz w:val="20"/>
          <w:szCs w:val="20"/>
          <w:color w:val="auto"/>
        </w:rPr>
      </w:pPr>
      <w:r>
        <w:rPr>
          <w:rFonts w:ascii="Arial" w:cs="Arial" w:eastAsia="Arial" w:hAnsi="Arial"/>
          <w:sz w:val="18"/>
          <w:szCs w:val="18"/>
          <w:i w:val="1"/>
          <w:iCs w:val="1"/>
          <w:color w:val="auto"/>
        </w:rPr>
        <w:t>Non</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transferability</w:t>
      </w:r>
    </w:p>
    <w:p>
      <w:pPr>
        <w:spacing w:after="0" w:line="128"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right="20" w:firstLine="576"/>
        <w:spacing w:after="0" w:line="207" w:lineRule="exact"/>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w:t>
      </w:r>
      <w:r>
        <w:rPr>
          <w:rFonts w:ascii="MS PGothic" w:cs="MS PGothic" w:eastAsia="MS PGothic" w:hAnsi="MS PGothic"/>
          <w:sz w:val="18"/>
          <w:szCs w:val="18"/>
          <w:color w:val="auto"/>
        </w:rPr>
        <w:t>‑</w:t>
      </w:r>
      <w:r>
        <w:rPr>
          <w:rFonts w:ascii="Arial" w:cs="Arial" w:eastAsia="Arial" w:hAnsi="Arial"/>
          <w:sz w:val="18"/>
          <w:szCs w:val="18"/>
          <w:color w:val="auto"/>
        </w:rPr>
        <w:t>up, spin</w:t>
      </w:r>
      <w:r>
        <w:rPr>
          <w:rFonts w:ascii="MS PGothic" w:cs="MS PGothic" w:eastAsia="MS PGothic" w:hAnsi="MS PGothic"/>
          <w:sz w:val="18"/>
          <w:szCs w:val="18"/>
          <w:color w:val="auto"/>
        </w:rPr>
        <w:t>‑</w:t>
      </w:r>
      <w:r>
        <w:rPr>
          <w:rFonts w:ascii="Arial" w:cs="Arial" w:eastAsia="Arial" w:hAnsi="Arial"/>
          <w:sz w:val="18"/>
          <w:szCs w:val="18"/>
          <w:color w:val="auto"/>
        </w:rPr>
        <w:t>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right="160" w:firstLine="576"/>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right="80" w:firstLine="576"/>
        <w:spacing w:after="0" w:line="258" w:lineRule="auto"/>
        <w:rPr>
          <w:sz w:val="20"/>
          <w:szCs w:val="20"/>
          <w:color w:val="auto"/>
        </w:rPr>
      </w:pPr>
      <w:r>
        <w:rPr>
          <w:rFonts w:ascii="Arial" w:cs="Arial" w:eastAsia="Arial" w:hAnsi="Arial"/>
          <w:sz w:val="17"/>
          <w:szCs w:val="17"/>
          <w:color w:val="auto"/>
        </w:rPr>
        <w:t>We maintain a 401(k) retirement savings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on a pre-tax basis, through contributions to the 401(k) plan. All of a participant’s contributions into the 401(k) plan are 100% vested when contributed. The 401(k) plan permits us to make contributions to eligible participants. The 401(k) plan is intended to qualify under Sections 401(a) and 501(a) of the Code. As a tax-qualified retirement plan, pre-tax contributions to the 401(k) plan and earnings on those pre-tax contributions are not taxable to the employees until distributed from the 401(k)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Our certificate of incorporation and bylaws, each to be effective upon completion of this offering, will provide that we will indemnify our directors and officers, and may indemnify our employees and other agents, to the fullest extent permitted by the Delaware General Corporation Law, which prohibits us from limiting the liability of our directors for the following:</w:t>
      </w:r>
    </w:p>
    <w:p>
      <w:pPr>
        <w:spacing w:after="0" w:line="56" w:lineRule="exact"/>
        <w:rPr>
          <w:sz w:val="20"/>
          <w:szCs w:val="20"/>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any breach of the director’s duty of loyalty to us or to our stockholders;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5"/>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from which the director derived an improper personal benefit.</w:t>
      </w:r>
    </w:p>
    <w:p>
      <w:pPr>
        <w:spacing w:after="0" w:line="224"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If Delaware law is amended to authorize corporate action further limiting the personal liability of a director, then the liability of our directors will be limited to the fullest extent permitted by Delaware law, as so amended. Our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bylaws, we will also be empowered to purchase insurance on behalf of any person whom we are required or permitted to indemnify.</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6" w:right="379" w:bottom="1440" w:gutter="0" w:footer="0" w:header="0"/>
        </w:sectPr>
      </w:pPr>
    </w:p>
    <w:bookmarkStart w:id="176" w:name="page177"/>
    <w:bookmarkEnd w:id="176"/>
    <w:p>
      <w:pPr>
        <w:ind w:firstLine="576"/>
        <w:spacing w:after="0" w:line="239" w:lineRule="auto"/>
        <w:rPr>
          <w:sz w:val="20"/>
          <w:szCs w:val="20"/>
          <w:color w:val="auto"/>
        </w:rPr>
      </w:pPr>
      <w:r>
        <w:rPr>
          <w:rFonts w:ascii="Arial" w:cs="Arial" w:eastAsia="Arial" w:hAnsi="Arial"/>
          <w:sz w:val="18"/>
          <w:szCs w:val="18"/>
          <w:color w:val="auto"/>
        </w:rPr>
        <w:t>In addition to the indemnification required in our certificate of incorporation and bylaws, we have entered into indemnification agreements with each of our current directors, officers and some employees. These agreements provide for the indemnification of our directors, officers and some employees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us,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us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8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limitation of liability and indemnification provisions in our certificate of incorporation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following is a summary of transactions since January 1, 2017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under the section of this prospectus titled “Executive Compensation.”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Related-Person Transactions Policy</w:t>
      </w:r>
    </w:p>
    <w:p>
      <w:pPr>
        <w:spacing w:after="0" w:line="106"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We have a formal, written policy, which became effective on the date of effectiveness of the registration statement of which this prospectus forms a part, that our executive officers, directors (including director nominees), holders of more than 5% of any class of our voting securities and any member of the immediate family of or any entities affiliated with any of the foregoing persons, are not permitted to enter into a related-person transaction with us without the prior approval or, in the case of pending or ongoing related-person transactions, ratification of our audit committee. For purposes of our policy, a related-person transaction is a transaction, arrangement or relationship where we were, are or will be involved and in which a related-person had, has or will have a direct or indirect material interest.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Certain transactions with related persons, however, are exempted from pre-approval including, but not limited to:</w:t>
      </w:r>
    </w:p>
    <w:p>
      <w:pPr>
        <w:spacing w:after="0" w:line="104" w:lineRule="exact"/>
        <w:rPr>
          <w:sz w:val="20"/>
          <w:szCs w:val="20"/>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of our executive officers and directors that is otherwise disclosed in our public filings with the SEC;</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compensation, benefits and other transactions available to all of our employees generally;</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service as a director of another entity that is a party to the transaction;</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less than 10% of the equity interest in another entity that is a party to the transaction; and</w:t>
      </w:r>
    </w:p>
    <w:p>
      <w:pPr>
        <w:spacing w:after="0" w:line="37" w:lineRule="exact"/>
        <w:rPr>
          <w:rFonts w:ascii="Times New Roman" w:cs="Times New Roman" w:eastAsia="Times New Roman" w:hAnsi="Times New Roman"/>
          <w:sz w:val="18"/>
          <w:szCs w:val="18"/>
          <w:color w:val="auto"/>
        </w:rPr>
      </w:pPr>
    </w:p>
    <w:p>
      <w:pPr>
        <w:ind w:left="1300" w:right="40" w:hanging="442"/>
        <w:spacing w:after="0" w:line="275" w:lineRule="auto"/>
        <w:tabs>
          <w:tab w:leader="none" w:pos="1300" w:val="left"/>
        </w:tabs>
        <w:numPr>
          <w:ilvl w:val="0"/>
          <w:numId w:val="106"/>
        </w:numPr>
        <w:rPr>
          <w:rFonts w:ascii="Times New Roman" w:cs="Times New Roman" w:eastAsia="Times New Roman" w:hAnsi="Times New Roman"/>
          <w:sz w:val="18"/>
          <w:szCs w:val="18"/>
          <w:color w:val="auto"/>
        </w:rPr>
      </w:pPr>
      <w:r>
        <w:rPr>
          <w:rFonts w:ascii="Arial" w:cs="Arial" w:eastAsia="Arial" w:hAnsi="Arial"/>
          <w:sz w:val="18"/>
          <w:szCs w:val="18"/>
          <w:color w:val="auto"/>
        </w:rPr>
        <w:t>transactions where a related-person’s interest derives solely from his or her ownership of a class of our equity securities and all holders of that class received the same benefit on a pro rata basis.</w:t>
      </w:r>
    </w:p>
    <w:p>
      <w:pPr>
        <w:spacing w:after="0" w:line="14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No member of the audit committee may participate in any review, consideration or approval of any related-person transaction where such member or any of his or her immediate family members is the related-person. In approving or rejecting the proposed agreement, our audit committee shall consider the relevant facts and circumstances available and deemed relevant to the audit committee, including, but not limited to:</w:t>
      </w:r>
    </w:p>
    <w:p>
      <w:pPr>
        <w:spacing w:after="0" w:line="62" w:lineRule="exact"/>
        <w:rPr>
          <w:sz w:val="20"/>
          <w:szCs w:val="20"/>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the benefits and perceived benefits to us;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the materiality and character of the related-person’s direct and indirect interest;</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other sources for comparable products or services;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of the transaction;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available to unrelated third parties under the same or similar circumstances.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Sales of Securities</w:t>
      </w:r>
    </w:p>
    <w:p>
      <w:pPr>
        <w:spacing w:after="0" w:line="106" w:lineRule="exact"/>
        <w:rPr>
          <w:sz w:val="20"/>
          <w:szCs w:val="20"/>
          <w:color w:val="auto"/>
        </w:rPr>
      </w:pPr>
    </w:p>
    <w:p>
      <w:pPr>
        <w:jc w:val="both"/>
        <w:ind w:right="260" w:firstLine="576"/>
        <w:spacing w:after="0" w:line="277" w:lineRule="auto"/>
        <w:rPr>
          <w:sz w:val="20"/>
          <w:szCs w:val="20"/>
          <w:color w:val="auto"/>
        </w:rPr>
      </w:pPr>
      <w:r>
        <w:rPr>
          <w:rFonts w:ascii="Arial" w:cs="Arial" w:eastAsia="Arial" w:hAnsi="Arial"/>
          <w:sz w:val="17"/>
          <w:szCs w:val="17"/>
          <w:color w:val="auto"/>
        </w:rPr>
        <w:t>The following table sets forth a summary of the sale and issuance of our securities to related persons since January 1, 2017, other than compensation arrangements which are described under the sections of this prospectus titled “Management—Director Compensation” and “Executive Compensation.” For a description of beneficial ownership see the section of this prospectus titled “Principal Stockholders.”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Shares of</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Series B-1</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Shares of</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Principal</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Stock</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 of</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Series B</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Amount of</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Issued on</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Conversion of</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Preferred</w:t>
            </w:r>
          </w:p>
        </w:tc>
        <w:tc>
          <w:tcPr>
            <w:tcW w:w="1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Notes</w:t>
            </w:r>
          </w:p>
        </w:tc>
        <w:tc>
          <w:tcPr>
            <w:tcW w:w="16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Underlying</w:t>
            </w:r>
          </w:p>
        </w:tc>
        <w:tc>
          <w:tcPr>
            <w:tcW w:w="0" w:type="dxa"/>
            <w:vAlign w:val="bottom"/>
          </w:tcPr>
          <w:p>
            <w:pPr>
              <w:spacing w:after="0"/>
              <w:rPr>
                <w:sz w:val="1"/>
                <w:szCs w:val="1"/>
                <w:color w:val="auto"/>
              </w:rPr>
            </w:pPr>
          </w:p>
        </w:tc>
      </w:tr>
      <w:tr>
        <w:trPr>
          <w:trHeight w:val="177"/>
        </w:trPr>
        <w:tc>
          <w:tcPr>
            <w:tcW w:w="4980" w:type="dxa"/>
            <w:vAlign w:val="bottom"/>
          </w:tcPr>
          <w:p>
            <w:pPr>
              <w:spacing w:after="0"/>
              <w:rPr>
                <w:sz w:val="15"/>
                <w:szCs w:val="15"/>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Stock</w:t>
            </w:r>
          </w:p>
        </w:tc>
        <w:tc>
          <w:tcPr>
            <w:tcW w:w="1240" w:type="dxa"/>
            <w:vAlign w:val="bottom"/>
          </w:tcPr>
          <w:p>
            <w:pPr>
              <w:jc w:val="center"/>
              <w:ind w:right="2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6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Notes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09"/>
        </w:trPr>
        <w:tc>
          <w:tcPr>
            <w:tcW w:w="4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stockholders:</w:t>
            </w:r>
          </w:p>
        </w:tc>
        <w:tc>
          <w:tcPr>
            <w:tcW w:w="13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Perceptive Life Sciences Master Fund Ltd.</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1,644,785</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Entities affiliated with RTW Investments,</w:t>
            </w:r>
          </w:p>
        </w:tc>
        <w:tc>
          <w:tcPr>
            <w:tcW w:w="136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1,535,131</w:t>
            </w:r>
            <w:r>
              <w:rPr>
                <w:rFonts w:ascii="Arial" w:cs="Arial" w:eastAsia="Arial" w:hAnsi="Arial"/>
                <w:sz w:val="15"/>
                <w:szCs w:val="15"/>
                <w:color w:val="auto"/>
              </w:rPr>
              <w:t>(2)</w:t>
            </w: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383,782</w:t>
            </w:r>
            <w:r>
              <w:rPr>
                <w:rFonts w:ascii="Arial" w:cs="Arial" w:eastAsia="Arial" w:hAnsi="Arial"/>
                <w:sz w:val="15"/>
                <w:szCs w:val="15"/>
                <w:color w:val="auto"/>
              </w:rPr>
              <w:t>(3)</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LP</w:t>
            </w:r>
          </w:p>
        </w:tc>
        <w:tc>
          <w:tcPr>
            <w:tcW w:w="136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360" w:type="dxa"/>
            <w:vAlign w:val="bottom"/>
            <w:vMerge w:val="restart"/>
          </w:tcPr>
          <w:p>
            <w:pPr>
              <w:jc w:val="right"/>
              <w:ind w:right="39"/>
              <w:spacing w:after="0"/>
              <w:rPr>
                <w:sz w:val="20"/>
                <w:szCs w:val="20"/>
                <w:color w:val="auto"/>
              </w:rPr>
            </w:pPr>
            <w:r>
              <w:rPr>
                <w:rFonts w:ascii="Arial" w:cs="Arial" w:eastAsia="Arial" w:hAnsi="Arial"/>
                <w:sz w:val="18"/>
                <w:szCs w:val="18"/>
                <w:color w:val="auto"/>
              </w:rPr>
              <w:t>767,566</w:t>
            </w:r>
            <w:r>
              <w:rPr>
                <w:rFonts w:ascii="Arial" w:cs="Arial" w:eastAsia="Arial" w:hAnsi="Arial"/>
                <w:sz w:val="15"/>
                <w:szCs w:val="15"/>
                <w:color w:val="auto"/>
              </w:rPr>
              <w:t>(4)</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191,890</w:t>
            </w:r>
            <w:r>
              <w:rPr>
                <w:rFonts w:ascii="Arial" w:cs="Arial" w:eastAsia="Arial" w:hAnsi="Arial"/>
                <w:sz w:val="15"/>
                <w:szCs w:val="15"/>
                <w:color w:val="auto"/>
              </w:rPr>
              <w:t>(5)</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98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w:t>
            </w:r>
          </w:p>
        </w:tc>
        <w:tc>
          <w:tcPr>
            <w:tcW w:w="13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274,130</w:t>
            </w:r>
            <w:r>
              <w:rPr>
                <w:rFonts w:ascii="Arial" w:cs="Arial" w:eastAsia="Arial" w:hAnsi="Arial"/>
                <w:sz w:val="15"/>
                <w:szCs w:val="15"/>
                <w:color w:val="auto"/>
              </w:rPr>
              <w:t>(1)</w:t>
            </w:r>
          </w:p>
        </w:tc>
        <w:tc>
          <w:tcPr>
            <w:tcW w:w="2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98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Investments Sub-Master LP</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1,096,523</w:t>
            </w: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Executive officers and directors:</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(6)</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1,644,785</w:t>
            </w: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411,196</w:t>
            </w:r>
            <w:r>
              <w:rPr>
                <w:rFonts w:ascii="Arial" w:cs="Arial" w:eastAsia="Arial" w:hAnsi="Arial"/>
                <w:sz w:val="15"/>
                <w:szCs w:val="15"/>
                <w:color w:val="auto"/>
              </w:rPr>
              <w:t>(1)</w:t>
            </w: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Mark Litton, Ph.D.</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jc w:val="right"/>
              <w:ind w:right="43"/>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(7)</w:t>
            </w:r>
          </w:p>
        </w:tc>
        <w:tc>
          <w:tcPr>
            <w:tcW w:w="300" w:type="dxa"/>
            <w:vAlign w:val="bottom"/>
          </w:tcPr>
          <w:p>
            <w:pPr>
              <w:spacing w:after="0"/>
              <w:rPr>
                <w:sz w:val="21"/>
                <w:szCs w:val="21"/>
                <w:color w:val="auto"/>
              </w:rPr>
            </w:pPr>
          </w:p>
        </w:tc>
        <w:tc>
          <w:tcPr>
            <w:tcW w:w="1380" w:type="dxa"/>
            <w:vAlign w:val="bottom"/>
          </w:tcPr>
          <w:p>
            <w:pPr>
              <w:jc w:val="right"/>
              <w:ind w:right="45"/>
              <w:spacing w:after="0"/>
              <w:rPr>
                <w:sz w:val="20"/>
                <w:szCs w:val="20"/>
                <w:color w:val="auto"/>
              </w:rPr>
            </w:pPr>
            <w:r>
              <w:rPr>
                <w:rFonts w:ascii="Arial" w:cs="Arial" w:eastAsia="Arial" w:hAnsi="Arial"/>
                <w:sz w:val="18"/>
                <w:szCs w:val="18"/>
                <w:color w:val="auto"/>
              </w:rPr>
              <w:t>32,815</w:t>
            </w:r>
            <w:r>
              <w:rPr>
                <w:rFonts w:ascii="Arial" w:cs="Arial" w:eastAsia="Arial" w:hAnsi="Arial"/>
                <w:sz w:val="15"/>
                <w:szCs w:val="15"/>
                <w:color w:val="auto"/>
              </w:rPr>
              <w:t>(8)</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(9)</w:t>
            </w:r>
          </w:p>
        </w:tc>
        <w:tc>
          <w:tcPr>
            <w:tcW w:w="13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8"/>
                <w:szCs w:val="18"/>
                <w:color w:val="auto"/>
              </w:rPr>
              <w:t>50,000</w:t>
            </w:r>
          </w:p>
        </w:tc>
        <w:tc>
          <w:tcPr>
            <w:tcW w:w="30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45"/>
              <w:spacing w:after="0"/>
              <w:rPr>
                <w:sz w:val="20"/>
                <w:szCs w:val="20"/>
                <w:color w:val="auto"/>
              </w:rPr>
            </w:pPr>
            <w:r>
              <w:rPr>
                <w:rFonts w:ascii="Arial" w:cs="Arial" w:eastAsia="Arial" w:hAnsi="Arial"/>
                <w:sz w:val="18"/>
                <w:szCs w:val="18"/>
                <w:color w:val="auto"/>
              </w:rPr>
              <w:t>6,731</w:t>
            </w:r>
          </w:p>
        </w:tc>
        <w:tc>
          <w:tcPr>
            <w:tcW w:w="3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3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6" w:lineRule="exact"/>
        <w:rPr>
          <w:sz w:val="20"/>
          <w:szCs w:val="20"/>
          <w:color w:val="auto"/>
        </w:rPr>
      </w:pPr>
    </w:p>
    <w:p>
      <w:pPr>
        <w:ind w:left="480" w:hanging="472"/>
        <w:spacing w:after="0"/>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This warrant was fully exercised prior to August 26, 2020.</w:t>
      </w:r>
    </w:p>
    <w:p>
      <w:pPr>
        <w:spacing w:after="0" w:line="41" w:lineRule="exact"/>
        <w:rPr>
          <w:rFonts w:ascii="Arial" w:cs="Arial" w:eastAsia="Arial" w:hAnsi="Arial"/>
          <w:sz w:val="14"/>
          <w:szCs w:val="14"/>
          <w:color w:val="auto"/>
        </w:rPr>
      </w:pPr>
    </w:p>
    <w:p>
      <w:pPr>
        <w:ind w:left="480" w:right="160" w:hanging="472"/>
        <w:spacing w:after="0" w:line="271"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1,535,131 shares of our Series B convertible preferred stock held of record in the aggregate by RTW Master Fund, Ltd., RTW Innovation Master Fund, Ltd. and RTW Venture Fund Limited.</w:t>
      </w:r>
    </w:p>
    <w:p>
      <w:pPr>
        <w:ind w:left="480" w:right="220" w:hanging="472"/>
        <w:spacing w:after="0" w:line="271"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warrants to purchase an aggregate of 383,782 shares of our common stock held by RTW Innovation Master Fund, Ltd., RTW Master Fund, Ltd., and RTW Venture Fund Limited. Each of these warrants was fully exercised prior to August 26, 2020.</w:t>
      </w:r>
    </w:p>
    <w:p>
      <w:pPr>
        <w:ind w:left="480" w:right="60" w:hanging="472"/>
        <w:spacing w:after="0" w:line="271"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326,344 shares of our Series B convertible preferred stock held by Franklin Strategic Series – Franklin Biotechnology Discovery Fund and 441,222 shares of our Series B convertible preferred stock held by Franklin Templeton Investment Funds – Franklin Biotechnology Discovery Fund.</w:t>
      </w:r>
    </w:p>
    <w:p>
      <w:pPr>
        <w:ind w:left="480" w:right="540" w:hanging="472"/>
        <w:spacing w:after="0" w:line="271"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warrants to purchase 81,585 shares of our common stock held by Franklin Strategic Series – Franklin Biotechnology Discovery Fund and warrants to purchase 110,305 shares of our common stock held by Franklin Templeton Investment Funds – Franklin Biotechnology Discovery Fund.</w:t>
      </w:r>
    </w:p>
    <w:p>
      <w:pPr>
        <w:ind w:left="480" w:right="300" w:hanging="472"/>
        <w:spacing w:after="0" w:line="261"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1,644,785 shares of our Series B convertible preferred stock and warrants to purchase 411,196 shares of our common stock held by Perceptive Life Sciences Master Fund, Ltd, which warrants were fully exercised prior to August 26, 2020. Joseph Edelman is the managing member of Perceptive Advisors LLC, the investment manager of Perceptive Life Sciences Master Fund Ltd., and may be deemed to beneficially own such securities.</w:t>
      </w:r>
    </w:p>
    <w:p>
      <w:pPr>
        <w:spacing w:after="0" w:line="1" w:lineRule="exact"/>
        <w:rPr>
          <w:rFonts w:ascii="Arial" w:cs="Arial" w:eastAsia="Arial" w:hAnsi="Arial"/>
          <w:sz w:val="14"/>
          <w:szCs w:val="14"/>
          <w:color w:val="auto"/>
        </w:rPr>
      </w:pPr>
    </w:p>
    <w:p>
      <w:pPr>
        <w:ind w:left="480" w:right="60" w:hanging="472"/>
        <w:spacing w:after="0" w:line="261"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$100,000 in aggregate principal amount of convertible notes held jointly by Dr. Litton and Alicia Litton, his wife, and $150,000 in aggregate principal amount of convertible notes held by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80" w:hanging="472"/>
        <w:spacing w:after="0" w:line="257" w:lineRule="auto"/>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13,126 shares of our Series B-1 convertible preferred stock held jointly by Dr. Litton and Alicia Litton, his wife, and an aggregate 19,689 shares of our Series B-1 convertible preferred stock held by the Irrevocable Trust of OSL, the Irrevocable Trust of SWL, and the Irrevocable Trust of WGL, each of which are trusts held for the benefit of Dr. Litton’s children.</w:t>
      </w:r>
    </w:p>
    <w:p>
      <w:pPr>
        <w:spacing w:after="0" w:line="1" w:lineRule="exact"/>
        <w:rPr>
          <w:rFonts w:ascii="Arial" w:cs="Arial" w:eastAsia="Arial" w:hAnsi="Arial"/>
          <w:sz w:val="14"/>
          <w:szCs w:val="14"/>
          <w:color w:val="auto"/>
        </w:rPr>
      </w:pPr>
    </w:p>
    <w:p>
      <w:pPr>
        <w:ind w:left="480" w:right="560" w:hanging="472"/>
        <w:spacing w:after="0" w:line="189" w:lineRule="exact"/>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Consists of convertible notes and shares of our Series B</w:t>
      </w:r>
      <w:r>
        <w:rPr>
          <w:rFonts w:ascii="MS PGothic" w:cs="MS PGothic" w:eastAsia="MS PGothic" w:hAnsi="MS PGothic"/>
          <w:sz w:val="14"/>
          <w:szCs w:val="14"/>
          <w:color w:val="auto"/>
        </w:rPr>
        <w:t>‑</w:t>
      </w:r>
      <w:r>
        <w:rPr>
          <w:rFonts w:ascii="Arial" w:cs="Arial" w:eastAsia="Arial" w:hAnsi="Arial"/>
          <w:sz w:val="14"/>
          <w:szCs w:val="14"/>
          <w:color w:val="auto"/>
        </w:rPr>
        <w:t>1 convertible preferred stock held by Fluke Capital Management, L.P., of which John M. Fluke, Jr. has a beneficial ownership interest.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From December 2018 to January 2020, we issued and sold $3.8 million in aggregate principal amount of our convertible notes. The notes accrue interest at a rate of 5% per month. Dr. Litton, our chief operating officer, and Alicia Litton, his wife, purchased $100,000 in aggregate principal amount of the notes. In addition, notes in an aggregate principal amount of $ 150,000 were purchased by the Irrevocable Trust of OSL, the Irrevocable Trust of WGL, and the Irrevocable Trust of SWL, each of which are trusts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79" w:name="page180"/>
    <w:bookmarkEnd w:id="179"/>
    <w:p>
      <w:pPr>
        <w:spacing w:after="0" w:line="248" w:lineRule="auto"/>
        <w:rPr>
          <w:sz w:val="20"/>
          <w:szCs w:val="20"/>
          <w:color w:val="auto"/>
        </w:rPr>
      </w:pPr>
      <w:r>
        <w:rPr>
          <w:rFonts w:ascii="Arial" w:cs="Arial" w:eastAsia="Arial" w:hAnsi="Arial"/>
          <w:sz w:val="18"/>
          <w:szCs w:val="18"/>
          <w:color w:val="auto"/>
        </w:rPr>
        <w:t>held for the benefit of Dr. Litton’s children. Fluke Capital Management, L.P., of which John M. Fluke, Jr., a member of our board of directors, has a beneficial ownership interest, also purchased notes in an aggregate principal amount of $50,000. All outstanding notes to purchase our common stock converted into shares of our Series B-1 convertible preferred stock at a conversion price of $7.752 per share in connection with our Series B financing in May 2020. The Series B financing is described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Financing</w:t>
      </w:r>
    </w:p>
    <w:p>
      <w:pPr>
        <w:spacing w:after="0" w:line="104" w:lineRule="exact"/>
        <w:rPr>
          <w:sz w:val="20"/>
          <w:szCs w:val="20"/>
          <w:color w:val="auto"/>
        </w:rPr>
      </w:pPr>
    </w:p>
    <w:p>
      <w:pPr>
        <w:ind w:firstLine="648"/>
        <w:spacing w:after="0"/>
        <w:rPr>
          <w:sz w:val="20"/>
          <w:szCs w:val="20"/>
          <w:color w:val="auto"/>
        </w:rPr>
      </w:pPr>
      <w:r>
        <w:rPr>
          <w:rFonts w:ascii="Arial" w:cs="Arial" w:eastAsia="Arial" w:hAnsi="Arial"/>
          <w:sz w:val="18"/>
          <w:szCs w:val="18"/>
          <w:color w:val="auto"/>
        </w:rPr>
        <w:t>From May 2020 to June 2020, we issued and sold to investors an aggregate of 9,372,765 shares of Series B convertible preferred stock at $9.12 per share for aggregate proceeds of $85.5 million, an aggregate of 512,858 shares of Series B-1 convertible preferred stock at a conversion price of $7.752 per share upon conversion of outstanding convertible notes, and warrants to purchase 2,343,168 shares of our common stock at an exercise price of $0.08 per share. Perceptive Life Sciences Master Fund Ltd., entities affiliated with RTW Investments, LP, Viking Global Opportunities Illiquid Investments Sub-Master LP, and entities affiliated with Franklin Templeton Investments, are each significant stockholders of the company and participated in the Series B financing. Perceptive Advisors LLC serves as the investment manager of Perceptive Life Sciences Master Fund Ltd. Joseph Edelman, a member of our board of directors, is the managing member of Perceptive Advisors LLC and he may be deemed to beneficially own the shares held by Perceptive Life Sciences Master Fund Ltd.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106"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We have entered into an investors’ rights agreement with certain of our stockholders, including Dr. Kawas, our chief executive officer, Dr. Litton, our chief operating officer, and Fluke Capital Management, L.P., of which John M. Fluke, Jr., a member of our board of directors, has a beneficial ownership interest. In addition, Perceptive Life Sciences Master Fund Ltd., entities affiliated with RTW Investments, LP, Viking Global Opportunities Illiquid Investments Sub-Master LP, and entities affiliated with Franklin Templeton Investments, are each parties to the agreement. As of June 30, 2020, the holders of 17,412,775 shares of our common stock, including 12,503,009 shares of common stock issuable upon conversion of outstanding convertible preferred stock and 1,708,744 shares of common stock issuable upon exercise of outstanding warrants (as of June 30, 2020 and assuming the automatic net exercise of all warrants outstanding as of June 30, 2020 immediately prior to the closing of this offering), or their transferees, are entitled to rights with respect to the registration of their shares under the Securities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06" w:lineRule="exact"/>
        <w:rPr>
          <w:sz w:val="20"/>
          <w:szCs w:val="20"/>
          <w:color w:val="auto"/>
        </w:rPr>
      </w:pPr>
    </w:p>
    <w:p>
      <w:pPr>
        <w:ind w:right="260" w:firstLine="576"/>
        <w:spacing w:after="0" w:line="255" w:lineRule="auto"/>
        <w:rPr>
          <w:sz w:val="20"/>
          <w:szCs w:val="20"/>
          <w:color w:val="auto"/>
        </w:rPr>
      </w:pPr>
      <w:r>
        <w:rPr>
          <w:rFonts w:ascii="Arial" w:cs="Arial" w:eastAsia="Arial" w:hAnsi="Arial"/>
          <w:sz w:val="18"/>
          <w:szCs w:val="18"/>
          <w:color w:val="auto"/>
        </w:rPr>
        <w:t>The election of the members of the board of directors is governed by a voting agreement with certain of our stockholders, including Dr. Kawas, our chief executive officer, and Perceptive Life Sciences Master Fund Ltd. The parties to the voting agreement have agreed, subject to certain conditions, to vote their shares to elect as directors as follows:</w:t>
      </w:r>
    </w:p>
    <w:p>
      <w:pPr>
        <w:spacing w:after="0" w:line="56" w:lineRule="exact"/>
        <w:rPr>
          <w:sz w:val="20"/>
          <w:szCs w:val="20"/>
          <w:color w:val="auto"/>
        </w:rPr>
      </w:pPr>
    </w:p>
    <w:p>
      <w:pPr>
        <w:ind w:left="1300" w:hanging="442"/>
        <w:spacing w:after="0"/>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designated by Perceptive Life Sciences Master Fund Ltd., currently Mr. Edelman;</w:t>
      </w:r>
    </w:p>
    <w:p>
      <w:pPr>
        <w:spacing w:after="0" w:line="116" w:lineRule="exact"/>
        <w:rPr>
          <w:rFonts w:ascii="Times New Roman" w:cs="Times New Roman" w:eastAsia="Times New Roman" w:hAnsi="Times New Roman"/>
          <w:sz w:val="18"/>
          <w:szCs w:val="18"/>
          <w:color w:val="auto"/>
        </w:rPr>
      </w:pPr>
    </w:p>
    <w:p>
      <w:pPr>
        <w:ind w:left="1300" w:right="70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four nominees, one of which must be our chief executive officer, designated by a majority vote of our common stock, currently Dr. Kawas, Dr. Yamada, and Messrs. Fluke and Johnson;</w:t>
      </w:r>
    </w:p>
    <w:p>
      <w:pPr>
        <w:spacing w:after="0" w:line="37"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designated by Perceptive Life Sciences Master Fund Ltd., currently vacant; and</w:t>
      </w:r>
    </w:p>
    <w:p>
      <w:pPr>
        <w:spacing w:after="0" w:line="37"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09"/>
        </w:numPr>
        <w:rPr>
          <w:rFonts w:ascii="Times New Roman" w:cs="Times New Roman" w:eastAsia="Times New Roman" w:hAnsi="Times New Roman"/>
          <w:sz w:val="18"/>
          <w:szCs w:val="18"/>
          <w:color w:val="auto"/>
        </w:rPr>
      </w:pPr>
      <w:r>
        <w:rPr>
          <w:rFonts w:ascii="Arial" w:cs="Arial" w:eastAsia="Arial" w:hAnsi="Arial"/>
          <w:sz w:val="18"/>
          <w:szCs w:val="18"/>
          <w:color w:val="auto"/>
        </w:rPr>
        <w:t>one nominee not otherwise an affiliate of the company or of any investor, who is mutually acceptable to the other members of the board of directors.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80" w:name="page181"/>
    <w:bookmarkEnd w:id="180"/>
    <w:p>
      <w:pPr>
        <w:ind w:right="100" w:firstLine="576"/>
        <w:spacing w:after="0" w:line="268" w:lineRule="auto"/>
        <w:rPr>
          <w:sz w:val="20"/>
          <w:szCs w:val="20"/>
          <w:color w:val="auto"/>
        </w:rPr>
      </w:pPr>
      <w:r>
        <w:rPr>
          <w:rFonts w:ascii="Arial" w:cs="Arial" w:eastAsia="Arial" w:hAnsi="Arial"/>
          <w:sz w:val="17"/>
          <w:szCs w:val="17"/>
          <w:color w:val="auto"/>
        </w:rPr>
        <w:t>Upon the consummation of this offering, the obligations of the parties to the voting agreement to vote their shares to elect these nominees will terminate, and none of our stockholders will have any special rights regarding the nomination, election or designation of members of the board of directors. Our existing certificate of incorporation contains provisions that correspond to the voting agreement; however, the certificate of incorporation that will be effective immediately prior to the closing of this offering will not include such provisions.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Directed Share Program</w:t>
      </w:r>
    </w:p>
    <w:p>
      <w:pPr>
        <w:spacing w:after="0" w:line="119"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w:t>
      </w:r>
    </w:p>
    <w:p>
      <w:pPr>
        <w:spacing w:after="0" w:line="106"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In April 2016, we issued a promissory note to Dr. Kawas in the aggregate principal amount of $60,000. This note was repaid in full prior to the public filing of the registration statement of which this prospectus forms a part.</w:t>
      </w:r>
    </w:p>
    <w:p>
      <w:pPr>
        <w:spacing w:after="0" w:line="145"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have entered into employment agreements with our executive officers and change in control and severance agreements with certain of our executive officers. For a description of these agreements, see the section of this prospectus titled “Executive Compensation – Executive Employment Arrangements.”</w:t>
      </w:r>
    </w:p>
    <w:p>
      <w:pPr>
        <w:spacing w:after="0" w:line="16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We have granted stock options and issued common stock to our executive officers and to certain of our non-executive directors. For a description of these grants and issuances, see the sections of this prospectus titled “Management – Director Compensation” and “Executive Compensation.”</w:t>
      </w:r>
    </w:p>
    <w:p>
      <w:pPr>
        <w:spacing w:after="0" w:line="16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We have entered into indemnification agreements with our directors and executive officers. For a description of these agreements, see the section of this prospectus titled “Management – Limitation of Liability and Indemnification Matters.”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576" w:right="459" w:bottom="1440" w:gutter="0" w:footer="0" w:header="0"/>
        </w:sectPr>
      </w:pPr>
    </w:p>
    <w:bookmarkStart w:id="181" w:name="page182"/>
    <w:bookmarkEnd w:id="181"/>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the beneficial ownership of our common stock as of September 4, 2020 by:</w:t>
      </w:r>
    </w:p>
    <w:p>
      <w:pPr>
        <w:spacing w:after="0" w:line="104" w:lineRule="exact"/>
        <w:rPr>
          <w:sz w:val="20"/>
          <w:szCs w:val="20"/>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each of the named executive officers;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0"/>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executive officers and directors as a group.</w:t>
      </w:r>
    </w:p>
    <w:p>
      <w:pPr>
        <w:spacing w:after="0" w:line="224" w:lineRule="exact"/>
        <w:rPr>
          <w:sz w:val="20"/>
          <w:szCs w:val="20"/>
          <w:color w:val="auto"/>
        </w:rPr>
      </w:pPr>
    </w:p>
    <w:p>
      <w:pPr>
        <w:ind w:right="220" w:firstLine="576"/>
        <w:spacing w:after="0" w:line="241" w:lineRule="auto"/>
        <w:rPr>
          <w:sz w:val="20"/>
          <w:szCs w:val="20"/>
          <w:color w:val="auto"/>
        </w:rPr>
      </w:pPr>
      <w:r>
        <w:rPr>
          <w:rFonts w:ascii="Arial" w:cs="Arial" w:eastAsia="Arial" w:hAnsi="Arial"/>
          <w:sz w:val="18"/>
          <w:szCs w:val="18"/>
          <w:color w:val="auto"/>
        </w:rPr>
        <w:t>The percentage of beneficial ownership prior to the offering shown in the table is based upon 17,697,059 shares of common stock outstanding as of September 4, 2020 assuming the automatic conversion of all outstanding shares of convertible preferred stock into an aggregate of 12,503,009 shares of common stock. The percentage of beneficial ownership after this offering shown in the table is based on 30,819,318 shares of common stock outstanding after the closing of this offering, assuming no exercise of the underwriters’ option to purchase additional shares and excluding any potential purchases pursuant to the directed share program in this offering. The below ownership percentages do not reflect the potential purchase of any shares of common stock in this offering by these officers, directors or stockholders.</w:t>
      </w:r>
    </w:p>
    <w:p>
      <w:pPr>
        <w:spacing w:after="0" w:line="179"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Information with respect to beneficial ownership has been furnished by each director, officer or beneficial owner of more than 5% of our common stock. We have determined beneficial ownership in accordance with the rules of the SEC. These rules generally attribute beneficial ownership of securities to persons who possess sole or shared voting power or investment power with respect to those securities. In addition, the rules take into account shares of common stock issuable pursuant to the exercise or conversion of stock options or warrants or convertible notes that are either immediately exercisable or convertible or exercisable or convertible on or before the 60th day after September 4, 2020. Certain of the options granted to our named executive officers may be exercised prior to the vesting of the underlying shares. These shares are deemed to be outstanding and beneficially owned by the person holding those options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8" w:right="459" w:bottom="1440" w:gutter="0" w:footer="0" w:header="0"/>
        </w:sectPr>
      </w:pPr>
    </w:p>
    <w:bookmarkStart w:id="182" w:name="page183"/>
    <w:bookmarkEnd w:id="182"/>
    <w:p>
      <w:pPr>
        <w:ind w:right="460" w:firstLine="576"/>
        <w:spacing w:after="0" w:line="276" w:lineRule="auto"/>
        <w:rPr>
          <w:sz w:val="20"/>
          <w:szCs w:val="20"/>
          <w:color w:val="auto"/>
        </w:rPr>
      </w:pPr>
      <w:r>
        <w:rPr>
          <w:rFonts w:ascii="Arial" w:cs="Arial" w:eastAsia="Arial" w:hAnsi="Arial"/>
          <w:sz w:val="18"/>
          <w:szCs w:val="18"/>
          <w:color w:val="auto"/>
        </w:rPr>
        <w:t>Except as otherwise noted below, the address for each person or entity listed in the table is c/o Athira Pharma, Inc., 4000 Mason Road, Suite 300, Seattle, Washington 98195.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Shares Beneficially</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740" w:type="dxa"/>
            <w:vAlign w:val="bottom"/>
          </w:tcPr>
          <w:p>
            <w:pPr>
              <w:spacing w:after="0"/>
              <w:rPr>
                <w:sz w:val="14"/>
                <w:szCs w:val="14"/>
                <w:color w:val="auto"/>
              </w:rPr>
            </w:pPr>
          </w:p>
        </w:tc>
        <w:tc>
          <w:tcPr>
            <w:tcW w:w="1520" w:type="dxa"/>
            <w:vAlign w:val="bottom"/>
            <w:gridSpan w:val="3"/>
          </w:tcPr>
          <w:p>
            <w:pPr>
              <w:jc w:val="center"/>
              <w:ind w:left="875"/>
              <w:spacing w:after="0"/>
              <w:rPr>
                <w:sz w:val="20"/>
                <w:szCs w:val="20"/>
                <w:color w:val="auto"/>
              </w:rPr>
            </w:pPr>
            <w:r>
              <w:rPr>
                <w:rFonts w:ascii="Arial" w:cs="Arial" w:eastAsia="Arial" w:hAnsi="Arial"/>
                <w:sz w:val="14"/>
                <w:szCs w:val="14"/>
                <w:b w:val="1"/>
                <w:bCs w:val="1"/>
                <w:color w:val="auto"/>
              </w:rPr>
              <w:t>Owned</w:t>
            </w: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80" w:type="dxa"/>
            <w:vAlign w:val="bottom"/>
            <w:gridSpan w:val="4"/>
          </w:tcPr>
          <w:p>
            <w:pPr>
              <w:ind w:left="320"/>
              <w:spacing w:after="0"/>
              <w:rPr>
                <w:sz w:val="20"/>
                <w:szCs w:val="20"/>
                <w:color w:val="auto"/>
              </w:rPr>
            </w:pPr>
            <w:r>
              <w:rPr>
                <w:rFonts w:ascii="Arial" w:cs="Arial" w:eastAsia="Arial" w:hAnsi="Arial"/>
                <w:sz w:val="14"/>
                <w:szCs w:val="14"/>
                <w:b w:val="1"/>
                <w:bCs w:val="1"/>
                <w:color w:val="auto"/>
              </w:rPr>
              <w:t>Shares Beneficially Owned</w:t>
            </w:r>
          </w:p>
        </w:tc>
      </w:tr>
      <w:tr>
        <w:trPr>
          <w:trHeight w:val="177"/>
        </w:trPr>
        <w:tc>
          <w:tcPr>
            <w:tcW w:w="5740" w:type="dxa"/>
            <w:vAlign w:val="bottom"/>
          </w:tcPr>
          <w:p>
            <w:pPr>
              <w:spacing w:after="0"/>
              <w:rPr>
                <w:sz w:val="15"/>
                <w:szCs w:val="15"/>
                <w:color w:val="auto"/>
              </w:rPr>
            </w:pPr>
          </w:p>
        </w:tc>
        <w:tc>
          <w:tcPr>
            <w:tcW w:w="2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Prior to the Offering</w:t>
            </w:r>
          </w:p>
        </w:tc>
        <w:tc>
          <w:tcPr>
            <w:tcW w:w="26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After the Offering</w:t>
            </w:r>
          </w:p>
        </w:tc>
      </w:tr>
      <w:tr>
        <w:trPr>
          <w:trHeight w:val="154"/>
        </w:trPr>
        <w:tc>
          <w:tcPr>
            <w:tcW w:w="5740" w:type="dxa"/>
            <w:vAlign w:val="bottom"/>
          </w:tcPr>
          <w:p>
            <w:pPr>
              <w:spacing w:after="0"/>
              <w:rPr>
                <w:sz w:val="13"/>
                <w:szCs w:val="13"/>
                <w:color w:val="auto"/>
              </w:rPr>
            </w:pPr>
          </w:p>
        </w:tc>
        <w:tc>
          <w:tcPr>
            <w:tcW w:w="1520" w:type="dxa"/>
            <w:vAlign w:val="bottom"/>
            <w:tcBorders>
              <w:top w:val="single" w:sz="8" w:color="auto"/>
            </w:tcBorders>
            <w:gridSpan w:val="3"/>
          </w:tcPr>
          <w:p>
            <w:pPr>
              <w:jc w:val="center"/>
              <w:ind w:right="400"/>
              <w:spacing w:after="0" w:line="154" w:lineRule="exact"/>
              <w:rPr>
                <w:sz w:val="20"/>
                <w:szCs w:val="20"/>
                <w:color w:val="auto"/>
              </w:rPr>
            </w:pPr>
            <w:r>
              <w:rPr>
                <w:rFonts w:ascii="Arial" w:cs="Arial" w:eastAsia="Arial" w:hAnsi="Arial"/>
                <w:sz w:val="14"/>
                <w:szCs w:val="14"/>
                <w:b w:val="1"/>
                <w:bCs w:val="1"/>
                <w:color w:val="auto"/>
              </w:rPr>
              <w:t>Number of</w:t>
            </w:r>
          </w:p>
        </w:tc>
        <w:tc>
          <w:tcPr>
            <w:tcW w:w="9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Borders>
              <w:top w:val="single" w:sz="8" w:color="auto"/>
            </w:tcBorders>
            <w:gridSpan w:val="2"/>
          </w:tcPr>
          <w:p>
            <w:pPr>
              <w:ind w:left="200"/>
              <w:spacing w:after="0" w:line="154" w:lineRule="exact"/>
              <w:rPr>
                <w:sz w:val="20"/>
                <w:szCs w:val="20"/>
                <w:color w:val="auto"/>
              </w:rPr>
            </w:pPr>
            <w:r>
              <w:rPr>
                <w:rFonts w:ascii="Arial" w:cs="Arial" w:eastAsia="Arial" w:hAnsi="Arial"/>
                <w:sz w:val="14"/>
                <w:szCs w:val="14"/>
                <w:b w:val="1"/>
                <w:bCs w:val="1"/>
                <w:color w:val="auto"/>
              </w:rPr>
              <w:t>Number of</w:t>
            </w:r>
          </w:p>
        </w:tc>
        <w:tc>
          <w:tcPr>
            <w:tcW w:w="11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77"/>
        </w:trPr>
        <w:tc>
          <w:tcPr>
            <w:tcW w:w="5740" w:type="dxa"/>
            <w:vAlign w:val="bottom"/>
          </w:tcPr>
          <w:p>
            <w:pPr>
              <w:spacing w:after="0"/>
              <w:rPr>
                <w:sz w:val="15"/>
                <w:szCs w:val="15"/>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w:t>
            </w:r>
          </w:p>
        </w:tc>
        <w:tc>
          <w:tcPr>
            <w:tcW w:w="138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Percentage</w:t>
            </w:r>
          </w:p>
        </w:tc>
      </w:tr>
      <w:tr>
        <w:trPr>
          <w:trHeight w:val="210"/>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5% and Greater Stockholders:</w:t>
            </w:r>
          </w:p>
        </w:tc>
        <w:tc>
          <w:tcPr>
            <w:tcW w:w="11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15"/>
                <w:szCs w:val="15"/>
                <w:color w:val="auto"/>
              </w:rPr>
              <w:t>(2)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2,055,981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2,055,981</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Entities affiliated with RTW Investments, LP</w:t>
            </w:r>
            <w:r>
              <w:rPr>
                <w:rFonts w:ascii="Arial" w:cs="Arial" w:eastAsia="Arial" w:hAnsi="Arial"/>
                <w:sz w:val="15"/>
                <w:szCs w:val="15"/>
                <w:color w:val="auto"/>
              </w:rPr>
              <w:t>(3)</w:t>
            </w:r>
          </w:p>
        </w:tc>
        <w:tc>
          <w:tcPr>
            <w:tcW w:w="1120" w:type="dxa"/>
            <w:vAlign w:val="bottom"/>
          </w:tcPr>
          <w:p>
            <w:pPr>
              <w:jc w:val="right"/>
              <w:spacing w:after="0"/>
              <w:rPr>
                <w:sz w:val="20"/>
                <w:szCs w:val="20"/>
                <w:color w:val="auto"/>
              </w:rPr>
            </w:pPr>
            <w:r>
              <w:rPr>
                <w:rFonts w:ascii="Arial" w:cs="Arial" w:eastAsia="Arial" w:hAnsi="Arial"/>
                <w:sz w:val="18"/>
                <w:szCs w:val="18"/>
                <w:color w:val="auto"/>
              </w:rPr>
              <w:t>1,918,913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1,918,913</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Viking Global Opportunities Illiquid Investments</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6"/>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Sub-Master LP</w:t>
            </w:r>
            <w:r>
              <w:rPr>
                <w:rFonts w:ascii="Arial" w:cs="Arial" w:eastAsia="Arial" w:hAnsi="Arial"/>
                <w:sz w:val="15"/>
                <w:szCs w:val="15"/>
                <w:color w:val="auto"/>
              </w:rPr>
              <w:t>(4)</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1,370,653</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r>
      <w:tr>
        <w:trPr>
          <w:trHeight w:val="193"/>
        </w:trPr>
        <w:tc>
          <w:tcPr>
            <w:tcW w:w="5740" w:type="dxa"/>
            <w:vAlign w:val="bottom"/>
          </w:tcPr>
          <w:p>
            <w:pPr>
              <w:spacing w:after="0" w:line="193" w:lineRule="exact"/>
              <w:rPr>
                <w:sz w:val="20"/>
                <w:szCs w:val="20"/>
                <w:color w:val="auto"/>
              </w:rPr>
            </w:pPr>
            <w:r>
              <w:rPr>
                <w:rFonts w:ascii="Arial" w:cs="Arial" w:eastAsia="Arial" w:hAnsi="Arial"/>
                <w:sz w:val="18"/>
                <w:szCs w:val="18"/>
                <w:color w:val="auto"/>
              </w:rPr>
              <w:t>Entities affiliated with Franklin Templeton</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5740" w:type="dxa"/>
            <w:vAlign w:val="bottom"/>
          </w:tcPr>
          <w:p>
            <w:pPr>
              <w:ind w:left="160"/>
              <w:spacing w:after="0"/>
              <w:rPr>
                <w:sz w:val="20"/>
                <w:szCs w:val="20"/>
                <w:color w:val="auto"/>
              </w:rPr>
            </w:pPr>
            <w:r>
              <w:rPr>
                <w:rFonts w:ascii="Arial" w:cs="Arial" w:eastAsia="Arial" w:hAnsi="Arial"/>
                <w:sz w:val="18"/>
                <w:szCs w:val="18"/>
                <w:color w:val="auto"/>
              </w:rPr>
              <w:t>Investments</w:t>
            </w:r>
            <w:r>
              <w:rPr>
                <w:rFonts w:ascii="Arial" w:cs="Arial" w:eastAsia="Arial" w:hAnsi="Arial"/>
                <w:sz w:val="15"/>
                <w:szCs w:val="15"/>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959,456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959,456</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Named Executive Officers and Directors: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Leen Kawas</w:t>
            </w:r>
            <w:r>
              <w:rPr>
                <w:rFonts w:ascii="Arial" w:cs="Arial" w:eastAsia="Arial" w:hAnsi="Arial"/>
                <w:sz w:val="15"/>
                <w:szCs w:val="15"/>
                <w:color w:val="auto"/>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1,682,594</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Mark Litton</w:t>
            </w:r>
            <w:r>
              <w:rPr>
                <w:rFonts w:ascii="Arial" w:cs="Arial" w:eastAsia="Arial" w:hAnsi="Arial"/>
                <w:sz w:val="15"/>
                <w:szCs w:val="15"/>
                <w:color w:val="auto"/>
              </w:rPr>
              <w:t>(6)</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83,255</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Kevin Church</w:t>
            </w:r>
            <w:r>
              <w:rPr>
                <w:rFonts w:ascii="Arial" w:cs="Arial" w:eastAsia="Arial" w:hAnsi="Arial"/>
                <w:sz w:val="15"/>
                <w:szCs w:val="15"/>
                <w:color w:val="auto"/>
              </w:rPr>
              <w:t>(7)</w:t>
            </w:r>
          </w:p>
        </w:tc>
        <w:tc>
          <w:tcPr>
            <w:tcW w:w="1120" w:type="dxa"/>
            <w:vAlign w:val="bottom"/>
          </w:tcPr>
          <w:p>
            <w:pPr>
              <w:jc w:val="right"/>
              <w:spacing w:after="0"/>
              <w:rPr>
                <w:sz w:val="20"/>
                <w:szCs w:val="20"/>
                <w:color w:val="auto"/>
              </w:rPr>
            </w:pPr>
            <w:r>
              <w:rPr>
                <w:rFonts w:ascii="Arial" w:cs="Arial" w:eastAsia="Arial" w:hAnsi="Arial"/>
                <w:sz w:val="18"/>
                <w:szCs w:val="18"/>
                <w:color w:val="auto"/>
              </w:rPr>
              <w:t>50,438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50,438</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Tadataka Yamada</w:t>
            </w:r>
            <w:r>
              <w:rPr>
                <w:rFonts w:ascii="Arial" w:cs="Arial" w:eastAsia="Arial" w:hAnsi="Arial"/>
                <w:sz w:val="15"/>
                <w:szCs w:val="15"/>
                <w:color w:val="auto"/>
              </w:rPr>
              <w:t>(8)</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30,123</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Joseph Edelman</w:t>
            </w:r>
            <w:r>
              <w:rPr>
                <w:rFonts w:ascii="Arial" w:cs="Arial" w:eastAsia="Arial" w:hAnsi="Arial"/>
                <w:sz w:val="15"/>
                <w:szCs w:val="15"/>
                <w:color w:val="auto"/>
              </w:rPr>
              <w:t>(9)</w:t>
            </w:r>
          </w:p>
        </w:tc>
        <w:tc>
          <w:tcPr>
            <w:tcW w:w="1120" w:type="dxa"/>
            <w:vAlign w:val="bottom"/>
          </w:tcPr>
          <w:p>
            <w:pPr>
              <w:jc w:val="right"/>
              <w:spacing w:after="0"/>
              <w:rPr>
                <w:sz w:val="20"/>
                <w:szCs w:val="20"/>
                <w:color w:val="auto"/>
              </w:rPr>
            </w:pPr>
            <w:r>
              <w:rPr>
                <w:rFonts w:ascii="Arial" w:cs="Arial" w:eastAsia="Arial" w:hAnsi="Arial"/>
                <w:sz w:val="18"/>
                <w:szCs w:val="18"/>
                <w:color w:val="auto"/>
              </w:rPr>
              <w:t>2,055,981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2,055,981</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r>
      <w:tr>
        <w:trPr>
          <w:trHeight w:val="216"/>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John M. Fluke, Jr.</w:t>
            </w:r>
            <w:r>
              <w:rPr>
                <w:rFonts w:ascii="Arial" w:cs="Arial" w:eastAsia="Arial" w:hAnsi="Arial"/>
                <w:sz w:val="15"/>
                <w:szCs w:val="15"/>
                <w:color w:val="auto"/>
              </w:rPr>
              <w:t>(10)</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142,208</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James A. Johnson</w:t>
            </w:r>
            <w:r>
              <w:rPr>
                <w:rFonts w:ascii="Arial" w:cs="Arial" w:eastAsia="Arial" w:hAnsi="Arial"/>
                <w:sz w:val="15"/>
                <w:szCs w:val="15"/>
                <w:color w:val="auto"/>
              </w:rPr>
              <w:t>(11)</w:t>
            </w:r>
          </w:p>
        </w:tc>
        <w:tc>
          <w:tcPr>
            <w:tcW w:w="15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193"/>
        </w:trPr>
        <w:tc>
          <w:tcPr>
            <w:tcW w:w="5740" w:type="dxa"/>
            <w:vAlign w:val="bottom"/>
            <w:shd w:val="clear" w:color="auto" w:fill="CFF0FC"/>
          </w:tcPr>
          <w:p>
            <w:pPr>
              <w:spacing w:after="0" w:line="193" w:lineRule="exact"/>
              <w:rPr>
                <w:sz w:val="20"/>
                <w:szCs w:val="20"/>
                <w:color w:val="auto"/>
              </w:rPr>
            </w:pPr>
            <w:r>
              <w:rPr>
                <w:rFonts w:ascii="Arial" w:cs="Arial" w:eastAsia="Arial" w:hAnsi="Arial"/>
                <w:sz w:val="18"/>
                <w:szCs w:val="18"/>
                <w:color w:val="auto"/>
              </w:rPr>
              <w:t>All directors and executive officers as a group</w:t>
            </w:r>
          </w:p>
        </w:tc>
        <w:tc>
          <w:tcPr>
            <w:tcW w:w="1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r>
      <w:tr>
        <w:trPr>
          <w:trHeight w:val="226"/>
        </w:trPr>
        <w:tc>
          <w:tcPr>
            <w:tcW w:w="57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(9 persons)</w:t>
            </w:r>
            <w:r>
              <w:rPr>
                <w:rFonts w:ascii="Arial" w:cs="Arial" w:eastAsia="Arial" w:hAnsi="Arial"/>
                <w:sz w:val="15"/>
                <w:szCs w:val="15"/>
                <w:color w:val="auto"/>
              </w:rPr>
              <w:t>(12)</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w:t>
            </w: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4,140,750</w:t>
            </w: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626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83" w:lineRule="exact"/>
        <w:rPr>
          <w:sz w:val="20"/>
          <w:szCs w:val="20"/>
          <w:color w:val="auto"/>
        </w:rPr>
      </w:pPr>
    </w:p>
    <w:p>
      <w:pPr>
        <w:ind w:left="480" w:hanging="472"/>
        <w:spacing w:after="0"/>
        <w:tabs>
          <w:tab w:leader="none" w:pos="48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common stock.</w:t>
      </w:r>
    </w:p>
    <w:p>
      <w:pPr>
        <w:spacing w:after="0" w:line="42" w:lineRule="exact"/>
        <w:rPr>
          <w:sz w:val="20"/>
          <w:szCs w:val="20"/>
          <w:color w:val="auto"/>
        </w:rPr>
      </w:pPr>
    </w:p>
    <w:p>
      <w:pPr>
        <w:ind w:left="480" w:right="40" w:hanging="472"/>
        <w:spacing w:after="0" w:line="271"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264,810 shares held of record by Hamdan Family GST Trust, 1,117,246 shares held of record by Dr. Kawas and options to purchase 300,538 shares that are exercisable within 60 days of September 4, 2020, all of which will be vested as of November 3, 2020.</w:t>
      </w:r>
    </w:p>
    <w:p>
      <w:pPr>
        <w:ind w:left="480" w:hanging="472"/>
        <w:spacing w:after="0" w:line="261"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2,055,981 shares held of record by Perceptive Life Sciences Master Fund Ltd., or Perceptive. The business address of Perceptive is 51 Astor Place, 10th Floor, New York, NY 10003. Perceptive Advisors LLC serves as the investment manager of Perceptive. Joseph Edelman is the managing member of Perceptive Advisors LLC and he may be deemed to beneficially own the shares held by Perceptive.</w:t>
      </w:r>
    </w:p>
    <w:p>
      <w:pPr>
        <w:spacing w:after="0" w:line="1" w:lineRule="exact"/>
        <w:rPr>
          <w:rFonts w:ascii="Arial" w:cs="Arial" w:eastAsia="Arial" w:hAnsi="Arial"/>
          <w:sz w:val="14"/>
          <w:szCs w:val="14"/>
          <w:color w:val="auto"/>
        </w:rPr>
      </w:pPr>
    </w:p>
    <w:p>
      <w:pPr>
        <w:ind w:left="480" w:right="20" w:hanging="472"/>
        <w:spacing w:after="0" w:line="249"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1,918,913 shares held of record in the aggregate by RTW Master Fund, Ltd., RTW Innovation Master Fund, Ltd. and RTW Venture Fund Limited. RTW Investments, LP has the power to direct the vote and disposition of securities held by RTW Master Fund, Ltd., RTW Innovation Master Fund, Ltd. and RTW Venture Fund Limited. Accordingly, RTW Investments, LP may be deemed to be the beneficial owner of such securities. Roderick Wong, M.D. has the power to direct the vote and disposition of the securities held by RTW Investments, LP. Dr. Wong is the managing member of RTW Investments GP, LLC, which is the general partner of RTW Investments, LP. Dr. Wong disclaims beneficial ownership of the shares held by RTW Master Fund, Ltd., RTW Innovation Master Fund, Ltd., and RTW Venture Fund Limited, except to the extent of his pecuniary interest therein. The address and principal office of RTW Investments, LP and Dr. Wong is 40 10th Avenue, Floor 7, New York, NY 10014.</w:t>
      </w:r>
    </w:p>
    <w:p>
      <w:pPr>
        <w:spacing w:after="0" w:line="5" w:lineRule="exact"/>
        <w:rPr>
          <w:rFonts w:ascii="Arial" w:cs="Arial" w:eastAsia="Arial" w:hAnsi="Arial"/>
          <w:sz w:val="14"/>
          <w:szCs w:val="14"/>
          <w:color w:val="auto"/>
        </w:rPr>
      </w:pPr>
    </w:p>
    <w:p>
      <w:pPr>
        <w:ind w:left="480" w:right="180" w:hanging="472"/>
        <w:spacing w:after="0" w:line="251"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1,370,653 shares held of record by Viking Global Opportunities Illiquid Investments Sub-Master LP, or Opportunities Fund. Opportunities Fund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business address of the Opportunities Fund is c/o Viking Global Investors LP, 55 Railroad Avenue, Greenwich, CT 06830.</w:t>
      </w:r>
    </w:p>
    <w:p>
      <w:pPr>
        <w:spacing w:after="0" w:line="2" w:lineRule="exact"/>
        <w:rPr>
          <w:rFonts w:ascii="Arial" w:cs="Arial" w:eastAsia="Arial" w:hAnsi="Arial"/>
          <w:sz w:val="14"/>
          <w:szCs w:val="14"/>
          <w:color w:val="auto"/>
        </w:rPr>
      </w:pPr>
    </w:p>
    <w:p>
      <w:pPr>
        <w:ind w:left="480" w:right="180" w:hanging="472"/>
        <w:spacing w:after="0" w:line="253"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(a) 326,344 shares and a warrant to acquire 81,585 shares held of record by Franklin Strategic Series – Franklin Biotechnology Discovery Fund and (b) 441,222 shares and a warrant to acquire 110,305 shares held of record by Franklin Templeton Investment Funds – Franklin Biotechnology Discovery Fund. Evan McCulloch is a natural person who makes voting and investment decisions with respect to the shares beneficially owned by Franklin Strategic Series – Franklin Biotechnology Discovery Fund and Franklin Templeton Investment Funds – Franklin Biotechnology Discovery Fund. The business address of each of the entities is c/o Franklin Advisers, Inc., One Franklin Parkway, San Mateo, CA 94403.</w:t>
      </w:r>
    </w:p>
    <w:p>
      <w:pPr>
        <w:spacing w:after="0" w:line="1" w:lineRule="exact"/>
        <w:rPr>
          <w:rFonts w:ascii="Arial" w:cs="Arial" w:eastAsia="Arial" w:hAnsi="Arial"/>
          <w:sz w:val="14"/>
          <w:szCs w:val="14"/>
          <w:color w:val="auto"/>
        </w:rPr>
      </w:pPr>
    </w:p>
    <w:p>
      <w:pPr>
        <w:ind w:left="480" w:right="360" w:hanging="472"/>
        <w:spacing w:after="0" w:line="291" w:lineRule="auto"/>
        <w:tabs>
          <w:tab w:leader="none" w:pos="48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Consists of 50,440 shares held by Dr. Litton, 13,126 shares held jointly by Dr. Litton and his spouse, and an aggregate of 19,689 shares held by Irrevocable Trust of OSL, the Irrevocable Trust of SWL, and the Irrevocable Trust of WGL, each of which are trusts held for the benefit of Dr. Litton’s children.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3" w:name="page184"/>
    <w:bookmarkEnd w:id="183"/>
    <w:p>
      <w:pPr>
        <w:ind w:left="472" w:right="20" w:hanging="472"/>
        <w:spacing w:after="0" w:line="271" w:lineRule="auto"/>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40,982 shares held by Dr. Church and options to purchase 9,457 shares that are exercisable within 60 days of September 4, 2020, all of which will be vested as of November 3, 2020.</w:t>
      </w: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options to purchase 30,123 shares that are exercisable within 60 days of September 4, 2020, all of which will be vested as of November 3, 2020.</w:t>
      </w:r>
    </w:p>
    <w:p>
      <w:pPr>
        <w:spacing w:after="0" w:line="41" w:lineRule="exact"/>
        <w:rPr>
          <w:rFonts w:ascii="Arial" w:cs="Arial" w:eastAsia="Arial" w:hAnsi="Arial"/>
          <w:sz w:val="14"/>
          <w:szCs w:val="14"/>
          <w:color w:val="auto"/>
        </w:rPr>
      </w:pP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the shares referenced in footnote (2) above.</w:t>
      </w:r>
    </w:p>
    <w:p>
      <w:pPr>
        <w:spacing w:after="0" w:line="41" w:lineRule="exact"/>
        <w:rPr>
          <w:rFonts w:ascii="Arial" w:cs="Arial" w:eastAsia="Arial" w:hAnsi="Arial"/>
          <w:sz w:val="14"/>
          <w:szCs w:val="14"/>
          <w:color w:val="auto"/>
        </w:rPr>
      </w:pPr>
    </w:p>
    <w:p>
      <w:pPr>
        <w:ind w:left="472" w:right="700" w:hanging="472"/>
        <w:spacing w:after="0" w:line="271" w:lineRule="auto"/>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6,731 shares held of record by Fluke Capital Management, L.P., 114,881 shares held by Mr. Fluke, and options to purchase 20,596 shares that are exercisable within 60 days of September 4, 2020, all of which will be vested as of November 3, 2020.</w:t>
      </w:r>
    </w:p>
    <w:p>
      <w:pPr>
        <w:ind w:left="472" w:hanging="472"/>
        <w:spacing w:after="0"/>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Mr. Johnson joined our board of directors in August 2020.</w:t>
      </w:r>
    </w:p>
    <w:p>
      <w:pPr>
        <w:spacing w:after="0" w:line="41" w:lineRule="exact"/>
        <w:rPr>
          <w:rFonts w:ascii="Arial" w:cs="Arial" w:eastAsia="Arial" w:hAnsi="Arial"/>
          <w:sz w:val="14"/>
          <w:szCs w:val="14"/>
          <w:color w:val="auto"/>
        </w:rPr>
      </w:pPr>
    </w:p>
    <w:p>
      <w:pPr>
        <w:ind w:left="472" w:hanging="472"/>
        <w:spacing w:after="0" w:line="291" w:lineRule="auto"/>
        <w:tabs>
          <w:tab w:leader="none" w:pos="47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Consists of 3,765,850 shares held of record and options to purchase 374,900 shares that are exercisable within 60 days of September 4, 2020, all of which will be vested as of November 3, 2020.</w:t>
      </w:r>
    </w:p>
    <w:p>
      <w:pPr>
        <w:spacing w:after="0" w:line="3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410" w:right="339" w:bottom="1440" w:gutter="0" w:footer="0" w:header="0"/>
        </w:sectPr>
      </w:pPr>
    </w:p>
    <w:bookmarkStart w:id="184" w:name="page185"/>
    <w:bookmarkEnd w:id="184"/>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1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This section provides a summary of the rights of our common stock and preferred stock. This summary is not complete. For more detailed information, please see our certificate of incorporation and bylaws, which are filed as exhibits to the registration statement of which this prospectus is a part.</w:t>
      </w:r>
    </w:p>
    <w:p>
      <w:pPr>
        <w:spacing w:after="0" w:line="164"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Upon the closing of this offering and the filing of our certificate of incorporation to be effective immediately prior to this offering, our authorized capital stock will consist of 900,000,000 shares of common stock, par value $0.0001 per share, and 100,000,000 shares of preferred stock, par value $0.0001 per share.</w:t>
      </w:r>
    </w:p>
    <w:p>
      <w:pPr>
        <w:spacing w:after="0" w:line="16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Immediately prior to the closing of this offering, all the outstanding shares of convertible preferred stock will automatically convert into an aggregate of 12,503,009 shares of common stock, the outstanding warrant to purchase shares of our Series B convertible preferred stock will convert into a warrant to purchase an aggregate of 127,481 shares of our common stock, and that warrant, together with all other warrants outstanding immediately prior to the closing of this offering, will net exercise into an aggregate of 1,711,795 shares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right="80" w:firstLine="576"/>
        <w:spacing w:after="0"/>
        <w:rPr>
          <w:sz w:val="20"/>
          <w:szCs w:val="20"/>
          <w:color w:val="auto"/>
        </w:rPr>
      </w:pPr>
      <w:r>
        <w:rPr>
          <w:rFonts w:ascii="Arial" w:cs="Arial" w:eastAsia="Arial" w:hAnsi="Arial"/>
          <w:sz w:val="18"/>
          <w:szCs w:val="18"/>
          <w:color w:val="auto"/>
        </w:rPr>
        <w:t>Based on 4,607,565 shares of common stock outstanding as of June 30, 2020, the conversion of convertible preferred stock outstanding as of June 30, 2020 into an aggregate of 12,503,009 shares of our common stock upon the completion of this offering, the issuance of an aggregate of 1,708,744 shares of our common stock upon the net exercise of outstanding warrants immediately prior to the completion of this offering, the issuance of 12,000,000 shares of our common stock in this offering, and no exercise of the underwriters’ option to purchase additional shares and no exercise of options, there will be 30,819,318 shares of common stock outstanding upon the closing of this offering. As of June 30, 2020, assuming the conversion of all outstanding convertible preferred stock into common stock upon the closing of this offering and the issuance of 1,708,744 shares of common stock upon the net exercise of certain outstanding warrants to purchase shares of our Series B convertible preferred stock and common stock immediately prior to the closing of this offering that would otherwise expire, we had approximately 141 record holders of our common stock.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Each share of common stock is entitled to one vote per share on all matters (including the election of directors) submitted to a vote of stockholders, unless otherwise required by law or our certificate of incorporation.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 For more information see the section of this prospectus titled “Dividend Policy.”</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Upon a liquidation event,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0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Upon the closing of this offering, our board of directors will have the authority, without further action by the stockholders, to issue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jc w:val="both"/>
        <w:ind w:right="220" w:firstLine="576"/>
        <w:spacing w:after="0" w:line="241" w:lineRule="auto"/>
        <w:rPr>
          <w:sz w:val="20"/>
          <w:szCs w:val="20"/>
          <w:color w:val="auto"/>
        </w:rPr>
      </w:pPr>
      <w:r>
        <w:rPr>
          <w:rFonts w:ascii="Arial" w:cs="Arial" w:eastAsia="Arial" w:hAnsi="Arial"/>
          <w:sz w:val="18"/>
          <w:szCs w:val="18"/>
          <w:color w:val="auto"/>
        </w:rPr>
        <w:t>Under our investors’ rights agreement, as amended, following the closing of this offering, the holders of approximately 17,412,775 shares of common stock, common stock issuable upon conversion of outstanding convertible preferred stock and common stock issuable upon exercise of warrants to purchase our Series B convertible preferred stock and common stock (as of June 30, 2020 and assuming the automatic net exercise of all warrants outstanding as of June 30, 2020 immediately prior to the closing of this offering), or their transferees, have the right to require us to register the offer and sale of their shares, which we refer to as registration rights. Additionally, the holders of 695,441 shares of common stock issuable upon exercise of options to purchase our common stock, or their transferees, have registration rights.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At any time after six months after the date of this prospectus, the holders of at least 40% of the shares having demand registration rights have the right to demand that we use best efforts to file a registration statement for the registration of the offer. We are only obligated to file up to two registration statements in connection with the exercise of demand registration rights. These registration rights are subject to specified conditions and limitations, including the right of the underwriters to limit the number of shares included in any such registration under certain circumstances and our ability to defer the filing of a registration statement with respect to an exercise of such demand registration rights for up to 120 days under certain circumstances.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At any time after we are qualified to file a registration statement on Form S-3, the holders of at least 30% of the shares having demand registration rights have the right to demand that we file a registration statement on Form S-3 so long as the aggregate number of shares to be offered and sold under such registration statement on Form S-3 is at least $5 million. We are not obligated to file any registration statements within 30 days of a registration statement that we propose. These investor registration rights are subject to specified conditions and limitations, including our ability to defer the filing of a registration statement with respect to an exercise of such Form S-3 registration rights for up to 90 days under certain circumstances.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At any time immediately prior to the closing of this offering, if we propose to register the offer and sale of any of our securities under the Securities Act either for our own account or for the account of other stockholders, a stockholder with registration rights will have the right, subject to certain exceptions, to include their shares of common stock in the registration statement. These registration rights are subject to specified conditions and limitations, and any proposed offering in connection therewith may be terminated or withdrawn by us at our sole discretion.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right="320" w:firstLine="576"/>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other than underwriting discounts and selling commissions and up to $50,000 of fees and disbursements of one counsel to the selling stockholders.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registration rights terminate upon the earliest of (1) a merger or acquisition; (2) as to a given holder of registration rights, when such holder of registration rights can sell all of such holder’s registrable securities in a three month-period pursuant to Rule 144 promulgated under the Securities Act; and (3) the date that is three years after the closing of this offering.</w:t>
      </w:r>
    </w:p>
    <w:p>
      <w:pPr>
        <w:spacing w:after="0" w:line="270" w:lineRule="exact"/>
        <w:rPr>
          <w:sz w:val="20"/>
          <w:szCs w:val="20"/>
          <w:color w:val="auto"/>
        </w:rPr>
      </w:pPr>
    </w:p>
    <w:p>
      <w:pPr>
        <w:ind w:right="2300"/>
        <w:spacing w:after="0" w:line="361" w:lineRule="auto"/>
        <w:rPr>
          <w:sz w:val="20"/>
          <w:szCs w:val="20"/>
          <w:color w:val="auto"/>
        </w:rPr>
      </w:pPr>
      <w:r>
        <w:rPr>
          <w:rFonts w:ascii="Arial" w:cs="Arial" w:eastAsia="Arial" w:hAnsi="Arial"/>
          <w:sz w:val="18"/>
          <w:szCs w:val="18"/>
          <w:b w:val="1"/>
          <w:bCs w:val="1"/>
          <w:color w:val="auto"/>
        </w:rPr>
        <w:t xml:space="preserve">Anti-Takeover Effects of Delaware and Washington Law and Our Certificate of Incorporation and Bylaws </w:t>
      </w:r>
      <w:r>
        <w:rPr>
          <w:rFonts w:ascii="Arial" w:cs="Arial" w:eastAsia="Arial" w:hAnsi="Arial"/>
          <w:sz w:val="18"/>
          <w:szCs w:val="18"/>
          <w:b w:val="1"/>
          <w:bCs w:val="1"/>
          <w:i w:val="1"/>
          <w:iCs w:val="1"/>
          <w:color w:val="auto"/>
        </w:rPr>
        <w:t>Delaware Law</w:t>
      </w:r>
    </w:p>
    <w:p>
      <w:pPr>
        <w:ind w:right="280" w:firstLine="576"/>
        <w:spacing w:after="0" w:line="255" w:lineRule="auto"/>
        <w:rPr>
          <w:sz w:val="20"/>
          <w:szCs w:val="20"/>
          <w:color w:val="auto"/>
        </w:rPr>
      </w:pPr>
      <w:r>
        <w:rPr>
          <w:rFonts w:ascii="Arial" w:cs="Arial" w:eastAsia="Arial" w:hAnsi="Arial"/>
          <w:sz w:val="18"/>
          <w:szCs w:val="18"/>
          <w:color w:val="auto"/>
        </w:rPr>
        <w:t>We are subject to Section 203 of the Delaware General Corporation Law. Section 203 generally prohibits a publicly held Delaware corporation from engaging in a “business combination” with any “interested stockholder” for a period of three years after the date of the transaction in which the person became an interested stockholder, unless:</w:t>
      </w:r>
    </w:p>
    <w:p>
      <w:pPr>
        <w:spacing w:after="0" w:line="56" w:lineRule="exact"/>
        <w:rPr>
          <w:sz w:val="20"/>
          <w:szCs w:val="20"/>
          <w:color w:val="auto"/>
        </w:rPr>
      </w:pPr>
    </w:p>
    <w:p>
      <w:pPr>
        <w:ind w:left="1300" w:right="60" w:hanging="442"/>
        <w:spacing w:after="0" w:line="275"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37" w:lineRule="exact"/>
        <w:rPr>
          <w:rFonts w:ascii="Times New Roman" w:cs="Times New Roman" w:eastAsia="Times New Roman" w:hAnsi="Times New Roman"/>
          <w:sz w:val="18"/>
          <w:szCs w:val="18"/>
          <w:color w:val="auto"/>
        </w:rPr>
      </w:pPr>
    </w:p>
    <w:p>
      <w:pPr>
        <w:ind w:left="1300" w:hanging="442"/>
        <w:spacing w:after="0" w:line="244" w:lineRule="auto"/>
        <w:tabs>
          <w:tab w:leader="none" w:pos="1300" w:val="left"/>
        </w:tabs>
        <w:numPr>
          <w:ilvl w:val="0"/>
          <w:numId w:val="114"/>
        </w:numPr>
        <w:rPr>
          <w:rFonts w:ascii="Times New Roman" w:cs="Times New Roman" w:eastAsia="Times New Roman" w:hAnsi="Times New Roman"/>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684" w:right="399" w:bottom="1440" w:gutter="0" w:footer="0" w:header="0"/>
        </w:sectPr>
      </w:pPr>
    </w:p>
    <w:bookmarkStart w:id="187" w:name="page188"/>
    <w:bookmarkEnd w:id="187"/>
    <w:p>
      <w:pPr>
        <w:jc w:val="both"/>
        <w:ind w:left="1300" w:right="360" w:hanging="442"/>
        <w:spacing w:after="0" w:line="25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on or subsequent to the date of the transaction, the business combination is approved by the board and authorized at an annual or special meeting of stockholders, and not by written consent, by the affirmative vote of at least two-thirds of the outstanding voting stock which is not owned by the interested stockholder.</w:t>
      </w:r>
    </w:p>
    <w:p>
      <w:pPr>
        <w:spacing w:after="0" w:line="54"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Section 203 defines a business combination to include: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16"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any sale, transfer, pledge or other disposition involving the interested stockholder of 10% or more of the assets of the corporation;</w:t>
      </w:r>
    </w:p>
    <w:p>
      <w:pPr>
        <w:spacing w:after="0" w:line="37" w:lineRule="exact"/>
        <w:rPr>
          <w:rFonts w:ascii="Times New Roman" w:cs="Times New Roman" w:eastAsia="Times New Roman" w:hAnsi="Times New Roman"/>
          <w:sz w:val="18"/>
          <w:szCs w:val="18"/>
          <w:color w:val="auto"/>
        </w:rPr>
      </w:pPr>
    </w:p>
    <w:p>
      <w:pPr>
        <w:ind w:left="1300" w:right="88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37" w:lineRule="exact"/>
        <w:rPr>
          <w:rFonts w:ascii="Times New Roman" w:cs="Times New Roman" w:eastAsia="Times New Roman" w:hAnsi="Times New Roman"/>
          <w:sz w:val="18"/>
          <w:szCs w:val="18"/>
          <w:color w:val="auto"/>
        </w:rPr>
      </w:pPr>
    </w:p>
    <w:p>
      <w:pPr>
        <w:ind w:left="1300" w:right="6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and</w:t>
      </w:r>
    </w:p>
    <w:p>
      <w:pPr>
        <w:spacing w:after="0" w:line="37" w:lineRule="exact"/>
        <w:rPr>
          <w:rFonts w:ascii="Times New Roman" w:cs="Times New Roman" w:eastAsia="Times New Roman" w:hAnsi="Times New Roman"/>
          <w:sz w:val="18"/>
          <w:szCs w:val="18"/>
          <w:color w:val="auto"/>
        </w:rPr>
      </w:pPr>
    </w:p>
    <w:p>
      <w:pPr>
        <w:ind w:left="1300" w:right="640" w:hanging="442"/>
        <w:spacing w:after="0" w:line="275" w:lineRule="auto"/>
        <w:tabs>
          <w:tab w:leader="none" w:pos="1300" w:val="left"/>
        </w:tabs>
        <w:numPr>
          <w:ilvl w:val="0"/>
          <w:numId w:val="115"/>
        </w:numPr>
        <w:rPr>
          <w:rFonts w:ascii="Times New Roman" w:cs="Times New Roman" w:eastAsia="Times New Roman" w:hAnsi="Times New Roman"/>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Business Corporation Act</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laws of Washington, where our principal executive offices are located, impose restrictions on certain transactions between certain foreign corporations and significant stockholders. In particular, the Washington Business Corporation Act, or WBCA, prohibits a “target corporation,” with certain exceptions, from engaging in certain “significant business transactions” with a person or group of persons which beneficially owns 10% or more of the voting securities of the target corporation, an “acquiring person,” for a period of five years after such acquisition, unless the transaction or acquisition of shares is approved by a majority of the members of the target corporation’s board of directors prior to the time of acquisition. Such prohibited transactions may include, among other things:</w:t>
      </w:r>
    </w:p>
    <w:p>
      <w:pPr>
        <w:spacing w:after="0" w:line="66" w:lineRule="exact"/>
        <w:rPr>
          <w:sz w:val="20"/>
          <w:szCs w:val="20"/>
          <w:color w:val="auto"/>
        </w:rPr>
      </w:pPr>
    </w:p>
    <w:p>
      <w:pPr>
        <w:ind w:left="1300" w:right="62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any merger or consolidation with, disposition of assets to, or issuance or redemption of stock to or from, the acquiring person;</w:t>
      </w:r>
    </w:p>
    <w:p>
      <w:pPr>
        <w:spacing w:after="0" w:line="37" w:lineRule="exact"/>
        <w:rPr>
          <w:rFonts w:ascii="Times New Roman" w:cs="Times New Roman" w:eastAsia="Times New Roman" w:hAnsi="Times New Roman"/>
          <w:sz w:val="18"/>
          <w:szCs w:val="18"/>
          <w:color w:val="auto"/>
        </w:rPr>
      </w:pPr>
    </w:p>
    <w:p>
      <w:pPr>
        <w:ind w:left="1300" w:right="160" w:hanging="442"/>
        <w:spacing w:after="0" w:line="275" w:lineRule="auto"/>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any termination of 5% or more of the employees of the target corporation as a result of the acquiring person’s acquisition of 10% or more of the shares; and</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6"/>
        </w:numPr>
        <w:rPr>
          <w:rFonts w:ascii="Times New Roman" w:cs="Times New Roman" w:eastAsia="Times New Roman" w:hAnsi="Times New Roman"/>
          <w:sz w:val="18"/>
          <w:szCs w:val="18"/>
          <w:color w:val="auto"/>
        </w:rPr>
      </w:pPr>
      <w:r>
        <w:rPr>
          <w:rFonts w:ascii="Arial" w:cs="Arial" w:eastAsia="Arial" w:hAnsi="Arial"/>
          <w:sz w:val="18"/>
          <w:szCs w:val="18"/>
          <w:color w:val="auto"/>
        </w:rPr>
        <w:t>allowing the acquiring person to receive any disproportionate benefit as a stockholder.</w:t>
      </w:r>
    </w:p>
    <w:p>
      <w:pPr>
        <w:spacing w:after="0" w:line="224" w:lineRule="exact"/>
        <w:rPr>
          <w:sz w:val="20"/>
          <w:szCs w:val="20"/>
          <w:color w:val="auto"/>
        </w:rPr>
      </w:pPr>
    </w:p>
    <w:p>
      <w:pPr>
        <w:ind w:right="140" w:firstLine="576"/>
        <w:spacing w:after="0" w:line="276" w:lineRule="auto"/>
        <w:rPr>
          <w:sz w:val="20"/>
          <w:szCs w:val="20"/>
          <w:color w:val="auto"/>
        </w:rPr>
      </w:pPr>
      <w:r>
        <w:rPr>
          <w:rFonts w:ascii="Arial" w:cs="Arial" w:eastAsia="Arial" w:hAnsi="Arial"/>
          <w:sz w:val="18"/>
          <w:szCs w:val="18"/>
          <w:color w:val="auto"/>
        </w:rPr>
        <w:t>After the five-year period, a significant business transaction may take place as long as it complies with certain fair price provisions of the statute or is approved at an annual or special meeting of stockholders.</w:t>
      </w:r>
    </w:p>
    <w:p>
      <w:pPr>
        <w:spacing w:after="0" w:line="145"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We will be considered a “target corporation” so long as our principal executive office is located in Washington, and: (1) a majority of our employees are residents of the state of Washington or we employ more than one thousand residents of the state of Washington; (2) a majority of our tangible assets, measured by market value, are located in the state of Washington or we have more than $50 million worth of tangible assets located in the state of Washington; and (3) any one of the following: (a) more than 10% of our stockholders of record are resident in the state of Washington; (b) more than 10% of our shares are owned of record by state residents; or (c) 1,000 or more of our stockholders of record are resident in the state.</w:t>
      </w:r>
    </w:p>
    <w:p>
      <w:pPr>
        <w:spacing w:after="0" w:line="174" w:lineRule="exact"/>
        <w:rPr>
          <w:sz w:val="20"/>
          <w:szCs w:val="20"/>
          <w:color w:val="auto"/>
        </w:rPr>
      </w:pPr>
    </w:p>
    <w:p>
      <w:pPr>
        <w:ind w:right="540" w:firstLine="576"/>
        <w:spacing w:after="0" w:line="276" w:lineRule="auto"/>
        <w:rPr>
          <w:sz w:val="20"/>
          <w:szCs w:val="20"/>
          <w:color w:val="auto"/>
        </w:rPr>
      </w:pPr>
      <w:r>
        <w:rPr>
          <w:rFonts w:ascii="Arial" w:cs="Arial" w:eastAsia="Arial" w:hAnsi="Arial"/>
          <w:sz w:val="18"/>
          <w:szCs w:val="18"/>
          <w:color w:val="auto"/>
        </w:rPr>
        <w:t>If we meet the definition of a target corporation, the WBCA may have the effect of delaying, deferring or preventing a change of control.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i w:val="1"/>
          <w:iCs w:val="1"/>
          <w:color w:val="auto"/>
        </w:rPr>
        <w:t>Certificate of Incorporation and Bylaws</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certificate of incorporation and bylaws will</w:t>
      </w:r>
    </w:p>
    <w:p>
      <w:pPr>
        <w:spacing w:after="0" w:line="62" w:lineRule="exact"/>
        <w:rPr>
          <w:sz w:val="20"/>
          <w:szCs w:val="20"/>
          <w:color w:val="auto"/>
        </w:rPr>
      </w:pPr>
    </w:p>
    <w:p>
      <w:pPr>
        <w:ind w:left="1300" w:right="48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permit our board of directors to issue shares of preferred stock, with any rights, preferences and privileges as they may designate;</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16" w:lineRule="exact"/>
        <w:rPr>
          <w:rFonts w:ascii="Times New Roman" w:cs="Times New Roman" w:eastAsia="Times New Roman" w:hAnsi="Times New Roman"/>
          <w:sz w:val="18"/>
          <w:szCs w:val="18"/>
          <w:color w:val="auto"/>
        </w:rPr>
      </w:pPr>
    </w:p>
    <w:p>
      <w:pPr>
        <w:ind w:left="1300" w:right="24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divide our board of directors into three classes, each of which stands for election once every three years;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a director may only be removed from the board of directors by the stockholders for cause;</w:t>
      </w:r>
    </w:p>
    <w:p>
      <w:pPr>
        <w:spacing w:after="0" w:line="116" w:lineRule="exact"/>
        <w:rPr>
          <w:rFonts w:ascii="Times New Roman" w:cs="Times New Roman" w:eastAsia="Times New Roman" w:hAnsi="Times New Roman"/>
          <w:sz w:val="18"/>
          <w:szCs w:val="18"/>
          <w:color w:val="auto"/>
        </w:rPr>
      </w:pPr>
    </w:p>
    <w:p>
      <w:pPr>
        <w:ind w:left="1300" w:right="68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37" w:lineRule="exact"/>
        <w:rPr>
          <w:rFonts w:ascii="Times New Roman" w:cs="Times New Roman" w:eastAsia="Times New Roman" w:hAnsi="Times New Roman"/>
          <w:sz w:val="18"/>
          <w:szCs w:val="18"/>
          <w:color w:val="auto"/>
        </w:rPr>
      </w:pPr>
    </w:p>
    <w:p>
      <w:pPr>
        <w:ind w:left="1300" w:right="260" w:hanging="442"/>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54" w:lineRule="exact"/>
        <w:rPr>
          <w:rFonts w:ascii="Times New Roman" w:cs="Times New Roman" w:eastAsia="Times New Roman" w:hAnsi="Times New Roman"/>
          <w:sz w:val="18"/>
          <w:szCs w:val="18"/>
          <w:color w:val="auto"/>
        </w:rPr>
      </w:pPr>
    </w:p>
    <w:p>
      <w:pPr>
        <w:ind w:left="1300" w:right="2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w:t>
      </w:r>
    </w:p>
    <w:p>
      <w:pPr>
        <w:spacing w:after="0" w:line="37" w:lineRule="exact"/>
        <w:rPr>
          <w:rFonts w:ascii="Times New Roman" w:cs="Times New Roman" w:eastAsia="Times New Roman" w:hAnsi="Times New Roman"/>
          <w:sz w:val="18"/>
          <w:szCs w:val="18"/>
          <w:color w:val="auto"/>
        </w:rPr>
      </w:pPr>
    </w:p>
    <w:p>
      <w:pPr>
        <w:ind w:left="1300" w:right="14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special meetings of our stockholders may be called only by the board of directors, the chairman of the board of directors, our chief executive officer or president;</w:t>
      </w:r>
    </w:p>
    <w:p>
      <w:pPr>
        <w:spacing w:after="0" w:line="37" w:lineRule="exact"/>
        <w:rPr>
          <w:rFonts w:ascii="Times New Roman" w:cs="Times New Roman" w:eastAsia="Times New Roman" w:hAnsi="Times New Roman"/>
          <w:sz w:val="18"/>
          <w:szCs w:val="18"/>
          <w:color w:val="auto"/>
        </w:rPr>
      </w:pPr>
    </w:p>
    <w:p>
      <w:pPr>
        <w:jc w:val="both"/>
        <w:ind w:left="1300" w:right="100" w:hanging="442"/>
        <w:spacing w:after="0" w:line="25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stockholders will be permitted to amend certain provisions of our bylaws only upon receiving at least two-thirds of the votes entitled to be cast by holders of all outstanding shares then entitled to vote generally in the election of directors, voting together as a single class; and</w:t>
      </w:r>
    </w:p>
    <w:p>
      <w:pPr>
        <w:spacing w:after="0" w:line="54" w:lineRule="exact"/>
        <w:rPr>
          <w:rFonts w:ascii="Times New Roman" w:cs="Times New Roman" w:eastAsia="Times New Roman" w:hAnsi="Times New Roman"/>
          <w:sz w:val="18"/>
          <w:szCs w:val="18"/>
          <w:color w:val="auto"/>
        </w:rPr>
      </w:pPr>
    </w:p>
    <w:p>
      <w:pPr>
        <w:ind w:left="1300" w:right="40" w:hanging="442"/>
        <w:spacing w:after="0" w:line="242"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behalf of the company, (2) any action asserting a claim of breach of a fiduciary duty owed by any of our directors, officers or other employees to the company or our stockholders, (3) any action asserting a claim against the company arising pursuant to any provision of the Delaware General Corporation Law, our certificate of incorporation and bylaws (as either may be amended from time to time), or (4) any action asserting a claim against the company governed by the internal affairs doctrine; and</w:t>
      </w:r>
    </w:p>
    <w:p>
      <w:pPr>
        <w:spacing w:after="0" w:line="69" w:lineRule="exact"/>
        <w:rPr>
          <w:rFonts w:ascii="Times New Roman" w:cs="Times New Roman" w:eastAsia="Times New Roman" w:hAnsi="Times New Roman"/>
          <w:sz w:val="18"/>
          <w:szCs w:val="18"/>
          <w:color w:val="auto"/>
        </w:rPr>
      </w:pPr>
    </w:p>
    <w:p>
      <w:pPr>
        <w:ind w:left="1300" w:right="80" w:hanging="442"/>
        <w:spacing w:after="0" w:line="275" w:lineRule="auto"/>
        <w:tabs>
          <w:tab w:leader="none" w:pos="1300" w:val="left"/>
        </w:tabs>
        <w:numPr>
          <w:ilvl w:val="0"/>
          <w:numId w:val="117"/>
        </w:numPr>
        <w:rPr>
          <w:rFonts w:ascii="Times New Roman" w:cs="Times New Roman" w:eastAsia="Times New Roman" w:hAnsi="Times New Roman"/>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w:t>
      </w:r>
    </w:p>
    <w:p>
      <w:pPr>
        <w:spacing w:after="0" w:line="146" w:lineRule="exact"/>
        <w:rPr>
          <w:sz w:val="20"/>
          <w:szCs w:val="20"/>
          <w:color w:val="auto"/>
        </w:rPr>
      </w:pPr>
    </w:p>
    <w:p>
      <w:pPr>
        <w:ind w:right="640" w:firstLine="576"/>
        <w:spacing w:after="0" w:line="276" w:lineRule="auto"/>
        <w:rPr>
          <w:sz w:val="20"/>
          <w:szCs w:val="20"/>
          <w:color w:val="auto"/>
        </w:rPr>
      </w:pPr>
      <w:r>
        <w:rPr>
          <w:rFonts w:ascii="Arial" w:cs="Arial" w:eastAsia="Arial" w:hAnsi="Arial"/>
          <w:sz w:val="18"/>
          <w:szCs w:val="18"/>
          <w:color w:val="auto"/>
        </w:rPr>
        <w:t>The amendment of any of these provisions would require approval by the holders of at least two-thirds of our then outstanding common stock, voting as a single class.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06"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Our common stock has been approved for listing on the Nasdaq Global Select Market under the trading symbol “ATHA.”</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right="60" w:firstLine="576"/>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our common stock has been approved for listing on the Nasdaq Global Select Market, we cannot assure you that there will be an active public market for our common stock following this offering. We cannot predict what effect sales of our shares in the public market or the availability of shares for sale will have on the market price of our common stock. Future sales of substantial amounts of common stock in the public market, including shares issued upon exercise of outstanding options or warrants, or the perception that such sales may occur, however, could adversely affect the market price of our common stock and also could adversely affect our future ability to raise capital through the sale of our common stock or other equity-related securities at times and prices we believe appropriate.</w:t>
      </w:r>
    </w:p>
    <w:p>
      <w:pPr>
        <w:spacing w:after="0" w:line="179"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Upon completion of this offering, based on our shares outstanding as of June 30, 2020, the conversion of convertible preferred stock outstanding as of June 30, 2020 into an aggregate of 12,503,009 shares of our common stock upon the completion of this offering, the issuance of an aggregate of 1,708,744 shares of our common stock upon the net exercise of outstanding warrants immediately prior to the completion of this offering, and the issuance of 12,000,000 shares of our common stock in this offering, 30,819,318 shares of our common stock will be outstanding, or 32,619,318 shares of common stock if the underwriters exercise their option to purchase additional shares in full. All of the shares of common stock expected to be sold in this offering will be freely tradable without restriction or further registration under the Securities Act unless (a) held by our “affiliates,” as that term is defined in Rule 144 under the Securities Act, or (b) purchased by our directors, executive officers and employees in our directed share program.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extension of the lock-up period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2" w:lineRule="exact"/>
        <w:rPr>
          <w:sz w:val="20"/>
          <w:szCs w:val="20"/>
          <w:color w:val="auto"/>
        </w:rPr>
      </w:pPr>
    </w:p>
    <w:p>
      <w:pPr>
        <w:ind w:left="1300" w:right="200" w:hanging="442"/>
        <w:spacing w:after="0" w:line="275"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12,000,000 shares will be eligible for sale on the date of this prospectus, except for any shares of common stock purchase by our directors, executive officers and employees in our directed share program; and</w:t>
      </w:r>
    </w:p>
    <w:p>
      <w:pPr>
        <w:spacing w:after="0" w:line="37" w:lineRule="exact"/>
        <w:rPr>
          <w:rFonts w:ascii="Times New Roman" w:cs="Times New Roman" w:eastAsia="Times New Roman" w:hAnsi="Times New Roman"/>
          <w:sz w:val="18"/>
          <w:szCs w:val="18"/>
          <w:color w:val="auto"/>
        </w:rPr>
      </w:pPr>
    </w:p>
    <w:p>
      <w:pPr>
        <w:ind w:left="1300" w:right="220" w:hanging="442"/>
        <w:spacing w:after="0" w:line="248" w:lineRule="auto"/>
        <w:tabs>
          <w:tab w:leader="none" w:pos="1300" w:val="left"/>
        </w:tabs>
        <w:numPr>
          <w:ilvl w:val="0"/>
          <w:numId w:val="118"/>
        </w:numPr>
        <w:rPr>
          <w:rFonts w:ascii="Times New Roman" w:cs="Times New Roman" w:eastAsia="Times New Roman" w:hAnsi="Times New Roman"/>
          <w:sz w:val="18"/>
          <w:szCs w:val="18"/>
          <w:color w:val="auto"/>
        </w:rPr>
      </w:pPr>
      <w:r>
        <w:rPr>
          <w:rFonts w:ascii="Arial" w:cs="Arial" w:eastAsia="Arial" w:hAnsi="Arial"/>
          <w:sz w:val="18"/>
          <w:szCs w:val="18"/>
          <w:color w:val="auto"/>
        </w:rPr>
        <w:t>18,819,318 shares will be eligible for sale upon expiration of the lock-up agreements and market stand-off provisions described below, beginning more than 180 days after the date of this prospectus, except that any shares purchased in this offering by our affiliates, as that term is defined in Rule 144 under the Securities Act, would only be able to be sold in compliance with the Rule 144 limitations described below.</w:t>
      </w:r>
    </w:p>
    <w:p>
      <w:pPr>
        <w:spacing w:after="0" w:line="170"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may issue shares of our common stock from time to time for a variety of corporate purposes, including in capital-raising activities through future public offerings or private placements, in connection with exercise of stock options or warrants, vesting of restricted stock units and other issuances relating to our employee benefit plans and as consideration for future acquisitions, investments or other purposes. The number of shares of our common stock that we may issue may be significant, depending on the events surrounding such issuances. In some cases, the shares we issue may be freely tradable without restriction or further registration under the Securities Act; in other cases, we may grant registration rights covering the shares issued in connection with these issuances, in which case the holders of our common stock will have the right, under certain circumstances, to cause us to register any resale of such shares to the public.</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We, our directors and officers and substantially all of the holders of our equity securities have agreed, subject to certain exceptions, not to offer, sell or transfer any common stock or securities convertible into or exchangeable or exercisable for common stock for 180 days after the date of this prospectus without first obtaining the written consent of Goldman Sachs &amp; Co. LLC and Jefferies LLC, on behalf of the underwriters, or us, as applicable, after the date of this prospectus. Goldman Sachs &amp; Co. LLC and Jefferies LLC may, in their sole discretion, and subject to FINRA Rule 5131, release any of the securities subject to the lock-up agreements with the underwriters at any time. These agreements are described below under the section of this prospectus titled “Underwriting.”</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06"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In general, under Rule 144, beginning 90 days after the effective date of this prospectus, a person who is not our affiliate for purposes of the Securities Act and has not been our affiliate at any time during the preceding three months will be entitled to sell any shares of our common stock that such person has beneficially owned for at least six months, including the holding period of any prior owner other than one of our affiliates, without being required to comply with the notice, manner of sale or public information requirements or volume limitation provisions of Rule 144. Sales of our common stock by any such person would be subject to the availability of current public information about us if the shares to be sold were beneficially owned by such person for less than one year.</w:t>
      </w:r>
    </w:p>
    <w:p>
      <w:pPr>
        <w:spacing w:after="0" w:line="174" w:lineRule="exact"/>
        <w:rPr>
          <w:sz w:val="20"/>
          <w:szCs w:val="20"/>
          <w:color w:val="auto"/>
        </w:rPr>
      </w:pPr>
    </w:p>
    <w:p>
      <w:pPr>
        <w:ind w:right="80" w:firstLine="576"/>
        <w:spacing w:after="0" w:line="276" w:lineRule="auto"/>
        <w:rPr>
          <w:sz w:val="20"/>
          <w:szCs w:val="20"/>
          <w:color w:val="auto"/>
        </w:rPr>
      </w:pPr>
      <w:r>
        <w:rPr>
          <w:rFonts w:ascii="Arial" w:cs="Arial" w:eastAsia="Arial" w:hAnsi="Arial"/>
          <w:sz w:val="18"/>
          <w:szCs w:val="18"/>
          <w:color w:val="auto"/>
        </w:rPr>
        <w:t>In addition, under Rule 144, a person may sell shares of our common stock acquired from us immediately upon the completion of this offering, without regard to the registration requirements of the Securities Act or the availability of public information about us, if:</w:t>
      </w:r>
    </w:p>
    <w:p>
      <w:pPr>
        <w:spacing w:after="0" w:line="37" w:lineRule="exact"/>
        <w:rPr>
          <w:sz w:val="20"/>
          <w:szCs w:val="20"/>
          <w:color w:val="auto"/>
        </w:rPr>
      </w:pPr>
    </w:p>
    <w:p>
      <w:pPr>
        <w:ind w:left="1300" w:hanging="442"/>
        <w:spacing w:after="0"/>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is not our affiliate and has not been our affiliate at any time during the preceding three months; and</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the person has beneficially owned the shares to be sold for at least one year, including the holding period of any prior owner other than one of our affiliates.</w:t>
      </w:r>
    </w:p>
    <w:p>
      <w:pPr>
        <w:spacing w:after="0" w:line="37" w:lineRule="exact"/>
        <w:rPr>
          <w:rFonts w:ascii="Times New Roman" w:cs="Times New Roman" w:eastAsia="Times New Roman" w:hAnsi="Times New Roman"/>
          <w:sz w:val="18"/>
          <w:szCs w:val="18"/>
          <w:color w:val="auto"/>
        </w:rPr>
      </w:pPr>
    </w:p>
    <w:p>
      <w:pPr>
        <w:ind w:left="1300" w:right="20" w:hanging="442"/>
        <w:spacing w:after="0" w:line="255" w:lineRule="auto"/>
        <w:tabs>
          <w:tab w:leader="none" w:pos="1300" w:val="left"/>
        </w:tabs>
        <w:numPr>
          <w:ilvl w:val="0"/>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Beginning 90 days after the date of this prospectus, our affiliates who have beneficially owned shares of our common stock for at least six months, including the holding period of any prior owner other than one of our affiliates, would be entitled to sell within any three-month period a number of shares that does not exceed the greater of:</w:t>
      </w:r>
    </w:p>
    <w:p>
      <w:pPr>
        <w:spacing w:after="0" w:line="54" w:lineRule="exact"/>
        <w:rPr>
          <w:rFonts w:ascii="Times New Roman" w:cs="Times New Roman" w:eastAsia="Times New Roman" w:hAnsi="Times New Roman"/>
          <w:sz w:val="18"/>
          <w:szCs w:val="18"/>
          <w:color w:val="auto"/>
        </w:rPr>
      </w:pPr>
    </w:p>
    <w:p>
      <w:pPr>
        <w:jc w:val="both"/>
        <w:ind w:left="1740" w:right="380" w:hanging="436"/>
        <w:spacing w:after="0" w:line="305" w:lineRule="auto"/>
        <w:tabs>
          <w:tab w:leader="none" w:pos="1740" w:val="left"/>
        </w:tabs>
        <w:numPr>
          <w:ilvl w:val="1"/>
          <w:numId w:val="119"/>
        </w:numPr>
        <w:rPr>
          <w:rFonts w:ascii="Times New Roman" w:cs="Times New Roman" w:eastAsia="Times New Roman" w:hAnsi="Times New Roman"/>
          <w:sz w:val="17"/>
          <w:szCs w:val="17"/>
          <w:color w:val="auto"/>
        </w:rPr>
      </w:pPr>
      <w:r>
        <w:rPr>
          <w:rFonts w:ascii="Arial" w:cs="Arial" w:eastAsia="Arial" w:hAnsi="Arial"/>
          <w:sz w:val="17"/>
          <w:szCs w:val="17"/>
          <w:color w:val="auto"/>
        </w:rPr>
        <w:t>1% of the number of shares of our common stock then outstanding, which will equal approximately 308,193 shares immediately after this offering, assuming no exercise of the underwriters’ option to purchase additional shares; and</w:t>
      </w:r>
    </w:p>
    <w:p>
      <w:pPr>
        <w:spacing w:after="0" w:line="15" w:lineRule="exact"/>
        <w:rPr>
          <w:rFonts w:ascii="Times New Roman" w:cs="Times New Roman" w:eastAsia="Times New Roman" w:hAnsi="Times New Roman"/>
          <w:sz w:val="17"/>
          <w:szCs w:val="17"/>
          <w:color w:val="auto"/>
        </w:rPr>
      </w:pPr>
    </w:p>
    <w:p>
      <w:pPr>
        <w:ind w:left="1740" w:right="120" w:hanging="436"/>
        <w:spacing w:after="0" w:line="275" w:lineRule="auto"/>
        <w:tabs>
          <w:tab w:leader="none" w:pos="1740" w:val="left"/>
        </w:tabs>
        <w:numPr>
          <w:ilvl w:val="1"/>
          <w:numId w:val="119"/>
        </w:numPr>
        <w:rPr>
          <w:rFonts w:ascii="Times New Roman" w:cs="Times New Roman" w:eastAsia="Times New Roman" w:hAnsi="Times New Roman"/>
          <w:sz w:val="18"/>
          <w:szCs w:val="18"/>
          <w:color w:val="auto"/>
        </w:rPr>
      </w:pPr>
      <w:r>
        <w:rPr>
          <w:rFonts w:ascii="Arial" w:cs="Arial" w:eastAsia="Arial" w:hAnsi="Arial"/>
          <w:sz w:val="18"/>
          <w:szCs w:val="18"/>
          <w:color w:val="auto"/>
        </w:rPr>
        <w:t>the average weekly trading volume in our common stock on the Nasdaq Global Select Market during the four calendar weeks preceding the date of filing of a notice on Form 144 with respect to the sale.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or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effective date of this prospectus before selling such shares pursuant to Rule 701.</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2" w:name="page193"/>
    <w:bookmarkEnd w:id="192"/>
    <w:p>
      <w:pPr>
        <w:ind w:firstLine="576"/>
        <w:spacing w:after="0" w:line="245" w:lineRule="auto"/>
        <w:rPr>
          <w:sz w:val="20"/>
          <w:szCs w:val="20"/>
          <w:color w:val="auto"/>
        </w:rPr>
      </w:pPr>
      <w:r>
        <w:rPr>
          <w:rFonts w:ascii="Arial" w:cs="Arial" w:eastAsia="Arial" w:hAnsi="Arial"/>
          <w:sz w:val="18"/>
          <w:szCs w:val="18"/>
          <w:color w:val="auto"/>
        </w:rPr>
        <w:t>As of June 30, 2020, there were 1,439,749 shares of our outstanding common stock issued in reliance on Rule 701 as a result of exercises of stock options or in the form of restricted stock awards. All of these shares, however, are subject to lock-up agreements or market stand-off provisions as discussed above, and, as a result, these shares will only become eligible for sale at the earlier of the expiration of the lock-up period or upon obtaining the consent of Goldman Sachs &amp; Co. LLC and Jeffries LLC, on behalf of the underwriters to release all or any portion of these shares from the lock-up agreements.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06" w:lineRule="exact"/>
        <w:rPr>
          <w:sz w:val="20"/>
          <w:szCs w:val="20"/>
          <w:color w:val="auto"/>
        </w:rPr>
      </w:pPr>
    </w:p>
    <w:p>
      <w:pPr>
        <w:ind w:right="100" w:firstLine="576"/>
        <w:spacing w:after="0" w:line="243" w:lineRule="auto"/>
        <w:rPr>
          <w:sz w:val="20"/>
          <w:szCs w:val="20"/>
          <w:color w:val="auto"/>
        </w:rPr>
      </w:pPr>
      <w:r>
        <w:rPr>
          <w:rFonts w:ascii="Arial" w:cs="Arial" w:eastAsia="Arial" w:hAnsi="Arial"/>
          <w:sz w:val="18"/>
          <w:szCs w:val="18"/>
          <w:color w:val="auto"/>
        </w:rPr>
        <w:t>As of June 30, 2020, options to purchase an aggregate of 1,258,787 shares of our common stock were outstanding. We intend to file one or more registration statements on Form S-8 under the Securities Act to register the offer and sale of all shares of our common stock subject to outstanding stock options and all shares issued or issuable under our stock plans. We expect to file the registration statement covering these shares after the date of this prospectus, which will permit the resale of such shares by persons who are non-affiliates of ours in the public market without restriction under the Securities Act, subject, with respect to certain of the shares, to the provisions of the lock-up agreements and market stand-off provisions described above.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06"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Upon completion of this offering, the holders of approximately 17,415,826 shares of our common stock will be eligible to exercise certain rights to cause us to register their shares for resale under the Securities Act, subject to various conditions and limitations. These registration rights are described under the section of this prospectus titled “Description of Capital Stock—Registration Rights.” Upon the effectiveness of a registration statement covering these shares, the shares would become freely tradable, and a large number of shares may be sold into the public market, which may adversely affect the market price of our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93" w:name="page194"/>
    <w:bookmarkEnd w:id="193"/>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FOR</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NON-U.S. HOLDERS OF COMMON STOCK</w:t>
      </w:r>
    </w:p>
    <w:p>
      <w:pPr>
        <w:spacing w:after="0" w:line="190"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United States Internal Revenue Code of 1986, as amended, or the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This summary also does not address the tax considerations arising under the laws of any non-U.S., state or local jurisdiction or under U.S. federal gift and estate tax rules, except to the limited extent set forth below. In addition, this discussion does not address tax considerations applicable to an investor’s particular circumstances or to investors that may be subject to special tax rules, including, without limitation:</w:t>
      </w:r>
    </w:p>
    <w:p>
      <w:pPr>
        <w:spacing w:after="0" w:line="62" w:lineRule="exact"/>
        <w:rPr>
          <w:sz w:val="20"/>
          <w:szCs w:val="20"/>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banks, insurance companies, regulated investment companies, real estate investment trusts or other financial institutions;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subject to the alternative minimum tax or the tax on net investment income;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tax-exempt organizations;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pension plans and tax-qualified retirement plans;</w:t>
      </w:r>
    </w:p>
    <w:p>
      <w:pPr>
        <w:spacing w:after="0" w:line="116"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brokers or dealers in securities or currencies;</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16" w:lineRule="exact"/>
        <w:rPr>
          <w:rFonts w:ascii="Times New Roman" w:cs="Times New Roman" w:eastAsia="Times New Roman" w:hAnsi="Times New Roman"/>
          <w:sz w:val="18"/>
          <w:szCs w:val="18"/>
          <w:color w:val="auto"/>
        </w:rPr>
      </w:pPr>
    </w:p>
    <w:p>
      <w:pPr>
        <w:ind w:left="1300" w:right="38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certain former citizens or long-term residents of the United States;</w:t>
      </w:r>
    </w:p>
    <w:p>
      <w:pPr>
        <w:spacing w:after="0" w:line="116" w:lineRule="exact"/>
        <w:rPr>
          <w:rFonts w:ascii="Times New Roman" w:cs="Times New Roman" w:eastAsia="Times New Roman" w:hAnsi="Times New Roman"/>
          <w:sz w:val="18"/>
          <w:szCs w:val="18"/>
          <w:color w:val="auto"/>
        </w:rPr>
      </w:pPr>
    </w:p>
    <w:p>
      <w:pPr>
        <w:ind w:left="1300" w:right="10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75" w:lineRule="auto"/>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who do not hold our common stock as a capital asset within the meaning of Section 1221 of the Code (generally, property held for investment);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0"/>
        </w:numPr>
        <w:rPr>
          <w:rFonts w:ascii="Times New Roman" w:cs="Times New Roman" w:eastAsia="Times New Roman" w:hAnsi="Times New Roman"/>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4"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own tax advisor regarding the tax consequences of the ownership and disposition of our common stock through a partnership or other such entity, as applicable.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194" w:name="page195"/>
    <w:bookmarkEnd w:id="194"/>
    <w:p>
      <w:pPr>
        <w:ind w:right="40" w:firstLine="576"/>
        <w:spacing w:after="0" w:line="252"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06" w:lineRule="exact"/>
        <w:rPr>
          <w:sz w:val="20"/>
          <w:szCs w:val="20"/>
          <w:color w:val="auto"/>
        </w:rPr>
      </w:pPr>
    </w:p>
    <w:p>
      <w:pPr>
        <w:ind w:right="220" w:firstLine="576"/>
        <w:spacing w:after="0" w:line="27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for U.S. federal income tax purposes, is not a partnership or:</w:t>
      </w:r>
    </w:p>
    <w:p>
      <w:pPr>
        <w:spacing w:after="0" w:line="37" w:lineRule="exact"/>
        <w:rPr>
          <w:sz w:val="20"/>
          <w:szCs w:val="20"/>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an individual who is a citizen or resident of the United States;</w:t>
      </w:r>
    </w:p>
    <w:p>
      <w:pPr>
        <w:spacing w:after="0" w:line="116" w:lineRule="exact"/>
        <w:rPr>
          <w:rFonts w:ascii="Times New Roman" w:cs="Times New Roman" w:eastAsia="Times New Roman" w:hAnsi="Times New Roman"/>
          <w:sz w:val="18"/>
          <w:szCs w:val="18"/>
          <w:color w:val="auto"/>
        </w:rPr>
      </w:pPr>
    </w:p>
    <w:p>
      <w:pPr>
        <w:ind w:left="1300" w:right="520" w:hanging="442"/>
        <w:spacing w:after="0" w:line="305" w:lineRule="auto"/>
        <w:tabs>
          <w:tab w:leader="none" w:pos="1300" w:val="left"/>
        </w:tabs>
        <w:numPr>
          <w:ilvl w:val="0"/>
          <w:numId w:val="121"/>
        </w:numPr>
        <w:rPr>
          <w:rFonts w:ascii="Times New Roman" w:cs="Times New Roman" w:eastAsia="Times New Roman" w:hAnsi="Times New Roman"/>
          <w:sz w:val="17"/>
          <w:szCs w:val="17"/>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15" w:lineRule="exact"/>
        <w:rPr>
          <w:rFonts w:ascii="Times New Roman" w:cs="Times New Roman" w:eastAsia="Times New Roman" w:hAnsi="Times New Roman"/>
          <w:sz w:val="17"/>
          <w:szCs w:val="17"/>
          <w:color w:val="auto"/>
        </w:rPr>
      </w:pPr>
    </w:p>
    <w:p>
      <w:pPr>
        <w:ind w:left="1300" w:hanging="442"/>
        <w:spacing w:after="0"/>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6" w:lineRule="exact"/>
        <w:rPr>
          <w:rFonts w:ascii="Times New Roman" w:cs="Times New Roman" w:eastAsia="Times New Roman" w:hAnsi="Times New Roman"/>
          <w:sz w:val="18"/>
          <w:szCs w:val="18"/>
          <w:color w:val="auto"/>
        </w:rPr>
      </w:pPr>
    </w:p>
    <w:p>
      <w:pPr>
        <w:jc w:val="both"/>
        <w:ind w:left="1300" w:right="180" w:hanging="442"/>
        <w:spacing w:after="0" w:line="255" w:lineRule="auto"/>
        <w:tabs>
          <w:tab w:leader="none" w:pos="1300" w:val="left"/>
        </w:tabs>
        <w:numPr>
          <w:ilvl w:val="0"/>
          <w:numId w:val="121"/>
        </w:numPr>
        <w:rPr>
          <w:rFonts w:ascii="Times New Roman" w:cs="Times New Roman" w:eastAsia="Times New Roman" w:hAnsi="Times New Roman"/>
          <w:sz w:val="18"/>
          <w:szCs w:val="18"/>
          <w:color w:val="auto"/>
        </w:rPr>
      </w:pPr>
      <w:r>
        <w:rPr>
          <w:rFonts w:ascii="Arial" w:cs="Arial" w:eastAsia="Arial" w:hAnsi="Arial"/>
          <w:sz w:val="18"/>
          <w:szCs w:val="18"/>
          <w:color w:val="auto"/>
        </w:rPr>
        <w:t>a trust (1) whose administration is subject to the primary supervision of a U.S. court and that has one or more U.S. persons who have the authority to control all substantial decisions of the trust or (2) that has made a valid election under applicable Treasury Regulations to be treated as a U.S.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06"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w:t>
      </w:r>
    </w:p>
    <w:p>
      <w:pPr>
        <w:spacing w:after="0" w:line="17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Subject to the discussions below on effectively connected income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the applicable withholding agent with an IRS Form W-8BEN or W-8BEN-E or other appropriate version of IRS Form W-8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spacing w:after="0" w:line="176"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 below on backup withholding and FATCA withholding. In order to obtain this exemption, you must provide the applicable withholding agent with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5" w:name="page196"/>
    <w:bookmarkEnd w:id="195"/>
    <w:p>
      <w:pPr>
        <w:spacing w:after="0" w:line="255" w:lineRule="auto"/>
        <w:rPr>
          <w:sz w:val="20"/>
          <w:szCs w:val="20"/>
          <w:color w:val="auto"/>
        </w:rPr>
      </w:pPr>
      <w:r>
        <w:rPr>
          <w:rFonts w:ascii="Arial" w:cs="Arial" w:eastAsia="Arial" w:hAnsi="Arial"/>
          <w:sz w:val="18"/>
          <w:szCs w:val="18"/>
          <w:color w:val="auto"/>
        </w:rPr>
        <w:t>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any applicable tax treaties that may provide for different rules.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Subject to the discussion below regarding backup withholding and FATCA withholding, you generally will not be required to pay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common stock unless:</w:t>
      </w:r>
    </w:p>
    <w:p>
      <w:pPr>
        <w:spacing w:after="0" w:line="82" w:lineRule="exact"/>
        <w:rPr>
          <w:sz w:val="20"/>
          <w:szCs w:val="20"/>
          <w:color w:val="auto"/>
        </w:rPr>
      </w:pPr>
    </w:p>
    <w:p>
      <w:pPr>
        <w:ind w:left="1300" w:right="38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37" w:lineRule="exact"/>
        <w:rPr>
          <w:rFonts w:ascii="Times New Roman" w:cs="Times New Roman" w:eastAsia="Times New Roman" w:hAnsi="Times New Roman"/>
          <w:sz w:val="18"/>
          <w:szCs w:val="18"/>
          <w:color w:val="auto"/>
        </w:rPr>
      </w:pPr>
    </w:p>
    <w:p>
      <w:pPr>
        <w:ind w:left="1300" w:right="340" w:hanging="442"/>
        <w:spacing w:after="0" w:line="27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you are an individual who is present in the United States for a period or periods aggregating 183 days or more during the calendar year in which the sale or disposition occurs and certain other conditions are met; or</w:t>
      </w:r>
    </w:p>
    <w:p>
      <w:pPr>
        <w:spacing w:after="0" w:line="37" w:lineRule="exact"/>
        <w:rPr>
          <w:rFonts w:ascii="Times New Roman" w:cs="Times New Roman" w:eastAsia="Times New Roman" w:hAnsi="Times New Roman"/>
          <w:sz w:val="18"/>
          <w:szCs w:val="18"/>
          <w:color w:val="auto"/>
        </w:rPr>
      </w:pPr>
    </w:p>
    <w:p>
      <w:pPr>
        <w:jc w:val="both"/>
        <w:ind w:left="1300" w:right="40" w:hanging="442"/>
        <w:spacing w:after="0" w:line="255" w:lineRule="auto"/>
        <w:tabs>
          <w:tab w:leader="none" w:pos="1300" w:val="left"/>
        </w:tabs>
        <w:numPr>
          <w:ilvl w:val="0"/>
          <w:numId w:val="122"/>
        </w:numPr>
        <w:rPr>
          <w:rFonts w:ascii="Times New Roman" w:cs="Times New Roman" w:eastAsia="Times New Roman" w:hAnsi="Times New Roman"/>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3"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business assets,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06"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Our common stock beneficially owned by an individual who is not a citizen or resident of the United States (as defined for U.S. federal estate tax purposes) at the time of his or her death will generally be includable in the decedent’s gross estate for U.S. federal estate tax purposes. Such stock, therefore, may be subject to U.S. federal estate tax, unless an applicable estate tax treaty provides otherwise.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06" w:lineRule="exact"/>
        <w:rPr>
          <w:sz w:val="20"/>
          <w:szCs w:val="20"/>
          <w:color w:val="auto"/>
        </w:rPr>
      </w:pPr>
    </w:p>
    <w:p>
      <w:pPr>
        <w:ind w:right="80" w:firstLine="576"/>
        <w:spacing w:after="0" w:line="255"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6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 Notwithstanding the foregoing, backup withholding and information reporting may apply if the applicable withholding agent has actual knowledge, or reason to know, that you are a U.S. person.</w:t>
      </w:r>
    </w:p>
    <w:p>
      <w:pPr>
        <w:spacing w:after="0" w:line="172"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06" w:lineRule="exact"/>
        <w:rPr>
          <w:sz w:val="20"/>
          <w:szCs w:val="20"/>
          <w:color w:val="auto"/>
        </w:rPr>
      </w:pPr>
    </w:p>
    <w:p>
      <w:pPr>
        <w:ind w:right="80" w:firstLine="576"/>
        <w:spacing w:after="0" w:line="239" w:lineRule="auto"/>
        <w:rPr>
          <w:sz w:val="20"/>
          <w:szCs w:val="20"/>
          <w:color w:val="auto"/>
        </w:rPr>
      </w:pPr>
      <w:r>
        <w:rPr>
          <w:rFonts w:ascii="Arial" w:cs="Arial" w:eastAsia="Arial" w:hAnsi="Arial"/>
          <w:sz w:val="18"/>
          <w:szCs w:val="18"/>
          <w:color w:val="auto"/>
        </w:rPr>
        <w:t>Provisions of the Code commonly referred to as FATCA, Treasury Regulations issued thereunder and official IRS guidance generally impose a U.S. federal withholding tax of 30% on dividends on, and the 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80" w:lineRule="exact"/>
        <w:rPr>
          <w:sz w:val="20"/>
          <w:szCs w:val="20"/>
          <w:color w:val="auto"/>
        </w:rPr>
      </w:pPr>
    </w:p>
    <w:p>
      <w:pPr>
        <w:ind w:right="100" w:firstLine="576"/>
        <w:spacing w:after="0" w:line="239" w:lineRule="auto"/>
        <w:rPr>
          <w:sz w:val="20"/>
          <w:szCs w:val="20"/>
          <w:color w:val="auto"/>
        </w:rPr>
      </w:pPr>
      <w:r>
        <w:rPr>
          <w:rFonts w:ascii="Arial" w:cs="Arial" w:eastAsia="Arial" w:hAnsi="Arial"/>
          <w:sz w:val="18"/>
          <w:szCs w:val="18"/>
          <w:color w:val="auto"/>
        </w:rPr>
        <w:t>The withholding obligations under FATCA generally apply to dividends on our common stock and subject to the proposed Treasury Regulations described in the next sentence, will apply to the payment of gross proceeds of a sale or other disposition of our common stock. The Treasury Department has released proposed Treasury Regulations (the preamble to which specifies that taxpayers are permitted to rely on them pending finalization) which, if finalized in their present form, would eliminate the federal withholding tax of 30% applicable to the gross proceeds of a disposition of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such taxes. An intergovernmental agreement between the United States and an applicable foreign country may modify the requirements described in this section. Prospective investors are encouraged to consult with their own tax advisors regarding the application of FATCA withholding to their investment in, and ownership and disposition of, our common stock.</w:t>
      </w:r>
    </w:p>
    <w:p>
      <w:pPr>
        <w:spacing w:after="0" w:line="286" w:lineRule="exact"/>
        <w:rPr>
          <w:sz w:val="20"/>
          <w:szCs w:val="20"/>
          <w:color w:val="auto"/>
        </w:rPr>
      </w:pPr>
    </w:p>
    <w:p>
      <w:pPr>
        <w:ind w:right="160" w:firstLine="576"/>
        <w:spacing w:after="0" w:line="252" w:lineRule="auto"/>
        <w:rPr>
          <w:sz w:val="20"/>
          <w:szCs w:val="20"/>
          <w:color w:val="auto"/>
        </w:rPr>
      </w:pPr>
      <w:r>
        <w:rPr>
          <w:rFonts w:ascii="Arial" w:cs="Arial" w:eastAsia="Arial" w:hAnsi="Arial"/>
          <w:sz w:val="18"/>
          <w:szCs w:val="18"/>
          <w:b w:val="1"/>
          <w:bCs w:val="1"/>
          <w:color w:val="auto"/>
        </w:rPr>
        <w:t>The preceding discussion of U.S. federal tax considerations is for general information only. It is not tax advice to investors in their particular circumstances. Each prospective investor should consult its own tax advisor regarding the particular U.S. federal, state and local and non-U.S. tax consequences of purchasing, holding and disposing of our common stock, including the consequences of any proposed change in applicable laws</w:t>
      </w:r>
      <w:r>
        <w:rPr>
          <w:rFonts w:ascii="Arial" w:cs="Arial" w:eastAsia="Arial" w:hAnsi="Arial"/>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Jefferies LLC are the representatives of the underwriters.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0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Number of</w:t>
            </w:r>
          </w:p>
        </w:tc>
      </w:tr>
      <w:tr>
        <w:trPr>
          <w:trHeight w:val="184"/>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Underwriters</w:t>
            </w:r>
          </w:p>
        </w:tc>
        <w:tc>
          <w:tcPr>
            <w:tcW w:w="8360" w:type="dxa"/>
            <w:vAlign w:val="bottom"/>
          </w:tcPr>
          <w:p>
            <w:pPr>
              <w:spacing w:after="0"/>
              <w:rPr>
                <w:sz w:val="15"/>
                <w:szCs w:val="15"/>
                <w:color w:val="auto"/>
              </w:rPr>
            </w:pPr>
          </w:p>
        </w:tc>
        <w:tc>
          <w:tcPr>
            <w:tcW w:w="1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Shares</w:t>
            </w:r>
          </w:p>
        </w:tc>
      </w:tr>
      <w:tr>
        <w:trPr>
          <w:trHeight w:val="203"/>
        </w:trPr>
        <w:tc>
          <w:tcPr>
            <w:tcW w:w="9260" w:type="dxa"/>
            <w:vAlign w:val="bottom"/>
            <w:tcBorders>
              <w:top w:val="single" w:sz="8" w:color="CFF0FC"/>
            </w:tcBorders>
            <w:gridSpan w:val="2"/>
            <w:shd w:val="clear" w:color="auto" w:fill="CFF0FC"/>
          </w:tcPr>
          <w:p>
            <w:pPr>
              <w:spacing w:after="0" w:line="203" w:lineRule="exact"/>
              <w:rPr>
                <w:sz w:val="20"/>
                <w:szCs w:val="20"/>
                <w:color w:val="auto"/>
              </w:rPr>
            </w:pPr>
            <w:r>
              <w:rPr>
                <w:rFonts w:ascii="Arial" w:cs="Arial" w:eastAsia="Arial" w:hAnsi="Arial"/>
                <w:sz w:val="18"/>
                <w:szCs w:val="18"/>
                <w:color w:val="auto"/>
              </w:rPr>
              <w:t>Goldman Sachs &amp; Co. LLC</w:t>
            </w:r>
          </w:p>
        </w:tc>
        <w:tc>
          <w:tcPr>
            <w:tcW w:w="188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5,100,000</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926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1880" w:type="dxa"/>
            <w:vAlign w:val="bottom"/>
          </w:tcPr>
          <w:p>
            <w:pPr>
              <w:jc w:val="right"/>
              <w:spacing w:after="0"/>
              <w:rPr>
                <w:sz w:val="20"/>
                <w:szCs w:val="20"/>
                <w:color w:val="auto"/>
              </w:rPr>
            </w:pPr>
            <w:r>
              <w:rPr>
                <w:rFonts w:ascii="Arial" w:cs="Arial" w:eastAsia="Arial" w:hAnsi="Arial"/>
                <w:sz w:val="18"/>
                <w:szCs w:val="18"/>
                <w:color w:val="auto"/>
              </w:rPr>
              <w:t>3,960,000</w:t>
            </w:r>
          </w:p>
        </w:tc>
        <w:tc>
          <w:tcPr>
            <w:tcW w:w="100" w:type="dxa"/>
            <w:vAlign w:val="bottom"/>
          </w:tcPr>
          <w:p>
            <w:pPr>
              <w:spacing w:after="0"/>
              <w:rPr>
                <w:sz w:val="18"/>
                <w:szCs w:val="18"/>
                <w:color w:val="auto"/>
              </w:rPr>
            </w:pPr>
          </w:p>
        </w:tc>
      </w:tr>
      <w:tr>
        <w:trPr>
          <w:trHeight w:val="216"/>
        </w:trPr>
        <w:tc>
          <w:tcPr>
            <w:tcW w:w="9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Stifel, Nicolaus &amp; Company, Incorporated</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1,980,000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JMP Securities LLC</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960,000</w:t>
            </w:r>
          </w:p>
        </w:tc>
        <w:tc>
          <w:tcPr>
            <w:tcW w:w="100" w:type="dxa"/>
            <w:vAlign w:val="bottom"/>
            <w:tcBorders>
              <w:bottom w:val="single" w:sz="8" w:color="CFF0FC"/>
            </w:tcBorders>
          </w:tcPr>
          <w:p>
            <w:pPr>
              <w:spacing w:after="0"/>
              <w:rPr>
                <w:sz w:val="18"/>
                <w:szCs w:val="18"/>
                <w:color w:val="auto"/>
              </w:rPr>
            </w:pPr>
          </w:p>
        </w:tc>
      </w:tr>
      <w:tr>
        <w:trPr>
          <w:trHeight w:val="210"/>
        </w:trPr>
        <w:tc>
          <w:tcPr>
            <w:tcW w:w="92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12,000,000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The underwriters have an option to buy up to an additional 1,800,000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4" w:lineRule="exact"/>
        <w:rPr>
          <w:sz w:val="20"/>
          <w:szCs w:val="20"/>
          <w:color w:val="auto"/>
        </w:rPr>
      </w:pPr>
    </w:p>
    <w:p>
      <w:pPr>
        <w:jc w:val="both"/>
        <w:ind w:right="40" w:firstLine="576"/>
        <w:spacing w:after="0" w:line="255"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an additional 1,800,000 shares from us.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 Exercise</w:t>
            </w:r>
          </w:p>
        </w:tc>
        <w:tc>
          <w:tcPr>
            <w:tcW w:w="180" w:type="dxa"/>
            <w:vAlign w:val="bottom"/>
            <w:tcBorders>
              <w:bottom w:val="single" w:sz="8" w:color="CFF0FC"/>
            </w:tcBorders>
          </w:tcPr>
          <w:p>
            <w:pPr>
              <w:spacing w:after="0"/>
              <w:rPr>
                <w:sz w:val="15"/>
                <w:szCs w:val="15"/>
                <w:color w:val="auto"/>
              </w:rPr>
            </w:pPr>
          </w:p>
        </w:tc>
        <w:tc>
          <w:tcPr>
            <w:tcW w:w="16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Per Share</w:t>
            </w: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r>
      <w:tr>
        <w:trPr>
          <w:trHeight w:val="243"/>
        </w:trPr>
        <w:tc>
          <w:tcPr>
            <w:tcW w:w="7700" w:type="dxa"/>
            <w:vAlign w:val="bottom"/>
          </w:tcPr>
          <w:p>
            <w:pPr>
              <w:spacing w:after="0"/>
              <w:rPr>
                <w:sz w:val="20"/>
                <w:szCs w:val="20"/>
                <w:color w:val="auto"/>
              </w:rPr>
            </w:pPr>
            <w:r>
              <w:rPr>
                <w:rFonts w:ascii="Arial" w:cs="Arial" w:eastAsia="Arial" w:hAnsi="Arial"/>
                <w:sz w:val="18"/>
                <w:szCs w:val="18"/>
                <w:color w:val="auto"/>
              </w:rPr>
              <w:t>Total</w:t>
            </w:r>
          </w:p>
        </w:tc>
        <w:tc>
          <w:tcPr>
            <w:tcW w:w="1680" w:type="dxa"/>
            <w:vAlign w:val="bottom"/>
          </w:tcPr>
          <w:p>
            <w:pPr>
              <w:spacing w:after="0"/>
              <w:rPr>
                <w:sz w:val="20"/>
                <w:szCs w:val="20"/>
                <w:color w:val="auto"/>
              </w:rPr>
            </w:pPr>
            <w:r>
              <w:rPr>
                <w:rFonts w:ascii="Arial" w:cs="Arial" w:eastAsia="Arial" w:hAnsi="Arial"/>
                <w:sz w:val="18"/>
                <w:szCs w:val="18"/>
                <w:color w:val="auto"/>
              </w:rPr>
              <w:t>$14,280,000</w:t>
            </w:r>
          </w:p>
        </w:tc>
        <w:tc>
          <w:tcPr>
            <w:tcW w:w="1860" w:type="dxa"/>
            <w:vAlign w:val="bottom"/>
            <w:gridSpan w:val="2"/>
          </w:tcPr>
          <w:p>
            <w:pPr>
              <w:ind w:left="180"/>
              <w:spacing w:after="0"/>
              <w:rPr>
                <w:sz w:val="20"/>
                <w:szCs w:val="20"/>
                <w:color w:val="auto"/>
              </w:rPr>
            </w:pPr>
            <w:r>
              <w:rPr>
                <w:rFonts w:ascii="Arial" w:cs="Arial" w:eastAsia="Arial" w:hAnsi="Arial"/>
                <w:sz w:val="18"/>
                <w:szCs w:val="18"/>
                <w:color w:val="auto"/>
              </w:rPr>
              <w:t>$16,422,000</w:t>
            </w:r>
          </w:p>
        </w:tc>
      </w:tr>
    </w:tbl>
    <w:p>
      <w:pPr>
        <w:spacing w:after="0" w:line="166"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 prospectus. Any shares sold by the underwriters to securities dealers may be sold at a discount of up to $0.714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2"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We and our officers, directors, and holders of substantially all of our common stock and securities convertible into or exchangeable for our common stock have agreed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Jefferies LLC. This agreement does not apply to any existing employee benefit plans. See the section of this prospectus titled “Shares Eligible for Future Sale” for a discussion of certain transfer restrictions.</w:t>
      </w:r>
    </w:p>
    <w:p>
      <w:pPr>
        <w:spacing w:after="0" w:line="174"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the company and the representatives. Among the factors considered in determining the initial public offering price of the shares, in addition to prevailing market conditions, were the company’s historical performance, estimates of the business potential and earnings prospects of the company, an assessment of our management and the consideration of the above factors in relation to market valuation of companies in related businesses.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98" w:name="page199"/>
    <w:bookmarkEnd w:id="198"/>
    <w:p>
      <w:pPr>
        <w:ind w:left="58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"ATHA".</w:t>
      </w:r>
    </w:p>
    <w:p>
      <w:pPr>
        <w:spacing w:after="0" w:line="212" w:lineRule="exact"/>
        <w:rPr>
          <w:sz w:val="20"/>
          <w:szCs w:val="20"/>
          <w:color w:val="auto"/>
        </w:rPr>
      </w:pPr>
    </w:p>
    <w:p>
      <w:pPr>
        <w:ind w:firstLine="576"/>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our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74"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$3.3 million. We have agreed to reimburse the underwriters for certain of their expenses in an amount up to $35,000.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12"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At our request, the underwriters have reserved up to 5% of the shares of common stock to be offered by this prospectus for sale, at the initial public offering price, to directors, officers, employees, business associates and other persons related to us. If purchased by these persons, these shares will not be subject to a lock-up restriction, except in the case of shares purchased by any director, executive officer or employee. The underwriters will receive the same underwriting discount on any shares purchased pursuant to this program as they will on any other shares sold to the public in this offering. The number of shares of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w:t>
      </w:r>
    </w:p>
    <w:p>
      <w:pPr>
        <w:spacing w:after="0" w:line="179" w:lineRule="exact"/>
        <w:rPr>
          <w:sz w:val="20"/>
          <w:szCs w:val="20"/>
          <w:color w:val="auto"/>
        </w:rPr>
      </w:pPr>
    </w:p>
    <w:p>
      <w:pPr>
        <w:ind w:right="240" w:firstLine="576"/>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99" w:name="page200"/>
    <w:bookmarkEnd w:id="199"/>
    <w:p>
      <w:pPr>
        <w:ind w:right="420"/>
        <w:spacing w:after="0" w:line="255" w:lineRule="auto"/>
        <w:rPr>
          <w:sz w:val="20"/>
          <w:szCs w:val="20"/>
          <w:color w:val="auto"/>
        </w:rPr>
      </w:pPr>
      <w:r>
        <w:rPr>
          <w:rFonts w:ascii="Arial" w:cs="Arial" w:eastAsia="Arial" w:hAnsi="Arial"/>
          <w:sz w:val="18"/>
          <w:szCs w:val="18"/>
          <w:color w:val="auto"/>
        </w:rPr>
        <w:t>and other financial and non-financial activities and services. Certain of the underwriters and their respective affiliates may in the future provide, a variety of these services to the issuer and to persons and entities with relationships with the issuer, for which they will receive customary fees and expenses.</w:t>
      </w:r>
    </w:p>
    <w:p>
      <w:pPr>
        <w:spacing w:after="0" w:line="16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0"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In May 2020, we issued a warrant to JMP Securities LLC to purchase up to 127,481 shares of our Series B convertible preferred stock in connection with our Series B convertible preferred stock financing. Immediately prior to the closing of this offering this warrant will automatically convert into a warrant to purchase an aggregate of 127,481 shares of our common stock and then will be automatically net exercised into 59,091 shares of our common stock. The warrant (and the shares of common stock once exercised) are subject to the 180-day lock-up restrictions pursuant to FINRA Rule 5110(g) and a 180-day lock-up agreement with the underwriters in this offering.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106"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common shares, or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66" w:lineRule="exact"/>
        <w:rPr>
          <w:sz w:val="20"/>
          <w:szCs w:val="20"/>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6" w:lineRule="exact"/>
        <w:rPr>
          <w:rFonts w:ascii="Times New Roman" w:cs="Times New Roman" w:eastAsia="Times New Roman" w:hAnsi="Times New Roman"/>
          <w:sz w:val="18"/>
          <w:szCs w:val="18"/>
          <w:color w:val="auto"/>
        </w:rPr>
      </w:pPr>
    </w:p>
    <w:p>
      <w:pPr>
        <w:ind w:left="1300" w:right="520" w:hanging="442"/>
        <w:spacing w:after="0" w:line="275" w:lineRule="auto"/>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23"/>
        </w:numPr>
        <w:rPr>
          <w:rFonts w:ascii="Times New Roman" w:cs="Times New Roman" w:eastAsia="Times New Roman" w:hAnsi="Times New Roman"/>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4" w:lineRule="exact"/>
        <w:rPr>
          <w:sz w:val="20"/>
          <w:szCs w:val="20"/>
          <w:color w:val="auto"/>
        </w:rPr>
      </w:pPr>
    </w:p>
    <w:p>
      <w:pPr>
        <w:ind w:right="60" w:firstLine="576"/>
        <w:spacing w:after="0" w:line="276" w:lineRule="auto"/>
        <w:rPr>
          <w:sz w:val="20"/>
          <w:szCs w:val="20"/>
          <w:color w:val="auto"/>
        </w:rPr>
      </w:pPr>
      <w:r>
        <w:rPr>
          <w:rFonts w:ascii="Arial" w:cs="Arial" w:eastAsia="Arial" w:hAnsi="Arial"/>
          <w:sz w:val="18"/>
          <w:szCs w:val="18"/>
          <w:color w:val="auto"/>
        </w:rPr>
        <w:t>provided that no such offer of Shares shall require the company or any representative to publish a prospectus pursuant to Article 3 of the Prospectus Regulation or supplement a prospectus pursuant to Article 23 of the Prospectus Regulation.</w:t>
      </w:r>
    </w:p>
    <w:p>
      <w:pPr>
        <w:spacing w:after="0" w:line="145"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United Kingdom</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Underwriter has represented and agreed that:</w:t>
      </w:r>
    </w:p>
    <w:p>
      <w:pPr>
        <w:spacing w:after="0" w:line="104" w:lineRule="exact"/>
        <w:rPr>
          <w:sz w:val="20"/>
          <w:szCs w:val="20"/>
          <w:color w:val="auto"/>
        </w:rPr>
      </w:pPr>
    </w:p>
    <w:p>
      <w:pPr>
        <w:ind w:left="1300" w:right="420" w:hanging="442"/>
        <w:spacing w:after="0" w:line="248"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shares in circumstances in which Section 21(1) of the FSMA does not apply to the company; and</w:t>
      </w:r>
    </w:p>
    <w:p>
      <w:pPr>
        <w:spacing w:after="0" w:line="61" w:lineRule="exact"/>
        <w:rPr>
          <w:rFonts w:ascii="Times New Roman" w:cs="Times New Roman" w:eastAsia="Times New Roman" w:hAnsi="Times New Roman"/>
          <w:sz w:val="18"/>
          <w:szCs w:val="18"/>
          <w:color w:val="auto"/>
        </w:rPr>
      </w:pPr>
    </w:p>
    <w:p>
      <w:pPr>
        <w:ind w:left="1300" w:hanging="442"/>
        <w:spacing w:after="0" w:line="275" w:lineRule="auto"/>
        <w:tabs>
          <w:tab w:leader="none" w:pos="1300" w:val="left"/>
        </w:tabs>
        <w:numPr>
          <w:ilvl w:val="0"/>
          <w:numId w:val="124"/>
        </w:numPr>
        <w:rPr>
          <w:rFonts w:ascii="Times New Roman" w:cs="Times New Roman" w:eastAsia="Times New Roman" w:hAnsi="Times New Roman"/>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06"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72" w:lineRule="exact"/>
        <w:rPr>
          <w:sz w:val="20"/>
          <w:szCs w:val="20"/>
          <w:color w:val="auto"/>
        </w:rPr>
      </w:pPr>
    </w:p>
    <w:p>
      <w:pPr>
        <w:ind w:right="600" w:firstLine="576"/>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106" w:lineRule="exact"/>
        <w:rPr>
          <w:sz w:val="20"/>
          <w:szCs w:val="20"/>
          <w:color w:val="auto"/>
        </w:rPr>
      </w:pPr>
    </w:p>
    <w:p>
      <w:pPr>
        <w:ind w:right="60" w:firstLine="576"/>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the Companies Ordinance, or which do not constitute an invitation to the public within the meaning of the Securities and Futures Ordinance (Cap. 571 of the Laws of Hong Kong), or the Securities and Futures Ordinance, or (2) to "professional investors" as defined in the Securities and Futures Ordinance and any rules made thereunder, or (3) in other circumstances which do not result in the document being a "prospectus" as defined in the Companies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06" w:lineRule="exact"/>
        <w:rPr>
          <w:sz w:val="20"/>
          <w:szCs w:val="20"/>
          <w:color w:val="auto"/>
        </w:rPr>
      </w:pPr>
    </w:p>
    <w:p>
      <w:pPr>
        <w:ind w:right="140" w:firstLine="576"/>
        <w:spacing w:after="0" w:line="277"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01" w:name="page202"/>
    <w:bookmarkEnd w:id="201"/>
    <w:p>
      <w:pPr>
        <w:ind w:right="240"/>
        <w:spacing w:after="0" w:line="245" w:lineRule="auto"/>
        <w:rPr>
          <w:sz w:val="20"/>
          <w:szCs w:val="20"/>
          <w:color w:val="auto"/>
        </w:rPr>
      </w:pPr>
      <w:r>
        <w:rPr>
          <w:rFonts w:ascii="Arial" w:cs="Arial" w:eastAsia="Arial" w:hAnsi="Arial"/>
          <w:sz w:val="18"/>
          <w:szCs w:val="18"/>
          <w:color w:val="auto"/>
        </w:rPr>
        <w:t>directly or indirectly, to persons in Singapore other than (1) to an institutional investor (as defined under Section 4A of the Securities and Futures Act, Chapter 289 of Singapore, or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72"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80" w:lineRule="exact"/>
        <w:rPr>
          <w:sz w:val="20"/>
          <w:szCs w:val="20"/>
          <w:color w:val="auto"/>
        </w:rPr>
      </w:pPr>
    </w:p>
    <w:p>
      <w:pPr>
        <w:ind w:right="320" w:firstLine="576"/>
        <w:spacing w:after="0" w:line="248" w:lineRule="auto"/>
        <w:rPr>
          <w:sz w:val="20"/>
          <w:szCs w:val="20"/>
          <w:color w:val="auto"/>
        </w:rPr>
      </w:pPr>
      <w:r>
        <w:rPr>
          <w:rFonts w:ascii="Arial" w:cs="Arial" w:eastAsia="Arial" w:hAnsi="Arial"/>
          <w:sz w:val="18"/>
          <w:szCs w:val="18"/>
          <w:color w:val="auto"/>
        </w:rPr>
        <w:t>Solely for the purposes of its obligations pursuant to Section 309B of the SFA, we have determined, and hereby notify all relevant persons (as defined in the CMP Regulations 2018),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106"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106" w:lineRule="exact"/>
        <w:rPr>
          <w:sz w:val="20"/>
          <w:szCs w:val="20"/>
          <w:color w:val="auto"/>
        </w:rPr>
      </w:pPr>
    </w:p>
    <w:p>
      <w:pPr>
        <w:jc w:val="both"/>
        <w:ind w:firstLine="576"/>
        <w:spacing w:after="0" w:line="248"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or ASIC, in relation to the offering. This offering document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02" w:name="page203"/>
    <w:bookmarkEnd w:id="202"/>
    <w:p>
      <w:pPr>
        <w:ind w:right="120" w:firstLine="576"/>
        <w:spacing w:after="0" w:line="248"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70"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offering document is appropriate to their needs, objectives and circumstances, and, if necessary, seek expert advice on those matters.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06"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This offering document relates to an Exempt Offer in accordance with the Offered Securities Rules of the Dubai Financial Services Authority, or DFSA. This offering document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06" w:lineRule="exact"/>
        <w:rPr>
          <w:sz w:val="20"/>
          <w:szCs w:val="20"/>
          <w:color w:val="auto"/>
        </w:rPr>
      </w:pPr>
    </w:p>
    <w:p>
      <w:pPr>
        <w:jc w:val="both"/>
        <w:ind w:right="40" w:firstLine="576"/>
        <w:spacing w:after="0" w:line="257" w:lineRule="auto"/>
        <w:rPr>
          <w:sz w:val="20"/>
          <w:szCs w:val="20"/>
          <w:color w:val="auto"/>
        </w:rPr>
      </w:pPr>
      <w:r>
        <w:rPr>
          <w:rFonts w:ascii="Arial" w:cs="Arial" w:eastAsia="Arial" w:hAnsi="Arial"/>
          <w:sz w:val="17"/>
          <w:szCs w:val="17"/>
          <w:color w:val="auto"/>
        </w:rPr>
        <w:t>We have not and will not register with the Swiss Financial Market Supervisory Authority, or FINMA, as a foreign collective investment scheme pursuant to Article 119 of the Federal Act on Collective Investment Scheme of 23 June 2006, as amended, or CISA, and accordingly the securities being offered pursuant to this prospectus have not and will not be approved, and may not be licensable, with FINMA.</w:t>
      </w:r>
    </w:p>
    <w:p>
      <w:pPr>
        <w:spacing w:after="0" w:line="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 22 November 2006, as amended, or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in this prospectus and may neither directly or indirectly be distributed or made available to any person or entity other than its recipients. It may not be used in connection with any other offer and shall in particular not be copied and/or distributed to the public in Switzerland or from Switzerland. This prospectus does not constitute an issue prospectus as that term is understood pursuant to Article 652a and/or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03" w:name="page204"/>
    <w:bookmarkEnd w:id="203"/>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validity of the shares of the common stock offered hereby will be passed upon for us by Wilson Sonsini Goodrich &amp; Rosati, Professional Corporation, Seattle, Washington. Cooley, LLP, Seattle Washington, is acting as counsel for the underwriters. Investment funds associated with Wilson Sonsini Goodrich &amp; Rosati, Professional Corporation, hold shares of our common stock and preferred stock convertible into our common stock representing an aggregate of 13,706 shares of our common stock, which is less than 1% of our outstanding shares of common stock.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December 31, 2018 and December 31, 2019 and for each of the two years in the period ended December 31, 2019, as set forth in their report. We have included our financial statements in the prospectus and elsewhere in the registration statement in reliance on Ernst &amp; Young LLP’s report, given on their authority as experts in accounting and auditing.</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shares of our common stock offered by this prospectus. This prospectus constitutes only a part of the registration statement. Some items are contained in exhibits to the registration statement as permitted by the rules and regulations of the SEC. For further information with respect to us and our common stock, we refer you to the registration statement, including the exhibits. Statements contained in this prospectus concerning the contents of any contract or document referred to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79"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You may obtain copies of this information by mail from the Public Reference Section of the SEC, 100 F Street, N.E., Room 1580, Washington, D.C. 20549, at prescribed rates. You may obtain information on the operation of the public reference rooms by calling the SEC at 1-800-SEC-0330. The SEC also maintains an Internet website at www.sec.gov that contains reports, proxy statements and other information about issuers, like us, that file electronically with the SEC.</w:t>
      </w:r>
    </w:p>
    <w:p>
      <w:pPr>
        <w:spacing w:after="0" w:line="170" w:lineRule="exact"/>
        <w:rPr>
          <w:sz w:val="20"/>
          <w:szCs w:val="20"/>
          <w:color w:val="auto"/>
        </w:rPr>
      </w:pPr>
    </w:p>
    <w:p>
      <w:pPr>
        <w:ind w:right="160" w:firstLine="576"/>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www.athira.com, at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4" w:right="359" w:bottom="1440" w:gutter="0" w:footer="0" w:header="0"/>
        </w:sectPr>
      </w:pPr>
    </w:p>
    <w:bookmarkStart w:id="204" w:name="page205"/>
    <w:bookmarkEnd w:id="204"/>
    <w:p>
      <w:pPr>
        <w:jc w:val="center"/>
        <w:ind w:left="1200"/>
        <w:spacing w:after="0"/>
        <w:rPr>
          <w:sz w:val="20"/>
          <w:szCs w:val="20"/>
          <w:color w:val="auto"/>
        </w:rPr>
      </w:pPr>
      <w:r>
        <w:rPr>
          <w:rFonts w:ascii="Arial" w:cs="Arial" w:eastAsia="Arial" w:hAnsi="Arial"/>
          <w:sz w:val="18"/>
          <w:szCs w:val="18"/>
          <w:b w:val="1"/>
          <w:bCs w:val="1"/>
          <w:color w:val="auto"/>
        </w:rPr>
        <w:t>ATHIRA PHARMA, INC.</w:t>
      </w:r>
    </w:p>
    <w:p>
      <w:pPr>
        <w:spacing w:after="0" w:line="214" w:lineRule="exact"/>
        <w:rPr>
          <w:sz w:val="20"/>
          <w:szCs w:val="20"/>
          <w:color w:val="auto"/>
        </w:rPr>
      </w:pPr>
    </w:p>
    <w:p>
      <w:pPr>
        <w:jc w:val="right"/>
        <w:ind w:right="2880"/>
        <w:spacing w:after="0"/>
        <w:rPr>
          <w:sz w:val="20"/>
          <w:szCs w:val="20"/>
          <w:color w:val="auto"/>
        </w:rPr>
      </w:pPr>
      <w:r>
        <w:rPr>
          <w:rFonts w:ascii="Arial" w:cs="Arial" w:eastAsia="Arial" w:hAnsi="Arial"/>
          <w:sz w:val="18"/>
          <w:szCs w:val="18"/>
          <w:color w:val="auto"/>
        </w:rPr>
        <w:t>INDEX TO FINANCIAL STATEMENTS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33" w:lineRule="exact"/>
        <w:rPr>
          <w:sz w:val="20"/>
          <w:szCs w:val="20"/>
          <w:color w:val="auto"/>
        </w:rPr>
      </w:pPr>
    </w:p>
    <w:p>
      <w:pPr>
        <w:spacing w:after="0"/>
        <w:rPr>
          <w:rFonts w:ascii="Arial" w:cs="Arial" w:eastAsia="Arial" w:hAnsi="Arial"/>
          <w:sz w:val="18"/>
          <w:szCs w:val="18"/>
          <w:u w:val="single" w:color="auto"/>
          <w:color w:val="0000EE"/>
        </w:rPr>
      </w:pPr>
      <w:hyperlink w:anchor="page206">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Statements of Operations and Comprehensive Loss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Statements of Convertible Preferred Stock and Stockholders’ Deficit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Statements of Cash Flows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Notes to Financial Statements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Unaudited Interim Condensed Financial Statements:</w:t>
      </w:r>
    </w:p>
    <w:p>
      <w:pPr>
        <w:spacing w:after="0" w:line="31" w:lineRule="exact"/>
        <w:rPr>
          <w:sz w:val="20"/>
          <w:szCs w:val="20"/>
          <w:color w:val="auto"/>
        </w:rPr>
      </w:pPr>
    </w:p>
    <w:p>
      <w:pPr>
        <w:spacing w:after="0"/>
        <w:rPr>
          <w:rFonts w:ascii="Arial" w:cs="Arial" w:eastAsia="Arial" w:hAnsi="Arial"/>
          <w:sz w:val="18"/>
          <w:szCs w:val="18"/>
          <w:u w:val="single" w:color="auto"/>
          <w:color w:val="0000EE"/>
        </w:rPr>
      </w:pPr>
      <w:hyperlink w:anchor="page231">
        <w:r>
          <w:rPr>
            <w:rFonts w:ascii="Arial" w:cs="Arial" w:eastAsia="Arial" w:hAnsi="Arial"/>
            <w:sz w:val="18"/>
            <w:szCs w:val="18"/>
            <w:u w:val="single" w:color="auto"/>
            <w:color w:val="0000EE"/>
          </w:rPr>
          <w:t>Condensed Balance Sheets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Condensed Statements of Operations and Comprehensive Loss</w:t>
        </w:r>
      </w:hyperlink>
    </w:p>
    <w:p>
      <w:pPr>
        <w:spacing w:after="0" w:line="9" w:lineRule="exact"/>
        <w:rPr>
          <w:sz w:val="20"/>
          <w:szCs w:val="20"/>
          <w:color w:val="auto"/>
        </w:rPr>
      </w:pPr>
    </w:p>
    <w:p>
      <w:pPr>
        <w:ind w:right="3660"/>
        <w:spacing w:after="0" w:line="250" w:lineRule="auto"/>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Condensed Statements of Convertible Preferred Stock and Stockholders’ Deficit</w:t>
        </w:r>
      </w:hyperlink>
      <w:r>
        <w:rPr>
          <w:rFonts w:ascii="Arial" w:cs="Arial" w:eastAsia="Arial" w:hAnsi="Arial"/>
          <w:sz w:val="18"/>
          <w:szCs w:val="18"/>
          <w:u w:val="single" w:color="auto"/>
          <w:color w:val="0000EE"/>
        </w:rPr>
        <w:t xml:space="preserve"> </w:t>
      </w:r>
      <w:hyperlink w:anchor="page234">
        <w:r>
          <w:rPr>
            <w:rFonts w:ascii="Arial" w:cs="Arial" w:eastAsia="Arial" w:hAnsi="Arial"/>
            <w:sz w:val="18"/>
            <w:szCs w:val="18"/>
            <w:u w:val="single" w:color="auto"/>
            <w:color w:val="0000EE"/>
          </w:rPr>
          <w:t>Condensed Statements of Cash Flows</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Notes to the Condensed Financial Statements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20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Page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F-2</w:t>
      </w:r>
    </w:p>
    <w:p>
      <w:pPr>
        <w:spacing w:after="0" w:line="4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F-3</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F-4</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F-5</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F-6</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F-7</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F-27</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F-28</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F-29</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F-30</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F-31</w:t>
      </w:r>
    </w:p>
    <w:p>
      <w:pPr>
        <w:sectPr>
          <w:pgSz w:w="11900" w:h="16838" w:orient="portrait"/>
          <w:cols w:equalWidth="0" w:num="2">
            <w:col w:w="10040" w:space="720"/>
            <w:col w:w="480"/>
          </w:cols>
          <w:pgMar w:left="320" w:top="358" w:right="339" w:bottom="1440" w:gutter="0" w:footer="0" w:header="0"/>
        </w:sectPr>
      </w:pPr>
    </w:p>
    <w:bookmarkStart w:id="205" w:name="page206"/>
    <w:bookmarkEnd w:id="205"/>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Athira Pharma, Inc.: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14" w:lineRule="exact"/>
        <w:rPr>
          <w:sz w:val="20"/>
          <w:szCs w:val="20"/>
          <w:color w:val="auto"/>
        </w:rPr>
      </w:pPr>
    </w:p>
    <w:p>
      <w:pPr>
        <w:ind w:firstLine="864"/>
        <w:spacing w:after="0" w:line="245" w:lineRule="auto"/>
        <w:rPr>
          <w:sz w:val="20"/>
          <w:szCs w:val="20"/>
          <w:color w:val="auto"/>
        </w:rPr>
      </w:pPr>
      <w:r>
        <w:rPr>
          <w:rFonts w:ascii="Arial" w:cs="Arial" w:eastAsia="Arial" w:hAnsi="Arial"/>
          <w:sz w:val="18"/>
          <w:szCs w:val="18"/>
          <w:color w:val="auto"/>
        </w:rPr>
        <w:t>We have audited the accompanying balance sheets of Athira Pharma, Inc. (the “Company”) as of December 31, 2018 and 2019, the related statements of operations and comprehensive loss,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14" w:lineRule="exact"/>
        <w:rPr>
          <w:sz w:val="20"/>
          <w:szCs w:val="20"/>
          <w:color w:val="auto"/>
        </w:rPr>
      </w:pPr>
    </w:p>
    <w:p>
      <w:pPr>
        <w:ind w:firstLine="864"/>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right="20" w:firstLine="864"/>
        <w:spacing w:after="0" w:line="24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ind w:right="180" w:firstLine="864"/>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July 24, 2020</w:t>
      </w:r>
    </w:p>
    <w:p>
      <w:pPr>
        <w:spacing w:after="0" w:line="234" w:lineRule="auto"/>
        <w:rPr>
          <w:sz w:val="20"/>
          <w:szCs w:val="20"/>
          <w:color w:val="auto"/>
        </w:rPr>
      </w:pPr>
      <w:r>
        <w:rPr>
          <w:rFonts w:ascii="Arial" w:cs="Arial" w:eastAsia="Arial" w:hAnsi="Arial"/>
          <w:sz w:val="18"/>
          <w:szCs w:val="18"/>
          <w:color w:val="auto"/>
        </w:rPr>
        <w:t>except for note 17(a), 17(g), 17(h) and 17(i), as to which the date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September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3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Unsecured related party note receivable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FF0FC"/>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940" w:type="dxa"/>
            <w:vAlign w:val="bottom"/>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560" w:type="dxa"/>
            <w:vAlign w:val="bottom"/>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Grant liability</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notes, net</w:t>
            </w:r>
          </w:p>
        </w:tc>
        <w:tc>
          <w:tcPr>
            <w:tcW w:w="94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9)</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Convertible preferred stock, $0.0001 par value per share;</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2,797,464 shares authorized; 2,617,386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160"/>
              <w:spacing w:after="0" w:line="202" w:lineRule="exact"/>
              <w:rPr>
                <w:sz w:val="20"/>
                <w:szCs w:val="20"/>
                <w:color w:val="auto"/>
              </w:rPr>
            </w:pPr>
            <w:r>
              <w:rPr>
                <w:rFonts w:ascii="Arial" w:cs="Arial" w:eastAsia="Arial" w:hAnsi="Arial"/>
                <w:sz w:val="18"/>
                <w:szCs w:val="18"/>
                <w:color w:val="auto"/>
              </w:rPr>
              <w:t>outstanding at December 31, 2018 and 2019; aggregate</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liquidation preference of $16,288 at December 31, 2018 and 2019</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17,051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Common stock, $0.0001 par value per share, 10,088,017 shares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00" w:type="dxa"/>
            <w:vAlign w:val="bottom"/>
          </w:tcPr>
          <w:p>
            <w:pPr>
              <w:ind w:left="400"/>
              <w:spacing w:after="0" w:line="202" w:lineRule="exact"/>
              <w:rPr>
                <w:sz w:val="20"/>
                <w:szCs w:val="20"/>
                <w:color w:val="auto"/>
              </w:rPr>
            </w:pPr>
            <w:r>
              <w:rPr>
                <w:rFonts w:ascii="Arial" w:cs="Arial" w:eastAsia="Arial" w:hAnsi="Arial"/>
                <w:sz w:val="18"/>
                <w:szCs w:val="18"/>
                <w:color w:val="auto"/>
              </w:rPr>
              <w:t>authorized; 3,559,484 and 3,641,449 shares issued and</w:t>
            </w: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outstanding at December 31, 2018 and 2019, respectively</w:t>
            </w:r>
          </w:p>
        </w:tc>
        <w:tc>
          <w:tcPr>
            <w:tcW w:w="94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9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(15,926)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deficit</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(14,887)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(19,723)</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7700" w:type="dxa"/>
            <w:vAlign w:val="bottom"/>
          </w:tcPr>
          <w:p>
            <w:pPr>
              <w:ind w:left="500"/>
              <w:spacing w:after="0" w:line="187" w:lineRule="exact"/>
              <w:rPr>
                <w:sz w:val="20"/>
                <w:szCs w:val="20"/>
                <w:color w:val="auto"/>
              </w:rPr>
            </w:pPr>
            <w:r>
              <w:rPr>
                <w:rFonts w:ascii="Arial" w:cs="Arial" w:eastAsia="Arial" w:hAnsi="Arial"/>
                <w:sz w:val="18"/>
                <w:szCs w:val="18"/>
                <w:color w:val="auto"/>
              </w:rPr>
              <w:t>Total liabilities, convertible preferred stock and stockholders'</w:t>
            </w:r>
          </w:p>
        </w:tc>
        <w:tc>
          <w:tcPr>
            <w:tcW w:w="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00" w:type="dxa"/>
            <w:vAlign w:val="bottom"/>
          </w:tcPr>
          <w:p>
            <w:pPr>
              <w:ind w:left="660"/>
              <w:spacing w:after="0"/>
              <w:rPr>
                <w:sz w:val="20"/>
                <w:szCs w:val="20"/>
                <w:color w:val="auto"/>
              </w:rPr>
            </w:pPr>
            <w:r>
              <w:rPr>
                <w:rFonts w:ascii="Arial" w:cs="Arial" w:eastAsia="Arial" w:hAnsi="Arial"/>
                <w:sz w:val="18"/>
                <w:szCs w:val="18"/>
                <w:color w:val="auto"/>
              </w:rPr>
              <w:t>deficit</w:t>
            </w:r>
          </w:p>
        </w:tc>
        <w:tc>
          <w:tcPr>
            <w:tcW w:w="94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4,933</w:t>
            </w:r>
          </w:p>
        </w:tc>
        <w:tc>
          <w:tcPr>
            <w:tcW w:w="30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8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7" w:name="page208"/>
    <w:bookmarkEnd w:id="207"/>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3,589</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3,793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(5,009)</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(1.47)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3,469,153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3,566,849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 (unaudited)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(unaudited)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6,186,602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08" w:name="page209"/>
    <w:bookmarkEnd w:id="20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data)</w:t>
      </w:r>
    </w:p>
    <w:p>
      <w:pPr>
        <w:sectPr>
          <w:pgSz w:w="11900" w:h="16838" w:orient="portrait"/>
          <w:cols w:equalWidth="0" w:num="1">
            <w:col w:w="11200"/>
          </w:cols>
          <w:pgMar w:left="320" w:top="358" w:right="37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194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720" w:type="dxa"/>
            <w:vAlign w:val="bottom"/>
          </w:tcPr>
          <w:p>
            <w:pPr>
              <w:spacing w:after="0"/>
              <w:rPr>
                <w:sz w:val="15"/>
                <w:szCs w:val="15"/>
                <w:color w:val="auto"/>
              </w:rPr>
            </w:pPr>
          </w:p>
        </w:tc>
        <w:tc>
          <w:tcPr>
            <w:tcW w:w="194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2017</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72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2,607,298</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16,951</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convertible preferred stock</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for cash</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of $9.92 per share</w:t>
            </w:r>
          </w:p>
        </w:tc>
        <w:tc>
          <w:tcPr>
            <w:tcW w:w="940" w:type="dxa"/>
            <w:vAlign w:val="bottom"/>
          </w:tcPr>
          <w:p>
            <w:pPr>
              <w:jc w:val="right"/>
              <w:spacing w:after="0"/>
              <w:rPr>
                <w:sz w:val="20"/>
                <w:szCs w:val="20"/>
                <w:color w:val="auto"/>
              </w:rPr>
            </w:pPr>
            <w:r>
              <w:rPr>
                <w:rFonts w:ascii="Arial" w:cs="Arial" w:eastAsia="Arial" w:hAnsi="Arial"/>
                <w:sz w:val="18"/>
                <w:szCs w:val="18"/>
                <w:color w:val="auto"/>
              </w:rPr>
              <w:t>10,088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restricted stock awards for</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advisory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services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3720" w:type="dxa"/>
            <w:vAlign w:val="bottom"/>
          </w:tcPr>
          <w:p>
            <w:pPr>
              <w:spacing w:after="0" w:line="201" w:lineRule="exact"/>
              <w:rPr>
                <w:sz w:val="20"/>
                <w:szCs w:val="20"/>
                <w:color w:val="auto"/>
              </w:rPr>
            </w:pPr>
            <w:r>
              <w:rPr>
                <w:rFonts w:ascii="Arial" w:cs="Arial" w:eastAsia="Arial" w:hAnsi="Arial"/>
                <w:sz w:val="18"/>
                <w:szCs w:val="18"/>
                <w:b w:val="1"/>
                <w:bCs w:val="1"/>
                <w:color w:val="auto"/>
              </w:rPr>
              <w:t>Balance as of December 31, 2018</w:t>
            </w: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2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7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-2922270</wp:posOffset>
            </wp:positionV>
            <wp:extent cx="7132320" cy="2922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2922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3,243,291</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(10,098)</w:t>
            </w:r>
          </w:p>
        </w:tc>
        <w:tc>
          <w:tcPr>
            <w:tcW w:w="60" w:type="dxa"/>
            <w:vAlign w:val="bottom"/>
          </w:tcPr>
          <w:p>
            <w:pPr>
              <w:spacing w:after="0"/>
              <w:rPr>
                <w:sz w:val="20"/>
                <w:szCs w:val="20"/>
                <w:color w:val="auto"/>
              </w:rPr>
            </w:pPr>
          </w:p>
        </w:tc>
      </w:tr>
      <w:tr>
        <w:trPr>
          <w:trHeight w:val="612"/>
        </w:trPr>
        <w:tc>
          <w:tcPr>
            <w:tcW w:w="940" w:type="dxa"/>
            <w:vAlign w:val="bottom"/>
          </w:tcPr>
          <w:p>
            <w:pPr>
              <w:jc w:val="right"/>
              <w:spacing w:after="0"/>
              <w:rPr>
                <w:sz w:val="20"/>
                <w:szCs w:val="20"/>
                <w:color w:val="auto"/>
              </w:rPr>
            </w:pPr>
            <w:r>
              <w:rPr>
                <w:rFonts w:ascii="Arial" w:cs="Arial" w:eastAsia="Arial" w:hAnsi="Arial"/>
                <w:sz w:val="18"/>
                <w:szCs w:val="18"/>
                <w:color w:val="auto"/>
              </w:rPr>
              <w:t>303,583</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24"/>
                <w:szCs w:val="24"/>
                <w:color w:val="auto"/>
              </w:rPr>
            </w:pPr>
          </w:p>
        </w:tc>
      </w:tr>
      <w:tr>
        <w:trPr>
          <w:trHeight w:val="621"/>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594"/>
        </w:trPr>
        <w:tc>
          <w:tcPr>
            <w:tcW w:w="940" w:type="dxa"/>
            <w:vAlign w:val="bottom"/>
          </w:tcPr>
          <w:p>
            <w:pPr>
              <w:jc w:val="right"/>
              <w:spacing w:after="0"/>
              <w:rPr>
                <w:sz w:val="20"/>
                <w:szCs w:val="20"/>
                <w:color w:val="auto"/>
              </w:rPr>
            </w:pPr>
            <w:r>
              <w:rPr>
                <w:rFonts w:ascii="Arial" w:cs="Arial" w:eastAsia="Arial" w:hAnsi="Arial"/>
                <w:sz w:val="18"/>
                <w:szCs w:val="18"/>
                <w:color w:val="auto"/>
              </w:rPr>
              <w:t>12,610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r>
      <w:tr>
        <w:trPr>
          <w:trHeight w:val="225"/>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(5,097)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(5,097)</w:t>
            </w:r>
          </w:p>
        </w:tc>
      </w:tr>
      <w:tr>
        <w:trPr>
          <w:trHeight w:val="236"/>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40" w:type="dxa"/>
            <w:vAlign w:val="bottom"/>
          </w:tcPr>
          <w:p>
            <w:pPr>
              <w:jc w:val="right"/>
              <w:spacing w:after="0"/>
              <w:rPr>
                <w:sz w:val="20"/>
                <w:szCs w:val="20"/>
                <w:color w:val="auto"/>
              </w:rPr>
            </w:pPr>
            <w:r>
              <w:rPr>
                <w:rFonts w:ascii="Arial" w:cs="Arial" w:eastAsia="Arial" w:hAnsi="Arial"/>
                <w:sz w:val="18"/>
                <w:szCs w:val="18"/>
                <w:color w:val="auto"/>
              </w:rPr>
              <w:t>81,965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24"/>
                <w:szCs w:val="24"/>
                <w:color w:val="auto"/>
              </w:rPr>
            </w:pPr>
          </w:p>
        </w:tc>
      </w:tr>
      <w:tr>
        <w:trPr>
          <w:trHeight w:val="216"/>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w:t>
            </w:r>
          </w:p>
        </w:tc>
        <w:tc>
          <w:tcPr>
            <w:tcW w:w="60" w:type="dxa"/>
            <w:vAlign w:val="bottom"/>
          </w:tcPr>
          <w:p>
            <w:pPr>
              <w:spacing w:after="0"/>
              <w:rPr>
                <w:sz w:val="18"/>
                <w:szCs w:val="18"/>
                <w:color w:val="auto"/>
              </w:rPr>
            </w:pPr>
          </w:p>
        </w:tc>
      </w:tr>
      <w:tr>
        <w:trPr>
          <w:trHeight w:val="225"/>
        </w:trPr>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(5,161)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(5,161)</w:t>
            </w:r>
          </w:p>
        </w:tc>
      </w:tr>
      <w:tr>
        <w:trPr>
          <w:trHeight w:val="209"/>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60" w:space="240"/>
            <w:col w:w="5300"/>
          </w:cols>
          <w:pgMar w:left="320" w:top="358" w:right="379" w:bottom="1440" w:gutter="0" w:footer="0" w:header="0"/>
          <w:type w:val="continuous"/>
        </w:sect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type w:val="continuous"/>
        </w:sectPr>
      </w:pPr>
    </w:p>
    <w:bookmarkStart w:id="209" w:name="page210"/>
    <w:bookmarkEnd w:id="20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87"/>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(5,097)</w:t>
            </w:r>
          </w:p>
        </w:tc>
        <w:tc>
          <w:tcPr>
            <w:tcW w:w="980" w:type="dxa"/>
            <w:vAlign w:val="bottom"/>
            <w:gridSpan w:val="2"/>
          </w:tcPr>
          <w:p>
            <w:pPr>
              <w:jc w:val="right"/>
              <w:ind w:right="80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(5,161)</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activities:</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Non-cash interest expense on convertible notes</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Accretion of discounts on convertible notes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fair value of derivative liability</w:t>
            </w:r>
          </w:p>
        </w:tc>
        <w:tc>
          <w:tcPr>
            <w:tcW w:w="10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500"/>
              <w:spacing w:after="0"/>
              <w:rPr>
                <w:sz w:val="20"/>
                <w:szCs w:val="20"/>
                <w:color w:val="auto"/>
              </w:rPr>
            </w:pPr>
            <w:r>
              <w:rPr>
                <w:rFonts w:ascii="Arial" w:cs="Arial" w:eastAsia="Arial" w:hAnsi="Arial"/>
                <w:sz w:val="18"/>
                <w:szCs w:val="18"/>
                <w:color w:val="auto"/>
              </w:rPr>
              <w:t>Change in fair value of grant liability</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620"/>
              <w:spacing w:after="0"/>
              <w:rPr>
                <w:sz w:val="20"/>
                <w:szCs w:val="20"/>
                <w:color w:val="auto"/>
              </w:rPr>
            </w:pPr>
            <w:r>
              <w:rPr>
                <w:rFonts w:ascii="Arial" w:cs="Arial" w:eastAsia="Arial" w:hAnsi="Arial"/>
                <w:sz w:val="18"/>
                <w:szCs w:val="18"/>
                <w:color w:val="auto"/>
              </w:rPr>
              <w:t>Prepaid expenses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77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Net cash used in operating activities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(4,483)</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(3,713)</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available-for-sale securities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(5,250)</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(995)</w:t>
            </w: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Maturities of available-for-sale securities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2,495</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Principal payments received on related party note receivable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exercise of common stock options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8"/>
                <w:szCs w:val="18"/>
                <w:color w:val="auto"/>
              </w:rPr>
            </w:pPr>
          </w:p>
        </w:tc>
      </w:tr>
      <w:tr>
        <w:trPr>
          <w:trHeight w:val="193"/>
        </w:trPr>
        <w:tc>
          <w:tcPr>
            <w:tcW w:w="7700" w:type="dxa"/>
            <w:vAlign w:val="bottom"/>
          </w:tcPr>
          <w:p>
            <w:pPr>
              <w:ind w:left="260"/>
              <w:spacing w:after="0" w:line="193" w:lineRule="exact"/>
              <w:rPr>
                <w:sz w:val="20"/>
                <w:szCs w:val="20"/>
                <w:color w:val="auto"/>
              </w:rPr>
            </w:pPr>
            <w:r>
              <w:rPr>
                <w:rFonts w:ascii="Arial" w:cs="Arial" w:eastAsia="Arial" w:hAnsi="Arial"/>
                <w:sz w:val="18"/>
                <w:szCs w:val="18"/>
                <w:color w:val="auto"/>
              </w:rPr>
              <w:t>Proceeds from sales of convertible preferred stock, net of</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400"/>
              <w:spacing w:after="0"/>
              <w:rPr>
                <w:sz w:val="20"/>
                <w:szCs w:val="20"/>
                <w:color w:val="auto"/>
              </w:rPr>
            </w:pPr>
            <w:r>
              <w:rPr>
                <w:rFonts w:ascii="Arial" w:cs="Arial" w:eastAsia="Arial" w:hAnsi="Arial"/>
                <w:sz w:val="18"/>
                <w:szCs w:val="18"/>
                <w:color w:val="auto"/>
              </w:rPr>
              <w:t>issuance costs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193"/>
        </w:trPr>
        <w:tc>
          <w:tcPr>
            <w:tcW w:w="7700" w:type="dxa"/>
            <w:vAlign w:val="bottom"/>
            <w:shd w:val="clear" w:color="auto" w:fill="CFF0FC"/>
          </w:tcPr>
          <w:p>
            <w:pPr>
              <w:ind w:left="260"/>
              <w:spacing w:after="0" w:line="193" w:lineRule="exact"/>
              <w:rPr>
                <w:sz w:val="20"/>
                <w:szCs w:val="20"/>
                <w:color w:val="auto"/>
              </w:rPr>
            </w:pPr>
            <w:r>
              <w:rPr>
                <w:rFonts w:ascii="Arial" w:cs="Arial" w:eastAsia="Arial" w:hAnsi="Arial"/>
                <w:sz w:val="18"/>
                <w:szCs w:val="18"/>
                <w:color w:val="auto"/>
              </w:rPr>
              <w:t>Proceeds from issuance of convertible notes, including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derivative</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FF0FC"/>
          </w:tcPr>
          <w:p>
            <w:pPr>
              <w:spacing w:after="0"/>
              <w:rPr>
                <w:sz w:val="19"/>
                <w:szCs w:val="19"/>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Issuance costs of convertible notes</w:t>
            </w: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0"/>
        </w:trPr>
        <w:tc>
          <w:tcPr>
            <w:tcW w:w="7700" w:type="dxa"/>
            <w:vAlign w:val="bottom"/>
            <w:tcBorders>
              <w:top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(1,012)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(1,261)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year</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3,317</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100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2,056</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0" w:name="page211"/>
    <w:bookmarkEnd w:id="21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188" w:lineRule="exact"/>
        <w:rPr>
          <w:sz w:val="20"/>
          <w:szCs w:val="20"/>
          <w:color w:val="auto"/>
        </w:rPr>
      </w:pPr>
    </w:p>
    <w:p>
      <w:pPr>
        <w:ind w:left="580" w:hanging="572"/>
        <w:spacing w:after="0"/>
        <w:tabs>
          <w:tab w:leader="none" w:pos="5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6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product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firstLine="576"/>
        <w:spacing w:after="0" w:line="23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incurred net operating losses since its inception and had an accumulated deficit of $21.1 million as of December 31, 2019. The Company had cash and cash equivalents of $2.1 million as of December 31, 2019 and has not generated positive cash flows from operations. To date, the Company has been able to fund its operations primarily through the issuance of convertible notes and convertible preferred stock. In the second quarter of 2020, the Company received an aggregate of $ 81.8 million in net proceeds from the issuance of Series B convertible preferred stock. The Company’s currently available cash and cash equivalents as of December 31, 2019, together with the proceeds received from the Series B convertible preferred stock financing in the second quarter of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8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11" w:name="page212"/>
    <w:bookmarkEnd w:id="211"/>
    <w:p>
      <w:pPr>
        <w:ind w:right="7660" w:firstLine="8"/>
        <w:spacing w:after="0" w:line="361" w:lineRule="auto"/>
        <w:tabs>
          <w:tab w:leader="none" w:pos="798"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financial statements have been prepared in conformity with U.S. generally accepted accounting principles (“U.S. GAAP”).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considers highly liquid investments with original maturities of three months or less to be cash equivalents.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Short-term investments consist entirely of fixed income certificates of deposit with original maturities of greater than 90 days but not more than one year. These securities are classified as available-for-sale and reported at estimated fair value with unrealized gains and losses, if any, included in accumulated other comprehensive loss in stockholders’ deficit. The cost of investments for purposes of computing realized and unrealized gains and losses is based on the specific identification method.</w:t>
      </w:r>
    </w:p>
    <w:p>
      <w:pPr>
        <w:spacing w:after="0" w:line="211"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If the estimated fair value of a security is below its carrying value, the Company evaluates whether it is more likely than not that it will sell the security before its anticipated recover in market value and whether evidence indicating that the cost of the investment is recoverable within a reasonable period of time outweighs the evidence to the contrary. Realized gains, realized losses and declines in the value of investments judged to be other than temporary, are included in other income (expense), net.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04" w:lineRule="exact"/>
        <w:rPr>
          <w:sz w:val="20"/>
          <w:szCs w:val="20"/>
          <w:color w:val="auto"/>
        </w:rPr>
      </w:pPr>
    </w:p>
    <w:p>
      <w:pPr>
        <w:ind w:right="440" w:firstLine="576"/>
        <w:spacing w:after="0" w:line="276" w:lineRule="auto"/>
        <w:rPr>
          <w:sz w:val="20"/>
          <w:szCs w:val="20"/>
          <w:color w:val="auto"/>
        </w:rPr>
      </w:pPr>
      <w:r>
        <w:rPr>
          <w:rFonts w:ascii="Arial" w:cs="Arial" w:eastAsia="Arial" w:hAnsi="Arial"/>
          <w:sz w:val="18"/>
          <w:szCs w:val="18"/>
          <w:color w:val="auto"/>
        </w:rPr>
        <w:t>The Company is exposed to credit risk from its deposits of cash in excess of amounts insured by the Federal Deposit Insurance Corporation. The Company has not experienced any losses on its deposits of cash since inception.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jc w:val="both"/>
        <w:ind w:right="280" w:firstLine="576"/>
        <w:spacing w:after="0" w:line="255" w:lineRule="auto"/>
        <w:rPr>
          <w:sz w:val="20"/>
          <w:szCs w:val="20"/>
          <w:color w:val="auto"/>
        </w:rPr>
      </w:pPr>
      <w:r>
        <w:rPr>
          <w:rFonts w:ascii="Arial" w:cs="Arial" w:eastAsia="Arial" w:hAnsi="Arial"/>
          <w:sz w:val="18"/>
          <w:szCs w:val="18"/>
          <w:color w:val="auto"/>
        </w:rPr>
        <w:t>The carrying amounts of certain financial instruments, including cash and cash equivalents, short-term investments, and accounts payable and accrued expenses approximate their fair values due to the short-term nature of those amounts. The fair values of the grant liability to Life Services Discovery Fund (“LSDF”) and the derivative liability were estimated using Level 3 unobservable inputs.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 xml:space="preserve">The grant liability associated with the grants from the Washington LSDF is accounted for under Accounting Standards Codification (“ASC”) 825-10, </w:t>
      </w:r>
      <w:r>
        <w:rPr>
          <w:rFonts w:ascii="Arial" w:cs="Arial" w:eastAsia="Arial" w:hAnsi="Arial"/>
          <w:sz w:val="18"/>
          <w:szCs w:val="18"/>
          <w:i w:val="1"/>
          <w:iCs w:val="1"/>
          <w:color w:val="auto"/>
        </w:rPr>
        <w:t>Financial Instruments −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The Company estimates the fair value of the grant liability by using a</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682" w:right="419" w:bottom="1440" w:gutter="0" w:footer="0" w:header="0"/>
        </w:sectPr>
      </w:pPr>
    </w:p>
    <w:bookmarkStart w:id="212" w:name="page213"/>
    <w:bookmarkEnd w:id="212"/>
    <w:p>
      <w:pPr>
        <w:ind w:right="200"/>
        <w:spacing w:after="0" w:line="248" w:lineRule="auto"/>
        <w:rPr>
          <w:sz w:val="20"/>
          <w:szCs w:val="20"/>
          <w:color w:val="auto"/>
        </w:rPr>
      </w:pPr>
      <w:r>
        <w:rPr>
          <w:rFonts w:ascii="Arial" w:cs="Arial" w:eastAsia="Arial" w:hAnsi="Arial"/>
          <w:sz w:val="18"/>
          <w:szCs w:val="18"/>
          <w:color w:val="auto"/>
        </w:rPr>
        <w:t>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Liability, Convertible Notes Discount and Amortization</w:t>
      </w:r>
    </w:p>
    <w:p>
      <w:pPr>
        <w:spacing w:after="0" w:line="104" w:lineRule="exact"/>
        <w:rPr>
          <w:sz w:val="20"/>
          <w:szCs w:val="20"/>
          <w:color w:val="auto"/>
        </w:rPr>
      </w:pPr>
    </w:p>
    <w:p>
      <w:pPr>
        <w:ind w:right="160" w:firstLine="576"/>
        <w:spacing w:after="0"/>
        <w:rPr>
          <w:sz w:val="20"/>
          <w:szCs w:val="20"/>
          <w:color w:val="auto"/>
        </w:rPr>
      </w:pPr>
      <w:r>
        <w:rPr>
          <w:rFonts w:ascii="Arial" w:cs="Arial" w:eastAsia="Arial" w:hAnsi="Arial"/>
          <w:sz w:val="18"/>
          <w:szCs w:val="18"/>
          <w:color w:val="auto"/>
        </w:rPr>
        <w:t>The Company’s convertible notes (see Note 8) have conversion and redemption features that meet the definition of an embedded derivative and are therefore subject to derivative accounting. The initial fair value of the derivative is recorded as a discount to the convertible notes, with a corresponding derivative liability. The discount to the convertible notes is amortized using the effective interest method. The amortization of the discount is included in other income (expense), net in the statements of operations and comprehensive loss. The derivative liability related to these features is recorded at estimated fair value on a recurring basis. Any changes in fair value are reflected in other income (expense), net in the statements of operations and comprehensive loss at each period end while such instruments are outstanding. The derivative liability was settled in May 2020 upon conversion of the underlying convertible notes into Series B-1 convertible preferred stock. See Note 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Income</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 xml:space="preserve">In January 2019, the Alzheimer’s Association awarded the Company a $1.0 million </w:t>
      </w:r>
      <w:r>
        <w:rPr>
          <w:rFonts w:ascii="Arial" w:cs="Arial" w:eastAsia="Arial" w:hAnsi="Arial"/>
          <w:sz w:val="18"/>
          <w:szCs w:val="18"/>
          <w:i w:val="1"/>
          <w:iCs w:val="1"/>
          <w:color w:val="auto"/>
        </w:rPr>
        <w:t>Part the Cloud</w:t>
      </w:r>
      <w:r>
        <w:rPr>
          <w:rFonts w:ascii="Arial" w:cs="Arial" w:eastAsia="Arial" w:hAnsi="Arial"/>
          <w:sz w:val="18"/>
          <w:szCs w:val="18"/>
          <w:color w:val="auto"/>
        </w:rPr>
        <w:t xml:space="preserve"> research grant. Grant proceeds must be used to advance the Company’s ATH-1017 product candidate in the Alzheimer’s disease setting. Reporting of expenses incurred supported by the grant as well as research updates are sent to the Alzheimer’s Association semi-annually. Under the terms of the agreement, the Company received $776,000 in 2019 and may potentially receive the remaining $224,000 in 2020 upon the completion of certain development milestones. The Company recognizes income related to the grant as qualifying expenses under the grant agreement are incurred. As of December 31, 2019, the Company had recognized $ 754,000 in grant income, which is included in other income (expense), net in the statement of operations and comprehensive loss, and had cash received in excess of qualifying expenses of approximately $22,000, which is included in accrued expenses on the balance sheets.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174"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14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Stock-based payments issued to non-employees are recorded at their fair values, subject to periodic adjustments as the underlying equity instruments vest. Compensation expense is recognized over the vesting term on a straight-line basis, which reflects the service period. Options granted to non-employee service providers are valued at estimated fair value using the Black-Scholes option-pricing model and are remeasured over the vesting term as earned. Awards of restricted stock to non-employees are adjusted through stock-based compensation expense at each reporting period end until the shares vest to reflect the current fair value of such awards.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2"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In assessing the Company’s ability to realize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are deductible. Management considers the scheduled reversal of deferred tax liabilities, projected future income, tax planning strategies in making this assessment.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w:t>
      </w:r>
    </w:p>
    <w:p>
      <w:pPr>
        <w:spacing w:after="0" w:line="1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sustained. Recognized income tax positions are measured at the largest amount that is greater than 50% likely of being realized. Changes in recognition or measurement are reflected in the period in which the change in judgment occurs. The Company accrues interest and penalties related to unrecognized tax benefits in its provision for incomes taxes.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684" w:right="4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7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4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 firm-commitment underwritten public offering (“IPO”) resulting in at least $50.0 million in gross proceeds. The unaudited pro forma net loss per share attributable to common stockholders does not include the shares to be sold from the proposed IPO.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As of December 31, 2018 and 2019, the Company had an unsecured note receivable outstanding from its chief executive officer of approximately $ 42,000 and $36,000, respectively. The note bears interest at 1.45% and requires monthly payments with final repayment in April 2025. The note is included in current portion of unsecured related party note receivable and unsecured related party note receivable in the accompanying balance sheets. Interest income is recognized using the effective interest method, and is included in other income (expense), net in the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 xml:space="preserve">In February 2016, the Financial Accounting Standards Board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w:t>
      </w:r>
      <w:r>
        <w:rPr>
          <w:rFonts w:ascii="Arial" w:cs="Arial" w:eastAsia="Arial" w:hAnsi="Arial"/>
          <w:sz w:val="18"/>
          <w:szCs w:val="18"/>
          <w:i w:val="1"/>
          <w:iCs w:val="1"/>
          <w:color w:val="auto"/>
        </w:rPr>
        <w:t xml:space="preserve"> </w:t>
      </w:r>
      <w:r>
        <w:rPr>
          <w:rFonts w:ascii="Arial" w:cs="Arial" w:eastAsia="Arial" w:hAnsi="Arial"/>
          <w:sz w:val="18"/>
          <w:szCs w:val="18"/>
          <w:color w:val="auto"/>
        </w:rPr>
        <w:t>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9" w:lineRule="exact"/>
        <w:rPr>
          <w:sz w:val="20"/>
          <w:szCs w:val="20"/>
          <w:color w:val="auto"/>
        </w:rPr>
      </w:pPr>
    </w:p>
    <w:p>
      <w:pPr>
        <w:ind w:right="8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statements.</w:t>
      </w:r>
    </w:p>
    <w:p>
      <w:pPr>
        <w:spacing w:after="0" w:line="172" w:lineRule="exact"/>
        <w:rPr>
          <w:sz w:val="20"/>
          <w:szCs w:val="20"/>
          <w:color w:val="auto"/>
        </w:rPr>
      </w:pPr>
    </w:p>
    <w:p>
      <w:pPr>
        <w:ind w:right="2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180" w:lineRule="exact"/>
        <w:rPr>
          <w:sz w:val="20"/>
          <w:szCs w:val="20"/>
          <w:color w:val="auto"/>
        </w:rPr>
      </w:pPr>
    </w:p>
    <w:p>
      <w:pPr>
        <w:ind w:right="18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276" w:lineRule="exact"/>
        <w:rPr>
          <w:sz w:val="20"/>
          <w:szCs w:val="20"/>
          <w:color w:val="auto"/>
        </w:rPr>
      </w:pPr>
    </w:p>
    <w:p>
      <w:pPr>
        <w:ind w:left="580" w:hanging="572"/>
        <w:spacing w:after="0"/>
        <w:tabs>
          <w:tab w:leader="none" w:pos="58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Short-term investments consisted of available-for-sale securities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39"/>
              <w:spacing w:after="0"/>
              <w:rPr>
                <w:sz w:val="20"/>
                <w:szCs w:val="20"/>
                <w:color w:val="auto"/>
              </w:rPr>
            </w:pPr>
            <w:r>
              <w:rPr>
                <w:rFonts w:ascii="Arial" w:cs="Arial" w:eastAsia="Arial" w:hAnsi="Arial"/>
                <w:sz w:val="14"/>
                <w:szCs w:val="14"/>
                <w:b w:val="1"/>
                <w:bCs w:val="1"/>
                <w:color w:val="auto"/>
              </w:rPr>
              <w:t>Amortized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Fair</w:t>
            </w:r>
          </w:p>
        </w:tc>
      </w:tr>
      <w:tr>
        <w:trPr>
          <w:trHeight w:val="177"/>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Gains</w:t>
            </w:r>
          </w:p>
        </w:tc>
        <w:tc>
          <w:tcPr>
            <w:tcW w:w="140" w:type="dxa"/>
            <w:vAlign w:val="bottom"/>
          </w:tcPr>
          <w:p>
            <w:pPr>
              <w:spacing w:after="0"/>
              <w:rPr>
                <w:sz w:val="15"/>
                <w:szCs w:val="15"/>
                <w:color w:val="auto"/>
              </w:rPr>
            </w:pPr>
          </w:p>
        </w:tc>
        <w:tc>
          <w:tcPr>
            <w:tcW w:w="1000" w:type="dxa"/>
            <w:vAlign w:val="bottom"/>
          </w:tcPr>
          <w:p>
            <w:pPr>
              <w:jc w:val="center"/>
              <w:ind w:right="81"/>
              <w:spacing w:after="0"/>
              <w:rPr>
                <w:sz w:val="20"/>
                <w:szCs w:val="20"/>
                <w:color w:val="auto"/>
              </w:rPr>
            </w:pPr>
            <w:r>
              <w:rPr>
                <w:rFonts w:ascii="Arial" w:cs="Arial" w:eastAsia="Arial" w:hAnsi="Arial"/>
                <w:sz w:val="14"/>
                <w:szCs w:val="14"/>
                <w:b w:val="1"/>
                <w:bCs w:val="1"/>
                <w:color w:val="auto"/>
                <w:w w:val="99"/>
              </w:rPr>
              <w:t>Losses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December 31, 2018</w:t>
            </w:r>
          </w:p>
        </w:tc>
        <w:tc>
          <w:tcPr>
            <w:tcW w:w="1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1,500</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2019</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3"/>
        </w:trPr>
        <w:tc>
          <w:tcPr>
            <w:tcW w:w="582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8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short-term investments had contractual maturities of less than one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6" w:name="page217"/>
    <w:bookmarkEnd w:id="216"/>
    <w:p>
      <w:pPr>
        <w:ind w:left="580" w:hanging="572"/>
        <w:spacing w:after="0"/>
        <w:tabs>
          <w:tab w:leader="none" w:pos="5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6"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left="580" w:right="8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6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70" w:lineRule="exact"/>
        <w:rPr>
          <w:sz w:val="20"/>
          <w:szCs w:val="20"/>
          <w:color w:val="auto"/>
        </w:rPr>
      </w:pPr>
    </w:p>
    <w:p>
      <w:pPr>
        <w:jc w:val="both"/>
        <w:ind w:right="80" w:firstLine="576"/>
        <w:spacing w:after="0" w:line="276" w:lineRule="auto"/>
        <w:rPr>
          <w:sz w:val="20"/>
          <w:szCs w:val="20"/>
          <w:color w:val="auto"/>
        </w:rPr>
      </w:pPr>
      <w:r>
        <w:rPr>
          <w:rFonts w:ascii="Arial" w:cs="Arial" w:eastAsia="Arial" w:hAnsi="Arial"/>
          <w:sz w:val="18"/>
          <w:szCs w:val="18"/>
          <w:color w:val="auto"/>
        </w:rPr>
        <w:t>The fair value hierarchy of the Company’s assets and liabilities carried at fair value and measured on a recurring basis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2018</w:t>
            </w:r>
          </w:p>
        </w:tc>
        <w:tc>
          <w:tcPr>
            <w:tcW w:w="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10"/>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Short-term investments – Certificates of Deposit</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8"/>
                <w:szCs w:val="18"/>
                <w:color w:val="auto"/>
              </w:rPr>
            </w:pPr>
          </w:p>
        </w:tc>
      </w:tr>
      <w:tr>
        <w:trPr>
          <w:trHeight w:val="209"/>
        </w:trPr>
        <w:tc>
          <w:tcPr>
            <w:tcW w:w="58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FF0FC"/>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8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940" w:type="dxa"/>
            <w:vAlign w:val="bottom"/>
          </w:tcPr>
          <w:p>
            <w:pPr>
              <w:jc w:val="right"/>
              <w:ind w:right="254"/>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3"/>
          </w:tcPr>
          <w:p>
            <w:pPr>
              <w:jc w:val="right"/>
              <w:ind w:right="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8)</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jc w:val="right"/>
              <w:ind w:right="695"/>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6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activity for grant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1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35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35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1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35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140" w:type="dxa"/>
            <w:vAlign w:val="bottom"/>
          </w:tcPr>
          <w:p>
            <w:pPr>
              <w:spacing w:after="0"/>
              <w:rPr>
                <w:sz w:val="24"/>
                <w:szCs w:val="24"/>
                <w:color w:val="auto"/>
              </w:rPr>
            </w:pPr>
          </w:p>
        </w:tc>
        <w:tc>
          <w:tcPr>
            <w:tcW w:w="4660" w:type="dxa"/>
            <w:vAlign w:val="bottom"/>
            <w:gridSpan w:val="2"/>
          </w:tcPr>
          <w:p>
            <w:pPr>
              <w:jc w:val="right"/>
              <w:ind w:right="2919"/>
              <w:spacing w:after="0"/>
              <w:rPr>
                <w:sz w:val="20"/>
                <w:szCs w:val="20"/>
                <w:color w:val="auto"/>
              </w:rPr>
            </w:pPr>
            <w:r>
              <w:rPr>
                <w:rFonts w:ascii="Arial" w:cs="Arial" w:eastAsia="Arial" w:hAnsi="Arial"/>
                <w:sz w:val="18"/>
                <w:szCs w:val="18"/>
                <w:color w:val="auto"/>
              </w:rPr>
              <w:t>F-13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140" w:type="dxa"/>
            <w:vAlign w:val="bottom"/>
            <w:tcBorders>
              <w:bottom w:val="single" w:sz="8" w:color="9A9A9A"/>
            </w:tcBorders>
          </w:tcPr>
          <w:p>
            <w:pPr>
              <w:spacing w:after="0"/>
              <w:rPr>
                <w:sz w:val="8"/>
                <w:szCs w:val="8"/>
                <w:color w:val="auto"/>
              </w:rPr>
            </w:pPr>
          </w:p>
        </w:tc>
        <w:tc>
          <w:tcPr>
            <w:tcW w:w="35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2" w:right="319" w:bottom="1440" w:gutter="0" w:footer="0" w:header="0"/>
        </w:sectPr>
      </w:pPr>
    </w:p>
    <w:bookmarkStart w:id="217" w:name="page218"/>
    <w:bookmarkEnd w:id="217"/>
    <w:p>
      <w:pPr>
        <w:jc w:val="center"/>
        <w:ind w:right="20"/>
        <w:spacing w:after="0"/>
        <w:rPr>
          <w:sz w:val="20"/>
          <w:szCs w:val="20"/>
          <w:color w:val="auto"/>
        </w:rPr>
      </w:pPr>
      <w:r>
        <w:rPr>
          <w:rFonts w:ascii="Arial" w:cs="Arial" w:eastAsia="Arial" w:hAnsi="Arial"/>
          <w:sz w:val="18"/>
          <w:szCs w:val="18"/>
          <w:color w:val="auto"/>
        </w:rPr>
        <w:t>The following table presents the activity for derivative liability for the years ended December 31, 2018 and 2019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r>
      <w:tr>
        <w:trPr>
          <w:trHeight w:val="210"/>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FF0FC"/>
          </w:tcPr>
          <w:p>
            <w:pPr>
              <w:spacing w:after="0"/>
              <w:rPr>
                <w:sz w:val="18"/>
                <w:szCs w:val="18"/>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w:t>
            </w:r>
          </w:p>
        </w:tc>
        <w:tc>
          <w:tcPr>
            <w:tcW w:w="1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of convertible notes</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2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Arial" w:cs="Arial" w:eastAsia="Arial" w:hAnsi="Arial"/>
                <w:sz w:val="18"/>
                <w:szCs w:val="18"/>
                <w:color w:val="auto"/>
              </w:rPr>
              <w:t>Fair value at end of period</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statements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276" w:lineRule="exact"/>
        <w:rPr>
          <w:sz w:val="20"/>
          <w:szCs w:val="20"/>
          <w:color w:val="auto"/>
        </w:rPr>
      </w:pPr>
    </w:p>
    <w:p>
      <w:pPr>
        <w:ind w:left="580" w:hanging="572"/>
        <w:spacing w:after="0"/>
        <w:tabs>
          <w:tab w:leader="none" w:pos="5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338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33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0"/>
        </w:trPr>
        <w:tc>
          <w:tcPr>
            <w:tcW w:w="4320" w:type="dxa"/>
            <w:vAlign w:val="bottom"/>
          </w:tcPr>
          <w:p>
            <w:pPr>
              <w:ind w:left="260"/>
              <w:spacing w:after="0"/>
              <w:rPr>
                <w:sz w:val="20"/>
                <w:szCs w:val="20"/>
                <w:color w:val="auto"/>
              </w:rPr>
            </w:pPr>
            <w:r>
              <w:rPr>
                <w:rFonts w:ascii="Arial" w:cs="Arial" w:eastAsia="Arial" w:hAnsi="Arial"/>
                <w:sz w:val="18"/>
                <w:szCs w:val="18"/>
                <w:color w:val="auto"/>
              </w:rPr>
              <w:t>Total other income (expense), net</w:t>
            </w:r>
          </w:p>
        </w:tc>
        <w:tc>
          <w:tcPr>
            <w:tcW w:w="33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320" w:type="dxa"/>
            <w:vAlign w:val="bottom"/>
          </w:tcPr>
          <w:p>
            <w:pPr>
              <w:spacing w:after="0"/>
              <w:rPr>
                <w:sz w:val="24"/>
                <w:szCs w:val="24"/>
                <w:color w:val="auto"/>
              </w:rPr>
            </w:pPr>
          </w:p>
        </w:tc>
        <w:tc>
          <w:tcPr>
            <w:tcW w:w="4440" w:type="dxa"/>
            <w:vAlign w:val="bottom"/>
            <w:gridSpan w:val="2"/>
          </w:tcPr>
          <w:p>
            <w:pPr>
              <w:jc w:val="right"/>
              <w:ind w:right="2879"/>
              <w:spacing w:after="0"/>
              <w:rPr>
                <w:sz w:val="20"/>
                <w:szCs w:val="20"/>
                <w:color w:val="auto"/>
              </w:rPr>
            </w:pPr>
            <w:r>
              <w:rPr>
                <w:rFonts w:ascii="Arial" w:cs="Arial" w:eastAsia="Arial" w:hAnsi="Arial"/>
                <w:sz w:val="18"/>
                <w:szCs w:val="18"/>
                <w:color w:val="auto"/>
              </w:rPr>
              <w:t>F-14</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320" w:type="dxa"/>
            <w:vAlign w:val="bottom"/>
            <w:tcBorders>
              <w:bottom w:val="single" w:sz="8" w:color="9A9A9A"/>
            </w:tcBorders>
          </w:tcPr>
          <w:p>
            <w:pPr>
              <w:spacing w:after="0"/>
              <w:rPr>
                <w:sz w:val="8"/>
                <w:szCs w:val="8"/>
                <w:color w:val="auto"/>
              </w:rPr>
            </w:pPr>
          </w:p>
        </w:tc>
        <w:tc>
          <w:tcPr>
            <w:tcW w:w="338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60" w:right="319" w:bottom="1440" w:gutter="0" w:footer="0" w:header="0"/>
        </w:sectPr>
      </w:pPr>
    </w:p>
    <w:bookmarkStart w:id="218" w:name="page219"/>
    <w:bookmarkEnd w:id="218"/>
    <w:p>
      <w:pPr>
        <w:ind w:left="580" w:hanging="572"/>
        <w:spacing w:after="0"/>
        <w:tabs>
          <w:tab w:leader="none" w:pos="5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78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December 31, 2019.</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300" w:right="320" w:hanging="442"/>
        <w:spacing w:after="0" w:line="275" w:lineRule="auto"/>
        <w:tabs>
          <w:tab w:leader="none" w:pos="1300" w:val="left"/>
        </w:tabs>
        <w:numPr>
          <w:ilvl w:val="0"/>
          <w:numId w:val="132"/>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right="220" w:hanging="442"/>
        <w:spacing w:after="0" w:line="275" w:lineRule="auto"/>
        <w:tabs>
          <w:tab w:leader="none" w:pos="1300" w:val="left"/>
        </w:tabs>
        <w:numPr>
          <w:ilvl w:val="0"/>
          <w:numId w:val="132"/>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2"/>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 2019, none of these milestones had been reached.</w:t>
      </w:r>
    </w:p>
    <w:p>
      <w:pPr>
        <w:spacing w:after="0" w:line="212" w:lineRule="exact"/>
        <w:rPr>
          <w:sz w:val="20"/>
          <w:szCs w:val="20"/>
          <w:color w:val="auto"/>
        </w:rPr>
      </w:pPr>
    </w:p>
    <w:p>
      <w:pPr>
        <w:jc w:val="both"/>
        <w:ind w:right="22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December 31, 2019, the Company had not incurred a royalty obligation under this agreement.</w:t>
      </w:r>
    </w:p>
    <w:p>
      <w:pPr>
        <w:spacing w:after="0" w:line="164" w:lineRule="exact"/>
        <w:rPr>
          <w:sz w:val="20"/>
          <w:szCs w:val="20"/>
          <w:color w:val="auto"/>
        </w:rPr>
      </w:pPr>
    </w:p>
    <w:p>
      <w:pPr>
        <w:ind w:right="100"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 -sales based payments received, and low twenties of net sales based sublicense royalties. As of December 31, 2019, the Company had not entered into or incurred any liability from a sublicense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up to 2.0 times the amounts received, or $1.5 million, upon the occurrence of specified triggering events, including:</w:t>
      </w:r>
    </w:p>
    <w:p>
      <w:pPr>
        <w:spacing w:after="0" w:line="56" w:lineRule="exact"/>
        <w:rPr>
          <w:sz w:val="20"/>
          <w:szCs w:val="20"/>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33"/>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06" w:right="379" w:bottom="1440" w:gutter="0" w:footer="0" w:header="0"/>
        </w:sectPr>
      </w:pPr>
    </w:p>
    <w:bookmarkStart w:id="219" w:name="page220"/>
    <w:bookmarkEnd w:id="219"/>
    <w:p>
      <w:pPr>
        <w:ind w:left="580"/>
        <w:spacing w:after="0"/>
        <w:rPr>
          <w:sz w:val="20"/>
          <w:szCs w:val="20"/>
          <w:color w:val="auto"/>
        </w:rPr>
      </w:pPr>
      <w:r>
        <w:rPr>
          <w:rFonts w:ascii="Arial" w:cs="Arial" w:eastAsia="Arial" w:hAnsi="Arial"/>
          <w:sz w:val="18"/>
          <w:szCs w:val="18"/>
          <w:color w:val="auto"/>
        </w:rPr>
        <w:t>As of December 31, 2019, no triggering events have occurred and no payments to LSDF have been made.</w:t>
      </w:r>
    </w:p>
    <w:p>
      <w:pPr>
        <w:spacing w:after="0" w:line="212"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ASC 825-10,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−Overall</w:t>
      </w:r>
      <w:r>
        <w:rPr>
          <w:rFonts w:ascii="Arial" w:cs="Arial" w:eastAsia="Arial" w:hAnsi="Arial"/>
          <w:sz w:val="18"/>
          <w:szCs w:val="18"/>
          <w:color w:val="auto"/>
        </w:rPr>
        <w:t>. The estimated fair value of the grant liability is reassessed at each balance sheet date, with changes in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reflected in other income (expense), net. To determine the estimated fair value of the grant liability at December 31, 2018 and 2019,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79" w:lineRule="exact"/>
        <w:rPr>
          <w:sz w:val="20"/>
          <w:szCs w:val="20"/>
          <w:color w:val="auto"/>
        </w:rPr>
      </w:pPr>
    </w:p>
    <w:p>
      <w:pPr>
        <w:ind w:right="360" w:firstLine="576"/>
        <w:spacing w:after="0" w:line="277" w:lineRule="auto"/>
        <w:rPr>
          <w:sz w:val="20"/>
          <w:szCs w:val="20"/>
          <w:color w:val="auto"/>
        </w:rPr>
      </w:pPr>
      <w:r>
        <w:rPr>
          <w:rFonts w:ascii="Arial" w:cs="Arial" w:eastAsia="Arial" w:hAnsi="Arial"/>
          <w:sz w:val="17"/>
          <w:szCs w:val="17"/>
          <w:color w:val="auto"/>
        </w:rPr>
        <w:t>The estimated fair value of the grant liability was $936,000 and $1.0 million as of December 31, 2018 and 2019, respectively. The changes in the fair value of the liability resulted in losses of $164,000 and $100,000 for the years ended December 31, 2018 and 2019, respectively, which were included in other income (expense), net in the accompanying statements of operations and comprehensive loss.</w:t>
      </w:r>
    </w:p>
    <w:p>
      <w:pPr>
        <w:spacing w:after="0" w:line="253" w:lineRule="exact"/>
        <w:rPr>
          <w:sz w:val="20"/>
          <w:szCs w:val="20"/>
          <w:color w:val="auto"/>
        </w:rPr>
      </w:pPr>
    </w:p>
    <w:p>
      <w:pPr>
        <w:ind w:left="580" w:hanging="572"/>
        <w:spacing w:after="0"/>
        <w:tabs>
          <w:tab w:leader="none" w:pos="5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06" w:lineRule="exact"/>
        <w:rPr>
          <w:sz w:val="20"/>
          <w:szCs w:val="20"/>
          <w:color w:val="auto"/>
        </w:rPr>
      </w:pPr>
    </w:p>
    <w:p>
      <w:pPr>
        <w:ind w:right="180" w:firstLine="576"/>
        <w:spacing w:after="0"/>
        <w:rPr>
          <w:sz w:val="20"/>
          <w:szCs w:val="20"/>
          <w:color w:val="auto"/>
        </w:rPr>
      </w:pPr>
      <w:r>
        <w:rPr>
          <w:rFonts w:ascii="Arial" w:cs="Arial" w:eastAsia="Arial" w:hAnsi="Arial"/>
          <w:sz w:val="18"/>
          <w:szCs w:val="18"/>
          <w:color w:val="auto"/>
        </w:rPr>
        <w:t>The Company issued unsecured convertible notes with aggregate principal amounts of $ 1.3 million and $884,000 in 2018 and 2019, respectively. The notes accrue interest at a rate of 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80" w:lineRule="exact"/>
        <w:rPr>
          <w:sz w:val="20"/>
          <w:szCs w:val="20"/>
          <w:color w:val="auto"/>
        </w:rPr>
      </w:pPr>
    </w:p>
    <w:p>
      <w:pPr>
        <w:ind w:right="12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$2.2 million and accrued interest of $131,000 converted into 294,197 shares of Series B-1 convertible preferred stock. See Note 17.</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carrying value of the convertible notes as of December 31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94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276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Convertible note principal and accrued interest</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Less: unamortized discount for issuance costs</w:t>
            </w:r>
          </w:p>
        </w:tc>
        <w:tc>
          <w:tcPr>
            <w:tcW w:w="27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Less: unamortized discount related to derivative liability</w:t>
            </w:r>
          </w:p>
        </w:tc>
        <w:tc>
          <w:tcPr>
            <w:tcW w:w="27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210"/>
        </w:trPr>
        <w:tc>
          <w:tcPr>
            <w:tcW w:w="4940" w:type="dxa"/>
            <w:vAlign w:val="bottom"/>
          </w:tcPr>
          <w:p>
            <w:pPr>
              <w:ind w:left="260"/>
              <w:spacing w:after="0"/>
              <w:rPr>
                <w:sz w:val="20"/>
                <w:szCs w:val="20"/>
                <w:color w:val="auto"/>
              </w:rPr>
            </w:pPr>
            <w:r>
              <w:rPr>
                <w:rFonts w:ascii="Arial" w:cs="Arial" w:eastAsia="Arial" w:hAnsi="Arial"/>
                <w:sz w:val="18"/>
                <w:szCs w:val="18"/>
                <w:color w:val="auto"/>
              </w:rPr>
              <w:t>Net carrying value, convertible notes</w:t>
            </w:r>
          </w:p>
        </w:tc>
        <w:tc>
          <w:tcPr>
            <w:tcW w:w="27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9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4940" w:type="dxa"/>
            <w:vAlign w:val="bottom"/>
          </w:tcPr>
          <w:p>
            <w:pPr>
              <w:spacing w:after="0"/>
              <w:rPr>
                <w:sz w:val="24"/>
                <w:szCs w:val="24"/>
                <w:color w:val="auto"/>
              </w:rPr>
            </w:pPr>
          </w:p>
        </w:tc>
        <w:tc>
          <w:tcPr>
            <w:tcW w:w="3740" w:type="dxa"/>
            <w:vAlign w:val="bottom"/>
            <w:gridSpan w:val="2"/>
          </w:tcPr>
          <w:p>
            <w:pPr>
              <w:jc w:val="right"/>
              <w:ind w:right="2796"/>
              <w:spacing w:after="0"/>
              <w:rPr>
                <w:sz w:val="20"/>
                <w:szCs w:val="20"/>
                <w:color w:val="auto"/>
              </w:rPr>
            </w:pPr>
            <w:r>
              <w:rPr>
                <w:rFonts w:ascii="Arial" w:cs="Arial" w:eastAsia="Arial" w:hAnsi="Arial"/>
                <w:sz w:val="18"/>
                <w:szCs w:val="18"/>
                <w:color w:val="auto"/>
              </w:rPr>
              <w:t>F-16</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94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76" w:right="319" w:bottom="1440" w:gutter="0" w:footer="0" w:header="0"/>
        </w:sectPr>
      </w:pPr>
    </w:p>
    <w:bookmarkStart w:id="220" w:name="page221"/>
    <w:bookmarkEnd w:id="220"/>
    <w:p>
      <w:pPr>
        <w:ind w:right="7800" w:firstLine="8"/>
        <w:spacing w:after="0" w:line="361" w:lineRule="auto"/>
        <w:tabs>
          <w:tab w:leader="none" w:pos="567"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48"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$82,000 and $97,000 for the years ended December 31, 2018 and 2019,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further under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Not Yet Adopted </w:t>
      </w:r>
      <w:r>
        <w:rPr>
          <w:rFonts w:ascii="Arial" w:cs="Arial" w:eastAsia="Arial" w:hAnsi="Arial"/>
          <w:sz w:val="18"/>
          <w:szCs w:val="18"/>
          <w:color w:val="auto"/>
        </w:rPr>
        <w:t>in Note 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6" w:lineRule="exact"/>
        <w:rPr>
          <w:sz w:val="20"/>
          <w:szCs w:val="20"/>
          <w:color w:val="auto"/>
        </w:rPr>
      </w:pPr>
    </w:p>
    <w:p>
      <w:pPr>
        <w:ind w:left="580" w:hanging="572"/>
        <w:spacing w:after="0"/>
        <w:tabs>
          <w:tab w:leader="none" w:pos="5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Convertible preferred stock as of December 31, 2018 and 2019 consisted of the following (in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23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Aggregate</w:t>
            </w:r>
          </w:p>
        </w:tc>
      </w:tr>
      <w:tr>
        <w:trPr>
          <w:trHeight w:val="177"/>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Convertible</w:t>
            </w:r>
          </w:p>
        </w:tc>
        <w:tc>
          <w:tcPr>
            <w:tcW w:w="1420" w:type="dxa"/>
            <w:vAlign w:val="bottom"/>
            <w:gridSpan w:val="2"/>
          </w:tcPr>
          <w:p>
            <w:pPr>
              <w:ind w:left="34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Issued and</w:t>
            </w: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Liquidation</w:t>
            </w:r>
          </w:p>
        </w:tc>
      </w:tr>
      <w:tr>
        <w:trPr>
          <w:trHeight w:val="169"/>
        </w:trPr>
        <w:tc>
          <w:tcPr>
            <w:tcW w:w="4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Preferred Stock</w:t>
            </w: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Authorized</w:t>
            </w: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Outstanding</w:t>
            </w:r>
          </w:p>
        </w:tc>
        <w:tc>
          <w:tcPr>
            <w:tcW w:w="260" w:type="dxa"/>
            <w:vAlign w:val="bottom"/>
          </w:tcPr>
          <w:p>
            <w:pPr>
              <w:spacing w:after="0"/>
              <w:rPr>
                <w:sz w:val="14"/>
                <w:szCs w:val="14"/>
                <w:color w:val="auto"/>
              </w:rPr>
            </w:pPr>
          </w:p>
        </w:tc>
        <w:tc>
          <w:tcPr>
            <w:tcW w:w="900" w:type="dxa"/>
            <w:vAlign w:val="bottom"/>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Preference</w:t>
            </w:r>
          </w:p>
        </w:tc>
      </w:tr>
      <w:tr>
        <w:trPr>
          <w:trHeight w:val="209"/>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1,714,963</w:t>
            </w:r>
          </w:p>
        </w:tc>
        <w:tc>
          <w:tcPr>
            <w:tcW w:w="260" w:type="dxa"/>
            <w:vAlign w:val="bottom"/>
            <w:tcBorders>
              <w:top w:val="single" w:sz="8" w:color="CFF0FC"/>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1,534,885</w:t>
            </w:r>
          </w:p>
        </w:tc>
        <w:tc>
          <w:tcPr>
            <w:tcW w:w="26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1,082,501</w:t>
            </w:r>
          </w:p>
        </w:tc>
        <w:tc>
          <w:tcPr>
            <w:tcW w:w="26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99"/>
              </w:rPr>
              <w:t>1,082,501</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FF0FC"/>
            </w:tcBorders>
          </w:tcPr>
          <w:p>
            <w:pPr>
              <w:spacing w:after="0"/>
              <w:rPr>
                <w:sz w:val="18"/>
                <w:szCs w:val="18"/>
                <w:color w:val="auto"/>
              </w:rPr>
            </w:pPr>
          </w:p>
        </w:tc>
      </w:tr>
      <w:tr>
        <w:trPr>
          <w:trHeight w:val="209"/>
        </w:trPr>
        <w:tc>
          <w:tcPr>
            <w:tcW w:w="424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2,797,464</w:t>
            </w:r>
          </w:p>
        </w:tc>
        <w:tc>
          <w:tcPr>
            <w:tcW w:w="26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8"/>
                <w:szCs w:val="18"/>
                <w:color w:val="auto"/>
                <w:w w:val="99"/>
              </w:rPr>
              <w:t>2,617,386</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20" w:firstLine="576"/>
        <w:spacing w:after="0" w:line="276" w:lineRule="auto"/>
        <w:rPr>
          <w:sz w:val="20"/>
          <w:szCs w:val="20"/>
          <w:color w:val="auto"/>
        </w:rPr>
      </w:pPr>
      <w:r>
        <w:rPr>
          <w:rFonts w:ascii="Arial" w:cs="Arial" w:eastAsia="Arial" w:hAnsi="Arial"/>
          <w:sz w:val="18"/>
          <w:szCs w:val="18"/>
          <w:color w:val="auto"/>
        </w:rPr>
        <w:t>The rights, preferences, and privileges of the Series A and Series A-1 convertible preferred stock (collectively, Preferred Stock)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The holders of shares of Series A and Series A-1 Preferred Stock are entitled to receive non-cumulative dividends and non-dividend distributions in preference to any dividend or non-dividend distribution on the common stock, when, and if declared by the Company’s board of directors. Such dividend and non-dividend distribution preference survives until the holders of the Series A Preferred Stock and Series A-1 Preferred Stock have received a per share amount equal to: (a) in the case of dividends, 1.32 times the Series A Purchase Price or Series A-1 Purchase Price, as applicable, or (b) in the case of non-dividend distributions, the Series A Purchase Price or Series A-1 Purchase Price, as applicable.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jc w:val="both"/>
        <w:ind w:right="6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and Series A-1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174" w:lineRule="exact"/>
        <w:rPr>
          <w:sz w:val="20"/>
          <w:szCs w:val="20"/>
          <w:color w:val="auto"/>
        </w:rPr>
      </w:pPr>
    </w:p>
    <w:p>
      <w:pPr>
        <w:ind w:right="60"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and Series A-1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04" w:lineRule="exact"/>
        <w:rPr>
          <w:sz w:val="20"/>
          <w:szCs w:val="20"/>
          <w:color w:val="auto"/>
        </w:rPr>
      </w:pPr>
    </w:p>
    <w:p>
      <w:pPr>
        <w:jc w:val="both"/>
        <w:ind w:right="8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and Series A-1 Preferred Stock) are entitled to participate pro rata in any dividends or non-dividend distributions paid on the Common Stock, when, as and if declared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04"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and Series A-1 Preferred Stock equal to their purchase price, less any declared and paid dividends or non-dividend distributions. Any remaining amounts shall be distributed to the holders of the common stock, Series A Preferred Stock and Series A-1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or Series A-1 Preferred Stock.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22" w:name="page223"/>
    <w:bookmarkEnd w:id="222"/>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87"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As of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4,105,202</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4,535,203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a price of $7.93 per share through April 8, 2021.</w:t>
      </w:r>
    </w:p>
    <w:p>
      <w:pPr>
        <w:spacing w:after="0" w:line="318" w:lineRule="exact"/>
        <w:rPr>
          <w:sz w:val="20"/>
          <w:szCs w:val="20"/>
          <w:color w:val="auto"/>
        </w:rPr>
      </w:pPr>
    </w:p>
    <w:p>
      <w:pPr>
        <w:ind w:left="580" w:hanging="572"/>
        <w:spacing w:after="0"/>
        <w:tabs>
          <w:tab w:leader="none" w:pos="5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06" w:lineRule="exact"/>
        <w:rPr>
          <w:sz w:val="20"/>
          <w:szCs w:val="20"/>
          <w:color w:val="auto"/>
        </w:rPr>
      </w:pPr>
    </w:p>
    <w:p>
      <w:pPr>
        <w:jc w:val="both"/>
        <w:ind w:right="340" w:firstLine="576"/>
        <w:spacing w:after="0" w:line="248" w:lineRule="auto"/>
        <w:rPr>
          <w:sz w:val="20"/>
          <w:szCs w:val="20"/>
          <w:color w:val="auto"/>
        </w:rPr>
      </w:pPr>
      <w:r>
        <w:rPr>
          <w:rFonts w:ascii="Arial" w:cs="Arial" w:eastAsia="Arial" w:hAnsi="Arial"/>
          <w:sz w:val="18"/>
          <w:szCs w:val="18"/>
          <w:color w:val="auto"/>
        </w:rPr>
        <w:t>The Company maintains the 2014 Equity Incentive Plan (“2014 Plan”), as amended in August 2016, which allows for the grant of incentive stock options, non-statutory stock options, stock appreciation rights, restricted stock awards, and restricted stock unit awards to employees, officers, non-employee directors, consultants and advisors. As of December 31, 2019, the Company has reserved 3,076,214 shares of common stock for issuance under the 2014 Plan.</w:t>
      </w:r>
    </w:p>
    <w:p>
      <w:pPr>
        <w:spacing w:after="0" w:line="170"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The Company grants stock options with exercise prices equal to the estimated fair value of common stock on the date of the grant as determined by the board of directors based on the most recent third-party valuation of the common stock. Terms of stock award agreements, including vesting requirements, are determined by the board of directors, subject to the provisions of the plan, and typically have a contractual term of ten years from the date of grant. In the case of options granted to holders of more than 10% of the voting power of the Company, the exercise price may not be less than 110% of the fair market value of the common stock on the date the option is granted, and the term of the option may not exceed five years. Stock options granted have multiple vesting schedules ranging from immediate 100% vesting to cliff vesting ratably over four years.</w:t>
      </w:r>
    </w:p>
    <w:p>
      <w:pPr>
        <w:spacing w:after="0" w:line="179" w:lineRule="exact"/>
        <w:rPr>
          <w:sz w:val="20"/>
          <w:szCs w:val="20"/>
          <w:color w:val="auto"/>
        </w:rPr>
      </w:pPr>
    </w:p>
    <w:p>
      <w:pPr>
        <w:ind w:right="340" w:firstLine="576"/>
        <w:spacing w:after="0" w:line="276" w:lineRule="auto"/>
        <w:rPr>
          <w:sz w:val="20"/>
          <w:szCs w:val="20"/>
          <w:color w:val="auto"/>
        </w:rPr>
      </w:pPr>
      <w:r>
        <w:rPr>
          <w:rFonts w:ascii="Arial" w:cs="Arial" w:eastAsia="Arial" w:hAnsi="Arial"/>
          <w:sz w:val="18"/>
          <w:szCs w:val="18"/>
          <w:color w:val="auto"/>
        </w:rPr>
        <w:t>Restricted stock awards are awards of a specific number of shares of the Company’s common stock, and are subject to continued service and vesting conditions.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79"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1300" w:right="100" w:hanging="442"/>
        <w:spacing w:after="0" w:line="244" w:lineRule="auto"/>
        <w:tabs>
          <w:tab w:leader="none" w:pos="1300" w:val="left"/>
        </w:tabs>
        <w:numPr>
          <w:ilvl w:val="0"/>
          <w:numId w:val="13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 board of directors exercises reasonable judgment and considers a number of objective and subjective factors to determine the best estimate of the fair market value, which include contemporaneous valuations performed by an independent third-party, important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3" w:name="page224"/>
    <w:bookmarkEnd w:id="223"/>
    <w:p>
      <w:pPr>
        <w:ind w:left="1300" w:right="20"/>
        <w:spacing w:after="0" w:line="245" w:lineRule="auto"/>
        <w:rPr>
          <w:sz w:val="20"/>
          <w:szCs w:val="20"/>
          <w:color w:val="auto"/>
        </w:rPr>
      </w:pPr>
      <w:r>
        <w:rPr>
          <w:rFonts w:ascii="Arial" w:cs="Arial" w:eastAsia="Arial" w:hAnsi="Arial"/>
          <w:sz w:val="18"/>
          <w:szCs w:val="18"/>
          <w:color w:val="auto"/>
        </w:rPr>
        <w:t>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for the Company’s security holders, the trends, development and conditions in the life sciences and biotechnology sectors, the economy in general, the stock price performance and volatility of comparable public companies.</w:t>
      </w:r>
    </w:p>
    <w:p>
      <w:pPr>
        <w:spacing w:after="0" w:line="64" w:lineRule="exact"/>
        <w:rPr>
          <w:sz w:val="20"/>
          <w:szCs w:val="20"/>
          <w:color w:val="auto"/>
        </w:rPr>
      </w:pPr>
    </w:p>
    <w:p>
      <w:pPr>
        <w:ind w:left="1300" w:right="100" w:hanging="442"/>
        <w:spacing w:after="0" w:line="275" w:lineRule="auto"/>
        <w:tabs>
          <w:tab w:leader="none" w:pos="13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44" w:lineRule="auto"/>
        <w:tabs>
          <w:tab w:leader="none" w:pos="13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1300" w:right="140" w:hanging="442"/>
        <w:spacing w:after="0" w:line="255" w:lineRule="auto"/>
        <w:tabs>
          <w:tab w:leader="none" w:pos="13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14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197"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8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18"/>
                <w:szCs w:val="18"/>
                <w:color w:val="auto"/>
              </w:rPr>
            </w:pPr>
          </w:p>
        </w:tc>
      </w:tr>
      <w:tr>
        <w:trPr>
          <w:trHeight w:val="243"/>
        </w:trPr>
        <w:tc>
          <w:tcPr>
            <w:tcW w:w="866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weighted-average grant-date fair value of options granted to employees and directors during the years ended December 31, 2018 and 2019 were $0.79 and $ 0.89, respectively. The re-measured weighted-average fair value of options granted to advisors during the years ended December 31, 2018 and 2019 were $1.08 and $1.06, respectively.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220,675</w:t>
            </w:r>
          </w:p>
        </w:tc>
        <w:tc>
          <w:tcPr>
            <w:tcW w:w="2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511,966</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(351,819)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351,819</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(81,965)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18,915</w:t>
            </w:r>
          </w:p>
        </w:tc>
        <w:tc>
          <w:tcPr>
            <w:tcW w:w="2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(18,915)</w:t>
            </w: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399,737</w:t>
            </w:r>
          </w:p>
        </w:tc>
        <w:tc>
          <w:tcPr>
            <w:tcW w:w="20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7.16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593,093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8.79</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6.11</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921,677</w:t>
            </w:r>
          </w:p>
        </w:tc>
        <w:tc>
          <w:tcPr>
            <w:tcW w:w="2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year ended December 31, 2018 was $160,000, which included $115,000 for options granted to employees and directors and $45,000 for options granted to advisors. The total fair value of options that vested during the year ended December 31, 2019 was $183,000, which included $104,000 for options granted to employees and directors and $79,000 for options granted to advisors.</w:t>
      </w:r>
    </w:p>
    <w:p>
      <w:pPr>
        <w:spacing w:after="0" w:line="170" w:lineRule="exact"/>
        <w:rPr>
          <w:sz w:val="20"/>
          <w:szCs w:val="20"/>
          <w:color w:val="auto"/>
        </w:rPr>
      </w:pPr>
    </w:p>
    <w:p>
      <w:pPr>
        <w:ind w:right="14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December 31, 2019. The aggregate intrinsic value of options exercised was $297,000 during 2018 and $38,500 during 2019, determined as of the date of option exercise. As of December 31, 2019, there was $374,000 of total unrecognized compensation cost related to unvested stock options. The Company expects to recognize this cost over a remaining weighted-average period of 1.41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December 31, 2019:</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c>
          <w:tcPr>
            <w:tcW w:w="20" w:type="dxa"/>
            <w:vAlign w:val="bottom"/>
          </w:tcPr>
          <w:p>
            <w:pPr>
              <w:spacing w:after="0"/>
              <w:rPr>
                <w:sz w:val="15"/>
                <w:szCs w:val="15"/>
                <w:color w:val="auto"/>
              </w:rPr>
            </w:pP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120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Options</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Options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r>
      <w:tr>
        <w:trPr>
          <w:trHeight w:val="184"/>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5"/>
                <w:szCs w:val="15"/>
                <w:color w:val="auto"/>
              </w:rPr>
            </w:pPr>
          </w:p>
        </w:tc>
      </w:tr>
      <w:tr>
        <w:trPr>
          <w:trHeight w:val="203"/>
        </w:trPr>
        <w:tc>
          <w:tcPr>
            <w:tcW w:w="1200" w:type="dxa"/>
            <w:vAlign w:val="bottom"/>
            <w:tcBorders>
              <w:top w:val="single" w:sz="8" w:color="CFF0FC"/>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288,453</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241,164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194,139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81,965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5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414,237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22,067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163,930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5780" w:type="dxa"/>
            <w:vAlign w:val="bottom"/>
            <w:gridSpan w:val="2"/>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0"/>
        </w:trPr>
        <w:tc>
          <w:tcPr>
            <w:tcW w:w="1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46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1,180,606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690,760</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334,164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230,917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1200" w:type="dxa"/>
            <w:vAlign w:val="bottom"/>
          </w:tcPr>
          <w:p>
            <w:pPr>
              <w:spacing w:after="0"/>
              <w:rPr>
                <w:sz w:val="24"/>
                <w:szCs w:val="24"/>
                <w:color w:val="auto"/>
              </w:rPr>
            </w:pPr>
          </w:p>
        </w:tc>
        <w:tc>
          <w:tcPr>
            <w:tcW w:w="6020" w:type="dxa"/>
            <w:vAlign w:val="bottom"/>
            <w:gridSpan w:val="3"/>
          </w:tcPr>
          <w:p>
            <w:pPr>
              <w:ind w:left="4240"/>
              <w:spacing w:after="0"/>
              <w:rPr>
                <w:sz w:val="20"/>
                <w:szCs w:val="20"/>
                <w:color w:val="auto"/>
              </w:rPr>
            </w:pPr>
            <w:r>
              <w:rPr>
                <w:rFonts w:ascii="Arial" w:cs="Arial" w:eastAsia="Arial" w:hAnsi="Arial"/>
                <w:sz w:val="18"/>
                <w:szCs w:val="18"/>
                <w:color w:val="auto"/>
              </w:rPr>
              <w:t>F-21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1200" w:type="dxa"/>
            <w:vAlign w:val="bottom"/>
            <w:tcBorders>
              <w:bottom w:val="single" w:sz="8" w:color="9A9A9A"/>
            </w:tcBorders>
          </w:tcPr>
          <w:p>
            <w:pPr>
              <w:spacing w:after="0"/>
              <w:rPr>
                <w:sz w:val="8"/>
                <w:szCs w:val="8"/>
                <w:color w:val="auto"/>
              </w:rPr>
            </w:pPr>
          </w:p>
        </w:tc>
        <w:tc>
          <w:tcPr>
            <w:tcW w:w="46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684" w:right="31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ind w:right="120" w:firstLine="576"/>
        <w:spacing w:after="0" w:line="243"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 directors. If continued service terminates for any reason, the Company has the right to repurchase the unvested shares for no consideration. As of December 31, 2019, there were 8,407 shares subject to repurchase, all of which were related to non-employee RSAs and have been excluded from the weighted-average number of shares outstanding for the purposes of calculating earnings per share.</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2018</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(4,203)</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80" w:firstLine="576"/>
        <w:spacing w:after="0" w:line="276" w:lineRule="auto"/>
        <w:rPr>
          <w:sz w:val="20"/>
          <w:szCs w:val="20"/>
          <w:color w:val="auto"/>
        </w:rPr>
      </w:pPr>
      <w:r>
        <w:rPr>
          <w:rFonts w:ascii="Arial" w:cs="Arial" w:eastAsia="Arial" w:hAnsi="Arial"/>
          <w:sz w:val="18"/>
          <w:szCs w:val="18"/>
          <w:color w:val="auto"/>
        </w:rPr>
        <w:t>As of December 31, 2019, there was approximately $6,000 of total unrecognized compensation cost related to non-vested restricted stock awards that will be recognized as expense over a weighted-average period of 1.23 years.</w:t>
      </w:r>
    </w:p>
    <w:p>
      <w:pPr>
        <w:spacing w:after="0" w:line="251" w:lineRule="exact"/>
        <w:rPr>
          <w:sz w:val="20"/>
          <w:szCs w:val="20"/>
          <w:color w:val="auto"/>
        </w:rPr>
      </w:pPr>
    </w:p>
    <w:p>
      <w:pPr>
        <w:ind w:left="580" w:hanging="572"/>
        <w:spacing w:after="0"/>
        <w:tabs>
          <w:tab w:leader="none" w:pos="58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and Income Tax</w:t>
      </w:r>
    </w:p>
    <w:p>
      <w:pPr>
        <w:spacing w:after="0" w:line="104" w:lineRule="exact"/>
        <w:rPr>
          <w:sz w:val="20"/>
          <w:szCs w:val="20"/>
          <w:color w:val="auto"/>
        </w:rPr>
      </w:pPr>
    </w:p>
    <w:p>
      <w:pPr>
        <w:ind w:right="500" w:firstLine="576"/>
        <w:spacing w:after="0" w:line="276" w:lineRule="auto"/>
        <w:rPr>
          <w:sz w:val="20"/>
          <w:szCs w:val="20"/>
          <w:color w:val="auto"/>
        </w:rPr>
      </w:pPr>
      <w:r>
        <w:rPr>
          <w:rFonts w:ascii="Arial" w:cs="Arial" w:eastAsia="Arial" w:hAnsi="Arial"/>
          <w:sz w:val="18"/>
          <w:szCs w:val="18"/>
          <w:color w:val="auto"/>
        </w:rPr>
        <w:t>All components of net loss before the effects of the income tax provision are related to losses incurred in the United States. The Company did not record a provision (benefit) for income taxes for the years ended December 31, 2018 and 2019.</w:t>
      </w:r>
    </w:p>
    <w:p>
      <w:pPr>
        <w:spacing w:after="0" w:line="145"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provision for income taxes differs from the amount expected by applying the federal statutory rates to the net loss before taxes as follows:</w:t>
      </w:r>
    </w:p>
    <w:p>
      <w:pPr>
        <w:spacing w:after="0" w:line="220"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 Ended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21.0%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expenses and others</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8640" w:type="dxa"/>
            <w:vAlign w:val="bottom"/>
            <w:gridSpan w:val="2"/>
            <w:shd w:val="clear" w:color="auto" w:fill="CFF0FC"/>
          </w:tcPr>
          <w:p>
            <w:pPr>
              <w:spacing w:after="0" w:line="193" w:lineRule="exact"/>
              <w:rPr>
                <w:sz w:val="20"/>
                <w:szCs w:val="20"/>
                <w:color w:val="auto"/>
              </w:rPr>
            </w:pPr>
            <w:r>
              <w:rPr>
                <w:rFonts w:ascii="Arial" w:cs="Arial" w:eastAsia="Arial" w:hAnsi="Arial"/>
                <w:sz w:val="18"/>
                <w:szCs w:val="18"/>
                <w:color w:val="auto"/>
              </w:rPr>
              <w:t>Non-deductible expense related to the convertible notes and</w:t>
            </w:r>
          </w:p>
        </w:tc>
        <w:tc>
          <w:tcPr>
            <w:tcW w:w="5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6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derivative liability</w:t>
            </w:r>
          </w:p>
        </w:tc>
        <w:tc>
          <w:tcPr>
            <w:tcW w:w="8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rPr>
              <w:t>Non-deductible expense related to the grant liability</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 credits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income tax rate</w:t>
            </w: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3"/>
        </w:trPr>
        <w:tc>
          <w:tcPr>
            <w:tcW w:w="8640" w:type="dxa"/>
            <w:vAlign w:val="bottom"/>
            <w:gridSpan w:val="2"/>
          </w:tcPr>
          <w:p>
            <w:pPr>
              <w:ind w:left="5440"/>
              <w:spacing w:after="0"/>
              <w:rPr>
                <w:sz w:val="20"/>
                <w:szCs w:val="20"/>
                <w:color w:val="auto"/>
              </w:rPr>
            </w:pPr>
            <w:r>
              <w:rPr>
                <w:rFonts w:ascii="Arial" w:cs="Arial" w:eastAsia="Arial" w:hAnsi="Arial"/>
                <w:sz w:val="18"/>
                <w:szCs w:val="18"/>
                <w:color w:val="auto"/>
              </w:rPr>
              <w:t>F-22</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i w:val="1"/>
          <w:iCs w:val="1"/>
          <w:color w:val="auto"/>
        </w:rPr>
        <w:t>Significant Components of Deferred Taxes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components of the Company’s deferred tax assets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0"/>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0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000" w:type="dxa"/>
            <w:vAlign w:val="bottom"/>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3,032</w:t>
            </w:r>
          </w:p>
        </w:tc>
        <w:tc>
          <w:tcPr>
            <w:tcW w:w="180" w:type="dxa"/>
            <w:vAlign w:val="bottom"/>
          </w:tcPr>
          <w:p>
            <w:pPr>
              <w:spacing w:after="0"/>
              <w:rPr>
                <w:sz w:val="18"/>
                <w:szCs w:val="18"/>
                <w:color w:val="auto"/>
              </w:rPr>
            </w:pPr>
          </w:p>
        </w:tc>
        <w:tc>
          <w:tcPr>
            <w:tcW w:w="11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 tax credit carryforwards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Accrued liabilities and other</w:t>
            </w: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FF0FC"/>
          </w:tcPr>
          <w:p>
            <w:pPr>
              <w:spacing w:after="0"/>
              <w:rPr>
                <w:sz w:val="18"/>
                <w:szCs w:val="18"/>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 tax assets</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Prepaid expenses and other</w:t>
            </w: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0"/>
        </w:trPr>
        <w:tc>
          <w:tcPr>
            <w:tcW w:w="77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deferred tax liabilities</w:t>
            </w: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valuation allowance</w:t>
            </w: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(3,726)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(4,790)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deferred tax assets</w:t>
            </w: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1" w:lineRule="auto"/>
        <w:rPr>
          <w:sz w:val="20"/>
          <w:szCs w:val="20"/>
          <w:color w:val="auto"/>
        </w:rPr>
      </w:pPr>
      <w:r>
        <w:rPr>
          <w:rFonts w:ascii="Arial" w:cs="Arial" w:eastAsia="Arial" w:hAnsi="Arial"/>
          <w:sz w:val="18"/>
          <w:szCs w:val="18"/>
          <w:color w:val="auto"/>
        </w:rPr>
        <w:t>Deferred income taxes reflect temporary differences between the carrying amounts of assets and liabilities for financial reporting and income tax purposes, and operating losses and tax credit carryforwards. The Company considers a number of factors concerning the realizability of its net deferred tax assets, including its history of operating losses, the nature of the deferred tax assets, and the timing, likelihood and amount, if any, of future taxable income during the periods in which those temporary differences and carryforwards become deductible, all of which require significant judgment. As of December 31, 2019, the Company has recorded a full valuation allowance on its net deferred tax assets as the Company has concluded that it is not more likely than not that such losses or credits will be utilized. The valuation allowance increased by $1.2 million and $1.1 million during 2018 and 2019, respectively.</w:t>
      </w:r>
    </w:p>
    <w:p>
      <w:pPr>
        <w:spacing w:after="0" w:line="179"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At December 31, 2019, the Company has federal net operating loss and tax credit carryforwards of $9.4 million and $1.0 million, respectively, which expire over a period of 11 to 20 years. Net operating loss carryforwards of $9.2 million were generated after 2017, and therefore do not expire.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Company files federal income tax returns. With few exceptions, the Company is no longer subject to income tax examinations by tax authorities for years prior to 2016. However, to the extent allowed by law, the tax authorities may have the right to examine prior periods where net operating losses or tax credits were generated and carried forward and may make adjustments to the amount of the net operating loss or credit carryforward amount. The Company is not currently under examination in any jurisdiction.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reconciliation of the beginning and ending amount of unrecognized tax benefits were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2960" w:type="dxa"/>
            <w:vAlign w:val="bottom"/>
            <w:tcBorders>
              <w:top w:val="single" w:sz="8" w:color="CFF0FC"/>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for tax positions taken in the current year</w:t>
            </w:r>
          </w:p>
        </w:tc>
        <w:tc>
          <w:tcPr>
            <w:tcW w:w="296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296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3"/>
        </w:trPr>
        <w:tc>
          <w:tcPr>
            <w:tcW w:w="4740" w:type="dxa"/>
            <w:vAlign w:val="bottom"/>
          </w:tcPr>
          <w:p>
            <w:pPr>
              <w:spacing w:after="0"/>
              <w:rPr>
                <w:sz w:val="24"/>
                <w:szCs w:val="24"/>
                <w:color w:val="auto"/>
              </w:rPr>
            </w:pPr>
          </w:p>
        </w:tc>
        <w:tc>
          <w:tcPr>
            <w:tcW w:w="4060" w:type="dxa"/>
            <w:vAlign w:val="bottom"/>
            <w:gridSpan w:val="2"/>
          </w:tcPr>
          <w:p>
            <w:pPr>
              <w:jc w:val="right"/>
              <w:ind w:right="2919"/>
              <w:spacing w:after="0"/>
              <w:rPr>
                <w:sz w:val="20"/>
                <w:szCs w:val="20"/>
                <w:color w:val="auto"/>
              </w:rPr>
            </w:pPr>
            <w:r>
              <w:rPr>
                <w:rFonts w:ascii="Arial" w:cs="Arial" w:eastAsia="Arial" w:hAnsi="Arial"/>
                <w:sz w:val="18"/>
                <w:szCs w:val="18"/>
                <w:color w:val="auto"/>
              </w:rPr>
              <w:t>F-23</w:t>
            </w: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47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08" w:right="319" w:bottom="1440" w:gutter="0" w:footer="0" w:header="0"/>
        </w:sectPr>
      </w:pPr>
    </w:p>
    <w:bookmarkStart w:id="227" w:name="page228"/>
    <w:bookmarkEnd w:id="227"/>
    <w:p>
      <w:pPr>
        <w:ind w:right="60" w:firstLine="576"/>
        <w:spacing w:after="0" w:line="248" w:lineRule="auto"/>
        <w:rPr>
          <w:sz w:val="20"/>
          <w:szCs w:val="20"/>
          <w:color w:val="auto"/>
        </w:rPr>
      </w:pPr>
      <w:r>
        <w:rPr>
          <w:rFonts w:ascii="Arial" w:cs="Arial" w:eastAsia="Arial" w:hAnsi="Arial"/>
          <w:sz w:val="18"/>
          <w:szCs w:val="18"/>
          <w:color w:val="auto"/>
        </w:rPr>
        <w:t>If the unrecognized tax benefits for uncertain tax positions as of December 31, 2019 are recognized, there will be no impact to the effective tax rate due to the valuation allowance. The Company recognizes interest and penalties related to unrecognized tax benefits within the income tax expense line in the accompanying financial statements. At December 31, 2019, there were no material interest and penalties on uncertain tax benefits. The Company does not anticipate any significant changes to its unrecognized tax benefits in the next 12 months.</w:t>
      </w:r>
    </w:p>
    <w:p>
      <w:pPr>
        <w:spacing w:after="0" w:line="276"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106" w:lineRule="exact"/>
        <w:rPr>
          <w:sz w:val="20"/>
          <w:szCs w:val="20"/>
          <w:color w:val="auto"/>
        </w:rPr>
      </w:pPr>
    </w:p>
    <w:p>
      <w:pPr>
        <w:jc w:val="both"/>
        <w:ind w:right="560" w:firstLine="576"/>
        <w:spacing w:after="0" w:line="255" w:lineRule="auto"/>
        <w:rPr>
          <w:sz w:val="20"/>
          <w:szCs w:val="20"/>
          <w:color w:val="auto"/>
        </w:rPr>
      </w:pPr>
      <w:r>
        <w:rPr>
          <w:rFonts w:ascii="Arial" w:cs="Arial" w:eastAsia="Arial" w:hAnsi="Arial"/>
          <w:sz w:val="18"/>
          <w:szCs w:val="18"/>
          <w:color w:val="auto"/>
        </w:rPr>
        <w:t>The Company has a 401(k) Plan for all of its employees. The 401(k) Plan allows eligible employees to defer, at the employee’s discretion, up to 100% of their pretax compensation up to the Internal Revenue Service annual limit. The Company did not make any matching contributions for the years ended December 31, 2018 or 2019.</w:t>
      </w:r>
    </w:p>
    <w:p>
      <w:pPr>
        <w:spacing w:after="0" w:line="270"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20" w:type="dxa"/>
            <w:vAlign w:val="bottom"/>
          </w:tcPr>
          <w:p>
            <w:pPr>
              <w:spacing w:after="0"/>
              <w:rPr>
                <w:sz w:val="15"/>
                <w:szCs w:val="15"/>
                <w:color w:val="auto"/>
              </w:rPr>
            </w:pPr>
          </w:p>
        </w:tc>
        <w:tc>
          <w:tcPr>
            <w:tcW w:w="3520" w:type="dxa"/>
            <w:vAlign w:val="bottom"/>
            <w:gridSpan w:val="4"/>
          </w:tcPr>
          <w:p>
            <w:pPr>
              <w:ind w:left="820"/>
              <w:spacing w:after="0"/>
              <w:rPr>
                <w:sz w:val="20"/>
                <w:szCs w:val="20"/>
                <w:color w:val="auto"/>
              </w:rPr>
            </w:pPr>
            <w:r>
              <w:rPr>
                <w:rFonts w:ascii="Arial" w:cs="Arial" w:eastAsia="Arial" w:hAnsi="Arial"/>
                <w:sz w:val="14"/>
                <w:szCs w:val="14"/>
                <w:b w:val="1"/>
                <w:bCs w:val="1"/>
                <w:color w:val="auto"/>
              </w:rPr>
              <w:t>Year Ended December 31,</w:t>
            </w:r>
          </w:p>
        </w:tc>
      </w:t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1,263,831</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Borders>
              <w:bottom w:val="single" w:sz="8" w:color="CFF0FC"/>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Borders>
              <w:bottom w:val="single" w:sz="8" w:color="CFF0FC"/>
            </w:tcBorders>
          </w:tcPr>
          <w:p>
            <w:pPr>
              <w:spacing w:after="0"/>
              <w:rPr>
                <w:sz w:val="18"/>
                <w:szCs w:val="18"/>
                <w:color w:val="auto"/>
              </w:rPr>
            </w:pPr>
          </w:p>
        </w:tc>
      </w:tr>
      <w:tr>
        <w:trPr>
          <w:trHeight w:val="209"/>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3,897,137</w:t>
            </w:r>
          </w:p>
        </w:tc>
        <w:tc>
          <w:tcPr>
            <w:tcW w:w="28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4,143,873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06" w:lineRule="exact"/>
        <w:rPr>
          <w:sz w:val="20"/>
          <w:szCs w:val="20"/>
          <w:color w:val="auto"/>
        </w:rPr>
      </w:pPr>
    </w:p>
    <w:p>
      <w:pPr>
        <w:ind w:right="280" w:firstLine="576"/>
        <w:spacing w:after="0" w:line="255" w:lineRule="auto"/>
        <w:rPr>
          <w:sz w:val="20"/>
          <w:szCs w:val="20"/>
          <w:color w:val="auto"/>
        </w:rPr>
      </w:pPr>
      <w:r>
        <w:rPr>
          <w:rFonts w:ascii="Arial" w:cs="Arial" w:eastAsia="Arial" w:hAnsi="Arial"/>
          <w:sz w:val="18"/>
          <w:szCs w:val="18"/>
          <w:color w:val="auto"/>
        </w:rPr>
        <w:t>Pro forma basic and diluted net loss per share has been computed to give effect to the assumed conversion of all outstanding convertible preferred stock into shares of common stock, the net exercise of the outstanding warrants for shares of common stock and the repayment of the grant liability upon completion of a qualifying IPO of the Company’s common stock.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8" w:name="page229"/>
    <w:bookmarkEnd w:id="228"/>
    <w:p>
      <w:pPr>
        <w:ind w:right="12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pro forma basic and diluted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9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jc w:val="center"/>
              <w:ind w:right="216"/>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(5,161)</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8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80" w:type="dxa"/>
            <w:vAlign w:val="bottom"/>
          </w:tcPr>
          <w:p>
            <w:pPr>
              <w:spacing w:after="0"/>
              <w:rPr>
                <w:sz w:val="23"/>
                <w:szCs w:val="23"/>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8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3,566,849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common stock warrants</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8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6,186,602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6"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For the year ended December 31, 2019, management evaluated subsequent events through July 24, 2020, the date these financial statements were issued, and September 14, 2020, the date the revised financial statements were issued. The Company has concluded that no events or transactions have occurred that require disclosure in the accompanying financial statements, other than the following.</w:t>
      </w:r>
    </w:p>
    <w:p>
      <w:pPr>
        <w:spacing w:after="0" w:line="270" w:lineRule="exact"/>
        <w:rPr>
          <w:sz w:val="20"/>
          <w:szCs w:val="20"/>
          <w:color w:val="auto"/>
        </w:rPr>
      </w:pPr>
    </w:p>
    <w:p>
      <w:pPr>
        <w:ind w:left="1000" w:hanging="425"/>
        <w:spacing w:after="0"/>
        <w:tabs>
          <w:tab w:leader="none" w:pos="10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Subsequent to December 31, 2019, the Company granted 44,765 stock options with an exercise price of $1.35 per share.</w:t>
      </w:r>
    </w:p>
    <w:p>
      <w:pPr>
        <w:spacing w:after="0" w:line="212" w:lineRule="exact"/>
        <w:rPr>
          <w:sz w:val="20"/>
          <w:szCs w:val="20"/>
          <w:color w:val="auto"/>
        </w:rPr>
      </w:pPr>
    </w:p>
    <w:p>
      <w:pPr>
        <w:ind w:right="200" w:firstLine="576"/>
        <w:spacing w:after="0" w:line="24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 statement. The exercise price of each option will be equal to the initial price of a share of the Company’s common stock to the public as of the effective date of the registration statement.</w:t>
      </w:r>
    </w:p>
    <w:p>
      <w:pPr>
        <w:spacing w:after="0" w:line="278" w:lineRule="exact"/>
        <w:rPr>
          <w:sz w:val="20"/>
          <w:szCs w:val="20"/>
          <w:color w:val="auto"/>
        </w:rPr>
      </w:pPr>
    </w:p>
    <w:p>
      <w:pPr>
        <w:ind w:left="1000" w:hanging="425"/>
        <w:spacing w:after="0"/>
        <w:tabs>
          <w:tab w:leader="none" w:pos="100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w:t>
      </w:r>
    </w:p>
    <w:p>
      <w:pPr>
        <w:spacing w:after="0" w:line="106" w:lineRule="exact"/>
        <w:rPr>
          <w:sz w:val="20"/>
          <w:szCs w:val="20"/>
          <w:color w:val="auto"/>
        </w:rPr>
      </w:pPr>
    </w:p>
    <w:p>
      <w:pPr>
        <w:ind w:right="160" w:firstLine="576"/>
        <w:spacing w:after="0" w:line="276" w:lineRule="auto"/>
        <w:rPr>
          <w:sz w:val="20"/>
          <w:szCs w:val="20"/>
          <w:color w:val="auto"/>
        </w:rPr>
      </w:pPr>
      <w:r>
        <w:rPr>
          <w:rFonts w:ascii="Arial" w:cs="Arial" w:eastAsia="Arial" w:hAnsi="Arial"/>
          <w:sz w:val="18"/>
          <w:szCs w:val="18"/>
          <w:color w:val="auto"/>
        </w:rPr>
        <w:t>The Company issued $1.7 million of additional convertible notes during January 2020, including $250,000 of convertible notes to the Company’s chief operating officer and affiliates, which the Company has determined to be related parties.</w:t>
      </w:r>
    </w:p>
    <w:p>
      <w:pPr>
        <w:spacing w:after="0" w:line="251" w:lineRule="exact"/>
        <w:rPr>
          <w:sz w:val="20"/>
          <w:szCs w:val="20"/>
          <w:color w:val="auto"/>
        </w:rPr>
      </w:pPr>
    </w:p>
    <w:p>
      <w:pPr>
        <w:ind w:left="1000" w:hanging="425"/>
        <w:spacing w:after="0"/>
        <w:tabs>
          <w:tab w:leader="none" w:pos="100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Paycheck Protection Program</w:t>
      </w:r>
    </w:p>
    <w:p>
      <w:pPr>
        <w:spacing w:after="0" w:line="106"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29" w:name="page230"/>
    <w:bookmarkEnd w:id="229"/>
    <w:p>
      <w:pPr>
        <w:ind w:left="1000" w:hanging="425"/>
        <w:spacing w:after="0"/>
        <w:tabs>
          <w:tab w:leader="none" w:pos="10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COVID-19</w:t>
      </w:r>
    </w:p>
    <w:p>
      <w:pPr>
        <w:spacing w:after="0" w:line="106"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Management continues to evaluate the potential impacts of the COVID-19 pandemic on the development of its product candidates, and business. The Company is working closely with its manufacturing vendors to maintain adequate product supply and with healthcare providers as future studies are planned to mitigate risk to patients while adhering to regulatory, institutional and government guidance and policies. The Company remains committed to its development plans and acknowledges the potential risk for delays in the product supply chain and in anticipated timelines for its preclinical studies and clinical trials.</w:t>
      </w:r>
    </w:p>
    <w:p>
      <w:pPr>
        <w:spacing w:after="0" w:line="278" w:lineRule="exact"/>
        <w:rPr>
          <w:sz w:val="20"/>
          <w:szCs w:val="20"/>
          <w:color w:val="auto"/>
        </w:rPr>
      </w:pPr>
    </w:p>
    <w:p>
      <w:pPr>
        <w:ind w:left="1000" w:hanging="425"/>
        <w:spacing w:after="0"/>
        <w:tabs>
          <w:tab w:leader="none" w:pos="100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6"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In May and June 2020, the Company issued an aggregate of 9,372,765 shares of Series B convertible preferred stock at a purchase price of $9.12 per share for proceeds of $81.8 million, net of offering costs. The Company issued warrants to purchase 2,343,168 shares of its common stock, of which 688,067 shares were exercised concurrently with the Series B convertible preferred stock issuance for net proceeds of $55,000. In addition, the Company issued warrants to purchase 127,481 shares of its Series B convertible preferred stock at $9.12 per share. The Series B convertible preferred stock financing triggered the automatic conversion of the Company’s then outstanding convertible promissory notes into an aggregate of 512,858 shares of Series B-1 convertible preferred stock based on a price of $7.752 per share (85% of the $9.12 original issuance price of the Series B convertible preferred stock).</w:t>
      </w:r>
    </w:p>
    <w:p>
      <w:pPr>
        <w:spacing w:after="0" w:line="285" w:lineRule="exact"/>
        <w:rPr>
          <w:sz w:val="20"/>
          <w:szCs w:val="20"/>
          <w:color w:val="auto"/>
        </w:rPr>
      </w:pPr>
    </w:p>
    <w:p>
      <w:pPr>
        <w:ind w:left="1000" w:hanging="425"/>
        <w:spacing w:after="0"/>
        <w:tabs>
          <w:tab w:leader="none" w:pos="100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06" w:lineRule="exact"/>
        <w:rPr>
          <w:sz w:val="20"/>
          <w:szCs w:val="20"/>
          <w:color w:val="auto"/>
        </w:rPr>
      </w:pPr>
    </w:p>
    <w:p>
      <w:pPr>
        <w:ind w:right="20" w:firstLine="576"/>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251" w:lineRule="exact"/>
        <w:rPr>
          <w:sz w:val="20"/>
          <w:szCs w:val="20"/>
          <w:color w:val="auto"/>
        </w:rPr>
      </w:pPr>
    </w:p>
    <w:p>
      <w:pPr>
        <w:ind w:left="1000" w:hanging="425"/>
        <w:spacing w:after="0"/>
        <w:tabs>
          <w:tab w:leader="none" w:pos="100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106"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270" w:lineRule="exact"/>
        <w:rPr>
          <w:sz w:val="20"/>
          <w:szCs w:val="20"/>
          <w:color w:val="auto"/>
        </w:rPr>
      </w:pPr>
    </w:p>
    <w:p>
      <w:pPr>
        <w:ind w:left="1000" w:hanging="425"/>
        <w:spacing w:after="0"/>
        <w:tabs>
          <w:tab w:leader="none" w:pos="10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Spilt</w:t>
      </w:r>
    </w:p>
    <w:p>
      <w:pPr>
        <w:spacing w:after="0" w:line="106" w:lineRule="exact"/>
        <w:rPr>
          <w:sz w:val="20"/>
          <w:szCs w:val="20"/>
          <w:color w:val="auto"/>
        </w:rPr>
      </w:pPr>
    </w:p>
    <w:p>
      <w:pPr>
        <w:ind w:firstLine="576"/>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263" w:lineRule="exact"/>
        <w:rPr>
          <w:sz w:val="20"/>
          <w:szCs w:val="20"/>
          <w:color w:val="auto"/>
        </w:rPr>
      </w:pPr>
    </w:p>
    <w:p>
      <w:pPr>
        <w:ind w:left="1000" w:hanging="425"/>
        <w:spacing w:after="0"/>
        <w:tabs>
          <w:tab w:leader="none" w:pos="100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National Institutes of Health Grant</w:t>
      </w:r>
    </w:p>
    <w:p>
      <w:pPr>
        <w:spacing w:after="0" w:line="106"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82" w:right="37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8"/>
          <w:szCs w:val="18"/>
          <w:b w:val="1"/>
          <w:bCs w:val="1"/>
          <w:color w:val="auto"/>
        </w:rPr>
        <w:t>ATHIRA PHARMA, INC</w:t>
      </w:r>
      <w:r>
        <w:rPr>
          <w:rFonts w:ascii="Arial" w:cs="Arial" w:eastAsia="Arial" w:hAnsi="Arial"/>
          <w:sz w:val="18"/>
          <w:szCs w:val="18"/>
          <w:color w:val="auto"/>
        </w:rPr>
        <w: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As of</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76"/>
        </w:trPr>
        <w:tc>
          <w:tcPr>
            <w:tcW w:w="5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5520" w:type="dxa"/>
            <w:vAlign w:val="bottom"/>
            <w:tcBorders>
              <w:bottom w:val="single" w:sz="8" w:color="CFF0FC"/>
            </w:tcBorders>
          </w:tcPr>
          <w:p>
            <w:pPr>
              <w:spacing w:after="0"/>
              <w:rPr>
                <w:sz w:val="15"/>
                <w:szCs w:val="15"/>
                <w:color w:val="auto"/>
              </w:rPr>
            </w:pPr>
          </w:p>
        </w:tc>
        <w:tc>
          <w:tcPr>
            <w:tcW w:w="11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2,056</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83,666</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4"/>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unsecured related party note</w:t>
            </w:r>
          </w:p>
        </w:tc>
        <w:tc>
          <w:tcPr>
            <w:tcW w:w="1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7"/>
        </w:trPr>
        <w:tc>
          <w:tcPr>
            <w:tcW w:w="55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receivable</w:t>
            </w:r>
          </w:p>
        </w:tc>
        <w:tc>
          <w:tcPr>
            <w:tcW w:w="11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6"/>
        </w:trPr>
        <w:tc>
          <w:tcPr>
            <w:tcW w:w="55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86,473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Unsecured related party note receivable</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assets</w:t>
            </w:r>
          </w:p>
        </w:tc>
        <w:tc>
          <w:tcPr>
            <w:tcW w:w="1140" w:type="dxa"/>
            <w:vAlign w:val="bottom"/>
            <w:tcBorders>
              <w:bottom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163"/>
        </w:trPr>
        <w:tc>
          <w:tcPr>
            <w:tcW w:w="5520" w:type="dxa"/>
            <w:vAlign w:val="bottom"/>
            <w:shd w:val="clear" w:color="auto" w:fill="CFF0FC"/>
          </w:tcPr>
          <w:p>
            <w:pPr>
              <w:spacing w:after="0" w:line="163" w:lineRule="exact"/>
              <w:rPr>
                <w:sz w:val="20"/>
                <w:szCs w:val="20"/>
                <w:color w:val="auto"/>
              </w:rPr>
            </w:pPr>
            <w:r>
              <w:rPr>
                <w:rFonts w:ascii="Arial" w:cs="Arial" w:eastAsia="Arial" w:hAnsi="Arial"/>
                <w:sz w:val="16"/>
                <w:szCs w:val="16"/>
                <w:b w:val="1"/>
                <w:bCs w:val="1"/>
                <w:color w:val="auto"/>
              </w:rPr>
              <w:t>Liabilities, convertible preferred stock and stockholders'</w:t>
            </w:r>
          </w:p>
        </w:tc>
        <w:tc>
          <w:tcPr>
            <w:tcW w:w="1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9"/>
        </w:trPr>
        <w:tc>
          <w:tcPr>
            <w:tcW w:w="552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(deficit) equity</w:t>
            </w: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Current liabilities:</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w:t>
            </w:r>
          </w:p>
        </w:tc>
        <w:tc>
          <w:tcPr>
            <w:tcW w:w="2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Accrued expenses</w:t>
            </w: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Grant liability</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999</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Arial" w:cs="Arial" w:eastAsia="Arial" w:hAnsi="Arial"/>
                <w:sz w:val="16"/>
                <w:szCs w:val="16"/>
                <w:color w:val="auto"/>
              </w:rPr>
              <w:t>Convertible notes, net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1,553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Convertible preferred stock warrant liability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liabilities</w:t>
            </w:r>
          </w:p>
        </w:tc>
        <w:tc>
          <w:tcPr>
            <w:tcW w:w="11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4,861</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6,923</w:t>
            </w:r>
          </w:p>
        </w:tc>
        <w:tc>
          <w:tcPr>
            <w:tcW w:w="2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196"/>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8)</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520" w:type="dxa"/>
            <w:vAlign w:val="bottom"/>
          </w:tcPr>
          <w:p>
            <w:pPr>
              <w:spacing w:after="0"/>
              <w:rPr>
                <w:sz w:val="20"/>
                <w:szCs w:val="20"/>
                <w:color w:val="auto"/>
              </w:rPr>
            </w:pPr>
            <w:r>
              <w:rPr>
                <w:rFonts w:ascii="Arial" w:cs="Arial" w:eastAsia="Arial" w:hAnsi="Arial"/>
                <w:sz w:val="16"/>
                <w:szCs w:val="16"/>
                <w:color w:val="auto"/>
              </w:rPr>
              <w:t>Convertible preferred stock, $0.0001 par value; 2,797,464</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and 12,646,147 shares authorized at December 31, 2019</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and June 30, 2020, respectively; 2,617,386 and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12,503,009 shares issued and outstanding at December</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31, 2019 and June 30, 2020, respectively; aggregate</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liquidation preference of $16,288 and $105,741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December 31, 2019 and June 30, 2020, respectively;</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140"/>
              <w:spacing w:after="0"/>
              <w:rPr>
                <w:sz w:val="20"/>
                <w:szCs w:val="20"/>
                <w:color w:val="auto"/>
              </w:rPr>
            </w:pPr>
            <w:r>
              <w:rPr>
                <w:rFonts w:ascii="Arial" w:cs="Arial" w:eastAsia="Arial" w:hAnsi="Arial"/>
                <w:sz w:val="16"/>
                <w:szCs w:val="16"/>
                <w:color w:val="auto"/>
              </w:rPr>
              <w:t>no shares issued and outstanding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520" w:type="dxa"/>
            <w:vAlign w:val="bottom"/>
          </w:tcPr>
          <w:p>
            <w:pPr>
              <w:ind w:left="140"/>
              <w:spacing w:after="0"/>
              <w:rPr>
                <w:sz w:val="20"/>
                <w:szCs w:val="20"/>
                <w:color w:val="auto"/>
              </w:rPr>
            </w:pPr>
            <w:r>
              <w:rPr>
                <w:rFonts w:ascii="Arial" w:cs="Arial" w:eastAsia="Arial" w:hAnsi="Arial"/>
                <w:sz w:val="16"/>
                <w:szCs w:val="16"/>
                <w:color w:val="auto"/>
              </w:rPr>
              <w:t>June 30, 2020, pro forma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17,051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92,537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Stockholders' (deficit) equity:</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5520" w:type="dxa"/>
            <w:vAlign w:val="bottom"/>
          </w:tcPr>
          <w:p>
            <w:pPr>
              <w:ind w:left="260"/>
              <w:spacing w:after="0"/>
              <w:rPr>
                <w:sz w:val="20"/>
                <w:szCs w:val="20"/>
                <w:color w:val="auto"/>
              </w:rPr>
            </w:pPr>
            <w:r>
              <w:rPr>
                <w:rFonts w:ascii="Arial" w:cs="Arial" w:eastAsia="Arial" w:hAnsi="Arial"/>
                <w:sz w:val="16"/>
                <w:szCs w:val="16"/>
                <w:color w:val="auto"/>
              </w:rPr>
              <w:t>Common stock, $0.0001 par value; 10,088,017</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and 23,076,341 shares authorized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December 31, 2019 and June 30, 2020, respectively;</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3,641,449 and 4,607,565 shares issued and</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outstanding at December 31, 2019 and June 30, 2020,</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5520" w:type="dxa"/>
            <w:vAlign w:val="bottom"/>
          </w:tcPr>
          <w:p>
            <w:pPr>
              <w:ind w:left="380"/>
              <w:spacing w:after="0"/>
              <w:rPr>
                <w:sz w:val="20"/>
                <w:szCs w:val="20"/>
                <w:color w:val="auto"/>
              </w:rPr>
            </w:pPr>
            <w:r>
              <w:rPr>
                <w:rFonts w:ascii="Arial" w:cs="Arial" w:eastAsia="Arial" w:hAnsi="Arial"/>
                <w:sz w:val="16"/>
                <w:szCs w:val="16"/>
                <w:color w:val="auto"/>
              </w:rPr>
              <w:t>respectively; 18,819,318 shares outstanding at</w:t>
            </w: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5520" w:type="dxa"/>
            <w:vAlign w:val="bottom"/>
          </w:tcPr>
          <w:p>
            <w:pPr>
              <w:ind w:left="380"/>
              <w:spacing w:after="0"/>
              <w:rPr>
                <w:sz w:val="20"/>
                <w:szCs w:val="20"/>
                <w:color w:val="auto"/>
              </w:rPr>
            </w:pPr>
            <w:r>
              <w:rPr>
                <w:rFonts w:ascii="Arial" w:cs="Arial" w:eastAsia="Arial" w:hAnsi="Arial"/>
                <w:sz w:val="16"/>
                <w:szCs w:val="16"/>
                <w:color w:val="auto"/>
              </w:rPr>
              <w:t>June 30, 2020, pro forma</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r>
      <w:tr>
        <w:trPr>
          <w:trHeight w:val="202"/>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12,355</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105,254</w:t>
            </w:r>
          </w:p>
        </w:tc>
        <w:tc>
          <w:tcPr>
            <w:tcW w:w="100" w:type="dxa"/>
            <w:vAlign w:val="bottom"/>
            <w:shd w:val="clear" w:color="auto" w:fill="CFF0FC"/>
          </w:tcPr>
          <w:p>
            <w:pPr>
              <w:spacing w:after="0"/>
              <w:rPr>
                <w:sz w:val="17"/>
                <w:szCs w:val="17"/>
                <w:color w:val="auto"/>
              </w:rPr>
            </w:pPr>
          </w:p>
        </w:tc>
      </w:tr>
      <w:tr>
        <w:trPr>
          <w:trHeight w:val="203"/>
        </w:trPr>
        <w:tc>
          <w:tcPr>
            <w:tcW w:w="5520" w:type="dxa"/>
            <w:vAlign w:val="bottom"/>
          </w:tcPr>
          <w:p>
            <w:pPr>
              <w:ind w:left="260"/>
              <w:spacing w:after="0"/>
              <w:rPr>
                <w:sz w:val="20"/>
                <w:szCs w:val="20"/>
                <w:color w:val="auto"/>
              </w:rPr>
            </w:pPr>
            <w:r>
              <w:rPr>
                <w:rFonts w:ascii="Arial" w:cs="Arial" w:eastAsia="Arial" w:hAnsi="Arial"/>
                <w:sz w:val="16"/>
                <w:szCs w:val="16"/>
                <w:color w:val="auto"/>
              </w:rPr>
              <w:t>Accumulated deficit</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(21,087)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(24,884)</w:t>
            </w:r>
          </w:p>
        </w:tc>
        <w:tc>
          <w:tcPr>
            <w:tcW w:w="20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(25,337)</w:t>
            </w:r>
          </w:p>
        </w:tc>
      </w:tr>
      <w:tr>
        <w:trPr>
          <w:trHeight w:val="196"/>
        </w:trPr>
        <w:tc>
          <w:tcPr>
            <w:tcW w:w="55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(deficit) equity</w:t>
            </w:r>
          </w:p>
        </w:tc>
        <w:tc>
          <w:tcPr>
            <w:tcW w:w="1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(19,723)</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(12,529)</w:t>
            </w:r>
          </w:p>
        </w:tc>
        <w:tc>
          <w:tcPr>
            <w:tcW w:w="2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79,919</w:t>
            </w:r>
          </w:p>
        </w:tc>
        <w:tc>
          <w:tcPr>
            <w:tcW w:w="100" w:type="dxa"/>
            <w:vAlign w:val="bottom"/>
            <w:tcBorders>
              <w:top w:val="single" w:sz="8" w:color="CFF0FC"/>
            </w:tcBorders>
            <w:shd w:val="clear" w:color="auto" w:fill="CFF0FC"/>
          </w:tcPr>
          <w:p>
            <w:pPr>
              <w:spacing w:after="0"/>
              <w:rPr>
                <w:sz w:val="17"/>
                <w:szCs w:val="17"/>
                <w:color w:val="auto"/>
              </w:rPr>
            </w:pPr>
          </w:p>
        </w:tc>
      </w:tr>
      <w:tr>
        <w:trPr>
          <w:trHeight w:val="178"/>
        </w:trPr>
        <w:tc>
          <w:tcPr>
            <w:tcW w:w="5520" w:type="dxa"/>
            <w:vAlign w:val="bottom"/>
          </w:tcPr>
          <w:p>
            <w:pPr>
              <w:ind w:left="500"/>
              <w:spacing w:after="0" w:line="178" w:lineRule="exact"/>
              <w:rPr>
                <w:sz w:val="20"/>
                <w:szCs w:val="20"/>
                <w:color w:val="auto"/>
              </w:rPr>
            </w:pPr>
            <w:r>
              <w:rPr>
                <w:rFonts w:ascii="Arial" w:cs="Arial" w:eastAsia="Arial" w:hAnsi="Arial"/>
                <w:sz w:val="16"/>
                <w:szCs w:val="16"/>
                <w:color w:val="auto"/>
              </w:rPr>
              <w:t>Total liabilities, convertible preferred stock and</w:t>
            </w: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5520" w:type="dxa"/>
            <w:vAlign w:val="bottom"/>
          </w:tcPr>
          <w:p>
            <w:pPr>
              <w:ind w:left="640"/>
              <w:spacing w:after="0"/>
              <w:rPr>
                <w:sz w:val="20"/>
                <w:szCs w:val="20"/>
                <w:color w:val="auto"/>
              </w:rPr>
            </w:pPr>
            <w:r>
              <w:rPr>
                <w:rFonts w:ascii="Arial" w:cs="Arial" w:eastAsia="Arial" w:hAnsi="Arial"/>
                <w:sz w:val="16"/>
                <w:szCs w:val="16"/>
                <w:color w:val="auto"/>
              </w:rPr>
              <w:t>stockholders' deficit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2,189</w:t>
            </w:r>
          </w:p>
        </w:tc>
        <w:tc>
          <w:tcPr>
            <w:tcW w:w="240" w:type="dxa"/>
            <w:vAlign w:val="bottom"/>
          </w:tcPr>
          <w:p>
            <w:pPr>
              <w:spacing w:after="0"/>
              <w:rPr>
                <w:sz w:val="18"/>
                <w:szCs w:val="18"/>
                <w:color w:val="auto"/>
              </w:rPr>
            </w:pPr>
          </w:p>
        </w:tc>
        <w:tc>
          <w:tcPr>
            <w:tcW w:w="240" w:type="dxa"/>
            <w:vAlign w:val="bottom"/>
            <w:gridSpan w:val="2"/>
          </w:tcPr>
          <w:p>
            <w:pPr>
              <w:jc w:val="right"/>
              <w:ind w:right="64"/>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86,931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ATHIRA PHARMA,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FF0FC"/>
            </w:tcBorders>
          </w:tcPr>
          <w:p>
            <w:pPr>
              <w:spacing w:after="0"/>
              <w:rPr>
                <w:sz w:val="14"/>
                <w:szCs w:val="14"/>
                <w:color w:val="auto"/>
              </w:rPr>
            </w:pPr>
          </w:p>
        </w:tc>
        <w:tc>
          <w:tcPr>
            <w:tcW w:w="12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2,110</w:t>
            </w:r>
          </w:p>
        </w:tc>
        <w:tc>
          <w:tcPr>
            <w:tcW w:w="180" w:type="dxa"/>
            <w:vAlign w:val="bottom"/>
          </w:tcPr>
          <w:p>
            <w:pPr>
              <w:spacing w:after="0"/>
              <w:rPr>
                <w:sz w:val="18"/>
                <w:szCs w:val="18"/>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0"/>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and comprehensive loss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net loss per share</w:t>
            </w: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attributable to common stockholders, basic and diluted</w:t>
            </w: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3,550,184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3,937,501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770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174"/>
        </w:trPr>
        <w:tc>
          <w:tcPr>
            <w:tcW w:w="7700" w:type="dxa"/>
            <w:vAlign w:val="bottom"/>
            <w:tcBorders>
              <w:top w:val="single" w:sz="8" w:color="CFF0FC"/>
            </w:tcBorders>
            <w:shd w:val="clear" w:color="auto" w:fill="CFF0FC"/>
          </w:tcPr>
          <w:p>
            <w:pPr>
              <w:spacing w:after="0" w:line="174" w:lineRule="exact"/>
              <w:rPr>
                <w:sz w:val="20"/>
                <w:szCs w:val="20"/>
                <w:color w:val="auto"/>
              </w:rPr>
            </w:pPr>
            <w:r>
              <w:rPr>
                <w:rFonts w:ascii="Arial" w:cs="Arial" w:eastAsia="Arial" w:hAnsi="Arial"/>
                <w:sz w:val="18"/>
                <w:szCs w:val="18"/>
                <w:color w:val="auto"/>
              </w:rPr>
              <w:t>Weighted-average shares used in computing pro forma net loss per</w:t>
            </w:r>
          </w:p>
        </w:tc>
        <w:tc>
          <w:tcPr>
            <w:tcW w:w="360" w:type="dxa"/>
            <w:vAlign w:val="bottom"/>
            <w:tcBorders>
              <w:top w:val="single" w:sz="8" w:color="CFF0FC"/>
            </w:tcBorders>
            <w:shd w:val="clear" w:color="auto" w:fill="CFF0FC"/>
          </w:tcPr>
          <w:p>
            <w:pPr>
              <w:spacing w:after="0"/>
              <w:rPr>
                <w:sz w:val="15"/>
                <w:szCs w:val="15"/>
                <w:color w:val="auto"/>
              </w:rPr>
            </w:pPr>
          </w:p>
        </w:tc>
        <w:tc>
          <w:tcPr>
            <w:tcW w:w="1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share attributable to common stockholders, basic and diluted</w:t>
            </w: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8,603,509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2" w:name="page233"/>
    <w:bookmarkEnd w:id="23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ectPr>
          <w:pgSz w:w="11900" w:h="16838" w:orient="portrait"/>
          <w:cols w:equalWidth="0" w:num="1">
            <w:col w:w="11220"/>
          </w:cols>
          <w:pgMar w:left="320" w:top="358" w:right="359" w:bottom="1440" w:gutter="0" w:footer="0" w:header="0"/>
        </w:sect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940" w:type="dxa"/>
            <w:vAlign w:val="bottom"/>
            <w:gridSpan w:val="5"/>
          </w:tcPr>
          <w:p>
            <w:pPr>
              <w:jc w:val="right"/>
              <w:ind w:right="493"/>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194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680" w:type="dxa"/>
            <w:vAlign w:val="bottom"/>
            <w:vMerge w:val="continue"/>
          </w:tcPr>
          <w:p>
            <w:pPr>
              <w:spacing w:after="0"/>
              <w:rPr>
                <w:sz w:val="17"/>
                <w:szCs w:val="17"/>
                <w:color w:val="auto"/>
              </w:rPr>
            </w:pPr>
          </w:p>
        </w:tc>
        <w:tc>
          <w:tcPr>
            <w:tcW w:w="9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 exercise</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60"/>
              <w:spacing w:after="0" w:line="202" w:lineRule="exact"/>
              <w:rPr>
                <w:sz w:val="20"/>
                <w:szCs w:val="20"/>
                <w:color w:val="auto"/>
              </w:rPr>
            </w:pPr>
            <w:r>
              <w:rPr>
                <w:rFonts w:ascii="Arial" w:cs="Arial" w:eastAsia="Arial" w:hAnsi="Arial"/>
                <w:sz w:val="18"/>
                <w:szCs w:val="18"/>
                <w:color w:val="auto"/>
              </w:rPr>
              <w:t>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8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-1319530</wp:posOffset>
            </wp:positionV>
            <wp:extent cx="7132320" cy="13201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3201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301"/>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Paid-In</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3,559,484</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60" w:type="dxa"/>
            <w:vAlign w:val="bottom"/>
          </w:tcPr>
          <w:p>
            <w:pPr>
              <w:spacing w:after="0"/>
              <w:rPr>
                <w:sz w:val="20"/>
                <w:szCs w:val="20"/>
                <w:color w:val="auto"/>
              </w:rPr>
            </w:pPr>
          </w:p>
        </w:tc>
      </w:tr>
      <w:tr>
        <w:trPr>
          <w:trHeight w:val="585"/>
        </w:trPr>
        <w:tc>
          <w:tcPr>
            <w:tcW w:w="920" w:type="dxa"/>
            <w:vAlign w:val="bottom"/>
          </w:tcPr>
          <w:p>
            <w:pPr>
              <w:jc w:val="right"/>
              <w:spacing w:after="0"/>
              <w:rPr>
                <w:sz w:val="20"/>
                <w:szCs w:val="20"/>
                <w:color w:val="auto"/>
              </w:rPr>
            </w:pPr>
            <w:r>
              <w:rPr>
                <w:rFonts w:ascii="Arial" w:cs="Arial" w:eastAsia="Arial" w:hAnsi="Arial"/>
                <w:sz w:val="18"/>
                <w:szCs w:val="18"/>
                <w:color w:val="auto"/>
              </w:rPr>
              <w:t>6,305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4"/>
                <w:szCs w:val="24"/>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(2,657)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(2,657)</w:t>
            </w:r>
          </w:p>
        </w:tc>
      </w:tr>
      <w:tr>
        <w:trPr>
          <w:trHeight w:val="209"/>
        </w:trPr>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3,565,789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14"/>
                <w:szCs w:val="14"/>
                <w:color w:val="auto"/>
              </w:rPr>
            </w:pPr>
          </w:p>
        </w:tc>
        <w:tc>
          <w:tcPr>
            <w:tcW w:w="204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3580" w:type="dxa"/>
            <w:vAlign w:val="bottom"/>
          </w:tcPr>
          <w:p>
            <w:pPr>
              <w:spacing w:after="0"/>
              <w:rPr>
                <w:sz w:val="15"/>
                <w:szCs w:val="15"/>
                <w:color w:val="auto"/>
              </w:rPr>
            </w:pPr>
          </w:p>
        </w:tc>
        <w:tc>
          <w:tcPr>
            <w:tcW w:w="2040" w:type="dxa"/>
            <w:vAlign w:val="bottom"/>
            <w:tcBorders>
              <w:bottom w:val="single" w:sz="8" w:color="auto"/>
            </w:tcBorders>
            <w:gridSpan w:val="5"/>
          </w:tcPr>
          <w:p>
            <w:pPr>
              <w:jc w:val="right"/>
              <w:ind w:right="41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9"/>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00"/>
        </w:trPr>
        <w:tc>
          <w:tcPr>
            <w:tcW w:w="3580" w:type="dxa"/>
            <w:vAlign w:val="bottom"/>
            <w:vMerge w:val="continue"/>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2,617,386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exercise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common stock options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Series B convertible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preferred</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00"/>
              <w:spacing w:after="0" w:line="202" w:lineRule="exact"/>
              <w:rPr>
                <w:sz w:val="20"/>
                <w:szCs w:val="20"/>
                <w:color w:val="auto"/>
              </w:rPr>
            </w:pPr>
            <w:r>
              <w:rPr>
                <w:rFonts w:ascii="Arial" w:cs="Arial" w:eastAsia="Arial" w:hAnsi="Arial"/>
                <w:sz w:val="18"/>
                <w:szCs w:val="18"/>
                <w:color w:val="auto"/>
              </w:rPr>
              <w:t>stock and common stock warrants,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net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of issuance costs of $3.5 million</w:t>
            </w:r>
          </w:p>
        </w:tc>
        <w:tc>
          <w:tcPr>
            <w:tcW w:w="1040" w:type="dxa"/>
            <w:vAlign w:val="bottom"/>
          </w:tcPr>
          <w:p>
            <w:pPr>
              <w:jc w:val="right"/>
              <w:spacing w:after="0"/>
              <w:rPr>
                <w:sz w:val="20"/>
                <w:szCs w:val="20"/>
                <w:color w:val="auto"/>
              </w:rPr>
            </w:pPr>
            <w:r>
              <w:rPr>
                <w:rFonts w:ascii="Arial" w:cs="Arial" w:eastAsia="Arial" w:hAnsi="Arial"/>
                <w:sz w:val="18"/>
                <w:szCs w:val="18"/>
                <w:color w:val="auto"/>
              </w:rPr>
              <w:t>9,372,765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70,971</w:t>
            </w:r>
          </w:p>
        </w:tc>
        <w:tc>
          <w:tcPr>
            <w:tcW w:w="0" w:type="dxa"/>
            <w:vAlign w:val="bottom"/>
          </w:tcPr>
          <w:p>
            <w:pPr>
              <w:spacing w:after="0"/>
              <w:rPr>
                <w:sz w:val="1"/>
                <w:szCs w:val="1"/>
                <w:color w:val="auto"/>
              </w:rPr>
            </w:pPr>
          </w:p>
        </w:tc>
      </w:tr>
      <w:tr>
        <w:trPr>
          <w:trHeight w:val="203"/>
        </w:trPr>
        <w:tc>
          <w:tcPr>
            <w:tcW w:w="3580" w:type="dxa"/>
            <w:vAlign w:val="bottom"/>
          </w:tcPr>
          <w:p>
            <w:pPr>
              <w:ind w:left="260"/>
              <w:spacing w:after="0" w:line="202" w:lineRule="exact"/>
              <w:rPr>
                <w:sz w:val="20"/>
                <w:szCs w:val="20"/>
                <w:color w:val="auto"/>
              </w:rPr>
            </w:pPr>
            <w:r>
              <w:rPr>
                <w:rFonts w:ascii="Arial" w:cs="Arial" w:eastAsia="Arial" w:hAnsi="Arial"/>
                <w:sz w:val="18"/>
                <w:szCs w:val="18"/>
                <w:color w:val="auto"/>
              </w:rPr>
              <w:t>Issuance of the Series B-1 convertible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400"/>
              <w:spacing w:after="0" w:line="202" w:lineRule="exact"/>
              <w:rPr>
                <w:sz w:val="20"/>
                <w:szCs w:val="20"/>
                <w:color w:val="auto"/>
              </w:rPr>
            </w:pPr>
            <w:r>
              <w:rPr>
                <w:rFonts w:ascii="Arial" w:cs="Arial" w:eastAsia="Arial" w:hAnsi="Arial"/>
                <w:sz w:val="18"/>
                <w:szCs w:val="18"/>
                <w:color w:val="auto"/>
              </w:rPr>
              <w:t>preferred stock upon conversion of</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400"/>
              <w:spacing w:after="0"/>
              <w:rPr>
                <w:sz w:val="20"/>
                <w:szCs w:val="20"/>
                <w:color w:val="auto"/>
              </w:rPr>
            </w:pPr>
            <w:r>
              <w:rPr>
                <w:rFonts w:ascii="Arial" w:cs="Arial" w:eastAsia="Arial" w:hAnsi="Arial"/>
                <w:sz w:val="18"/>
                <w:szCs w:val="18"/>
                <w:color w:val="auto"/>
              </w:rPr>
              <w:t>convertible notes</w:t>
            </w:r>
          </w:p>
        </w:tc>
        <w:tc>
          <w:tcPr>
            <w:tcW w:w="1040" w:type="dxa"/>
            <w:vAlign w:val="bottom"/>
          </w:tcPr>
          <w:p>
            <w:pPr>
              <w:jc w:val="right"/>
              <w:spacing w:after="0"/>
              <w:rPr>
                <w:sz w:val="20"/>
                <w:szCs w:val="20"/>
                <w:color w:val="auto"/>
              </w:rPr>
            </w:pPr>
            <w:r>
              <w:rPr>
                <w:rFonts w:ascii="Arial" w:cs="Arial" w:eastAsia="Arial" w:hAnsi="Arial"/>
                <w:sz w:val="18"/>
                <w:szCs w:val="18"/>
                <w:color w:val="auto"/>
              </w:rPr>
              <w:t>512,858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Exercise of common stock warrants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12,503,009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92,537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-2502535</wp:posOffset>
            </wp:positionV>
            <wp:extent cx="7132320" cy="250317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25031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77"/>
        </w:trPr>
        <w:tc>
          <w:tcPr>
            <w:tcW w:w="19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rPr>
              <w:t>Stockholders’</w:t>
            </w:r>
          </w:p>
        </w:tc>
      </w:tr>
      <w:tr>
        <w:trPr>
          <w:trHeight w:val="169"/>
        </w:trPr>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Deficit</w:t>
            </w:r>
          </w:p>
        </w:tc>
      </w:tr>
      <w:tr>
        <w:trPr>
          <w:trHeight w:val="236"/>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3,641,449</w:t>
            </w:r>
          </w:p>
        </w:tc>
        <w:tc>
          <w:tcPr>
            <w:tcW w:w="2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1,364</w:t>
            </w:r>
          </w:p>
        </w:tc>
        <w:tc>
          <w:tcPr>
            <w:tcW w:w="220" w:type="dxa"/>
            <w:vAlign w:val="bottom"/>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(21,087)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(19,723)</w:t>
            </w:r>
          </w:p>
        </w:tc>
        <w:tc>
          <w:tcPr>
            <w:tcW w:w="60" w:type="dxa"/>
            <w:vAlign w:val="bottom"/>
          </w:tcPr>
          <w:p>
            <w:pPr>
              <w:spacing w:after="0"/>
              <w:rPr>
                <w:sz w:val="20"/>
                <w:szCs w:val="20"/>
                <w:color w:val="auto"/>
              </w:rPr>
            </w:pPr>
          </w:p>
        </w:tc>
      </w:tr>
      <w:tr>
        <w:trPr>
          <w:trHeight w:val="612"/>
        </w:trPr>
        <w:tc>
          <w:tcPr>
            <w:tcW w:w="920" w:type="dxa"/>
            <w:vAlign w:val="bottom"/>
          </w:tcPr>
          <w:p>
            <w:pPr>
              <w:jc w:val="right"/>
              <w:spacing w:after="0"/>
              <w:rPr>
                <w:sz w:val="20"/>
                <w:szCs w:val="20"/>
                <w:color w:val="auto"/>
              </w:rPr>
            </w:pPr>
            <w:r>
              <w:rPr>
                <w:rFonts w:ascii="Arial" w:cs="Arial" w:eastAsia="Arial" w:hAnsi="Arial"/>
                <w:sz w:val="18"/>
                <w:szCs w:val="18"/>
                <w:color w:val="auto"/>
              </w:rPr>
              <w:t>278,049</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10,591</w:t>
            </w:r>
          </w:p>
        </w:tc>
        <w:tc>
          <w:tcPr>
            <w:tcW w:w="220" w:type="dxa"/>
            <w:vAlign w:val="bottom"/>
          </w:tcPr>
          <w:p>
            <w:pPr>
              <w:spacing w:after="0"/>
              <w:rPr>
                <w:sz w:val="21"/>
                <w:szCs w:val="21"/>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10,591</w:t>
            </w:r>
          </w:p>
        </w:tc>
        <w:tc>
          <w:tcPr>
            <w:tcW w:w="60" w:type="dxa"/>
            <w:vAlign w:val="bottom"/>
          </w:tcPr>
          <w:p>
            <w:pPr>
              <w:spacing w:after="0"/>
              <w:rPr>
                <w:sz w:val="21"/>
                <w:szCs w:val="21"/>
                <w:color w:val="auto"/>
              </w:rPr>
            </w:pPr>
          </w:p>
        </w:tc>
      </w:tr>
      <w:tr>
        <w:trPr>
          <w:trHeight w:val="594"/>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r>
      <w:tr>
        <w:trPr>
          <w:trHeight w:val="216"/>
        </w:trPr>
        <w:tc>
          <w:tcPr>
            <w:tcW w:w="920" w:type="dxa"/>
            <w:vAlign w:val="bottom"/>
          </w:tcPr>
          <w:p>
            <w:pPr>
              <w:jc w:val="right"/>
              <w:spacing w:after="0"/>
              <w:rPr>
                <w:sz w:val="20"/>
                <w:szCs w:val="20"/>
                <w:color w:val="auto"/>
              </w:rPr>
            </w:pPr>
            <w:r>
              <w:rPr>
                <w:rFonts w:ascii="Arial" w:cs="Arial" w:eastAsia="Arial" w:hAnsi="Arial"/>
                <w:sz w:val="18"/>
                <w:szCs w:val="18"/>
                <w:color w:val="auto"/>
              </w:rPr>
              <w:t>688,067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20" w:type="dxa"/>
            <w:vAlign w:val="bottom"/>
          </w:tcPr>
          <w:p>
            <w:pPr>
              <w:spacing w:after="0"/>
              <w:rPr>
                <w:sz w:val="18"/>
                <w:szCs w:val="18"/>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8"/>
                <w:szCs w:val="18"/>
                <w:color w:val="auto"/>
              </w:rPr>
            </w:pPr>
          </w:p>
        </w:tc>
      </w:tr>
      <w:tr>
        <w:trPr>
          <w:trHeight w:val="216"/>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18"/>
                <w:szCs w:val="18"/>
                <w:color w:val="auto"/>
              </w:rPr>
            </w:pPr>
          </w:p>
        </w:tc>
        <w:tc>
          <w:tcPr>
            <w:tcW w:w="1340" w:type="dxa"/>
            <w:vAlign w:val="bottom"/>
            <w:gridSpan w:val="4"/>
          </w:tcPr>
          <w:p>
            <w:pPr>
              <w:jc w:val="right"/>
              <w:ind w:right="36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r>
      <w:tr>
        <w:trPr>
          <w:trHeight w:val="225"/>
        </w:trPr>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40" w:type="dxa"/>
            <w:vAlign w:val="bottom"/>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(3,797)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(3,797)</w:t>
            </w:r>
          </w:p>
        </w:tc>
      </w:tr>
      <w:tr>
        <w:trPr>
          <w:trHeight w:val="209"/>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4,607,565</w:t>
            </w:r>
          </w:p>
        </w:tc>
        <w:tc>
          <w:tcPr>
            <w:tcW w:w="22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12,355</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(24,884</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(12,529</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5620" w:space="320"/>
            <w:col w:w="5280"/>
          </w:cols>
          <w:pgMar w:left="320" w:top="358" w:right="359" w:bottom="1440" w:gutter="0" w:footer="0" w:header="0"/>
          <w:type w:val="continuous"/>
        </w:sect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type w:val="continuous"/>
        </w:sectPr>
      </w:pPr>
    </w:p>
    <w:bookmarkStart w:id="233" w:name="page234"/>
    <w:bookmarkEnd w:id="23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104"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720" w:type="dxa"/>
            <w:vAlign w:val="bottom"/>
          </w:tcPr>
          <w:p>
            <w:pPr>
              <w:spacing w:after="0"/>
              <w:rPr>
                <w:sz w:val="14"/>
                <w:szCs w:val="14"/>
                <w:color w:val="auto"/>
              </w:rPr>
            </w:pPr>
          </w:p>
        </w:tc>
        <w:tc>
          <w:tcPr>
            <w:tcW w:w="28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3"/>
                <w:szCs w:val="13"/>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(2,657)</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activities:</w:t>
            </w: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Stock-based compensation</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Non-cash interest expense on convertible notes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Accretion of discounts on convertible notes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Change in fair value of derivative liability</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Change in fair value of grant liability</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Gain on extinguishment of convertible notes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203"/>
        </w:trPr>
        <w:tc>
          <w:tcPr>
            <w:tcW w:w="77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Prepaid expenses and other current assets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ind w:left="620"/>
              <w:spacing w:after="0"/>
              <w:rPr>
                <w:sz w:val="20"/>
                <w:szCs w:val="20"/>
                <w:color w:val="auto"/>
              </w:rPr>
            </w:pPr>
            <w:r>
              <w:rPr>
                <w:rFonts w:ascii="Arial" w:cs="Arial" w:eastAsia="Arial" w:hAnsi="Arial"/>
                <w:sz w:val="16"/>
                <w:szCs w:val="16"/>
                <w:color w:val="auto"/>
              </w:rPr>
              <w:t>Accounts payable and accrued expenses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547</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ind w:left="880"/>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(1,783)</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Purchases of available-for-sale securities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(995)</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Maturities of available-for-sale securities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received on stockholder note receivable</w:t>
            </w:r>
          </w:p>
        </w:tc>
        <w:tc>
          <w:tcPr>
            <w:tcW w:w="100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8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investing activities</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options</w:t>
            </w: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preferred stock and</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warrants, net of issuance costs</w:t>
            </w:r>
          </w:p>
        </w:tc>
        <w:tc>
          <w:tcPr>
            <w:tcW w:w="10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85,396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exercise of common stock warrants</w:t>
            </w: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issuance of convertible notes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Proceeds from Paycheck Protection Program loan</w:t>
            </w:r>
          </w:p>
        </w:tc>
        <w:tc>
          <w:tcPr>
            <w:tcW w:w="1000" w:type="dxa"/>
            <w:vAlign w:val="bottom"/>
          </w:tcPr>
          <w:p>
            <w:pPr>
              <w:spacing w:after="0"/>
              <w:rPr>
                <w:sz w:val="17"/>
                <w:szCs w:val="17"/>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Paycheck Protection Program loan</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Issuance costs for convertible notes</w:t>
            </w:r>
          </w:p>
        </w:tc>
        <w:tc>
          <w:tcPr>
            <w:tcW w:w="100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(5)</w:t>
            </w:r>
          </w:p>
        </w:tc>
        <w:tc>
          <w:tcPr>
            <w:tcW w:w="98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Payments of deferred offering costs</w:t>
            </w:r>
          </w:p>
        </w:tc>
        <w:tc>
          <w:tcPr>
            <w:tcW w:w="10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6"/>
                <w:szCs w:val="16"/>
                <w:color w:val="auto"/>
              </w:rPr>
              <w:t>Net cash provided by financing activities</w:t>
            </w:r>
          </w:p>
        </w:tc>
        <w:tc>
          <w:tcPr>
            <w:tcW w:w="100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28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87,144</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(decrease) increase in cash and cash equivalents</w:t>
            </w: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(1,033)</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83,110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year</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3,317</w:t>
            </w:r>
          </w:p>
        </w:tc>
        <w:tc>
          <w:tcPr>
            <w:tcW w:w="280" w:type="dxa"/>
            <w:vAlign w:val="bottom"/>
            <w:tcBorders>
              <w:bottom w:val="single" w:sz="8" w:color="CFF0FC"/>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year</w:t>
            </w:r>
          </w:p>
        </w:tc>
        <w:tc>
          <w:tcPr>
            <w:tcW w:w="1000" w:type="dxa"/>
            <w:vAlign w:val="bottom"/>
            <w:tcBorders>
              <w:bottom w:val="single" w:sz="8" w:color="auto"/>
            </w:tcBorders>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2,284</w:t>
            </w: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85,166</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offering costs included in accounts payable and</w:t>
            </w:r>
          </w:p>
        </w:tc>
        <w:tc>
          <w:tcPr>
            <w:tcW w:w="10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liabilities</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costs for convertible preferred stock included in</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3,470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720" w:type="dxa"/>
            <w:vAlign w:val="bottom"/>
            <w:tcBorders>
              <w:top w:val="single" w:sz="8" w:color="CFF0FC"/>
            </w:tcBorders>
            <w:shd w:val="clear" w:color="auto" w:fill="CFF0FC"/>
          </w:tcPr>
          <w:p>
            <w:pPr>
              <w:ind w:left="260"/>
              <w:spacing w:after="0" w:line="165" w:lineRule="exact"/>
              <w:rPr>
                <w:sz w:val="20"/>
                <w:szCs w:val="20"/>
                <w:color w:val="auto"/>
              </w:rPr>
            </w:pPr>
            <w:r>
              <w:rPr>
                <w:rFonts w:ascii="Arial" w:cs="Arial" w:eastAsia="Arial" w:hAnsi="Arial"/>
                <w:sz w:val="16"/>
                <w:szCs w:val="16"/>
                <w:color w:val="auto"/>
              </w:rPr>
              <w:t>Allocation of proceeds to common stock warrants issued in</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Series B convertible preferred stock financing</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Issuance of Series B-1 preferred stock upon conversion of</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7720" w:type="dxa"/>
            <w:vAlign w:val="bottom"/>
          </w:tcPr>
          <w:p>
            <w:pPr>
              <w:ind w:left="380"/>
              <w:spacing w:after="0"/>
              <w:rPr>
                <w:sz w:val="20"/>
                <w:szCs w:val="20"/>
                <w:color w:val="auto"/>
              </w:rPr>
            </w:pPr>
            <w:r>
              <w:rPr>
                <w:rFonts w:ascii="Arial" w:cs="Arial" w:eastAsia="Arial" w:hAnsi="Arial"/>
                <w:sz w:val="16"/>
                <w:szCs w:val="16"/>
                <w:color w:val="auto"/>
              </w:rPr>
              <w:t>promissory notes</w:t>
            </w:r>
          </w:p>
        </w:tc>
        <w:tc>
          <w:tcPr>
            <w:tcW w:w="1000" w:type="dxa"/>
            <w:vAlign w:val="bottom"/>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4,515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7720" w:type="dxa"/>
            <w:vAlign w:val="bottom"/>
            <w:tcBorders>
              <w:top w:val="single" w:sz="8" w:color="CFF0FC"/>
            </w:tcBorders>
            <w:shd w:val="clear" w:color="auto" w:fill="CFF0FC"/>
          </w:tcPr>
          <w:p>
            <w:pPr>
              <w:ind w:left="260"/>
              <w:spacing w:after="0" w:line="165" w:lineRule="exact"/>
              <w:rPr>
                <w:sz w:val="20"/>
                <w:szCs w:val="20"/>
                <w:color w:val="auto"/>
              </w:rPr>
            </w:pPr>
            <w:r>
              <w:rPr>
                <w:rFonts w:ascii="Arial" w:cs="Arial" w:eastAsia="Arial" w:hAnsi="Arial"/>
                <w:sz w:val="16"/>
                <w:szCs w:val="16"/>
                <w:color w:val="auto"/>
              </w:rPr>
              <w:t>Recognition of warrant liability in connection with Series B</w:t>
            </w:r>
          </w:p>
        </w:tc>
        <w:tc>
          <w:tcPr>
            <w:tcW w:w="10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convertible preferred stock financing</w:t>
            </w:r>
          </w:p>
        </w:tc>
        <w:tc>
          <w:tcPr>
            <w:tcW w:w="1000" w:type="dxa"/>
            <w:vAlign w:val="bottom"/>
            <w:shd w:val="clear" w:color="auto" w:fill="CFF0FC"/>
          </w:tcPr>
          <w:p>
            <w:pPr>
              <w:jc w:val="right"/>
              <w:ind w:right="822"/>
              <w:spacing w:after="0"/>
              <w:rPr>
                <w:sz w:val="20"/>
                <w:szCs w:val="20"/>
                <w:color w:val="auto"/>
              </w:rPr>
            </w:pPr>
            <w:r>
              <w:rPr>
                <w:rFonts w:ascii="Arial" w:cs="Arial" w:eastAsia="Arial" w:hAnsi="Arial"/>
                <w:sz w:val="16"/>
                <w:szCs w:val="16"/>
                <w:color w:val="auto"/>
                <w:w w:val="89"/>
              </w:rPr>
              <w:t>$</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Recognition of derivative liability upon issuance of convertible</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72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720" w:type="dxa"/>
            <w:vAlign w:val="bottom"/>
          </w:tcPr>
          <w:p>
            <w:pPr>
              <w:ind w:left="380"/>
              <w:spacing w:after="0"/>
              <w:rPr>
                <w:sz w:val="20"/>
                <w:szCs w:val="20"/>
                <w:color w:val="auto"/>
              </w:rPr>
            </w:pPr>
            <w:r>
              <w:rPr>
                <w:rFonts w:ascii="Arial" w:cs="Arial" w:eastAsia="Arial" w:hAnsi="Arial"/>
                <w:sz w:val="16"/>
                <w:szCs w:val="16"/>
                <w:color w:val="auto"/>
              </w:rPr>
              <w:t>notes</w:t>
            </w:r>
          </w:p>
        </w:tc>
        <w:tc>
          <w:tcPr>
            <w:tcW w:w="1000" w:type="dxa"/>
            <w:vAlign w:val="bottom"/>
            <w:tcBorders>
              <w:bottom w:val="single" w:sz="8" w:color="auto"/>
            </w:tcBorders>
          </w:tcPr>
          <w:p>
            <w:pPr>
              <w:jc w:val="right"/>
              <w:ind w:right="822"/>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w:t>
            </w:r>
          </w:p>
        </w:tc>
        <w:tc>
          <w:tcPr>
            <w:tcW w:w="280" w:type="dxa"/>
            <w:vAlign w:val="bottom"/>
          </w:tcPr>
          <w:p>
            <w:pPr>
              <w:spacing w:after="0"/>
              <w:rPr>
                <w:sz w:val="18"/>
                <w:szCs w:val="18"/>
                <w:color w:val="auto"/>
              </w:rPr>
            </w:pP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34" w:name="page235"/>
    <w:bookmarkEnd w:id="23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96" w:lineRule="exact"/>
        <w:rPr>
          <w:sz w:val="20"/>
          <w:szCs w:val="20"/>
          <w:color w:val="auto"/>
        </w:rPr>
      </w:pPr>
    </w:p>
    <w:p>
      <w:pPr>
        <w:ind w:left="580" w:hanging="572"/>
        <w:spacing w:after="0"/>
        <w:tabs>
          <w:tab w:leader="none" w:pos="58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Financial Condition</w:t>
      </w:r>
    </w:p>
    <w:p>
      <w:pPr>
        <w:spacing w:after="0" w:line="106" w:lineRule="exact"/>
        <w:rPr>
          <w:sz w:val="20"/>
          <w:szCs w:val="20"/>
          <w:color w:val="auto"/>
        </w:rPr>
      </w:pPr>
    </w:p>
    <w:p>
      <w:pPr>
        <w:ind w:right="40" w:firstLine="576"/>
        <w:spacing w:after="0" w:line="248" w:lineRule="auto"/>
        <w:rPr>
          <w:sz w:val="20"/>
          <w:szCs w:val="20"/>
          <w:color w:val="auto"/>
        </w:rPr>
      </w:pPr>
      <w:r>
        <w:rPr>
          <w:rFonts w:ascii="Arial" w:cs="Arial" w:eastAsia="Arial" w:hAnsi="Arial"/>
          <w:sz w:val="18"/>
          <w:szCs w:val="18"/>
          <w:color w:val="auto"/>
        </w:rPr>
        <w:t>Athira Pharma, Inc. (the “Company”) was incorporated as M3 Biotechnology, Inc. in the state of Washington on March 31, 2011 and reincorporated in the state of Delaware on October 27, 2015. In April 2019, the Company changed its name to Athira Pharma, Inc. The Company currently has office and laboratory space in Seattle, Washington. The Company is a late clinical-stage biopharmaceutical company focused on developing small molecules to restore neuronal health and stop neurodegradation.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accompanying condensed financial statements have been prepared assuming that the Company will continue as a going concern. The Company has incurred net operating losses since its inception and had an accumulated deficit of $ 24.9 million as of June 30, 2020. The Company had cash and cash equivalents of $85.2 million as of June 30, 2020 and has not generated positive cash flows from operations. To date, the Company has been able to fund its operations primarily through the issuance of convertible notes, common stock warrants, and convertible preferred stock, and to a lesser extent, through grants and exercises of stock options. The Company’s currently available cash and cash equivalents as of June 30, 2020 will be sufficient to meet its anticipated cash requirements and management considers that there are no conditions or events, in the aggregate, that raise substantial doubt about the entity’s ability to continue as a going concern for a period of at least one year from the date the financial statements are issued.</w:t>
      </w:r>
    </w:p>
    <w:p>
      <w:pPr>
        <w:spacing w:after="0" w:line="180"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Management expects operating losses to continue for the foreseeable future. There can be no assurance that the Company will ever earn revenues or achieve profitability, or if achieved, that they will be sustained on a continuing basis. In addition, the manufacturing, clinical and preclinical development activities as well as the commercialization of the Company’s therapies, if approved, will require significant additional financing. The Company may be unable to secure such financing when needed, or if available, such financings may be under terms that are unfavorable to the Company or the current stockholders. If the Company is unable to raise additional funds when needed, it may be required to delay, reduce the scope of, or eliminate development programs, which may adversely affect its business and operations.</w:t>
      </w:r>
    </w:p>
    <w:p>
      <w:pPr>
        <w:spacing w:after="0" w:line="280" w:lineRule="exact"/>
        <w:rPr>
          <w:sz w:val="20"/>
          <w:szCs w:val="20"/>
          <w:color w:val="auto"/>
        </w:rPr>
      </w:pPr>
    </w:p>
    <w:p>
      <w:pPr>
        <w:ind w:right="7720" w:firstLine="8"/>
        <w:spacing w:after="0" w:line="361" w:lineRule="auto"/>
        <w:tabs>
          <w:tab w:leader="none" w:pos="798"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b w:val="1"/>
          <w:bCs w:val="1"/>
          <w:i w:val="1"/>
          <w:iCs w:val="1"/>
          <w:color w:val="auto"/>
        </w:rPr>
        <w:t>Basis of Presentation</w:t>
      </w:r>
    </w:p>
    <w:p>
      <w:pPr>
        <w:ind w:left="580"/>
        <w:spacing w:after="0"/>
        <w:rPr>
          <w:sz w:val="20"/>
          <w:szCs w:val="20"/>
          <w:color w:val="auto"/>
        </w:rPr>
      </w:pPr>
      <w:r>
        <w:rPr>
          <w:rFonts w:ascii="Arial" w:cs="Arial" w:eastAsia="Arial" w:hAnsi="Arial"/>
          <w:sz w:val="18"/>
          <w:szCs w:val="18"/>
          <w:color w:val="auto"/>
        </w:rPr>
        <w:t>The condensed financial statements have been prepared in conformity with U.S. generally accepted accounting principles (“U.S.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104" w:lineRule="exact"/>
        <w:rPr>
          <w:sz w:val="20"/>
          <w:szCs w:val="20"/>
          <w:color w:val="auto"/>
        </w:rPr>
      </w:pPr>
    </w:p>
    <w:p>
      <w:pPr>
        <w:ind w:firstLine="576"/>
        <w:spacing w:after="0"/>
        <w:rPr>
          <w:sz w:val="20"/>
          <w:szCs w:val="20"/>
          <w:color w:val="auto"/>
        </w:rPr>
      </w:pPr>
      <w:r>
        <w:rPr>
          <w:rFonts w:ascii="Arial" w:cs="Arial" w:eastAsia="Arial" w:hAnsi="Arial"/>
          <w:sz w:val="18"/>
          <w:szCs w:val="18"/>
          <w:color w:val="auto"/>
        </w:rPr>
        <w:t>The accompanying condensed balance sheet as of June 30, 2020, and condensed statements of operations and comprehensive loss, condensed statements of cash flows, and condensed statements of convertible preferred stock and stockholders’ deficit for the six months ended June 30, 2019 and 2020, are unaudited. The balance sheet as of December 31, 2019 was derived from the audited financial statements as of and for the year ended December 31, 2019. The unaudited interim condensed financial statements have been prepared on a basis consistent with the audited annual financial statements as of and for the year ended December 31, 2019, and, in the opinion of management, reflect all adjustments, consisting solely of normal recurring adjustments, necessary for the fair presentation of the Company’s financial position as of June 30, 2020, and the condensed results of its operations and its cash flows for the six months ended June 30, 2019 and 2020. The financial data and other information disclosed in these notes related to the six months ended June 30, 2019 and 2020 are also unaudited. The condensed results of operations for the six months ended June 30, 2020 are not necessarily indicative of the results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8" w:right="359" w:bottom="1440" w:gutter="0" w:footer="0" w:header="0"/>
        </w:sectPr>
      </w:pPr>
    </w:p>
    <w:bookmarkStart w:id="235" w:name="page236"/>
    <w:bookmarkEnd w:id="23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to be expected for the full year ending December 31, 2020 or any other period. These interim condensed financial statements should be read in conjunction with the Company’s audited financial statements included elsewhere in this prospectus.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Balance Sheet Information</w:t>
      </w:r>
    </w:p>
    <w:p>
      <w:pPr>
        <w:spacing w:after="0" w:line="104" w:lineRule="exact"/>
        <w:rPr>
          <w:sz w:val="20"/>
          <w:szCs w:val="20"/>
          <w:color w:val="auto"/>
        </w:rPr>
      </w:pPr>
    </w:p>
    <w:p>
      <w:pPr>
        <w:ind w:right="80" w:firstLine="576"/>
        <w:spacing w:after="0" w:line="241" w:lineRule="auto"/>
        <w:rPr>
          <w:sz w:val="20"/>
          <w:szCs w:val="20"/>
          <w:color w:val="auto"/>
        </w:rPr>
      </w:pPr>
      <w:r>
        <w:rPr>
          <w:rFonts w:ascii="Arial" w:cs="Arial" w:eastAsia="Arial" w:hAnsi="Arial"/>
          <w:sz w:val="18"/>
          <w:szCs w:val="18"/>
          <w:color w:val="auto"/>
        </w:rPr>
        <w:t>In contemplation of the Company’s planned initial public offering (“IPO”), the unaudited pro forma stockholders’ equity in the condensed balance sheet reflects shares of the Company’s common stock outstanding as of June 30, 2020 and assumes the conversion of all outstanding shares of the Company’s convertible preferred stock into shares of its common stock at a ratio of 1:1, upon the closing of a firm-commitment underwritten public offering with gross proceeds of at least $50.0 million. The pro forma financial information also reflects the net exercise of outstanding warrants for shares of common stock, the reclassification of the convertible preferred stock warrant liability to additional paid-in capital, and the repayment of the grant liability upon the closing of the IPO. The shares of common stock issuable and the proceeds expected to be received in the IPO are excluded from such pro forma financial information presented herein.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60" w:firstLine="576"/>
        <w:spacing w:after="0" w:line="24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the disclosure of contingent assets and liabilities at the date of the financial statements and the reported amounts of expenses during the reporting period. Estimates include those used for fair value of assets and liabilities, accrued liabilities, valuation allowance for deferred tax assets, and stock-based compensation. Management evaluates related assumptions on an ongoing basis using historical experience and other factors, and adjusts those estimates and assumptions when facts and circumstances dictate. Actual results could differ from those estimates.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4" w:lineRule="exact"/>
        <w:rPr>
          <w:sz w:val="20"/>
          <w:szCs w:val="20"/>
          <w:color w:val="auto"/>
        </w:rPr>
      </w:pPr>
    </w:p>
    <w:p>
      <w:pPr>
        <w:ind w:right="40" w:firstLine="576"/>
        <w:spacing w:after="0"/>
        <w:rPr>
          <w:sz w:val="20"/>
          <w:szCs w:val="20"/>
          <w:color w:val="auto"/>
        </w:rPr>
      </w:pPr>
      <w:r>
        <w:rPr>
          <w:rFonts w:ascii="Arial" w:cs="Arial" w:eastAsia="Arial" w:hAnsi="Arial"/>
          <w:sz w:val="18"/>
          <w:szCs w:val="18"/>
          <w:color w:val="auto"/>
        </w:rPr>
        <w:t>The Company is subject to a number of inherent risks which include, but are not limited to, the need to obtain adequate additional funding, possible failure of clinical trials or other events demonstrating a lack of clinical safety or efficacy of its product candidates, dependence on key personnel, reliance on third-party service providers for manufacturing or drug product and conduct of clinical trials, the ability to successfully secure its proprietary technology, and risks related to the regulatory approval and commercialization of a drug candidate. Additionally, the development and commercialization of new drug products is highly competitive. There are a number of large pharmaceutical and biotechnology companies developing products for the treatment of neurodegenerative diseases that may have significantly greater financial resources and expertise in drug product development. Products or technologies developed by competitors may diminish or render obsolete the Company’s existing products under development.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4" w:lineRule="exact"/>
        <w:rPr>
          <w:sz w:val="20"/>
          <w:szCs w:val="20"/>
          <w:color w:val="auto"/>
        </w:rPr>
      </w:pPr>
    </w:p>
    <w:p>
      <w:pPr>
        <w:ind w:right="80" w:firstLine="576"/>
        <w:spacing w:after="0" w:line="277" w:lineRule="auto"/>
        <w:rPr>
          <w:sz w:val="20"/>
          <w:szCs w:val="20"/>
          <w:color w:val="auto"/>
        </w:rPr>
      </w:pPr>
      <w:r>
        <w:rPr>
          <w:rFonts w:ascii="Arial" w:cs="Arial" w:eastAsia="Arial" w:hAnsi="Arial"/>
          <w:sz w:val="17"/>
          <w:szCs w:val="17"/>
          <w:color w:val="auto"/>
        </w:rPr>
        <w:t>The carrying amounts of certain financial instruments, including cash and cash equivalents, accounts payable and accrued expenses approximate their fair values due to the short-term nature of those amounts. The fair values of the grant liability to Life Services Discovery Fund (“LSDF”), the derivative liability, and the convertible preferred stock warrant liability were estimated using Level 3 unobservable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Warrant Liability</w:t>
      </w:r>
    </w:p>
    <w:p>
      <w:pPr>
        <w:spacing w:after="0" w:line="117"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Freestanding warrants to purchase shares of the Company’s convertible preferred stock are accounted for as liabilities at fair value, because the shares underlying the warrants contain contingent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6" w:name="page237"/>
    <w:bookmarkEnd w:id="23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1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redemption features outside the control of the Company. Warrants classified as liabilities are recorded on the Company’s balance sheets at their fair value on the date of issuance and remeasured to fair value on each subsequent reporting period, with the changes in fair value recognized as a component of other income (expense), net in the accompanying statements of operations. The Company will continue to adjust the liability for changes in the fair value of these warrants until the earlier of the exercise of the warrants, the expiration of the warrants, or until such time as the warrants are no longer considered liability instruments.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The Company capitalizes costs that are directly associated with in-process equity financings until such financings are consummated, at which time such costs reduce the gross proceeds of the offering. Should an in-process equity financing be abandoned, deferred offering costs are expensed immediately to operating expenses in the statement of operations and comprehensive loss.</w:t>
      </w:r>
    </w:p>
    <w:p>
      <w:pPr>
        <w:spacing w:after="0" w:line="204" w:lineRule="exact"/>
        <w:rPr>
          <w:sz w:val="20"/>
          <w:szCs w:val="20"/>
          <w:color w:val="auto"/>
        </w:rPr>
      </w:pPr>
    </w:p>
    <w:p>
      <w:pPr>
        <w:ind w:right="60" w:firstLine="576"/>
        <w:spacing w:after="0" w:line="245" w:lineRule="auto"/>
        <w:rPr>
          <w:sz w:val="20"/>
          <w:szCs w:val="20"/>
          <w:color w:val="auto"/>
        </w:rPr>
      </w:pPr>
      <w:r>
        <w:rPr>
          <w:rFonts w:ascii="Arial" w:cs="Arial" w:eastAsia="Arial" w:hAnsi="Arial"/>
          <w:sz w:val="18"/>
          <w:szCs w:val="18"/>
          <w:color w:val="auto"/>
        </w:rPr>
        <w:t>The Company also has deferred offering costs consisting of legal, accounting and other fees and costs directly attributable to the Company’s planned IPO. The deferred offering costs will be offset against the proceeds received upon the completion of the planned IPO. In the event the planned IPO is terminated, or delayed for more than 90 days, all of the deferred offering costs will be expensed within the Company’s condensed statements of operations. The Company had $415,000 of deferred offering costs recorded in other assets on the condensed balance sheet June 30, 2020. There were no deferred offering costs as of December 31, 2019.</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576"/>
        <w:spacing w:after="0" w:line="243" w:lineRule="auto"/>
        <w:rPr>
          <w:sz w:val="20"/>
          <w:szCs w:val="20"/>
          <w:color w:val="auto"/>
        </w:rPr>
      </w:pPr>
      <w:r>
        <w:rPr>
          <w:rFonts w:ascii="Arial" w:cs="Arial" w:eastAsia="Arial" w:hAnsi="Arial"/>
          <w:sz w:val="18"/>
          <w:szCs w:val="18"/>
          <w:color w:val="auto"/>
        </w:rPr>
        <w:t>Research and development expenses consist primarily of direct and indirect costs incurred for research activities, including development of the ATH platform, the Company’s drug discovery efforts and the development of its product candidates. Direct costs include laboratory materials and supplies, contracted research and manufacturing, clinical trial costs, consulting fees, and other expenses incurred to sustain the Company’s research and development program. Indirect costs include personnel-related expenses, consisting of employee salaries, related benefits, and stock-based compensation expense for employees engaged in research and development activities, and facilities and other expenses consisting of direct and allocated expenses for rent and depreciation and lab consumables.</w:t>
      </w:r>
    </w:p>
    <w:p>
      <w:pPr>
        <w:spacing w:after="0" w:line="201" w:lineRule="exact"/>
        <w:rPr>
          <w:sz w:val="20"/>
          <w:szCs w:val="20"/>
          <w:color w:val="auto"/>
        </w:rPr>
      </w:pPr>
    </w:p>
    <w:p>
      <w:pPr>
        <w:ind w:right="20" w:firstLine="576"/>
        <w:spacing w:after="0" w:line="241" w:lineRule="auto"/>
        <w:rPr>
          <w:sz w:val="20"/>
          <w:szCs w:val="20"/>
          <w:color w:val="auto"/>
        </w:rPr>
      </w:pPr>
      <w:r>
        <w:rPr>
          <w:rFonts w:ascii="Arial" w:cs="Arial" w:eastAsia="Arial" w:hAnsi="Arial"/>
          <w:sz w:val="18"/>
          <w:szCs w:val="18"/>
          <w:color w:val="auto"/>
        </w:rPr>
        <w:t>Research and development costs are expensed as incurred. In-licensing fees and other costs to acquire technologies used in research and development that have not yet received regulatory approval and that are not expected to have an alternative future use are expense when incurred. Non-refundable advance payments for goods and services that will be used over time for research and development are capitalized and recognized as goods are delivered or as the related services are performed. The Company estimates the period over which such services will be performed and the level of effort to be expended in each period. If actual timing of performance or the level of effort varies from the estimate, the Company will adjust the amounts recorded accordingly. The Company has not experienced any material differences between accrued or prepaid costs and actual costs since inception.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right="220" w:firstLine="576"/>
        <w:spacing w:after="0" w:line="245" w:lineRule="auto"/>
        <w:rPr>
          <w:sz w:val="20"/>
          <w:szCs w:val="20"/>
          <w:color w:val="auto"/>
        </w:rPr>
      </w:pPr>
      <w:r>
        <w:rPr>
          <w:rFonts w:ascii="Arial" w:cs="Arial" w:eastAsia="Arial" w:hAnsi="Arial"/>
          <w:sz w:val="18"/>
          <w:szCs w:val="18"/>
          <w:color w:val="auto"/>
        </w:rPr>
        <w:t>General and administrative expenses consist primarily of personnel-related costs, consisting of employee salaries, related benefits, and stock-based compensation expense for employees in the executive, legal, finance and accounting, human resources, and other administrative functions. General and administrative expenses also include third-party costs such as legal costs, insurance costs, accounting, auditing and tax related fees, consulting fees and facilities and other expenses not otherwise included as research and development expenses. General and administrative costs are expensed as incurred.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37" w:name="page238"/>
    <w:bookmarkEnd w:id="23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measures compensation expense for all stock-based payments to employees, officers and directors based on the estimated fair value of the award at the grant date. For stock options, the Company estimates the grant date fair value of each option award using the Black-Scholes option-pricing model. Compensation expense is recognized over the requisite service period on a straight-line basis. Forfeitures are recognized as they occur.</w:t>
      </w:r>
    </w:p>
    <w:p>
      <w:pPr>
        <w:spacing w:after="0" w:line="170"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Company records compensation expense for stock option grants subject to performance-based milestone vesting using the accelerated attribution method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170"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The Company adopted Accounting Standard Update (“ASU”) 2018-07 as of January 1, 2020. As a result, stock-based payments issued to non-employees prior to January 1, 2020 have been recorded at their fair values as of the transition date, and are no longer subject to periodic adjustments as the underlying equity instruments vest. Any remaining compensation expense is recognized over the remaining vesting term on a straight-line basis, which reflects the service period, based on the fair value as of January 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620" w:firstLine="576"/>
        <w:spacing w:after="0" w:line="276" w:lineRule="auto"/>
        <w:rPr>
          <w:sz w:val="20"/>
          <w:szCs w:val="20"/>
          <w:color w:val="auto"/>
        </w:rPr>
      </w:pPr>
      <w:r>
        <w:rPr>
          <w:rFonts w:ascii="Arial" w:cs="Arial" w:eastAsia="Arial" w:hAnsi="Arial"/>
          <w:sz w:val="18"/>
          <w:szCs w:val="18"/>
          <w:color w:val="auto"/>
        </w:rPr>
        <w:t>Comprehensive loss consists of net loss and other gains and losses affecting stockholders’ deficit that, under U.S. GAAP, are excluded from net loss. The Company has no items of other comprehensive loss. As such, net loss equals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04" w:lineRule="exact"/>
        <w:rPr>
          <w:sz w:val="20"/>
          <w:szCs w:val="20"/>
          <w:color w:val="auto"/>
        </w:rPr>
      </w:pPr>
    </w:p>
    <w:p>
      <w:pPr>
        <w:ind w:right="300" w:firstLine="576"/>
        <w:spacing w:after="0" w:line="248" w:lineRule="auto"/>
        <w:rPr>
          <w:sz w:val="20"/>
          <w:szCs w:val="20"/>
          <w:color w:val="auto"/>
        </w:rPr>
      </w:pPr>
      <w:r>
        <w:rPr>
          <w:rFonts w:ascii="Arial" w:cs="Arial" w:eastAsia="Arial" w:hAnsi="Arial"/>
          <w:sz w:val="18"/>
          <w:szCs w:val="18"/>
          <w:color w:val="auto"/>
        </w:rPr>
        <w:t>Basic net loss per share attributable to common stockholders is calculated by dividing the net loss attributable to common stockholders by the weighted-average number of shares of common stock outstanding for the period, without consideration of potentially dilutive securities. Diluted net loss per share attributable to common stockholders is the same as basic net loss per share attributable to common stockholders since the effect of potentially dilutive securities is anti-dilutive given the net loss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The unaudited pro forma basic and diluted net loss per share attributable to common stockholders has been computed to give effect to the conversion of all shares of convertible preferred stock into common stock, the net exercise of outstanding warrants for shares of common stock, and the repayment of the grant liability upon the closing of an IPO resulting in at least $50.0 million in gross proceeds. The unaudited pro forma net loss per share attributable to common stockholders does not include the shares to be sold from the proposed IPO.</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238" w:name="page239"/>
    <w:bookmarkEnd w:id="23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right="160" w:firstLine="576"/>
        <w:spacing w:after="0" w:line="255" w:lineRule="auto"/>
        <w:rPr>
          <w:sz w:val="20"/>
          <w:szCs w:val="20"/>
          <w:color w:val="auto"/>
        </w:rPr>
      </w:pPr>
      <w:r>
        <w:rPr>
          <w:rFonts w:ascii="Arial" w:cs="Arial" w:eastAsia="Arial" w:hAnsi="Arial"/>
          <w:sz w:val="18"/>
          <w:szCs w:val="18"/>
          <w:color w:val="auto"/>
        </w:rPr>
        <w:t>The Company has determined that it operates and manages one operating segment, which is the business of developing and commercializing therapeutics. The Company’s chief operating decision maker, its chief executive officer, reviews financial information on an aggregate basis for the purpose of allocating resources.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right="240" w:firstLine="576"/>
        <w:spacing w:after="0" w:line="245" w:lineRule="auto"/>
        <w:rPr>
          <w:sz w:val="20"/>
          <w:szCs w:val="20"/>
          <w:color w:val="auto"/>
        </w:rPr>
      </w:pPr>
      <w:r>
        <w:rPr>
          <w:rFonts w:ascii="Arial" w:cs="Arial" w:eastAsia="Arial" w:hAnsi="Arial"/>
          <w:sz w:val="18"/>
          <w:szCs w:val="18"/>
          <w:color w:val="auto"/>
        </w:rPr>
        <w:t>As of December 31, 2019 and June 30, 2020, the Company had an unsecured note receivable outstanding from its chief executive officer of approximately $36,000 and $33,000, respectively. The note accrues interest at 1.45% and requires monthly payments with final repayment in April 2025. The note is included in current portion of unsecured stockholder note receivable and unsecured stockholder note receivable in the accompanying condensed balance sheets. Interest income is recognized using the effective interest method, and is included in other income (expense), net in the condensed statements of operations and comprehensive loss.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is (a) no longer an emerging growth company or (b) affirmatively and irrevocably opt out of the extended transition period provided in the JOBS Act. As a result, these financial statements may not be comparable to companies that comply with the new or revised accounting pronouncements as of public company effective dates.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 xml:space="preserve">In February 2016, the Financial Accounting Standards Board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The ASU requires entities to recognize in the balance sheet a liability to make lease payments and a right-of-use asset representing its right to use the underlying asset for the lease term. The Company will adopt the standard on January 1, 2021 using the modified retrospective method in the year of adoption and electing certain transition practical expedients. The Company is currently evaluating the guidance to determine the potential impact on its financial condition, results of operations and cash flows, and financial statement disclosures, and expects that the adoption of the ASU will increase assets and liabilities related to the Company’s operating leases in the balance sheets.</w:t>
      </w:r>
    </w:p>
    <w:p>
      <w:pPr>
        <w:spacing w:after="0" w:line="17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Credit Losses (Topic 326)</w:t>
      </w:r>
      <w:r>
        <w:rPr>
          <w:rFonts w:ascii="Arial" w:cs="Arial" w:eastAsia="Arial" w:hAnsi="Arial"/>
          <w:sz w:val="18"/>
          <w:szCs w:val="18"/>
          <w:color w:val="auto"/>
        </w:rPr>
        <w:t xml:space="preserve"> as clarified in ASU 2019-04 and ASU 2019-05. The objective of the standard is to provide information about expected credit losses on financial instruments at each reporting date and to change how other-than-temporary impairments on investment securities are recorded. The ASU will become effective beginning January 1, 2023, with early adoption permitted. The Company is currently evaluating the potential impacts of the ASU on its financial condition, results of operations, cash flows and financial statement disclosures.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60" w:firstLine="576"/>
        <w:spacing w:after="0" w:line="248"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 – Changes to the Disclosure Requirements for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w:t>
      </w:r>
      <w:r>
        <w:rPr>
          <w:rFonts w:ascii="Arial" w:cs="Arial" w:eastAsia="Arial" w:hAnsi="Arial"/>
          <w:sz w:val="18"/>
          <w:szCs w:val="18"/>
          <w:color w:val="auto"/>
        </w:rPr>
        <w:t>, which eliminates certain disclosure requirements for fair value measurements for all entities, requires public entities to</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 certain new information and modifies some disclosure requirements. The Company adopted this standard on January 1, 2020 and it did not have a material impact on its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9" w:name="page240"/>
    <w:bookmarkEnd w:id="23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(Topic 326) Improvements to Nonemployee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The new ASU simplifies the accounting for share-based payments to non-employees by aligning it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accounting for share-based payments to employees, with certain exceptions. The Company adopted the standard on January 1, 2020 and it did not have a material impact on the Company’s financial condition, results of operations and cash flows.</w:t>
      </w:r>
    </w:p>
    <w:p>
      <w:pPr>
        <w:spacing w:after="0" w:line="170"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 − Goodwill and Others − Internal-Use Software (Subtopic 350-40)</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 Accounting for Implementation Costs Incurred in a Cloud Computing Arrangement that Is a Service Contract</w:t>
      </w:r>
      <w:r>
        <w:rPr>
          <w:rFonts w:ascii="Arial" w:cs="Arial" w:eastAsia="Arial" w:hAnsi="Arial"/>
          <w:sz w:val="18"/>
          <w:szCs w:val="18"/>
          <w:color w:val="auto"/>
        </w:rPr>
        <w:t>. The objective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ASU is to align the requirements for capitalizing implementation costs incurred in a hosting arrangement that is a service contract with the requirements for capitalizing implementation costs incurred to develop or obtain internal-use software. The ASU will become effective beginning January 1, 2021, with early adoption permitted. The Company does not expect the adoption of this ASU to have a significant impact on its financial condition, results of operations, cash flows and financial statement disclosures. In August 2018, the FASB issued ASU No. 2018-13, </w:t>
      </w:r>
      <w:r>
        <w:rPr>
          <w:rFonts w:ascii="Arial" w:cs="Arial" w:eastAsia="Arial" w:hAnsi="Arial"/>
          <w:sz w:val="18"/>
          <w:szCs w:val="18"/>
          <w:i w:val="1"/>
          <w:iCs w:val="1"/>
          <w:color w:val="auto"/>
        </w:rPr>
        <w:t>Disclosure Framework – Changes to the Disclosure Requirements for Fair Value Measurement</w:t>
      </w:r>
      <w:r>
        <w:rPr>
          <w:rFonts w:ascii="Arial" w:cs="Arial" w:eastAsia="Arial" w:hAnsi="Arial"/>
          <w:sz w:val="18"/>
          <w:szCs w:val="18"/>
          <w:color w:val="auto"/>
        </w:rPr>
        <w:t>, which eliminates certain disclosure requirements for fair value measurements for all entities, requires public entities to disclose certain new information and modifies some disclosure requirements. The Company adopted this standard on January 1, 2020 and it did not have a material impact on its financial statements.</w:t>
      </w:r>
    </w:p>
    <w:p>
      <w:pPr>
        <w:spacing w:after="0" w:line="326" w:lineRule="exact"/>
        <w:rPr>
          <w:sz w:val="20"/>
          <w:szCs w:val="20"/>
          <w:color w:val="auto"/>
        </w:rPr>
      </w:pPr>
    </w:p>
    <w:p>
      <w:pPr>
        <w:ind w:left="580" w:hanging="572"/>
        <w:spacing w:after="0"/>
        <w:tabs>
          <w:tab w:leader="none" w:pos="58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106" w:lineRule="exact"/>
        <w:rPr>
          <w:sz w:val="20"/>
          <w:szCs w:val="20"/>
          <w:color w:val="auto"/>
        </w:rPr>
      </w:pPr>
    </w:p>
    <w:p>
      <w:pPr>
        <w:ind w:right="100" w:firstLine="576"/>
        <w:spacing w:after="0" w:line="306" w:lineRule="auto"/>
        <w:rPr>
          <w:sz w:val="20"/>
          <w:szCs w:val="20"/>
          <w:color w:val="auto"/>
        </w:rPr>
      </w:pPr>
      <w:r>
        <w:rPr>
          <w:rFonts w:ascii="Arial" w:cs="Arial" w:eastAsia="Arial" w:hAnsi="Arial"/>
          <w:sz w:val="17"/>
          <w:szCs w:val="17"/>
          <w:color w:val="auto"/>
        </w:rPr>
        <w:t>The Company has certain assets and liabilities that are measured at fair value on a recurring basis according to a fair value hierarchy that prioritizes the inputs, assumptions and valuation techniques used to measure fair value. The three levels of the fair value hierarchy are:</w:t>
      </w:r>
    </w:p>
    <w:p>
      <w:pPr>
        <w:spacing w:after="0" w:line="15" w:lineRule="exact"/>
        <w:rPr>
          <w:sz w:val="20"/>
          <w:szCs w:val="20"/>
          <w:color w:val="auto"/>
        </w:rPr>
      </w:pPr>
    </w:p>
    <w:p>
      <w:pPr>
        <w:ind w:left="580" w:right="80"/>
        <w:spacing w:after="0" w:line="276"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w:t>
      </w:r>
    </w:p>
    <w:p>
      <w:pPr>
        <w:spacing w:after="0" w:line="37" w:lineRule="exact"/>
        <w:rPr>
          <w:sz w:val="20"/>
          <w:szCs w:val="20"/>
          <w:color w:val="auto"/>
        </w:rPr>
      </w:pPr>
    </w:p>
    <w:p>
      <w:pPr>
        <w:ind w:left="580" w:right="360"/>
        <w:spacing w:after="0" w:line="276"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financial instruments for which all significant inputs are observable, either</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w:t>
      </w:r>
    </w:p>
    <w:p>
      <w:pPr>
        <w:spacing w:after="0" w:line="37"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are generally unobservable and reflect management’s estimates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 The fair values are determined using model-based techniques, including probability-based simulation methodologies.</w:t>
      </w:r>
    </w:p>
    <w:p>
      <w:pPr>
        <w:spacing w:after="0" w:line="164" w:lineRule="exact"/>
        <w:rPr>
          <w:sz w:val="20"/>
          <w:szCs w:val="20"/>
          <w:color w:val="auto"/>
        </w:rPr>
      </w:pPr>
    </w:p>
    <w:p>
      <w:pPr>
        <w:jc w:val="both"/>
        <w:ind w:right="100" w:firstLine="576"/>
        <w:spacing w:after="0" w:line="248" w:lineRule="auto"/>
        <w:rPr>
          <w:sz w:val="20"/>
          <w:szCs w:val="20"/>
          <w:color w:val="auto"/>
        </w:rPr>
      </w:pPr>
      <w:r>
        <w:rPr>
          <w:rFonts w:ascii="Arial" w:cs="Arial" w:eastAsia="Arial" w:hAnsi="Arial"/>
          <w:sz w:val="18"/>
          <w:szCs w:val="18"/>
          <w:color w:val="auto"/>
        </w:rPr>
        <w:t>The determination of a financial instrument’s level within the fair value hierarchy is based on an assessment of the lowest level of any input that is significant to the fair value measurement. The Company considers observable data to be market data which is readily available, regularly distributed or updated, reliable and verifiable, not proprietary, and provided by independent sources that are actively involved in the relevant market.</w:t>
      </w:r>
    </w:p>
    <w:p>
      <w:pPr>
        <w:spacing w:after="0" w:line="197" w:lineRule="exact"/>
        <w:rPr>
          <w:sz w:val="20"/>
          <w:szCs w:val="20"/>
          <w:color w:val="auto"/>
        </w:rPr>
      </w:pPr>
    </w:p>
    <w:p>
      <w:pPr>
        <w:ind w:right="740" w:firstLine="576"/>
        <w:spacing w:after="0" w:line="276" w:lineRule="auto"/>
        <w:rPr>
          <w:sz w:val="20"/>
          <w:szCs w:val="20"/>
          <w:color w:val="auto"/>
        </w:rPr>
      </w:pPr>
      <w:r>
        <w:rPr>
          <w:rFonts w:ascii="Arial" w:cs="Arial" w:eastAsia="Arial" w:hAnsi="Arial"/>
          <w:sz w:val="18"/>
          <w:szCs w:val="18"/>
          <w:color w:val="auto"/>
        </w:rPr>
        <w:t>The fair value hierarchy of the Company’s liabilities carried at fair value and measured on a recurring basis was as follows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5"/>
          </w:tcPr>
          <w:p>
            <w:pPr>
              <w:jc w:val="right"/>
              <w:ind w:right="335"/>
              <w:spacing w:after="0"/>
              <w:rPr>
                <w:sz w:val="20"/>
                <w:szCs w:val="20"/>
                <w:color w:val="auto"/>
              </w:rPr>
            </w:pPr>
            <w:r>
              <w:rPr>
                <w:rFonts w:ascii="Arial" w:cs="Arial" w:eastAsia="Arial" w:hAnsi="Arial"/>
                <w:sz w:val="14"/>
                <w:szCs w:val="14"/>
                <w:b w:val="1"/>
                <w:bCs w:val="1"/>
                <w:color w:val="auto"/>
              </w:rPr>
              <w:t>As of December 31, 2019</w:t>
            </w: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3940" w:type="dxa"/>
            <w:vAlign w:val="bottom"/>
            <w:tcBorders>
              <w:bottom w:val="single" w:sz="8" w:color="CFF0FC"/>
            </w:tcBorders>
          </w:tcPr>
          <w:p>
            <w:pPr>
              <w:spacing w:after="0"/>
              <w:rPr>
                <w:sz w:val="14"/>
                <w:szCs w:val="14"/>
                <w:color w:val="auto"/>
              </w:rPr>
            </w:pPr>
          </w:p>
        </w:tc>
        <w:tc>
          <w:tcPr>
            <w:tcW w:w="188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Grant liability</w:t>
            </w:r>
          </w:p>
        </w:tc>
        <w:tc>
          <w:tcPr>
            <w:tcW w:w="2760" w:type="dxa"/>
            <w:vAlign w:val="bottom"/>
            <w:gridSpan w:val="2"/>
          </w:tcPr>
          <w:p>
            <w:pPr>
              <w:jc w:val="right"/>
              <w:ind w:right="699"/>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1,036</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Derivative liability (see Note 7)</w:t>
            </w:r>
          </w:p>
        </w:tc>
        <w:tc>
          <w:tcPr>
            <w:tcW w:w="18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3940" w:type="dxa"/>
            <w:vAlign w:val="bottom"/>
          </w:tcPr>
          <w:p>
            <w:pPr>
              <w:ind w:left="260"/>
              <w:spacing w:after="0"/>
              <w:rPr>
                <w:sz w:val="20"/>
                <w:szCs w:val="20"/>
                <w:color w:val="auto"/>
              </w:rPr>
            </w:pPr>
            <w:r>
              <w:rPr>
                <w:rFonts w:ascii="Arial" w:cs="Arial" w:eastAsia="Arial" w:hAnsi="Arial"/>
                <w:sz w:val="18"/>
                <w:szCs w:val="18"/>
                <w:color w:val="auto"/>
              </w:rPr>
              <w:t>Total</w:t>
            </w:r>
          </w:p>
        </w:tc>
        <w:tc>
          <w:tcPr>
            <w:tcW w:w="18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6"/>
        </w:trPr>
        <w:tc>
          <w:tcPr>
            <w:tcW w:w="3940" w:type="dxa"/>
            <w:vAlign w:val="bottom"/>
          </w:tcPr>
          <w:p>
            <w:pPr>
              <w:spacing w:after="0"/>
              <w:rPr>
                <w:sz w:val="24"/>
                <w:szCs w:val="24"/>
                <w:color w:val="auto"/>
              </w:rPr>
            </w:pPr>
          </w:p>
        </w:tc>
        <w:tc>
          <w:tcPr>
            <w:tcW w:w="2760" w:type="dxa"/>
            <w:vAlign w:val="bottom"/>
            <w:gridSpan w:val="2"/>
          </w:tcPr>
          <w:p>
            <w:pPr>
              <w:jc w:val="right"/>
              <w:ind w:right="819"/>
              <w:spacing w:after="0"/>
              <w:rPr>
                <w:sz w:val="20"/>
                <w:szCs w:val="20"/>
                <w:color w:val="auto"/>
              </w:rPr>
            </w:pPr>
            <w:r>
              <w:rPr>
                <w:rFonts w:ascii="Arial" w:cs="Arial" w:eastAsia="Arial" w:hAnsi="Arial"/>
                <w:sz w:val="18"/>
                <w:szCs w:val="18"/>
                <w:color w:val="auto"/>
              </w:rPr>
              <w:t>F-36</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394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0" w:name="page241"/>
    <w:bookmarkEnd w:id="24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As of June 30, 2020</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58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209"/>
        </w:trPr>
        <w:tc>
          <w:tcPr>
            <w:tcW w:w="5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Grant liability</w:t>
            </w:r>
          </w:p>
        </w:tc>
        <w:tc>
          <w:tcPr>
            <w:tcW w:w="880" w:type="dxa"/>
            <w:vAlign w:val="bottom"/>
          </w:tcPr>
          <w:p>
            <w:pPr>
              <w:jc w:val="right"/>
              <w:ind w:right="696"/>
              <w:spacing w:after="0"/>
              <w:rPr>
                <w:sz w:val="20"/>
                <w:szCs w:val="20"/>
                <w:color w:val="auto"/>
              </w:rPr>
            </w:pPr>
            <w:r>
              <w:rPr>
                <w:rFonts w:ascii="Arial" w:cs="Arial" w:eastAsia="Arial" w:hAnsi="Arial"/>
                <w:sz w:val="18"/>
                <w:szCs w:val="18"/>
                <w:color w:val="auto"/>
                <w:w w:val="79"/>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702"/>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18"/>
                <w:szCs w:val="18"/>
                <w:color w:val="auto"/>
              </w:rPr>
            </w:pP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8"/>
                <w:szCs w:val="18"/>
                <w:color w:val="auto"/>
              </w:rPr>
            </w:pPr>
          </w:p>
        </w:tc>
      </w:tr>
      <w:tr>
        <w:trPr>
          <w:trHeight w:val="210"/>
        </w:trPr>
        <w:tc>
          <w:tcPr>
            <w:tcW w:w="5820" w:type="dxa"/>
            <w:vAlign w:val="bottom"/>
          </w:tcPr>
          <w:p>
            <w:pPr>
              <w:ind w:left="2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right="920" w:firstLine="576"/>
        <w:spacing w:after="0" w:line="276" w:lineRule="auto"/>
        <w:rPr>
          <w:sz w:val="20"/>
          <w:szCs w:val="20"/>
          <w:color w:val="auto"/>
        </w:rPr>
      </w:pPr>
      <w:r>
        <w:rPr>
          <w:rFonts w:ascii="Arial" w:cs="Arial" w:eastAsia="Arial" w:hAnsi="Arial"/>
          <w:sz w:val="18"/>
          <w:szCs w:val="18"/>
          <w:color w:val="auto"/>
        </w:rPr>
        <w:t>The following table presents the activity for the grant liability for the six months ended June 30, 2019 and June 30,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Six Months Ended June 30,</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936</w:t>
            </w:r>
          </w:p>
        </w:tc>
        <w:tc>
          <w:tcPr>
            <w:tcW w:w="3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 of grant liability</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30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The following table presents the activity for the derivative liability for the six months ended June 30, 2019 and June 30, 2020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84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Borders>
              <w:top w:val="single" w:sz="8" w:color="CFF0FC"/>
            </w:tcBorders>
            <w:shd w:val="clear" w:color="auto" w:fill="CFF0FC"/>
          </w:tcPr>
          <w:p>
            <w:pPr>
              <w:spacing w:after="0"/>
              <w:rPr>
                <w:sz w:val="18"/>
                <w:szCs w:val="18"/>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color w:val="auto"/>
              </w:rPr>
              <w:t>Derivative liability recorded upon issuance</w:t>
            </w: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color w:val="auto"/>
              </w:rPr>
              <w:t>of convertible notes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derivative liability</w:t>
            </w:r>
          </w:p>
        </w:tc>
        <w:tc>
          <w:tcPr>
            <w:tcW w:w="11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Derivative liability settled upon conversion of convertible notes</w:t>
            </w:r>
          </w:p>
        </w:tc>
        <w:tc>
          <w:tcPr>
            <w:tcW w:w="1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(1,905)</w:t>
            </w:r>
          </w:p>
        </w:tc>
      </w:tr>
      <w:tr>
        <w:trPr>
          <w:trHeight w:val="210"/>
        </w:trPr>
        <w:tc>
          <w:tcPr>
            <w:tcW w:w="7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1100" w:type="dxa"/>
            <w:vAlign w:val="bottom"/>
            <w:tcBorders>
              <w:top w:val="single" w:sz="8" w:color="auto"/>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p>
      <w:pPr>
        <w:ind w:right="200" w:firstLine="576"/>
        <w:spacing w:after="0" w:line="248" w:lineRule="auto"/>
        <w:rPr>
          <w:sz w:val="20"/>
          <w:szCs w:val="20"/>
          <w:color w:val="auto"/>
        </w:rPr>
      </w:pPr>
      <w:r>
        <w:rPr>
          <w:rFonts w:ascii="Arial" w:cs="Arial" w:eastAsia="Arial" w:hAnsi="Arial"/>
          <w:sz w:val="18"/>
          <w:szCs w:val="18"/>
          <w:color w:val="auto"/>
        </w:rPr>
        <w:t>The losses resulting from the change in fair value of the grant liability and the bifurcated conversion and redemption features related to the derivative liability are classified as other income (expense), net in the accompanying statement of operations and comprehensive loss. Changes in any of the assumptions related to the unobservable inputs identified may change the fair value of these instruments. For example, an increase in interest rates would generally correspond to a decrease in the fair value of the liabilities.</w:t>
      </w:r>
    </w:p>
    <w:p>
      <w:pPr>
        <w:spacing w:after="0" w:line="170" w:lineRule="exact"/>
        <w:rPr>
          <w:sz w:val="20"/>
          <w:szCs w:val="20"/>
          <w:color w:val="auto"/>
        </w:rPr>
      </w:pPr>
    </w:p>
    <w:p>
      <w:pPr>
        <w:ind w:right="660" w:firstLine="576"/>
        <w:spacing w:after="0" w:line="276" w:lineRule="auto"/>
        <w:rPr>
          <w:sz w:val="20"/>
          <w:szCs w:val="20"/>
          <w:color w:val="auto"/>
        </w:rPr>
      </w:pPr>
      <w:r>
        <w:rPr>
          <w:rFonts w:ascii="Arial" w:cs="Arial" w:eastAsia="Arial" w:hAnsi="Arial"/>
          <w:sz w:val="18"/>
          <w:szCs w:val="18"/>
          <w:color w:val="auto"/>
        </w:rPr>
        <w:t>The derivative liability was settled in May 2020 upon conversion of the underlying convertible notes into Series B-1 convertible preferred stock (see Note 7).</w:t>
      </w:r>
    </w:p>
    <w:p>
      <w:pPr>
        <w:spacing w:after="0" w:line="145" w:lineRule="exact"/>
        <w:rPr>
          <w:sz w:val="20"/>
          <w:szCs w:val="20"/>
          <w:color w:val="auto"/>
        </w:rPr>
      </w:pPr>
    </w:p>
    <w:p>
      <w:pPr>
        <w:ind w:right="100" w:firstLine="576"/>
        <w:spacing w:after="0" w:line="276" w:lineRule="auto"/>
        <w:rPr>
          <w:sz w:val="20"/>
          <w:szCs w:val="20"/>
          <w:color w:val="auto"/>
        </w:rPr>
      </w:pPr>
      <w:r>
        <w:rPr>
          <w:rFonts w:ascii="Arial" w:cs="Arial" w:eastAsia="Arial" w:hAnsi="Arial"/>
          <w:sz w:val="18"/>
          <w:szCs w:val="18"/>
          <w:color w:val="auto"/>
        </w:rPr>
        <w:t>The following table presents the activity for the convertible preferred stock warrant liability for the six months ended June 30,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r>
      <w:tr>
        <w:trPr>
          <w:trHeight w:val="175"/>
        </w:trPr>
        <w:tc>
          <w:tcPr>
            <w:tcW w:w="500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5"/>
                <w:szCs w:val="15"/>
                <w:color w:val="auto"/>
              </w:rPr>
            </w:pPr>
          </w:p>
        </w:tc>
      </w:tr>
      <w:tr>
        <w:trPr>
          <w:trHeight w:val="177"/>
        </w:trPr>
        <w:tc>
          <w:tcPr>
            <w:tcW w:w="5000" w:type="dxa"/>
            <w:vAlign w:val="bottom"/>
            <w:tcBorders>
              <w:bottom w:val="single" w:sz="8" w:color="CFF0FC"/>
            </w:tcBorders>
          </w:tcPr>
          <w:p>
            <w:pPr>
              <w:spacing w:after="0"/>
              <w:rPr>
                <w:sz w:val="15"/>
                <w:szCs w:val="15"/>
                <w:color w:val="auto"/>
              </w:rPr>
            </w:pPr>
          </w:p>
        </w:tc>
        <w:tc>
          <w:tcPr>
            <w:tcW w:w="4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20" w:type="dxa"/>
            <w:vAlign w:val="bottom"/>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Fair value at beginning of period</w:t>
            </w:r>
          </w:p>
        </w:tc>
        <w:tc>
          <w:tcPr>
            <w:tcW w:w="4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Recognition of convertible preferred stock warrant liability</w:t>
            </w:r>
          </w:p>
        </w:tc>
        <w:tc>
          <w:tcPr>
            <w:tcW w:w="42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end of period</w:t>
            </w:r>
          </w:p>
        </w:tc>
        <w:tc>
          <w:tcPr>
            <w:tcW w:w="4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2"/>
        </w:trPr>
        <w:tc>
          <w:tcPr>
            <w:tcW w:w="5000" w:type="dxa"/>
            <w:vAlign w:val="bottom"/>
          </w:tcPr>
          <w:p>
            <w:pPr>
              <w:spacing w:after="0"/>
              <w:rPr>
                <w:sz w:val="24"/>
                <w:szCs w:val="24"/>
                <w:color w:val="auto"/>
              </w:rPr>
            </w:pPr>
          </w:p>
        </w:tc>
        <w:tc>
          <w:tcPr>
            <w:tcW w:w="4440" w:type="dxa"/>
            <w:vAlign w:val="bottom"/>
            <w:gridSpan w:val="2"/>
          </w:tcPr>
          <w:p>
            <w:pPr>
              <w:jc w:val="right"/>
              <w:ind w:right="3550"/>
              <w:spacing w:after="0"/>
              <w:rPr>
                <w:sz w:val="20"/>
                <w:szCs w:val="20"/>
                <w:color w:val="auto"/>
              </w:rPr>
            </w:pPr>
            <w:r>
              <w:rPr>
                <w:rFonts w:ascii="Arial" w:cs="Arial" w:eastAsia="Arial" w:hAnsi="Arial"/>
                <w:sz w:val="18"/>
                <w:szCs w:val="18"/>
                <w:color w:val="auto"/>
              </w:rPr>
              <w:t>F-37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8"/>
        </w:trPr>
        <w:tc>
          <w:tcPr>
            <w:tcW w:w="5000" w:type="dxa"/>
            <w:vAlign w:val="bottom"/>
            <w:tcBorders>
              <w:bottom w:val="single" w:sz="8" w:color="9A9A9A"/>
            </w:tcBorders>
          </w:tcPr>
          <w:p>
            <w:pPr>
              <w:spacing w:after="0"/>
              <w:rPr>
                <w:sz w:val="8"/>
                <w:szCs w:val="8"/>
                <w:color w:val="auto"/>
              </w:rPr>
            </w:pPr>
          </w:p>
        </w:tc>
        <w:tc>
          <w:tcPr>
            <w:tcW w:w="4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41" w:name="page242"/>
    <w:bookmarkEnd w:id="24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63" w:lineRule="exact"/>
        <w:rPr>
          <w:sz w:val="20"/>
          <w:szCs w:val="20"/>
          <w:color w:val="auto"/>
        </w:rPr>
      </w:pPr>
    </w:p>
    <w:p>
      <w:pPr>
        <w:ind w:left="580" w:hanging="572"/>
        <w:spacing w:after="0"/>
        <w:tabs>
          <w:tab w:leader="none" w:pos="58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00" w:type="dxa"/>
            <w:vAlign w:val="bottom"/>
          </w:tcPr>
          <w:p>
            <w:pPr>
              <w:spacing w:after="0"/>
              <w:rPr>
                <w:sz w:val="14"/>
                <w:szCs w:val="14"/>
                <w:color w:val="auto"/>
              </w:rPr>
            </w:pP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As of</w:t>
            </w:r>
          </w:p>
        </w:tc>
      </w:tr>
      <w:tr>
        <w:trPr>
          <w:trHeight w:val="176"/>
        </w:trPr>
        <w:tc>
          <w:tcPr>
            <w:tcW w:w="7700" w:type="dxa"/>
            <w:vAlign w:val="bottom"/>
          </w:tcPr>
          <w:p>
            <w:pPr>
              <w:spacing w:after="0"/>
              <w:rPr>
                <w:sz w:val="15"/>
                <w:szCs w:val="15"/>
                <w:color w:val="auto"/>
              </w:rPr>
            </w:pPr>
          </w:p>
        </w:tc>
        <w:tc>
          <w:tcPr>
            <w:tcW w:w="1260" w:type="dxa"/>
            <w:vAlign w:val="bottom"/>
          </w:tcPr>
          <w:p>
            <w:pPr>
              <w:jc w:val="center"/>
              <w:ind w:left="221"/>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70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jc w:val="center"/>
              <w:ind w:left="22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5"/>
                <w:szCs w:val="15"/>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60" w:type="dxa"/>
            <w:vAlign w:val="bottom"/>
            <w:shd w:val="clear" w:color="auto" w:fill="CFF0FC"/>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536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Employee compensation and benefits</w:t>
            </w:r>
          </w:p>
        </w:tc>
        <w:tc>
          <w:tcPr>
            <w:tcW w:w="12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and other</w:t>
            </w:r>
          </w:p>
        </w:tc>
        <w:tc>
          <w:tcPr>
            <w:tcW w:w="126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Pr>
          <w:p>
            <w:pPr>
              <w:ind w:left="260"/>
              <w:spacing w:after="0"/>
              <w:rPr>
                <w:sz w:val="20"/>
                <w:szCs w:val="20"/>
                <w:color w:val="auto"/>
              </w:rPr>
            </w:pPr>
            <w:r>
              <w:rPr>
                <w:rFonts w:ascii="Arial" w:cs="Arial" w:eastAsia="Arial" w:hAnsi="Arial"/>
                <w:sz w:val="18"/>
                <w:szCs w:val="18"/>
                <w:color w:val="auto"/>
              </w:rPr>
              <w:t>Total accrued expenses</w:t>
            </w:r>
          </w:p>
        </w:tc>
        <w:tc>
          <w:tcPr>
            <w:tcW w:w="1260" w:type="dxa"/>
            <w:vAlign w:val="bottom"/>
            <w:tcBorders>
              <w:bottom w:val="single" w:sz="8" w:color="auto"/>
            </w:tcBorders>
          </w:tcPr>
          <w:p>
            <w:pPr>
              <w:jc w:val="right"/>
              <w:ind w:right="1081"/>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852</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 Net</w:t>
      </w:r>
    </w:p>
    <w:p>
      <w:pPr>
        <w:spacing w:after="0" w:line="105"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Other income (expense), net consisted of the following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20" w:type="dxa"/>
            <w:vAlign w:val="bottom"/>
            <w:tcBorders>
              <w:bottom w:val="single" w:sz="8" w:color="auto"/>
            </w:tcBorders>
            <w:gridSpan w:val="5"/>
          </w:tcPr>
          <w:p>
            <w:pPr>
              <w:jc w:val="right"/>
              <w:ind w:right="19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060" w:type="dxa"/>
            <w:vAlign w:val="bottom"/>
          </w:tcPr>
          <w:p>
            <w:pPr>
              <w:jc w:val="right"/>
              <w:ind w:right="39"/>
              <w:spacing w:after="0"/>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 xml:space="preserve">Part the Cloud </w:t>
            </w:r>
            <w:r>
              <w:rPr>
                <w:rFonts w:ascii="Arial" w:cs="Arial" w:eastAsia="Arial" w:hAnsi="Arial"/>
                <w:sz w:val="18"/>
                <w:szCs w:val="18"/>
                <w:color w:val="auto"/>
              </w:rPr>
              <w:t>research grant</w:t>
            </w:r>
          </w:p>
        </w:tc>
        <w:tc>
          <w:tcPr>
            <w:tcW w:w="1060" w:type="dxa"/>
            <w:vAlign w:val="bottom"/>
            <w:tcBorders>
              <w:top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(366)</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10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Change in fair value of grant liability</w:t>
            </w:r>
          </w:p>
        </w:tc>
        <w:tc>
          <w:tcPr>
            <w:tcW w:w="10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Gain on extinguishment of convertible notes</w:t>
            </w:r>
          </w:p>
        </w:tc>
        <w:tc>
          <w:tcPr>
            <w:tcW w:w="10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r>
      <w:tr>
        <w:trPr>
          <w:trHeight w:val="209"/>
        </w:trPr>
        <w:tc>
          <w:tcPr>
            <w:tcW w:w="77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income (expense), net</w:t>
            </w:r>
          </w:p>
        </w:tc>
        <w:tc>
          <w:tcPr>
            <w:tcW w:w="1060" w:type="dxa"/>
            <w:vAlign w:val="bottom"/>
            <w:tcBorders>
              <w:top w:val="single" w:sz="8" w:color="auto"/>
              <w:bottom w:val="single" w:sz="8" w:color="auto"/>
            </w:tcBorders>
            <w:shd w:val="clear" w:color="auto" w:fill="CFF0FC"/>
          </w:tcPr>
          <w:p>
            <w:pPr>
              <w:jc w:val="right"/>
              <w:ind w:right="8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Agreements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Washington State University (“WSU”) License Agreement</w:t>
      </w:r>
    </w:p>
    <w:p>
      <w:pPr>
        <w:spacing w:after="0" w:line="104" w:lineRule="exact"/>
        <w:rPr>
          <w:sz w:val="20"/>
          <w:szCs w:val="20"/>
          <w:color w:val="auto"/>
        </w:rPr>
      </w:pPr>
    </w:p>
    <w:p>
      <w:pPr>
        <w:ind w:right="40" w:firstLine="576"/>
        <w:spacing w:after="0" w:line="245" w:lineRule="auto"/>
        <w:rPr>
          <w:sz w:val="20"/>
          <w:szCs w:val="20"/>
          <w:color w:val="auto"/>
        </w:rPr>
      </w:pPr>
      <w:r>
        <w:rPr>
          <w:rFonts w:ascii="Arial" w:cs="Arial" w:eastAsia="Arial" w:hAnsi="Arial"/>
          <w:sz w:val="18"/>
          <w:szCs w:val="18"/>
          <w:color w:val="auto"/>
        </w:rPr>
        <w:t>In December 2011, the Company entered into an exclusive license agreement with sublicensing terms with Washington State University Research Fund (“WSURF”), which, after the dissolution of WSURF in 2013, was superseded by an amended and restated exclusive license agreement with sublicensing terms between the Company and WSU in 2015. Under this agreement, the Company has an exclusive license to make, use, sell, and offer for sale a chemical compound that forms the underlying technology of the drug therapies being developed by the Company.</w:t>
      </w:r>
    </w:p>
    <w:p>
      <w:pPr>
        <w:spacing w:after="0" w:line="172" w:lineRule="exact"/>
        <w:rPr>
          <w:sz w:val="20"/>
          <w:szCs w:val="20"/>
          <w:color w:val="auto"/>
        </w:rPr>
      </w:pPr>
    </w:p>
    <w:p>
      <w:pPr>
        <w:ind w:right="820" w:firstLine="576"/>
        <w:spacing w:after="0" w:line="276" w:lineRule="auto"/>
        <w:rPr>
          <w:sz w:val="20"/>
          <w:szCs w:val="20"/>
          <w:color w:val="auto"/>
        </w:rPr>
      </w:pPr>
      <w:r>
        <w:rPr>
          <w:rFonts w:ascii="Arial" w:cs="Arial" w:eastAsia="Arial" w:hAnsi="Arial"/>
          <w:sz w:val="18"/>
          <w:szCs w:val="18"/>
          <w:color w:val="auto"/>
        </w:rPr>
        <w:t>To keep in good standing, the agreement requires the Company to meet certain development milestones and pay an annual maintenance fee. All contractual requirements have been met as of June 30, 2020.</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may also be obligated to pay the following if the related milestones are reached:</w:t>
      </w:r>
    </w:p>
    <w:p>
      <w:pPr>
        <w:spacing w:after="0" w:line="104" w:lineRule="exact"/>
        <w:rPr>
          <w:sz w:val="20"/>
          <w:szCs w:val="20"/>
          <w:color w:val="auto"/>
        </w:rPr>
      </w:pPr>
    </w:p>
    <w:p>
      <w:pPr>
        <w:ind w:left="1300" w:right="360" w:hanging="442"/>
        <w:spacing w:after="0" w:line="275" w:lineRule="auto"/>
        <w:tabs>
          <w:tab w:leader="none" w:pos="130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$50,000 – At initiation of the first Phase 2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right="260" w:hanging="442"/>
        <w:spacing w:after="0" w:line="275" w:lineRule="auto"/>
        <w:tabs>
          <w:tab w:leader="none" w:pos="130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$300,000 – At initiation of the first Phase 3 clinical trial in the United States, European Union or Japan for the first licensed product.</w:t>
      </w:r>
    </w:p>
    <w:p>
      <w:pPr>
        <w:spacing w:after="0" w:line="37"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1"/>
        </w:numPr>
        <w:rPr>
          <w:rFonts w:ascii="Times New Roman" w:cs="Times New Roman" w:eastAsia="Times New Roman" w:hAnsi="Times New Roman"/>
          <w:sz w:val="18"/>
          <w:szCs w:val="18"/>
          <w:color w:val="auto"/>
        </w:rPr>
      </w:pPr>
      <w:r>
        <w:rPr>
          <w:rFonts w:ascii="Arial" w:cs="Arial" w:eastAsia="Arial" w:hAnsi="Arial"/>
          <w:sz w:val="18"/>
          <w:szCs w:val="18"/>
          <w:color w:val="auto"/>
        </w:rPr>
        <w:t>$600,000 – Marketing approval in the United States, European Union or Japan for the first licensed product.</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none of these milestones had been reached.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2" w:name="page243"/>
    <w:bookmarkEnd w:id="242"/>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Under the terms of the agreement, the Company will pay a royalty in the mid-single digits of net sales, with the first $100,000 of net sales being exempt from royalty payment, and annual minimum royalty payments of $25,000 beginning after the first commercial sale of a licensed product. As of June 30, 2020, the Company had not incurred a royalty obligation under this agreement.</w:t>
      </w:r>
    </w:p>
    <w:p>
      <w:pPr>
        <w:spacing w:after="0" w:line="164" w:lineRule="exact"/>
        <w:rPr>
          <w:sz w:val="20"/>
          <w:szCs w:val="20"/>
          <w:color w:val="auto"/>
        </w:rPr>
      </w:pPr>
    </w:p>
    <w:p>
      <w:pPr>
        <w:ind w:firstLine="576"/>
        <w:spacing w:after="0" w:line="248" w:lineRule="auto"/>
        <w:rPr>
          <w:sz w:val="20"/>
          <w:szCs w:val="20"/>
          <w:color w:val="auto"/>
        </w:rPr>
      </w:pPr>
      <w:r>
        <w:rPr>
          <w:rFonts w:ascii="Arial" w:cs="Arial" w:eastAsia="Arial" w:hAnsi="Arial"/>
          <w:sz w:val="18"/>
          <w:szCs w:val="18"/>
          <w:color w:val="auto"/>
        </w:rPr>
        <w:t>Additionally, the agreement allows the Company to sublicense the rights conveyed by the agreement, subject to additional payments to WSU for sublicense consideration received. Such amounts are dependent on the terms of the underlying sublicense, and range from the mid-single digits to mid-tens of any non-sales based payments received, and low twenties of net sales based sublicense royalties. As of June 30, 2020, the Company had not entered into or incurred any liability from a sublicense agreement.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Liability</w:t>
      </w:r>
    </w:p>
    <w:p>
      <w:pPr>
        <w:spacing w:after="0" w:line="104" w:lineRule="exact"/>
        <w:rPr>
          <w:sz w:val="20"/>
          <w:szCs w:val="20"/>
          <w:color w:val="auto"/>
        </w:rPr>
      </w:pPr>
    </w:p>
    <w:p>
      <w:pPr>
        <w:jc w:val="both"/>
        <w:ind w:right="120" w:firstLine="576"/>
        <w:spacing w:after="0" w:line="255" w:lineRule="auto"/>
        <w:rPr>
          <w:sz w:val="20"/>
          <w:szCs w:val="20"/>
          <w:color w:val="auto"/>
        </w:rPr>
      </w:pPr>
      <w:r>
        <w:rPr>
          <w:rFonts w:ascii="Arial" w:cs="Arial" w:eastAsia="Arial" w:hAnsi="Arial"/>
          <w:sz w:val="18"/>
          <w:szCs w:val="18"/>
          <w:color w:val="auto"/>
        </w:rPr>
        <w:t>In 2014 and 2015, the Company received $250,000 and $500,000, respectively, from the Washington LSDF under the terms of two matching grant award agreements. In connection with the agreements, LSDF retained the right to receive cash payments of 2.0 times the amounts received, or $1.5 million, upon the occurrence of specified triggering events, including:</w:t>
      </w:r>
    </w:p>
    <w:p>
      <w:pPr>
        <w:spacing w:after="0" w:line="56" w:lineRule="exact"/>
        <w:rPr>
          <w:sz w:val="20"/>
          <w:szCs w:val="20"/>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receipt of license revenue, sales revenue, or consideration related to the underlying IP;</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transfers the underlying IP without receiving consideration;</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relocation of the Company from Washington state;</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completion of an initial public offering;</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a third-party acquisition of a controlling interest in the Company, and;</w:t>
      </w:r>
    </w:p>
    <w:p>
      <w:pPr>
        <w:spacing w:after="0" w:line="116" w:lineRule="exact"/>
        <w:rPr>
          <w:rFonts w:ascii="Times New Roman" w:cs="Times New Roman" w:eastAsia="Times New Roman" w:hAnsi="Times New Roman"/>
          <w:sz w:val="18"/>
          <w:szCs w:val="18"/>
          <w:color w:val="auto"/>
        </w:rPr>
      </w:pPr>
    </w:p>
    <w:p>
      <w:pPr>
        <w:ind w:left="1300" w:hanging="442"/>
        <w:spacing w:after="0"/>
        <w:tabs>
          <w:tab w:leader="none" w:pos="1300" w:val="left"/>
        </w:tabs>
        <w:numPr>
          <w:ilvl w:val="0"/>
          <w:numId w:val="162"/>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the agreements.</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June 30, 2020, no triggering events have occurred and no payments to LSDF have been made.</w:t>
      </w:r>
    </w:p>
    <w:p>
      <w:pPr>
        <w:spacing w:after="0" w:line="212" w:lineRule="exact"/>
        <w:rPr>
          <w:sz w:val="20"/>
          <w:szCs w:val="20"/>
          <w:color w:val="auto"/>
        </w:rPr>
      </w:pPr>
    </w:p>
    <w:p>
      <w:pPr>
        <w:ind w:right="20" w:firstLine="576"/>
        <w:spacing w:after="0"/>
        <w:rPr>
          <w:sz w:val="20"/>
          <w:szCs w:val="20"/>
          <w:color w:val="auto"/>
        </w:rPr>
      </w:pPr>
      <w:r>
        <w:rPr>
          <w:rFonts w:ascii="Arial" w:cs="Arial" w:eastAsia="Arial" w:hAnsi="Arial"/>
          <w:sz w:val="18"/>
          <w:szCs w:val="18"/>
          <w:color w:val="auto"/>
        </w:rPr>
        <w:t xml:space="preserve">To appropriately capture the economics of this arrangement, the grant liability is accounted for under Accounting Standards Codification (“ASC”) 825-10, </w:t>
      </w:r>
      <w:r>
        <w:rPr>
          <w:rFonts w:ascii="Arial" w:cs="Arial" w:eastAsia="Arial" w:hAnsi="Arial"/>
          <w:sz w:val="18"/>
          <w:szCs w:val="18"/>
          <w:i w:val="1"/>
          <w:iCs w:val="1"/>
          <w:color w:val="auto"/>
        </w:rPr>
        <w:t>Financial Instruments −Overall</w:t>
      </w:r>
      <w:r>
        <w:rPr>
          <w:rFonts w:ascii="Arial" w:cs="Arial" w:eastAsia="Arial" w:hAnsi="Arial"/>
          <w:sz w:val="18"/>
          <w:szCs w:val="18"/>
          <w:color w:val="auto"/>
        </w:rPr>
        <w:t>. The estimated fair value of the grant liability is reassessed at each balance sheet date, with changes in fair value reflected in other income (expense), net. To determine the estimated fair value of the grant liability at December 31, 2019 and June 30, 2020, the Company used a discounted cash flow simulation methodology that assigns probabilities to the timing and likelihood of each triggering event, a discount rate based on market data for securities with similar durations and credit ratings to the Company, and the expected payment amount. The assumptions used to calculate the fair value of the grant liability are subject to significant judgment, and payment may be in an amount different from the liability that the Company estimates. However, total payments under the agreements will not exceed $1.5 million.</w:t>
      </w:r>
    </w:p>
    <w:p>
      <w:pPr>
        <w:spacing w:after="0" w:line="180"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estimated fair value of the grant liability was $1.0 million as of each of December 31, 2019 and June 30, 2020. The changes in the fair value of the liability resulted in losses of approximately $30,000 and $11,000 for the six months period ended June 30, 2019 and 2020, respectively, which was included in other income (expense), net in the accompanying statement of operations and comprehensive loss.</w:t>
      </w:r>
    </w:p>
    <w:p>
      <w:pPr>
        <w:spacing w:after="0" w:line="276" w:lineRule="exact"/>
        <w:rPr>
          <w:sz w:val="20"/>
          <w:szCs w:val="20"/>
          <w:color w:val="auto"/>
        </w:rPr>
      </w:pPr>
    </w:p>
    <w:p>
      <w:pPr>
        <w:ind w:left="580" w:hanging="572"/>
        <w:spacing w:after="0"/>
        <w:tabs>
          <w:tab w:leader="none" w:pos="5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0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Convertible Notes</w:t>
      </w:r>
    </w:p>
    <w:p>
      <w:pPr>
        <w:spacing w:after="0" w:line="104" w:lineRule="exact"/>
        <w:rPr>
          <w:sz w:val="20"/>
          <w:szCs w:val="20"/>
          <w:color w:val="auto"/>
        </w:rPr>
      </w:pPr>
    </w:p>
    <w:p>
      <w:pPr>
        <w:ind w:right="20" w:firstLine="576"/>
        <w:spacing w:after="0" w:line="255" w:lineRule="auto"/>
        <w:rPr>
          <w:sz w:val="20"/>
          <w:szCs w:val="20"/>
          <w:color w:val="auto"/>
        </w:rPr>
      </w:pPr>
      <w:r>
        <w:rPr>
          <w:rFonts w:ascii="Arial" w:cs="Arial" w:eastAsia="Arial" w:hAnsi="Arial"/>
          <w:sz w:val="18"/>
          <w:szCs w:val="18"/>
          <w:color w:val="auto"/>
        </w:rPr>
        <w:t>The Company issued unsecured convertible notes with aggregate principal amounts of $1.3 million and $ 884,000 in 2018 and 2019, respectively. The Company issued additional unsecured convertible notes with an aggregate principal amount of $1.7 million in 2020. The notes accrue interest at a rate of</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243" w:name="page244"/>
    <w:bookmarkEnd w:id="243"/>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5% per year and mature in December 2021, unless earlier converted. No principal or interest is payable prior to maturity as the convertible notes and any accrued interest will automatically convert upon a qualified financing event at a conversion price equal to 85% of the price per share of the qualified financing. Holders may also elect to convert their notes to shares of common stock upon the maturity of the notes at the then fair value of common stock. If the Company experiences a change in control, holders may either convert the outstanding principal amount plus any accrued interest into shares of common stock at the then fair value of common stock or may require the Company to repurchase the notes in cash at a price equal to 200% of the outstanding principal amount plus any accrued interest.</w:t>
      </w:r>
    </w:p>
    <w:p>
      <w:pPr>
        <w:spacing w:after="0" w:line="174" w:lineRule="exact"/>
        <w:rPr>
          <w:sz w:val="20"/>
          <w:szCs w:val="20"/>
          <w:color w:val="auto"/>
        </w:rPr>
      </w:pPr>
    </w:p>
    <w:p>
      <w:pPr>
        <w:ind w:right="100" w:firstLine="576"/>
        <w:spacing w:after="0" w:line="241" w:lineRule="auto"/>
        <w:rPr>
          <w:sz w:val="20"/>
          <w:szCs w:val="20"/>
          <w:color w:val="auto"/>
        </w:rPr>
      </w:pPr>
      <w:r>
        <w:rPr>
          <w:rFonts w:ascii="Arial" w:cs="Arial" w:eastAsia="Arial" w:hAnsi="Arial"/>
          <w:sz w:val="18"/>
          <w:szCs w:val="18"/>
          <w:color w:val="auto"/>
        </w:rPr>
        <w:t xml:space="preserve">Certain conversion and redemption features as described above were determined to be an embedded derivative requiring bifurcation and separate accounting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fair value of the embedded derivative was determined using a discounted cash flow simulation methodology that assigns probabilities to the timing and likelihood of each event. The discount rate was determined based on market interest rate data for securities with similar durations and credit ratings to the convertible notes. The fair value of the embedded derivative was recorded as a liability with an offsetting amount recorded as a discount on the convertible notes at each issuance. The discount is being amortized to interest expense using the effective interest method over the contractual term of the notes.</w:t>
      </w:r>
    </w:p>
    <w:p>
      <w:pPr>
        <w:spacing w:after="0" w:line="179" w:lineRule="exact"/>
        <w:rPr>
          <w:sz w:val="20"/>
          <w:szCs w:val="20"/>
          <w:color w:val="auto"/>
        </w:rPr>
      </w:pPr>
    </w:p>
    <w:p>
      <w:pPr>
        <w:ind w:firstLine="576"/>
        <w:spacing w:after="0" w:line="276" w:lineRule="auto"/>
        <w:rPr>
          <w:sz w:val="20"/>
          <w:szCs w:val="20"/>
          <w:color w:val="auto"/>
        </w:rPr>
      </w:pPr>
      <w:r>
        <w:rPr>
          <w:rFonts w:ascii="Arial" w:cs="Arial" w:eastAsia="Arial" w:hAnsi="Arial"/>
          <w:sz w:val="18"/>
          <w:szCs w:val="18"/>
          <w:color w:val="auto"/>
        </w:rPr>
        <w:t>In May 2020, the outstanding principal balance of the convertible notes of $3.8 million and accrued interest of $160,000 converted into 512,858 shares of Series B-1 convertible preferred stock.</w:t>
      </w:r>
    </w:p>
    <w:p>
      <w:pPr>
        <w:spacing w:after="0" w:line="145" w:lineRule="exact"/>
        <w:rPr>
          <w:sz w:val="20"/>
          <w:szCs w:val="20"/>
          <w:color w:val="auto"/>
        </w:rPr>
      </w:pPr>
    </w:p>
    <w:p>
      <w:pPr>
        <w:ind w:right="300" w:firstLine="576"/>
        <w:spacing w:after="0" w:line="276" w:lineRule="auto"/>
        <w:rPr>
          <w:sz w:val="20"/>
          <w:szCs w:val="20"/>
          <w:color w:val="auto"/>
        </w:rPr>
      </w:pPr>
      <w:r>
        <w:rPr>
          <w:rFonts w:ascii="Arial" w:cs="Arial" w:eastAsia="Arial" w:hAnsi="Arial"/>
          <w:sz w:val="18"/>
          <w:szCs w:val="18"/>
          <w:color w:val="auto"/>
        </w:rPr>
        <w:t>The excess of the carrying value of the convertible notes and the derivative liability over the fair value of the Series B-1 convertible preferred stock at conversion resulted in a gain upon extinguishment of $199,000. See Note 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w:t>
      </w:r>
    </w:p>
    <w:p>
      <w:pPr>
        <w:spacing w:after="0" w:line="104"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Company received a loan of $215,000 from the U.S. Small Business Administration Paycheck Protection Program (“PPP”) in April 2020. The PPP loans are intended to assist companies impacted by the COVID-19 pandemic to fund certain types of expenditures, including payroll costs, rent and utility payments. PPP loans and any accrued interest may be forgiven to the extent that all employees are retained, proceeds are used within eight weeks of receipt, and if at least 75% of the loan amount utilized was for payroll costs. The loan bears interest at a rate of 1%, and any portion of the loan not forgiven and any accrued interest thereon must be repaid within two years. The loan was fully repaid in June 2020.</w:t>
      </w:r>
    </w:p>
    <w:p>
      <w:pPr>
        <w:spacing w:after="0" w:line="280" w:lineRule="exact"/>
        <w:rPr>
          <w:sz w:val="20"/>
          <w:szCs w:val="20"/>
          <w:color w:val="auto"/>
        </w:rPr>
      </w:pPr>
    </w:p>
    <w:p>
      <w:pPr>
        <w:ind w:right="7800" w:firstLine="8"/>
        <w:spacing w:after="0" w:line="361" w:lineRule="auto"/>
        <w:tabs>
          <w:tab w:leader="none" w:pos="567"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Operating Leases</w:t>
      </w:r>
    </w:p>
    <w:p>
      <w:pPr>
        <w:ind w:right="180" w:firstLine="576"/>
        <w:spacing w:after="0" w:line="255" w:lineRule="auto"/>
        <w:rPr>
          <w:sz w:val="20"/>
          <w:szCs w:val="20"/>
          <w:color w:val="auto"/>
        </w:rPr>
      </w:pPr>
      <w:r>
        <w:rPr>
          <w:rFonts w:ascii="Arial" w:cs="Arial" w:eastAsia="Arial" w:hAnsi="Arial"/>
          <w:sz w:val="18"/>
          <w:szCs w:val="18"/>
          <w:color w:val="auto"/>
        </w:rPr>
        <w:t xml:space="preserve">The Company leases office and laboratory space with a one-year lease term. Rent is expensed as incurred. The Company incurred rent expense of approximately $44,000 and $39,000 for the six months ended June 30, 2019 and 2020, respectively. The Company will continue to account for its leases under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until it adopts ASC 842, </w:t>
      </w:r>
      <w:r>
        <w:rPr>
          <w:rFonts w:ascii="Arial" w:cs="Arial" w:eastAsia="Arial" w:hAnsi="Arial"/>
          <w:sz w:val="18"/>
          <w:szCs w:val="18"/>
          <w:i w:val="1"/>
          <w:iCs w:val="1"/>
          <w:color w:val="auto"/>
        </w:rPr>
        <w:t>Leases</w:t>
      </w:r>
      <w:r>
        <w:rPr>
          <w:rFonts w:ascii="Arial" w:cs="Arial" w:eastAsia="Arial" w:hAnsi="Arial"/>
          <w:sz w:val="18"/>
          <w:szCs w:val="18"/>
          <w:color w:val="auto"/>
        </w:rPr>
        <w:t>, as discussed further in Note 2.</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140" w:firstLine="576"/>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it is probable that future expenditures will be made and that such expenditures can be reasonably estimated. Significant judgment is required to determine both probability and the estimated amount.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4" w:name="page245"/>
    <w:bookmarkEnd w:id="244"/>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04" w:lineRule="exact"/>
        <w:rPr>
          <w:sz w:val="20"/>
          <w:szCs w:val="20"/>
          <w:color w:val="auto"/>
        </w:rPr>
      </w:pPr>
    </w:p>
    <w:p>
      <w:pPr>
        <w:ind w:right="40" w:firstLine="576"/>
        <w:spacing w:after="0" w:line="239" w:lineRule="auto"/>
        <w:rPr>
          <w:sz w:val="20"/>
          <w:szCs w:val="20"/>
          <w:color w:val="auto"/>
        </w:rPr>
      </w:pPr>
      <w:r>
        <w:rPr>
          <w:rFonts w:ascii="Arial" w:cs="Arial" w:eastAsia="Arial" w:hAnsi="Arial"/>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 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intends to enter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 coverage that reduces its exposure and enables the Company to recover a portion of any future amounts paid. The Company believes the estimated fair value of these indemnification agreements in excess of applicable insurance coverage is minimal.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04" w:lineRule="exact"/>
        <w:rPr>
          <w:sz w:val="20"/>
          <w:szCs w:val="20"/>
          <w:color w:val="auto"/>
        </w:rPr>
      </w:pPr>
    </w:p>
    <w:p>
      <w:pPr>
        <w:ind w:right="20" w:firstLine="576"/>
        <w:spacing w:after="0" w:line="245" w:lineRule="auto"/>
        <w:rPr>
          <w:sz w:val="20"/>
          <w:szCs w:val="20"/>
          <w:color w:val="auto"/>
        </w:rPr>
      </w:pPr>
      <w:r>
        <w:rPr>
          <w:rFonts w:ascii="Arial" w:cs="Arial" w:eastAsia="Arial" w:hAnsi="Arial"/>
          <w:sz w:val="18"/>
          <w:szCs w:val="18"/>
          <w:color w:val="auto"/>
        </w:rPr>
        <w:t xml:space="preserve">Management continues </w:t>
      </w:r>
      <w:r>
        <w:rPr>
          <w:rFonts w:ascii="Arial" w:cs="Arial" w:eastAsia="Arial" w:hAnsi="Arial"/>
          <w:sz w:val="18"/>
          <w:szCs w:val="18"/>
          <w:color w:val="212121"/>
        </w:rPr>
        <w:t>to evaluate the impacts and potential impacts of COVID-19 on the development of its product candidates. The</w:t>
      </w:r>
      <w:r>
        <w:rPr>
          <w:rFonts w:ascii="Arial" w:cs="Arial" w:eastAsia="Arial" w:hAnsi="Arial"/>
          <w:sz w:val="18"/>
          <w:szCs w:val="18"/>
          <w:color w:val="auto"/>
        </w:rPr>
        <w:t xml:space="preserve"> </w:t>
      </w:r>
      <w:r>
        <w:rPr>
          <w:rFonts w:ascii="Arial" w:cs="Arial" w:eastAsia="Arial" w:hAnsi="Arial"/>
          <w:sz w:val="18"/>
          <w:szCs w:val="18"/>
          <w:color w:val="212121"/>
        </w:rPr>
        <w:t>Company is working closely with its manufacturing vendors to maintain adequate product supply and with healthcare providers as future studies and trials are planned in order to mitigate risk to patients while adhering to regulatory, institutional and government guidance and policies. The Company remains committed to its development plans and acknowledges the potential risk for delays in the product supply chain and in anticipated timelines for its clinical trials.</w:t>
      </w:r>
    </w:p>
    <w:p>
      <w:pPr>
        <w:spacing w:after="0" w:line="319" w:lineRule="exact"/>
        <w:rPr>
          <w:sz w:val="20"/>
          <w:szCs w:val="20"/>
          <w:color w:val="auto"/>
        </w:rPr>
      </w:pPr>
    </w:p>
    <w:p>
      <w:pPr>
        <w:ind w:left="580" w:hanging="572"/>
        <w:spacing w:after="0"/>
        <w:tabs>
          <w:tab w:leader="none" w:pos="5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w:t>
      </w:r>
    </w:p>
    <w:p>
      <w:pPr>
        <w:spacing w:after="0" w:line="106" w:lineRule="exact"/>
        <w:rPr>
          <w:sz w:val="20"/>
          <w:szCs w:val="20"/>
          <w:color w:val="auto"/>
        </w:rPr>
      </w:pPr>
    </w:p>
    <w:p>
      <w:pPr>
        <w:ind w:right="560" w:firstLine="576"/>
        <w:spacing w:after="0" w:line="276" w:lineRule="auto"/>
        <w:rPr>
          <w:sz w:val="20"/>
          <w:szCs w:val="20"/>
          <w:color w:val="auto"/>
        </w:rPr>
      </w:pPr>
      <w:r>
        <w:rPr>
          <w:rFonts w:ascii="Arial" w:cs="Arial" w:eastAsia="Arial" w:hAnsi="Arial"/>
          <w:sz w:val="18"/>
          <w:szCs w:val="18"/>
          <w:color w:val="auto"/>
        </w:rPr>
        <w:t>Convertible preferred stock as of December 31, 2019 and June 30, 2020 consisted of the following (in thousands, except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1,714,963</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2,797,464</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7"/>
        </w:trPr>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Carrying Value at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Aggregate</w:t>
            </w:r>
          </w:p>
        </w:tc>
      </w:tr>
      <w:tr>
        <w:trPr>
          <w:trHeight w:val="175"/>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Convertible</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Issued and</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w w:val="99"/>
              </w:rPr>
              <w:t>June 30,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Liquidation</w:t>
            </w:r>
          </w:p>
        </w:tc>
      </w:tr>
      <w:tr>
        <w:trPr>
          <w:trHeight w:val="177"/>
        </w:trPr>
        <w:tc>
          <w:tcPr>
            <w:tcW w:w="4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Preferred Stock</w:t>
            </w: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Authorized</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Outstanding</w:t>
            </w:r>
          </w:p>
        </w:tc>
        <w:tc>
          <w:tcPr>
            <w:tcW w:w="160" w:type="dxa"/>
            <w:vAlign w:val="bottom"/>
          </w:tcPr>
          <w:p>
            <w:pPr>
              <w:spacing w:after="0"/>
              <w:rPr>
                <w:sz w:val="15"/>
                <w:szCs w:val="15"/>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Preference</w:t>
            </w:r>
          </w:p>
        </w:tc>
      </w:tr>
      <w:tr>
        <w:trPr>
          <w:trHeight w:val="210"/>
        </w:trPr>
        <w:tc>
          <w:tcPr>
            <w:tcW w:w="4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Series A</w:t>
            </w:r>
          </w:p>
        </w:tc>
        <w:tc>
          <w:tcPr>
            <w:tcW w:w="18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1,534,885</w:t>
            </w: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15,163</w:t>
            </w:r>
          </w:p>
        </w:tc>
        <w:tc>
          <w:tcPr>
            <w:tcW w:w="28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Series A-1</w:t>
            </w:r>
          </w:p>
        </w:tc>
        <w:tc>
          <w:tcPr>
            <w:tcW w:w="1280" w:type="dxa"/>
            <w:vAlign w:val="bottom"/>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1,082,501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18"/>
                <w:szCs w:val="18"/>
                <w:color w:val="auto"/>
              </w:rPr>
            </w:pPr>
          </w:p>
        </w:tc>
      </w:tr>
      <w:tr>
        <w:trPr>
          <w:trHeight w:val="216"/>
        </w:trPr>
        <w:tc>
          <w:tcPr>
            <w:tcW w:w="4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B</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9,515,903</w:t>
            </w:r>
          </w:p>
        </w:tc>
        <w:tc>
          <w:tcPr>
            <w:tcW w:w="2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9,372,765</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70,971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85,477</w:t>
            </w:r>
          </w:p>
        </w:tc>
        <w:tc>
          <w:tcPr>
            <w:tcW w:w="120" w:type="dxa"/>
            <w:vAlign w:val="bottom"/>
            <w:shd w:val="clear" w:color="auto" w:fill="CFF0FC"/>
          </w:tcPr>
          <w:p>
            <w:pPr>
              <w:spacing w:after="0"/>
              <w:rPr>
                <w:sz w:val="18"/>
                <w:szCs w:val="18"/>
                <w:color w:val="auto"/>
              </w:rPr>
            </w:pPr>
          </w:p>
        </w:tc>
      </w:tr>
      <w:tr>
        <w:trPr>
          <w:trHeight w:val="216"/>
        </w:trPr>
        <w:tc>
          <w:tcPr>
            <w:tcW w:w="4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Series B-1</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512,858</w:t>
            </w:r>
          </w:p>
        </w:tc>
        <w:tc>
          <w:tcPr>
            <w:tcW w:w="280" w:type="dxa"/>
            <w:vAlign w:val="bottom"/>
            <w:tcBorders>
              <w:bottom w:val="single" w:sz="8" w:color="CFF0FC"/>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512,858</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120" w:type="dxa"/>
            <w:vAlign w:val="bottom"/>
            <w:tcBorders>
              <w:bottom w:val="single" w:sz="8" w:color="CFF0FC"/>
            </w:tcBorders>
          </w:tcPr>
          <w:p>
            <w:pPr>
              <w:spacing w:after="0"/>
              <w:rPr>
                <w:sz w:val="18"/>
                <w:szCs w:val="18"/>
                <w:color w:val="auto"/>
              </w:rPr>
            </w:pPr>
          </w:p>
        </w:tc>
      </w:tr>
      <w:tr>
        <w:trPr>
          <w:trHeight w:val="210"/>
        </w:trPr>
        <w:tc>
          <w:tcPr>
            <w:tcW w:w="47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12,646,147</w:t>
            </w:r>
          </w:p>
        </w:tc>
        <w:tc>
          <w:tcPr>
            <w:tcW w:w="2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92,537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105,741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 w:firstLine="576"/>
        <w:spacing w:after="0" w:line="241" w:lineRule="auto"/>
        <w:rPr>
          <w:sz w:val="20"/>
          <w:szCs w:val="20"/>
          <w:color w:val="auto"/>
        </w:rPr>
      </w:pPr>
      <w:r>
        <w:rPr>
          <w:rFonts w:ascii="Arial" w:cs="Arial" w:eastAsia="Arial" w:hAnsi="Arial"/>
          <w:sz w:val="18"/>
          <w:szCs w:val="18"/>
          <w:color w:val="212121"/>
        </w:rPr>
        <w:t>In May and June 2020, the Company issued an aggregate of 9,372,765 shares of its Series B convertible preferred stock at a purchase price of $9.12 per share for aggregate proceeds of $ 81.6 million, net of offering costs. The Company issued warrants to purchase 2,343,168 shares of its common stock, of which 688,067 were exercised concurrently with the shares of Series B convertible preferred stock issuance, for net proceeds of $55,000. In addition, the Company issued warrants to purchase 127,481 shares of its Series B convertible preferred stock at a purchase price of $9.12 per share. The Series B convertible preferred stock financing triggered the automatic conversion of the Company’s outstanding convertible promissory notes into 512,858 shares of Series B-1 convertible preferred stock based on a price of $7.752 per share (85% of the $9.12 original issuance price of the Series B convertible preferred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5" w:name="page246"/>
    <w:bookmarkEnd w:id="245"/>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200" w:firstLine="576"/>
        <w:spacing w:after="0" w:line="276" w:lineRule="auto"/>
        <w:rPr>
          <w:sz w:val="20"/>
          <w:szCs w:val="20"/>
          <w:color w:val="auto"/>
        </w:rPr>
      </w:pPr>
      <w:r>
        <w:rPr>
          <w:rFonts w:ascii="Arial" w:cs="Arial" w:eastAsia="Arial" w:hAnsi="Arial"/>
          <w:sz w:val="18"/>
          <w:szCs w:val="18"/>
          <w:color w:val="auto"/>
        </w:rPr>
        <w:t>The rights, preferences, and privileges of the Series A, A-1, B and B-1 convertible preferred stock (collectively, Preferred Stock) are as follows: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right="100" w:firstLine="576"/>
        <w:spacing w:after="0" w:line="245" w:lineRule="auto"/>
        <w:rPr>
          <w:sz w:val="20"/>
          <w:szCs w:val="20"/>
          <w:color w:val="auto"/>
        </w:rPr>
      </w:pPr>
      <w:r>
        <w:rPr>
          <w:rFonts w:ascii="Arial" w:cs="Arial" w:eastAsia="Arial" w:hAnsi="Arial"/>
          <w:sz w:val="18"/>
          <w:szCs w:val="18"/>
          <w:color w:val="auto"/>
        </w:rPr>
        <w:t>The holders of shares of Series A, A-1, B and B-1 Preferred Stock are entitled to receive non-cumulative dividends and non-dividend distributions in preference to any dividend or non-dividend distribution on the common stock, when, and if declared by the board of directors. Such dividend and non-dividend distribution preference survives until the holders of the Series A, A-1, B and B-1 Preferred Stock have received a per share amount equal to: (a) in the case of dividends, 1.32 times the Series A, A-1, B or B-1 Purchase Price, as applicable, or (b) in the case of non-dividend distributions, the Series A, A-1, B or B-1 Purchase Price, as applicable.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jc w:val="both"/>
        <w:ind w:right="40" w:firstLine="576"/>
        <w:spacing w:after="0" w:line="243" w:lineRule="auto"/>
        <w:rPr>
          <w:sz w:val="20"/>
          <w:szCs w:val="20"/>
          <w:color w:val="auto"/>
        </w:rPr>
      </w:pPr>
      <w:r>
        <w:rPr>
          <w:rFonts w:ascii="Arial" w:cs="Arial" w:eastAsia="Arial" w:hAnsi="Arial"/>
          <w:sz w:val="18"/>
          <w:szCs w:val="18"/>
          <w:color w:val="auto"/>
        </w:rPr>
        <w:t>Preferred Stock will automatically convert into shares of common stock on a 1:1 basis upon the earlier to occur: (a) after the payment of the distribution preference to the holders of the Series A, A-1, B and B-1 Preferred Stock, and (b) upon the closing of a firmly underwritten public offering pursuant to an effective registration statement covering the offer and sale of common stock in which the gross proceeds to the Company are at least $50.0 million. The conversion ratio will be adjusted in the case of specified changes to the Company’s capitalization as a result of stock splits, combinations, common stock dividends and distributions, reclassifications, exchanges, substitutions, reorganizations, mergers or consolidations.</w:t>
      </w:r>
    </w:p>
    <w:p>
      <w:pPr>
        <w:spacing w:after="0" w:line="174" w:lineRule="exact"/>
        <w:rPr>
          <w:sz w:val="20"/>
          <w:szCs w:val="20"/>
          <w:color w:val="auto"/>
        </w:rPr>
      </w:pPr>
    </w:p>
    <w:p>
      <w:pPr>
        <w:ind w:firstLine="576"/>
        <w:spacing w:after="0" w:line="255" w:lineRule="auto"/>
        <w:rPr>
          <w:sz w:val="20"/>
          <w:szCs w:val="20"/>
          <w:color w:val="auto"/>
        </w:rPr>
      </w:pPr>
      <w:r>
        <w:rPr>
          <w:rFonts w:ascii="Arial" w:cs="Arial" w:eastAsia="Arial" w:hAnsi="Arial"/>
          <w:sz w:val="18"/>
          <w:szCs w:val="18"/>
          <w:color w:val="auto"/>
        </w:rPr>
        <w:t>In addition to the automatic conversion, the holders of Series A, A-1, B and B-1 Preferred Stock have the right to convert such shares, at any time, into shares of common stock. The initial conversion rate shall be 1:1, subject to any adjustments for stock splits, combinations, common stock dividends and distributions, reclassifications, exchanges, substitutions, reorganizations, mergers or consolidations.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Distributions After Conversion</w:t>
      </w:r>
    </w:p>
    <w:p>
      <w:pPr>
        <w:spacing w:after="0" w:line="104" w:lineRule="exact"/>
        <w:rPr>
          <w:sz w:val="20"/>
          <w:szCs w:val="20"/>
          <w:color w:val="auto"/>
        </w:rPr>
      </w:pPr>
    </w:p>
    <w:p>
      <w:pPr>
        <w:jc w:val="both"/>
        <w:ind w:right="20" w:firstLine="576"/>
        <w:spacing w:after="0" w:line="255" w:lineRule="auto"/>
        <w:rPr>
          <w:sz w:val="20"/>
          <w:szCs w:val="20"/>
          <w:color w:val="auto"/>
        </w:rPr>
      </w:pPr>
      <w:r>
        <w:rPr>
          <w:rFonts w:ascii="Arial" w:cs="Arial" w:eastAsia="Arial" w:hAnsi="Arial"/>
          <w:sz w:val="18"/>
          <w:szCs w:val="18"/>
          <w:color w:val="auto"/>
        </w:rPr>
        <w:t>After such conversions, the holders of common stock (including the holders of common stock issued upon conversion of the Series A, A-1, B and Series B-1 Preferred Stock) are entitled to participate pro rata in any dividends or non-dividend distributions paid on the Common Stock, when, as and if declared by the board of directors.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Acquisition or Asset Sale</w:t>
      </w:r>
    </w:p>
    <w:p>
      <w:pPr>
        <w:spacing w:after="0" w:line="104" w:lineRule="exact"/>
        <w:rPr>
          <w:sz w:val="20"/>
          <w:szCs w:val="20"/>
          <w:color w:val="auto"/>
        </w:rPr>
      </w:pPr>
    </w:p>
    <w:p>
      <w:pPr>
        <w:ind w:firstLine="576"/>
        <w:spacing w:after="0" w:line="243" w:lineRule="auto"/>
        <w:rPr>
          <w:sz w:val="20"/>
          <w:szCs w:val="20"/>
          <w:color w:val="auto"/>
        </w:rPr>
      </w:pPr>
      <w:r>
        <w:rPr>
          <w:rFonts w:ascii="Arial" w:cs="Arial" w:eastAsia="Arial" w:hAnsi="Arial"/>
          <w:sz w:val="18"/>
          <w:szCs w:val="18"/>
          <w:color w:val="auto"/>
        </w:rPr>
        <w:t>In the event of any liquidation or winding up of the Company, or upon an acquisition of the Company or the sale or other disposition of substantially all of the Company’s assets, the proceeds shall be paid first to the holders of the Series A, A-1, B and B-1 Preferred Stock equal to their purchase price, less any declared and paid dividends or non-dividend distributions. Any remaining amounts shall be distributed to the holders of the common stock, Series A, A-1, B and B-1 Preferred Stock on a pro rata basis. The liquidation preference is less than the carrying value of the Series A-1 preferred stock as a portion of the carrying value originated from an $815,000 beneficial conversion feature recorded upon issuance of the underlying shares.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Each holder has one vote for each share of Series A, A-1, B or B-1 Preferred Stock.</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6" w:name="page247"/>
    <w:bookmarkEnd w:id="246"/>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Classification</w:t>
      </w:r>
    </w:p>
    <w:p>
      <w:pPr>
        <w:spacing w:after="0" w:line="104" w:lineRule="exact"/>
        <w:rPr>
          <w:sz w:val="20"/>
          <w:szCs w:val="20"/>
          <w:color w:val="auto"/>
        </w:rPr>
      </w:pPr>
    </w:p>
    <w:p>
      <w:pPr>
        <w:ind w:firstLine="576"/>
        <w:spacing w:after="0" w:line="241" w:lineRule="auto"/>
        <w:rPr>
          <w:sz w:val="20"/>
          <w:szCs w:val="20"/>
          <w:color w:val="auto"/>
        </w:rPr>
      </w:pPr>
      <w:r>
        <w:rPr>
          <w:rFonts w:ascii="Arial" w:cs="Arial" w:eastAsia="Arial" w:hAnsi="Arial"/>
          <w:sz w:val="18"/>
          <w:szCs w:val="18"/>
          <w:color w:val="auto"/>
        </w:rPr>
        <w:t>Upon the occurrence of certain change in control events that are outside the Company’s control, including liquidation, sale or transfer of the Company, holders of the convertible preferred stock can effectively cause redemption for cash. As a result, the Company has classified the convertible preferred stock as mezzanine equity on the balance sheets as the stock is contingently redeemable. The Company has elected not to adjust the carrying values of the convertible preferred stock to the liquidation preferences of such shares because it is uncertain whether or when an event would occur that would obligate the Company to pay the liquidation preferences to holders of shares of convertible preferred stock. Subsequent adjustments to the carrying values to the liquidation preferences will be made only when it becomes probable that such a liquidation event will occur.</w:t>
      </w:r>
    </w:p>
    <w:p>
      <w:pPr>
        <w:spacing w:after="0" w:line="285" w:lineRule="exact"/>
        <w:rPr>
          <w:sz w:val="20"/>
          <w:szCs w:val="20"/>
          <w:color w:val="auto"/>
        </w:rPr>
      </w:pPr>
    </w:p>
    <w:p>
      <w:pPr>
        <w:ind w:left="580" w:hanging="572"/>
        <w:spacing w:after="0"/>
        <w:tabs>
          <w:tab w:leader="none" w:pos="58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right="100" w:firstLine="576"/>
        <w:spacing w:after="0" w:line="255" w:lineRule="auto"/>
        <w:rPr>
          <w:sz w:val="20"/>
          <w:szCs w:val="20"/>
          <w:color w:val="auto"/>
        </w:rPr>
      </w:pPr>
      <w:r>
        <w:rPr>
          <w:rFonts w:ascii="Arial" w:cs="Arial" w:eastAsia="Arial" w:hAnsi="Arial"/>
          <w:sz w:val="18"/>
          <w:szCs w:val="18"/>
          <w:color w:val="auto"/>
        </w:rPr>
        <w:t>Each share of common stock has the right to one vote. The holders of common stock are also entitled to receive dividends whenever funds are legally available and if declared by the board of directors, subject to the prior rights of holders of all classes of stock outstanding having priority rights as to dividends. No cash dividends have been declared by the board of directors from inception.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has reserved the following shares of common stock for future issuance, on an as-converted basis,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As of</w:t>
            </w:r>
          </w:p>
        </w:tc>
      </w:tr>
      <w:tr>
        <w:trPr>
          <w:trHeight w:val="176"/>
        </w:trPr>
        <w:tc>
          <w:tcPr>
            <w:tcW w:w="7760" w:type="dxa"/>
            <w:vAlign w:val="bottom"/>
          </w:tcPr>
          <w:p>
            <w:pPr>
              <w:spacing w:after="0"/>
              <w:rPr>
                <w:sz w:val="15"/>
                <w:szCs w:val="15"/>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June 30,</w:t>
            </w:r>
          </w:p>
        </w:tc>
      </w:tr>
      <w:tr>
        <w:trPr>
          <w:trHeight w:val="177"/>
        </w:trPr>
        <w:tc>
          <w:tcPr>
            <w:tcW w:w="776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r>
      <w:tr>
        <w:trPr>
          <w:trHeight w:val="20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540" w:type="dxa"/>
            <w:vAlign w:val="bottom"/>
          </w:tcPr>
          <w:p>
            <w:pPr>
              <w:jc w:val="right"/>
              <w:spacing w:after="0"/>
              <w:rPr>
                <w:sz w:val="20"/>
                <w:szCs w:val="20"/>
                <w:color w:val="auto"/>
              </w:rPr>
            </w:pPr>
            <w:r>
              <w:rPr>
                <w:rFonts w:ascii="Arial" w:cs="Arial" w:eastAsia="Arial" w:hAnsi="Arial"/>
                <w:sz w:val="18"/>
                <w:szCs w:val="18"/>
                <w:color w:val="auto"/>
              </w:rPr>
              <w:t>1,514,770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1,258,787</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Shares available for future grant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945,121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4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1,658,411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100" w:type="dxa"/>
            <w:vAlign w:val="bottom"/>
            <w:shd w:val="clear" w:color="auto" w:fill="CFF0FC"/>
          </w:tcPr>
          <w:p>
            <w:pPr>
              <w:spacing w:after="0"/>
              <w:rPr>
                <w:sz w:val="18"/>
                <w:szCs w:val="18"/>
                <w:color w:val="auto"/>
              </w:rPr>
            </w:pPr>
          </w:p>
        </w:tc>
      </w:tr>
      <w:tr>
        <w:trPr>
          <w:trHeight w:val="210"/>
        </w:trPr>
        <w:tc>
          <w:tcPr>
            <w:tcW w:w="7760" w:type="dxa"/>
            <w:vAlign w:val="bottom"/>
          </w:tcPr>
          <w:p>
            <w:pPr>
              <w:ind w:left="260"/>
              <w:spacing w:after="0"/>
              <w:rPr>
                <w:sz w:val="20"/>
                <w:szCs w:val="20"/>
                <w:color w:val="auto"/>
              </w:rPr>
            </w:pPr>
            <w:r>
              <w:rPr>
                <w:rFonts w:ascii="Arial" w:cs="Arial" w:eastAsia="Arial" w:hAnsi="Arial"/>
                <w:sz w:val="18"/>
                <w:szCs w:val="18"/>
                <w:color w:val="auto"/>
              </w:rPr>
              <w:t>Total</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4,535,203</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16,492,809</w:t>
            </w:r>
          </w:p>
        </w:tc>
        <w:tc>
          <w:tcPr>
            <w:tcW w:w="10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Common stock warrants are exercisable at prices ranging from $0.08 to $4.84 per share, and expire in April 2021 and May 2025.</w:t>
      </w:r>
    </w:p>
    <w:p>
      <w:pPr>
        <w:spacing w:after="0" w:line="318" w:lineRule="exact"/>
        <w:rPr>
          <w:sz w:val="20"/>
          <w:szCs w:val="20"/>
          <w:color w:val="auto"/>
        </w:rPr>
      </w:pPr>
    </w:p>
    <w:p>
      <w:pPr>
        <w:ind w:right="8080" w:firstLine="8"/>
        <w:spacing w:after="0" w:line="367" w:lineRule="auto"/>
        <w:tabs>
          <w:tab w:leader="none" w:pos="567"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w:t>
      </w:r>
      <w:r>
        <w:rPr>
          <w:rFonts w:ascii="Arial" w:cs="Arial" w:eastAsia="Arial" w:hAnsi="Arial"/>
          <w:sz w:val="17"/>
          <w:szCs w:val="17"/>
          <w:b w:val="1"/>
          <w:bCs w:val="1"/>
          <w:i w:val="1"/>
          <w:iCs w:val="1"/>
          <w:color w:val="auto"/>
        </w:rPr>
        <w:t>Stock-based Compensation Expense</w:t>
      </w:r>
    </w:p>
    <w:p>
      <w:pPr>
        <w:spacing w:after="0" w:line="1" w:lineRule="exact"/>
        <w:rPr>
          <w:rFonts w:ascii="Arial" w:cs="Arial" w:eastAsia="Arial" w:hAnsi="Arial"/>
          <w:sz w:val="17"/>
          <w:szCs w:val="17"/>
          <w:b w:val="1"/>
          <w:bCs w:val="1"/>
          <w:color w:val="auto"/>
        </w:rPr>
      </w:pPr>
    </w:p>
    <w:p>
      <w:pPr>
        <w:ind w:left="580"/>
        <w:spacing w:after="0" w:line="207" w:lineRule="exact"/>
        <w:rPr>
          <w:rFonts w:ascii="Arial" w:cs="Arial" w:eastAsia="Arial" w:hAnsi="Arial"/>
          <w:sz w:val="17"/>
          <w:szCs w:val="17"/>
          <w:b w:val="1"/>
          <w:bCs w:val="1"/>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was as follows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00" w:type="dxa"/>
            <w:vAlign w:val="bottom"/>
          </w:tcPr>
          <w:p>
            <w:pPr>
              <w:spacing w:after="0"/>
              <w:rPr>
                <w:sz w:val="15"/>
                <w:szCs w:val="15"/>
                <w:color w:val="auto"/>
              </w:rPr>
            </w:pPr>
          </w:p>
        </w:tc>
        <w:tc>
          <w:tcPr>
            <w:tcW w:w="29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7700" w:type="dxa"/>
            <w:vAlign w:val="bottom"/>
          </w:tcPr>
          <w:p>
            <w:pPr>
              <w:spacing w:after="0"/>
              <w:rPr>
                <w:sz w:val="14"/>
                <w:szCs w:val="14"/>
                <w:color w:val="auto"/>
              </w:rPr>
            </w:pPr>
          </w:p>
        </w:tc>
        <w:tc>
          <w:tcPr>
            <w:tcW w:w="1100" w:type="dxa"/>
            <w:vAlign w:val="bottom"/>
          </w:tcPr>
          <w:p>
            <w:pPr>
              <w:jc w:val="right"/>
              <w:ind w:right="79"/>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138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9"/>
        </w:trPr>
        <w:tc>
          <w:tcPr>
            <w:tcW w:w="7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Borders>
              <w:top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stock-based compensation expense</w:t>
            </w: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04" w:lineRule="exact"/>
        <w:rPr>
          <w:sz w:val="20"/>
          <w:szCs w:val="20"/>
          <w:color w:val="auto"/>
        </w:rPr>
      </w:pPr>
    </w:p>
    <w:p>
      <w:pPr>
        <w:ind w:right="380" w:firstLine="576"/>
        <w:spacing w:after="0" w:line="276" w:lineRule="auto"/>
        <w:rPr>
          <w:sz w:val="20"/>
          <w:szCs w:val="20"/>
          <w:color w:val="auto"/>
        </w:rPr>
      </w:pPr>
      <w:r>
        <w:rPr>
          <w:rFonts w:ascii="Arial" w:cs="Arial" w:eastAsia="Arial" w:hAnsi="Arial"/>
          <w:sz w:val="18"/>
          <w:szCs w:val="18"/>
          <w:color w:val="auto"/>
        </w:rPr>
        <w:t>The fair value of stock options was determined using the Black-Scholes option-pricing model and the assumptions below. Each of these inputs is subjective and generally required significant judgment.</w:t>
      </w:r>
    </w:p>
    <w:p>
      <w:pPr>
        <w:spacing w:after="0" w:line="37" w:lineRule="exact"/>
        <w:rPr>
          <w:sz w:val="20"/>
          <w:szCs w:val="20"/>
          <w:color w:val="auto"/>
        </w:rPr>
      </w:pPr>
    </w:p>
    <w:p>
      <w:pPr>
        <w:ind w:left="1300" w:right="100" w:hanging="442"/>
        <w:spacing w:after="0" w:line="255" w:lineRule="auto"/>
        <w:tabs>
          <w:tab w:leader="none" w:pos="1300" w:val="left"/>
        </w:tabs>
        <w:numPr>
          <w:ilvl w:val="0"/>
          <w:numId w:val="16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grant date fair market value of the shares of common stock underlying stock options has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been determined by the Company’s board of directors. Because there has been no public market for the Company’s common stock, the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7" w:name="page248"/>
    <w:bookmarkEnd w:id="247"/>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left="1300" w:right="20"/>
        <w:spacing w:after="0" w:line="258" w:lineRule="auto"/>
        <w:rPr>
          <w:sz w:val="20"/>
          <w:szCs w:val="20"/>
          <w:color w:val="auto"/>
        </w:rPr>
      </w:pPr>
      <w:r>
        <w:rPr>
          <w:rFonts w:ascii="Arial" w:cs="Arial" w:eastAsia="Arial" w:hAnsi="Arial"/>
          <w:sz w:val="17"/>
          <w:szCs w:val="17"/>
          <w:color w:val="auto"/>
        </w:rPr>
        <w:t>board of directors exercises reasonable judgment and considers a number of objective and subjective factors to determine the best estimate of the fair market value, which include contemporaneous valuations performed by an independent third-party, important developments in the Company’s operations, sales of convertible preferred stock, the rights, preferences and privileges of the Company’s convertible preferred stock relative to those of its common stock, lack of marketability of its common stock, actual operating results, financial performance, the progress of clinical development, the likelihood of achieving a liquidity event or the Company’s security holders, the trends, development and conditions in the life sciences and biotechnology sectors, the economy in general, the stock price performance and volatility of comparable public companies.</w:t>
      </w:r>
    </w:p>
    <w:p>
      <w:pPr>
        <w:spacing w:after="0" w:line="55" w:lineRule="exact"/>
        <w:rPr>
          <w:sz w:val="20"/>
          <w:szCs w:val="20"/>
          <w:color w:val="auto"/>
        </w:rPr>
      </w:pPr>
    </w:p>
    <w:p>
      <w:pPr>
        <w:ind w:left="1300" w:right="100" w:hanging="442"/>
        <w:spacing w:after="0" w:line="275" w:lineRule="auto"/>
        <w:tabs>
          <w:tab w:leader="none" w:pos="130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for periods corresponding with the expected term of the option.</w:t>
      </w:r>
    </w:p>
    <w:p>
      <w:pPr>
        <w:spacing w:after="0" w:line="37" w:lineRule="exact"/>
        <w:rPr>
          <w:rFonts w:ascii="Times New Roman" w:cs="Times New Roman" w:eastAsia="Times New Roman" w:hAnsi="Times New Roman"/>
          <w:sz w:val="18"/>
          <w:szCs w:val="18"/>
          <w:color w:val="auto"/>
        </w:rPr>
      </w:pPr>
    </w:p>
    <w:p>
      <w:pPr>
        <w:ind w:left="1300" w:right="300" w:hanging="442"/>
        <w:spacing w:after="0" w:line="244" w:lineRule="auto"/>
        <w:tabs>
          <w:tab w:leader="none" w:pos="130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—Because the Company has been privately held and does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The Company will continue to apply this process until a sufficient amount of historical information regarding the volatility of its own stock price becomes available.</w:t>
      </w:r>
    </w:p>
    <w:p>
      <w:pPr>
        <w:spacing w:after="0" w:line="67" w:lineRule="exact"/>
        <w:rPr>
          <w:rFonts w:ascii="Times New Roman" w:cs="Times New Roman" w:eastAsia="Times New Roman" w:hAnsi="Times New Roman"/>
          <w:sz w:val="18"/>
          <w:szCs w:val="18"/>
          <w:color w:val="auto"/>
        </w:rPr>
      </w:pPr>
    </w:p>
    <w:p>
      <w:pPr>
        <w:ind w:left="1300" w:right="140" w:hanging="442"/>
        <w:spacing w:after="0" w:line="255" w:lineRule="auto"/>
        <w:tabs>
          <w:tab w:leader="none" w:pos="130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is determined using the simplified method (based on the midpoint between the vesting date and the end of the contractual term) as the Company has limited history of relevant stock option exercise activity.</w:t>
      </w:r>
    </w:p>
    <w:p>
      <w:pPr>
        <w:spacing w:after="0" w:line="54" w:lineRule="exact"/>
        <w:rPr>
          <w:rFonts w:ascii="Times New Roman" w:cs="Times New Roman" w:eastAsia="Times New Roman" w:hAnsi="Times New Roman"/>
          <w:sz w:val="18"/>
          <w:szCs w:val="18"/>
          <w:color w:val="auto"/>
        </w:rPr>
      </w:pPr>
    </w:p>
    <w:p>
      <w:pPr>
        <w:ind w:left="1300" w:right="200" w:hanging="442"/>
        <w:spacing w:after="0" w:line="275" w:lineRule="auto"/>
        <w:tabs>
          <w:tab w:leader="none" w:pos="1300" w:val="left"/>
        </w:tabs>
        <w:numPr>
          <w:ilvl w:val="0"/>
          <w:numId w:val="16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its common stock and has no plans to pay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common stock. Therefore, it used an expected dividend yield of zero.</w:t>
      </w:r>
    </w:p>
    <w:p>
      <w:pPr>
        <w:spacing w:after="0" w:line="122" w:lineRule="exact"/>
        <w:rPr>
          <w:sz w:val="20"/>
          <w:szCs w:val="20"/>
          <w:color w:val="auto"/>
        </w:rPr>
      </w:pPr>
    </w:p>
    <w:p>
      <w:pPr>
        <w:ind w:right="160" w:firstLine="576"/>
        <w:spacing w:after="0" w:line="235" w:lineRule="exact"/>
        <w:rPr>
          <w:sz w:val="20"/>
          <w:szCs w:val="20"/>
          <w:color w:val="auto"/>
        </w:rPr>
      </w:pPr>
      <w:r>
        <w:rPr>
          <w:rFonts w:ascii="Arial" w:cs="Arial" w:eastAsia="Arial" w:hAnsi="Arial"/>
          <w:sz w:val="18"/>
          <w:szCs w:val="18"/>
          <w:color w:val="auto"/>
        </w:rPr>
        <w:t>The fair value of each stock option was estimated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with the following weighted-average assumptions:</w:t>
      </w:r>
    </w:p>
    <w:p>
      <w:pPr>
        <w:spacing w:after="0" w:line="251" w:lineRule="exact"/>
        <w:rPr>
          <w:sz w:val="20"/>
          <w:szCs w:val="20"/>
          <w:color w:val="auto"/>
        </w:rPr>
      </w:pPr>
    </w:p>
    <w:p>
      <w:pPr>
        <w:ind w:left="8400"/>
        <w:spacing w:after="0"/>
        <w:rPr>
          <w:sz w:val="20"/>
          <w:szCs w:val="20"/>
          <w:color w:val="auto"/>
        </w:rPr>
      </w:pPr>
      <w:r>
        <w:rPr>
          <w:rFonts w:ascii="Arial" w:cs="Arial" w:eastAsia="Arial" w:hAnsi="Arial"/>
          <w:sz w:val="14"/>
          <w:szCs w:val="14"/>
          <w:b w:val="1"/>
          <w:bCs w:val="1"/>
          <w:color w:val="auto"/>
        </w:rPr>
        <w:t>Six Months Ended June 30,</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00" w:type="dxa"/>
            <w:vAlign w:val="bottom"/>
            <w:tcBorders>
              <w:bottom w:val="single" w:sz="8" w:color="CFF0FC"/>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CFF0FC"/>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r>
      <w:tr>
        <w:trPr>
          <w:trHeight w:val="21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1.86%</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74.45%</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78.15%</w:t>
            </w:r>
          </w:p>
        </w:tc>
      </w:tr>
      <w:tr>
        <w:trPr>
          <w:trHeight w:val="216"/>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3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80" w:type="dxa"/>
            <w:vAlign w:val="bottom"/>
            <w:shd w:val="clear" w:color="auto" w:fill="CFF0FC"/>
          </w:tcPr>
          <w:p>
            <w:pPr>
              <w:spacing w:after="0"/>
              <w:rPr>
                <w:sz w:val="18"/>
                <w:szCs w:val="18"/>
                <w:color w:val="auto"/>
              </w:rPr>
            </w:pPr>
          </w:p>
        </w:tc>
      </w:tr>
      <w:tr>
        <w:trPr>
          <w:trHeight w:val="243"/>
        </w:trPr>
        <w:tc>
          <w:tcPr>
            <w:tcW w:w="86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166" w:lineRule="exact"/>
        <w:rPr>
          <w:sz w:val="20"/>
          <w:szCs w:val="20"/>
          <w:color w:val="auto"/>
        </w:rPr>
      </w:pPr>
    </w:p>
    <w:p>
      <w:pPr>
        <w:ind w:right="20" w:firstLine="576"/>
        <w:spacing w:after="0" w:line="248" w:lineRule="auto"/>
        <w:rPr>
          <w:sz w:val="20"/>
          <w:szCs w:val="20"/>
          <w:color w:val="auto"/>
        </w:rPr>
      </w:pPr>
      <w:r>
        <w:rPr>
          <w:rFonts w:ascii="Arial" w:cs="Arial" w:eastAsia="Arial" w:hAnsi="Arial"/>
          <w:sz w:val="18"/>
          <w:szCs w:val="18"/>
          <w:color w:val="auto"/>
        </w:rPr>
        <w:t>The weighted-average grant-date fair value of options granted to employees and directors during the six months ended June 30, 2019 and 2020 were $79,000 and $32,000 respectively. The re-measured weighted-average fair value of options granted to advisors during the six months ended June 30, 2019 was $13,000. The weighted-average grant-date fair value of options granted to advisors during the six months ended June 30, 2020 was $10,000.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8" w:name="page249"/>
    <w:bookmarkEnd w:id="248"/>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option activity for the six months ended June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Available</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price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for Grant</w:t>
            </w:r>
          </w:p>
        </w:tc>
        <w:tc>
          <w:tcPr>
            <w:tcW w:w="12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 Share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09"/>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399,737</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1,514,770</w:t>
            </w: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Authorized</w:t>
            </w:r>
          </w:p>
        </w:tc>
        <w:tc>
          <w:tcPr>
            <w:tcW w:w="1000" w:type="dxa"/>
            <w:vAlign w:val="bottom"/>
          </w:tcPr>
          <w:p>
            <w:pPr>
              <w:jc w:val="right"/>
              <w:spacing w:after="0"/>
              <w:rPr>
                <w:sz w:val="20"/>
                <w:szCs w:val="20"/>
                <w:color w:val="auto"/>
              </w:rPr>
            </w:pPr>
            <w:r>
              <w:rPr>
                <w:rFonts w:ascii="Arial" w:cs="Arial" w:eastAsia="Arial" w:hAnsi="Arial"/>
                <w:sz w:val="18"/>
                <w:szCs w:val="18"/>
                <w:color w:val="auto"/>
              </w:rPr>
              <w:t>567,450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(44,765)</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44,765</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Exercised</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(278,049)</w:t>
            </w:r>
          </w:p>
        </w:tc>
        <w:tc>
          <w:tcPr>
            <w:tcW w:w="1000" w:type="dxa"/>
            <w:vAlign w:val="bottom"/>
          </w:tcPr>
          <w:p>
            <w:pPr>
              <w:jc w:val="right"/>
              <w:spacing w:after="0"/>
              <w:rPr>
                <w:sz w:val="20"/>
                <w:szCs w:val="20"/>
                <w:color w:val="auto"/>
              </w:rPr>
            </w:pPr>
            <w:r>
              <w:rPr>
                <w:rFonts w:ascii="Arial" w:cs="Arial" w:eastAsia="Arial" w:hAnsi="Arial"/>
                <w:sz w:val="18"/>
                <w:szCs w:val="18"/>
                <w:color w:val="auto"/>
              </w:rPr>
              <w:t>0.85</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Forfeited/expired</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22,699</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(22,699)</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June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945,121</w:t>
            </w:r>
          </w:p>
        </w:tc>
        <w:tc>
          <w:tcPr>
            <w:tcW w:w="220" w:type="dxa"/>
            <w:vAlign w:val="bottom"/>
            <w:tcBorders>
              <w:bottom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1,258,787</w:t>
            </w:r>
          </w:p>
        </w:tc>
        <w:tc>
          <w:tcPr>
            <w:tcW w:w="2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5,644</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Expected to vest</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457,279</w:t>
            </w:r>
          </w:p>
        </w:tc>
        <w:tc>
          <w:tcPr>
            <w:tcW w:w="22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1.35</w:t>
            </w: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8.55</w:t>
            </w:r>
          </w:p>
        </w:tc>
        <w:tc>
          <w:tcPr>
            <w:tcW w:w="32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1,928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line="20" w:lineRule="exact"/>
              <w:rPr>
                <w:sz w:val="1"/>
                <w:szCs w:val="1"/>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5.92</w:t>
            </w: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792,171</w:t>
            </w:r>
          </w:p>
        </w:tc>
        <w:tc>
          <w:tcPr>
            <w:tcW w:w="22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76"/>
        <w:spacing w:after="0" w:line="248" w:lineRule="auto"/>
        <w:rPr>
          <w:sz w:val="20"/>
          <w:szCs w:val="20"/>
          <w:color w:val="auto"/>
        </w:rPr>
      </w:pPr>
      <w:r>
        <w:rPr>
          <w:rFonts w:ascii="Arial" w:cs="Arial" w:eastAsia="Arial" w:hAnsi="Arial"/>
          <w:sz w:val="18"/>
          <w:szCs w:val="18"/>
          <w:color w:val="auto"/>
        </w:rPr>
        <w:t>The total fair value of options granted to employees, directors, and advisors that vested during the six months ended June 30, 2019 was $82,000, which included $45,000 for options granted to employees and directors and $ 37,000 for options granted to advisors. The total fair value of options that vested during the six months ended June 30, 2020 was $124,000, which included $72,000 for options granted to employees and directors and $52,000 for options granted to advisors.</w:t>
      </w:r>
    </w:p>
    <w:p>
      <w:pPr>
        <w:spacing w:after="0" w:line="170" w:lineRule="exact"/>
        <w:rPr>
          <w:sz w:val="20"/>
          <w:szCs w:val="20"/>
          <w:color w:val="auto"/>
        </w:rPr>
      </w:pPr>
    </w:p>
    <w:p>
      <w:pPr>
        <w:ind w:right="40" w:firstLine="576"/>
        <w:spacing w:after="0" w:line="243" w:lineRule="auto"/>
        <w:rPr>
          <w:sz w:val="20"/>
          <w:szCs w:val="20"/>
          <w:color w:val="auto"/>
        </w:rPr>
      </w:pPr>
      <w:r>
        <w:rPr>
          <w:rFonts w:ascii="Arial" w:cs="Arial" w:eastAsia="Arial" w:hAnsi="Arial"/>
          <w:sz w:val="18"/>
          <w:szCs w:val="18"/>
          <w:color w:val="auto"/>
        </w:rPr>
        <w:t>The aggregate intrinsic value in the table above is calculated as the difference between the exercise price of the underlying options and the estimated fair value of the Company’s common stock for all options that were in-the-money at June 30, 2020. The aggregate intrinsic value of options exercised was $2,000 and $1.3 million during the six months ended June 30, 2019 and 2020, respectively, determined as of the date of option exercise. As of June 30, 2020, there was $288,000 of total unrecognized compensation cost related to unvested stock options. The Company expects to recognize this cost over a remaining weighted-average period of 1.23 years. The Company utilizes newly issued shares to satisfy option exercises.</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Stock options outstanding and exercisable consisted of the following at June 30, 2020:</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20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760" w:type="dxa"/>
            <w:vAlign w:val="bottom"/>
            <w:gridSpan w:val="4"/>
          </w:tcPr>
          <w:p>
            <w:pPr>
              <w:ind w:left="380"/>
              <w:spacing w:after="0"/>
              <w:rPr>
                <w:sz w:val="20"/>
                <w:szCs w:val="20"/>
                <w:color w:val="auto"/>
              </w:rPr>
            </w:pPr>
            <w:r>
              <w:rPr>
                <w:rFonts w:ascii="Arial" w:cs="Arial" w:eastAsia="Arial" w:hAnsi="Arial"/>
                <w:sz w:val="14"/>
                <w:szCs w:val="14"/>
                <w:b w:val="1"/>
                <w:bCs w:val="1"/>
                <w:color w:val="auto"/>
              </w:rPr>
              <w:t>Employees and Directors</w:t>
            </w:r>
          </w:p>
        </w:tc>
        <w:tc>
          <w:tcPr>
            <w:tcW w:w="2640" w:type="dxa"/>
            <w:vAlign w:val="bottom"/>
            <w:gridSpan w:val="4"/>
          </w:tcPr>
          <w:p>
            <w:pPr>
              <w:ind w:left="720"/>
              <w:spacing w:after="0"/>
              <w:rPr>
                <w:sz w:val="20"/>
                <w:szCs w:val="20"/>
                <w:color w:val="auto"/>
              </w:rPr>
            </w:pPr>
            <w:r>
              <w:rPr>
                <w:rFonts w:ascii="Arial" w:cs="Arial" w:eastAsia="Arial" w:hAnsi="Arial"/>
                <w:sz w:val="14"/>
                <w:szCs w:val="14"/>
                <w:b w:val="1"/>
                <w:bCs w:val="1"/>
                <w:color w:val="auto"/>
              </w:rPr>
              <w:t>Non-employees</w:t>
            </w:r>
          </w:p>
        </w:tc>
      </w:tr>
      <w:tr>
        <w:trPr>
          <w:trHeight w:val="154"/>
        </w:trPr>
        <w:tc>
          <w:tcPr>
            <w:tcW w:w="1200" w:type="dxa"/>
            <w:vAlign w:val="bottom"/>
          </w:tcPr>
          <w:p>
            <w:pPr>
              <w:spacing w:after="0"/>
              <w:rPr>
                <w:sz w:val="13"/>
                <w:szCs w:val="13"/>
                <w:color w:val="auto"/>
              </w:rPr>
            </w:pPr>
          </w:p>
        </w:tc>
        <w:tc>
          <w:tcPr>
            <w:tcW w:w="46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4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1380" w:type="dxa"/>
            <w:vAlign w:val="bottom"/>
            <w:tcBorders>
              <w:top w:val="single" w:sz="8" w:color="auto"/>
            </w:tcBorders>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Shares</w:t>
            </w:r>
          </w:p>
        </w:tc>
        <w:tc>
          <w:tcPr>
            <w:tcW w:w="1160" w:type="dxa"/>
            <w:vAlign w:val="bottom"/>
            <w:tcBorders>
              <w:top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r>
      <w:tr>
        <w:trPr>
          <w:trHeight w:val="184"/>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Exercise 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Exercisable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Outstanding</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Exercisable</w:t>
            </w:r>
          </w:p>
        </w:tc>
      </w:tr>
      <w:tr>
        <w:trPr>
          <w:trHeight w:val="203"/>
        </w:trPr>
        <w:tc>
          <w:tcPr>
            <w:tcW w:w="1200" w:type="dxa"/>
            <w:vAlign w:val="bottom"/>
            <w:tcBorders>
              <w:top w:val="single" w:sz="8" w:color="auto"/>
            </w:tcBorders>
            <w:shd w:val="clear" w:color="auto" w:fill="CFF0FC"/>
          </w:tcPr>
          <w:p>
            <w:pPr>
              <w:spacing w:after="0" w:line="203" w:lineRule="exact"/>
              <w:rPr>
                <w:sz w:val="20"/>
                <w:szCs w:val="20"/>
                <w:color w:val="auto"/>
              </w:rPr>
            </w:pPr>
            <w:r>
              <w:rPr>
                <w:rFonts w:ascii="Arial" w:cs="Arial" w:eastAsia="Arial" w:hAnsi="Arial"/>
                <w:sz w:val="18"/>
                <w:szCs w:val="18"/>
                <w:color w:val="auto"/>
              </w:rPr>
              <w:t>0.16</w:t>
            </w:r>
          </w:p>
        </w:tc>
        <w:tc>
          <w:tcPr>
            <w:tcW w:w="46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75,660</w:t>
            </w:r>
          </w:p>
        </w:tc>
        <w:tc>
          <w:tcPr>
            <w:tcW w:w="24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2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15,762</w:t>
            </w:r>
          </w:p>
        </w:tc>
        <w:tc>
          <w:tcPr>
            <w:tcW w:w="100" w:type="dxa"/>
            <w:vAlign w:val="bottom"/>
            <w:tcBorders>
              <w:top w:val="single" w:sz="8" w:color="CFF0FC"/>
            </w:tcBorders>
            <w:shd w:val="clear" w:color="auto" w:fill="CFF0FC"/>
          </w:tcPr>
          <w:p>
            <w:pPr>
              <w:spacing w:after="0"/>
              <w:rPr>
                <w:sz w:val="17"/>
                <w:szCs w:val="17"/>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0.48</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174,964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174,964</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1.00</w:t>
            </w:r>
          </w:p>
        </w:tc>
        <w:tc>
          <w:tcPr>
            <w:tcW w:w="46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37,830</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171,809</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149,746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31,525</w:t>
            </w:r>
          </w:p>
        </w:tc>
        <w:tc>
          <w:tcPr>
            <w:tcW w:w="100" w:type="dxa"/>
            <w:vAlign w:val="bottom"/>
          </w:tcPr>
          <w:p>
            <w:pPr>
              <w:spacing w:after="0"/>
              <w:rPr>
                <w:sz w:val="18"/>
                <w:szCs w:val="18"/>
                <w:color w:val="auto"/>
              </w:rPr>
            </w:pP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1.19</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66,517</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52,751</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34,677</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1.31</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63,050</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1200" w:type="dxa"/>
            <w:vAlign w:val="bottom"/>
            <w:shd w:val="clear" w:color="auto" w:fill="CFF0FC"/>
          </w:tcPr>
          <w:p>
            <w:pPr>
              <w:spacing w:after="0"/>
              <w:rPr>
                <w:sz w:val="20"/>
                <w:szCs w:val="20"/>
                <w:color w:val="auto"/>
              </w:rPr>
            </w:pPr>
            <w:r>
              <w:rPr>
                <w:rFonts w:ascii="Arial" w:cs="Arial" w:eastAsia="Arial" w:hAnsi="Arial"/>
                <w:sz w:val="18"/>
                <w:szCs w:val="18"/>
                <w:color w:val="auto"/>
              </w:rPr>
              <w:t>1.35</w:t>
            </w:r>
          </w:p>
        </w:tc>
        <w:tc>
          <w:tcPr>
            <w:tcW w:w="46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388,386</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47,182</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167,082</w:t>
            </w: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98,516</w:t>
            </w:r>
          </w:p>
        </w:tc>
        <w:tc>
          <w:tcPr>
            <w:tcW w:w="100" w:type="dxa"/>
            <w:vAlign w:val="bottom"/>
            <w:shd w:val="clear" w:color="auto" w:fill="CFF0FC"/>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1.49</w:t>
            </w:r>
          </w:p>
        </w:tc>
        <w:tc>
          <w:tcPr>
            <w:tcW w:w="4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10,508</w:t>
            </w:r>
          </w:p>
        </w:tc>
        <w:tc>
          <w:tcPr>
            <w:tcW w:w="2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84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971,911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573,861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286,876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120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 Activity</w:t>
      </w:r>
    </w:p>
    <w:p>
      <w:pPr>
        <w:spacing w:after="0" w:line="104" w:lineRule="exact"/>
        <w:rPr>
          <w:sz w:val="20"/>
          <w:szCs w:val="20"/>
          <w:color w:val="auto"/>
        </w:rPr>
      </w:pPr>
    </w:p>
    <w:p>
      <w:pPr>
        <w:jc w:val="both"/>
        <w:ind w:right="140" w:firstLine="576"/>
        <w:spacing w:after="0" w:line="255" w:lineRule="auto"/>
        <w:rPr>
          <w:sz w:val="20"/>
          <w:szCs w:val="20"/>
          <w:color w:val="auto"/>
        </w:rPr>
      </w:pPr>
      <w:r>
        <w:rPr>
          <w:rFonts w:ascii="Arial" w:cs="Arial" w:eastAsia="Arial" w:hAnsi="Arial"/>
          <w:sz w:val="18"/>
          <w:szCs w:val="18"/>
          <w:color w:val="auto"/>
        </w:rPr>
        <w:t>In 2018, the Company issued a restricted stock award (“RSA”) to an advisor under the 2014 Plan. The restricted stock award vests over three years and requires continued service to the Company during the vesting period. The vesting provisions of individual awards may vary as approved by the board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9" w:name="page250"/>
    <w:bookmarkEnd w:id="249"/>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directors. If continued service terminates for any reason, the Company has the right to repurchase the unvested shares for no consideration. As of each of December 31, 2019 and June 30, 2020, there were 8,407 shares subject to repurchase, all of which were related to non-employee RSAs.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summary of RSA activity for the six months ended June 30, 2020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Average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Grant Date</w:t>
            </w:r>
          </w:p>
        </w:tc>
      </w:tr>
      <w:tr>
        <w:trPr>
          <w:trHeight w:val="177"/>
        </w:trPr>
        <w:tc>
          <w:tcPr>
            <w:tcW w:w="7720" w:type="dxa"/>
            <w:vAlign w:val="bottom"/>
          </w:tcPr>
          <w:p>
            <w:pPr>
              <w:spacing w:after="0"/>
              <w:rPr>
                <w:sz w:val="15"/>
                <w:szCs w:val="15"/>
                <w:color w:val="auto"/>
              </w:rPr>
            </w:pPr>
          </w:p>
        </w:tc>
        <w:tc>
          <w:tcPr>
            <w:tcW w:w="1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Equivalent</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2019</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09"/>
        </w:trPr>
        <w:tc>
          <w:tcPr>
            <w:tcW w:w="7720" w:type="dxa"/>
            <w:vAlign w:val="bottom"/>
          </w:tcPr>
          <w:p>
            <w:pPr>
              <w:spacing w:after="0"/>
              <w:rPr>
                <w:sz w:val="20"/>
                <w:szCs w:val="20"/>
                <w:color w:val="auto"/>
              </w:rPr>
            </w:pPr>
            <w:r>
              <w:rPr>
                <w:rFonts w:ascii="Arial" w:cs="Arial" w:eastAsia="Arial" w:hAnsi="Arial"/>
                <w:sz w:val="18"/>
                <w:szCs w:val="18"/>
                <w:color w:val="auto"/>
              </w:rPr>
              <w:t>Non-vested at June 30, 2020</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8,407</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40" w:firstLine="576"/>
        <w:spacing w:after="0" w:line="276" w:lineRule="auto"/>
        <w:rPr>
          <w:sz w:val="20"/>
          <w:szCs w:val="20"/>
          <w:color w:val="auto"/>
        </w:rPr>
      </w:pPr>
      <w:r>
        <w:rPr>
          <w:rFonts w:ascii="Arial" w:cs="Arial" w:eastAsia="Arial" w:hAnsi="Arial"/>
          <w:sz w:val="18"/>
          <w:szCs w:val="18"/>
          <w:color w:val="auto"/>
        </w:rPr>
        <w:t>As of June 30, 2020, there was approximately $3,000 of total unrecognized compensation cost related to non-vested restricted stock awards that will be recognized as expense over a weighted-average period of 0.73 years.</w:t>
      </w:r>
    </w:p>
    <w:p>
      <w:pPr>
        <w:spacing w:after="0" w:line="291" w:lineRule="exact"/>
        <w:rPr>
          <w:sz w:val="20"/>
          <w:szCs w:val="20"/>
          <w:color w:val="auto"/>
        </w:rPr>
      </w:pPr>
    </w:p>
    <w:p>
      <w:pPr>
        <w:ind w:left="580" w:hanging="572"/>
        <w:spacing w:after="0"/>
        <w:tabs>
          <w:tab w:leader="none" w:pos="5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06" w:lineRule="exact"/>
        <w:rPr>
          <w:sz w:val="20"/>
          <w:szCs w:val="20"/>
          <w:color w:val="auto"/>
        </w:rPr>
      </w:pPr>
    </w:p>
    <w:p>
      <w:pPr>
        <w:ind w:right="40" w:firstLine="576"/>
        <w:spacing w:after="0" w:line="276"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the diluted net loss per share attributable to common stockholders for the periods presented because their effect would have been anti-dilutive:</w:t>
      </w:r>
    </w:p>
    <w:p>
      <w:pPr>
        <w:spacing w:after="0" w:line="16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69"/>
        </w:trPr>
        <w:tc>
          <w:tcPr>
            <w:tcW w:w="7720" w:type="dxa"/>
            <w:vAlign w:val="bottom"/>
            <w:tcBorders>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FF0FC"/>
            </w:tcBorders>
          </w:tcPr>
          <w:p>
            <w:pPr>
              <w:spacing w:after="0"/>
              <w:rPr>
                <w:sz w:val="14"/>
                <w:szCs w:val="14"/>
                <w:color w:val="auto"/>
              </w:rPr>
            </w:pPr>
          </w:p>
        </w:tc>
        <w:tc>
          <w:tcPr>
            <w:tcW w:w="15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2,617,386</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12,503,009</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Unvested RSAs</w:t>
            </w:r>
          </w:p>
        </w:tc>
        <w:tc>
          <w:tcPr>
            <w:tcW w:w="1560" w:type="dxa"/>
            <w:vAlign w:val="bottom"/>
          </w:tcPr>
          <w:p>
            <w:pPr>
              <w:jc w:val="right"/>
              <w:spacing w:after="0"/>
              <w:rPr>
                <w:sz w:val="20"/>
                <w:szCs w:val="20"/>
                <w:color w:val="auto"/>
              </w:rPr>
            </w:pPr>
            <w:r>
              <w:rPr>
                <w:rFonts w:ascii="Arial" w:cs="Arial" w:eastAsia="Arial" w:hAnsi="Arial"/>
                <w:sz w:val="18"/>
                <w:szCs w:val="18"/>
                <w:color w:val="auto"/>
              </w:rPr>
              <w:t>12,610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 options to purchase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1,365,972</w:t>
            </w: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1,258,787</w:t>
            </w:r>
          </w:p>
        </w:tc>
        <w:tc>
          <w:tcPr>
            <w:tcW w:w="12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3,310</w:t>
            </w:r>
          </w:p>
        </w:tc>
        <w:tc>
          <w:tcPr>
            <w:tcW w:w="2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1,658,411</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w:t>
            </w:r>
          </w:p>
        </w:tc>
        <w:tc>
          <w:tcPr>
            <w:tcW w:w="1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127,481</w:t>
            </w:r>
          </w:p>
        </w:tc>
        <w:tc>
          <w:tcPr>
            <w:tcW w:w="120" w:type="dxa"/>
            <w:vAlign w:val="bottom"/>
            <w:shd w:val="clear" w:color="auto" w:fill="CFF0FC"/>
          </w:tcPr>
          <w:p>
            <w:pPr>
              <w:spacing w:after="0"/>
              <w:rPr>
                <w:sz w:val="18"/>
                <w:szCs w:val="18"/>
                <w:color w:val="auto"/>
              </w:rPr>
            </w:pPr>
          </w:p>
        </w:tc>
      </w:tr>
      <w:tr>
        <w:trPr>
          <w:trHeight w:val="210"/>
        </w:trPr>
        <w:tc>
          <w:tcPr>
            <w:tcW w:w="7720" w:type="dxa"/>
            <w:vAlign w:val="bottom"/>
          </w:tcPr>
          <w:p>
            <w:pPr>
              <w:ind w:left="26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3,999,278</w:t>
            </w:r>
          </w:p>
        </w:tc>
        <w:tc>
          <w:tcPr>
            <w:tcW w:w="28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15,556,095</w:t>
            </w:r>
          </w:p>
        </w:tc>
        <w:tc>
          <w:tcPr>
            <w:tcW w:w="1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Unaudited Pro Forma Net Loss Per Share Attributable to Common Stockholders</w:t>
      </w:r>
    </w:p>
    <w:p>
      <w:pPr>
        <w:spacing w:after="0" w:line="106" w:lineRule="exact"/>
        <w:rPr>
          <w:sz w:val="20"/>
          <w:szCs w:val="20"/>
          <w:color w:val="auto"/>
        </w:rPr>
      </w:pPr>
    </w:p>
    <w:p>
      <w:pPr>
        <w:ind w:right="80" w:firstLine="576"/>
        <w:spacing w:after="0" w:line="248" w:lineRule="auto"/>
        <w:rPr>
          <w:sz w:val="20"/>
          <w:szCs w:val="20"/>
          <w:color w:val="auto"/>
        </w:rPr>
      </w:pPr>
      <w:r>
        <w:rPr>
          <w:rFonts w:ascii="Arial" w:cs="Arial" w:eastAsia="Arial" w:hAnsi="Arial"/>
          <w:sz w:val="18"/>
          <w:szCs w:val="18"/>
          <w:color w:val="auto"/>
        </w:rPr>
        <w:t>Basic and diluted pro forma net loss per share has been computed to give effect to the assumed conversion of all outstanding shares of the Company’s convertible preferred stock into shares of its common stock and the net exercise of outstanding convertible preferred stock warrants and common stock warrants and the repayment of grant liability upon completion of a qualifying IPO of the Company’s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0" w:name="page251"/>
    <w:bookmarkEnd w:id="250"/>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33" w:lineRule="exact"/>
        <w:rPr>
          <w:sz w:val="20"/>
          <w:szCs w:val="20"/>
          <w:color w:val="auto"/>
        </w:rPr>
      </w:pPr>
    </w:p>
    <w:p>
      <w:pPr>
        <w:ind w:right="120" w:firstLine="576"/>
        <w:spacing w:after="0" w:line="276" w:lineRule="auto"/>
        <w:rPr>
          <w:sz w:val="20"/>
          <w:szCs w:val="20"/>
          <w:color w:val="auto"/>
        </w:rPr>
      </w:pPr>
      <w:r>
        <w:rPr>
          <w:rFonts w:ascii="Arial" w:cs="Arial" w:eastAsia="Arial" w:hAnsi="Arial"/>
          <w:sz w:val="18"/>
          <w:szCs w:val="18"/>
          <w:color w:val="auto"/>
        </w:rPr>
        <w:t>The following table sets forth the computation of the unaudited basic and diluted pro forma net loss per share attributable to common stockholders (in thousands, except share and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9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7"/>
        </w:trPr>
        <w:tc>
          <w:tcPr>
            <w:tcW w:w="92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Loss on remeasurement of grant liability</w:t>
            </w:r>
          </w:p>
        </w:tc>
        <w:tc>
          <w:tcPr>
            <w:tcW w:w="20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tcPr>
          <w:p>
            <w:pPr>
              <w:spacing w:after="0" w:line="187" w:lineRule="exact"/>
              <w:rPr>
                <w:sz w:val="20"/>
                <w:szCs w:val="20"/>
                <w:color w:val="auto"/>
              </w:rPr>
            </w:pPr>
            <w:r>
              <w:rPr>
                <w:rFonts w:ascii="Arial" w:cs="Arial" w:eastAsia="Arial" w:hAnsi="Arial"/>
                <w:sz w:val="18"/>
                <w:szCs w:val="18"/>
                <w:color w:val="auto"/>
              </w:rPr>
              <w:t>Net loss used in computing pro forma net loss per share attributable to common</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924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196"/>
        </w:trPr>
        <w:tc>
          <w:tcPr>
            <w:tcW w:w="92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9240" w:type="dxa"/>
            <w:vAlign w:val="bottom"/>
          </w:tcPr>
          <w:p>
            <w:pPr>
              <w:spacing w:after="0" w:line="193" w:lineRule="exact"/>
              <w:rPr>
                <w:sz w:val="20"/>
                <w:szCs w:val="20"/>
                <w:color w:val="auto"/>
              </w:rPr>
            </w:pPr>
            <w:r>
              <w:rPr>
                <w:rFonts w:ascii="Arial" w:cs="Arial" w:eastAsia="Arial" w:hAnsi="Arial"/>
                <w:sz w:val="18"/>
                <w:szCs w:val="18"/>
                <w:color w:val="auto"/>
              </w:rPr>
              <w:t>Weighted-average shares of common stock used in computing net loss per share</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3,937,501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FF0FC"/>
          </w:tcPr>
          <w:p>
            <w:pPr>
              <w:spacing w:after="0"/>
              <w:rPr>
                <w:sz w:val="20"/>
                <w:szCs w:val="20"/>
                <w:color w:val="auto"/>
              </w:rPr>
            </w:pPr>
            <w:r>
              <w:rPr>
                <w:rFonts w:ascii="Arial" w:cs="Arial" w:eastAsia="Arial" w:hAnsi="Arial"/>
                <w:sz w:val="18"/>
                <w:szCs w:val="18"/>
                <w:color w:val="auto"/>
              </w:rPr>
              <w:t>Pro forma adjustment to reflect conversion of convertible preferred stock</w:t>
            </w:r>
          </w:p>
        </w:tc>
        <w:tc>
          <w:tcPr>
            <w:tcW w:w="20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 forma adjustment to reflect net exercise of warrants</w:t>
            </w: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296,051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92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Weighted-average shares of common stock used in computing pro forma net loss</w:t>
            </w:r>
          </w:p>
        </w:tc>
        <w:tc>
          <w:tcPr>
            <w:tcW w:w="20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92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per share attributable to common stockholders,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8,603,509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 basic and diluted</w:t>
            </w: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40" w:type="dxa"/>
            <w:vAlign w:val="bottom"/>
            <w:vMerge w:val="continue"/>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0" w:lineRule="exact"/>
        <w:rPr>
          <w:sz w:val="20"/>
          <w:szCs w:val="20"/>
          <w:color w:val="auto"/>
        </w:rPr>
      </w:pPr>
    </w:p>
    <w:p>
      <w:pPr>
        <w:ind w:left="580" w:hanging="572"/>
        <w:spacing w:after="0"/>
        <w:tabs>
          <w:tab w:leader="none" w:pos="5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3" w:lineRule="exact"/>
        <w:rPr>
          <w:rFonts w:ascii="Arial" w:cs="Arial" w:eastAsia="Arial" w:hAnsi="Arial"/>
          <w:sz w:val="18"/>
          <w:szCs w:val="18"/>
          <w:b w:val="1"/>
          <w:bCs w:val="1"/>
          <w:color w:val="auto"/>
        </w:rPr>
      </w:pPr>
    </w:p>
    <w:p>
      <w:pPr>
        <w:ind w:left="1000" w:hanging="425"/>
        <w:spacing w:after="0"/>
        <w:tabs>
          <w:tab w:leader="none" w:pos="1000" w:val="left"/>
        </w:tabs>
        <w:numPr>
          <w:ilvl w:val="1"/>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Athira Pharma Australia PTY LTD</w:t>
      </w:r>
    </w:p>
    <w:p>
      <w:pPr>
        <w:spacing w:after="0" w:line="106" w:lineRule="exact"/>
        <w:rPr>
          <w:sz w:val="20"/>
          <w:szCs w:val="20"/>
          <w:color w:val="auto"/>
        </w:rPr>
      </w:pPr>
    </w:p>
    <w:p>
      <w:pPr>
        <w:ind w:right="40" w:firstLine="589"/>
        <w:spacing w:after="0" w:line="276" w:lineRule="auto"/>
        <w:rPr>
          <w:sz w:val="20"/>
          <w:szCs w:val="20"/>
          <w:color w:val="auto"/>
        </w:rPr>
      </w:pPr>
      <w:r>
        <w:rPr>
          <w:rFonts w:ascii="Arial" w:cs="Arial" w:eastAsia="Arial" w:hAnsi="Arial"/>
          <w:sz w:val="18"/>
          <w:szCs w:val="18"/>
          <w:color w:val="auto"/>
        </w:rPr>
        <w:t>In July 2020, the Company established Athira Pharma Australia PTY LTD, a subsidiary, to facilitate clinical trials in Australia. As of the date hereof, research and development operations have not commenced in Australia.</w:t>
      </w:r>
    </w:p>
    <w:p>
      <w:pPr>
        <w:spacing w:after="0" w:line="143" w:lineRule="exact"/>
        <w:rPr>
          <w:sz w:val="20"/>
          <w:szCs w:val="20"/>
          <w:color w:val="auto"/>
        </w:rPr>
      </w:pPr>
    </w:p>
    <w:p>
      <w:pPr>
        <w:ind w:left="1000" w:hanging="425"/>
        <w:spacing w:after="0"/>
        <w:tabs>
          <w:tab w:leader="none" w:pos="10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Unsecured Note Receivable</w:t>
      </w:r>
    </w:p>
    <w:p>
      <w:pPr>
        <w:spacing w:after="0" w:line="10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August 2020, the remaining balance of the unsecured note receivable from the Company’s chief executive offer was repaid in full.</w:t>
      </w:r>
    </w:p>
    <w:p>
      <w:pPr>
        <w:spacing w:after="0" w:line="209" w:lineRule="exact"/>
        <w:rPr>
          <w:sz w:val="20"/>
          <w:szCs w:val="20"/>
          <w:color w:val="auto"/>
        </w:rPr>
      </w:pPr>
    </w:p>
    <w:p>
      <w:pPr>
        <w:ind w:left="1000" w:hanging="425"/>
        <w:spacing w:after="0"/>
        <w:tabs>
          <w:tab w:leader="none" w:pos="1000" w:val="left"/>
        </w:tabs>
        <w:numPr>
          <w:ilvl w:val="0"/>
          <w:numId w:val="174"/>
        </w:numPr>
        <w:rPr>
          <w:rFonts w:ascii="Times New Roman" w:cs="Times New Roman" w:eastAsia="Times New Roman" w:hAnsi="Times New Roman"/>
          <w:sz w:val="22"/>
          <w:szCs w:val="22"/>
          <w:b w:val="1"/>
          <w:bCs w:val="1"/>
          <w:color w:val="auto"/>
        </w:rPr>
      </w:pPr>
      <w:r>
        <w:rPr>
          <w:rFonts w:ascii="Arial" w:cs="Arial" w:eastAsia="Arial" w:hAnsi="Arial"/>
          <w:sz w:val="18"/>
          <w:szCs w:val="18"/>
          <w:b w:val="1"/>
          <w:bCs w:val="1"/>
          <w:color w:val="auto"/>
        </w:rPr>
        <w:t>Employee Stock Purchase Plan</w:t>
      </w:r>
    </w:p>
    <w:p>
      <w:pPr>
        <w:spacing w:after="0" w:line="100" w:lineRule="exact"/>
        <w:rPr>
          <w:sz w:val="20"/>
          <w:szCs w:val="20"/>
          <w:color w:val="auto"/>
        </w:rPr>
      </w:pPr>
    </w:p>
    <w:p>
      <w:pPr>
        <w:ind w:right="40" w:firstLine="576"/>
        <w:spacing w:after="0" w:line="255" w:lineRule="auto"/>
        <w:rPr>
          <w:sz w:val="20"/>
          <w:szCs w:val="20"/>
          <w:color w:val="auto"/>
        </w:rPr>
      </w:pPr>
      <w:r>
        <w:rPr>
          <w:rFonts w:ascii="Arial" w:cs="Arial" w:eastAsia="Arial" w:hAnsi="Arial"/>
          <w:sz w:val="18"/>
          <w:szCs w:val="18"/>
          <w:color w:val="auto"/>
        </w:rPr>
        <w:t>In September 2020, the board of directors of the Company approved the Employee Stock Purchase Plan (the “ESPP”). The ESPP will become effective on the date immediately prior to the effectiveness of the Company’s registration statement on Form S-1 for its proposed IPO. The ESPP provides for the issuance of up to 323,000 shares of common stock.</w:t>
      </w:r>
    </w:p>
    <w:p>
      <w:pPr>
        <w:spacing w:after="0" w:line="162" w:lineRule="exact"/>
        <w:rPr>
          <w:sz w:val="20"/>
          <w:szCs w:val="20"/>
          <w:color w:val="auto"/>
        </w:rPr>
      </w:pPr>
    </w:p>
    <w:p>
      <w:pPr>
        <w:ind w:left="1000" w:hanging="425"/>
        <w:spacing w:after="0"/>
        <w:tabs>
          <w:tab w:leader="none" w:pos="100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Grants</w:t>
      </w:r>
    </w:p>
    <w:p>
      <w:pPr>
        <w:spacing w:after="0" w:line="106" w:lineRule="exact"/>
        <w:rPr>
          <w:sz w:val="20"/>
          <w:szCs w:val="20"/>
          <w:color w:val="auto"/>
        </w:rPr>
      </w:pPr>
    </w:p>
    <w:p>
      <w:pPr>
        <w:jc w:val="both"/>
        <w:ind w:right="200" w:firstLine="589"/>
        <w:spacing w:after="0" w:line="255" w:lineRule="auto"/>
        <w:rPr>
          <w:sz w:val="20"/>
          <w:szCs w:val="20"/>
          <w:color w:val="auto"/>
        </w:rPr>
      </w:pPr>
      <w:r>
        <w:rPr>
          <w:rFonts w:ascii="Arial" w:cs="Arial" w:eastAsia="Arial" w:hAnsi="Arial"/>
          <w:sz w:val="18"/>
          <w:szCs w:val="18"/>
          <w:color w:val="auto"/>
        </w:rPr>
        <w:t>In September 2020, the board of directors of the Company approved option awards to purchase an aggregate of 943,223 shares of common stock to certain executives, employees, advisors and non-employee directors of the Company. These awards will be issued under the 2020 Equity Incentive Plan and are subject to and will become effective upon the effectiveness of the Company’s registration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1" w:name="page252"/>
    <w:bookmarkEnd w:id="251"/>
    <w:p>
      <w:pPr>
        <w:ind w:left="4640"/>
        <w:spacing w:after="0"/>
        <w:rPr>
          <w:sz w:val="20"/>
          <w:szCs w:val="20"/>
          <w:color w:val="auto"/>
        </w:rPr>
      </w:pPr>
      <w:r>
        <w:rPr>
          <w:rFonts w:ascii="Arial" w:cs="Arial" w:eastAsia="Arial" w:hAnsi="Arial"/>
          <w:sz w:val="18"/>
          <w:szCs w:val="18"/>
          <w:b w:val="1"/>
          <w:bCs w:val="1"/>
          <w:color w:val="auto"/>
        </w:rPr>
        <w:t>ATHIRA PHARMA, INC.</w:t>
      </w:r>
    </w:p>
    <w:p>
      <w:pPr>
        <w:spacing w:after="0" w:line="5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(unaudited)</w:t>
      </w:r>
    </w:p>
    <w:p>
      <w:pPr>
        <w:spacing w:after="0" w:line="325"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statement. The exercise price of each option will be equal to the initial price of a share of the Company’s common stock to the public as of the effective date of the registration statement.</w:t>
      </w:r>
    </w:p>
    <w:p>
      <w:pPr>
        <w:spacing w:after="0" w:line="143" w:lineRule="exact"/>
        <w:rPr>
          <w:sz w:val="20"/>
          <w:szCs w:val="20"/>
          <w:color w:val="auto"/>
        </w:rPr>
      </w:pPr>
    </w:p>
    <w:p>
      <w:pPr>
        <w:ind w:left="1000" w:hanging="425"/>
        <w:spacing w:after="0"/>
        <w:tabs>
          <w:tab w:leader="none" w:pos="100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Reverse Stock Split</w:t>
      </w:r>
    </w:p>
    <w:p>
      <w:pPr>
        <w:spacing w:after="0" w:line="106" w:lineRule="exact"/>
        <w:rPr>
          <w:sz w:val="20"/>
          <w:szCs w:val="20"/>
          <w:color w:val="auto"/>
        </w:rPr>
      </w:pPr>
    </w:p>
    <w:p>
      <w:pPr>
        <w:ind w:firstLine="589"/>
        <w:spacing w:after="0" w:line="263" w:lineRule="auto"/>
        <w:rPr>
          <w:sz w:val="20"/>
          <w:szCs w:val="20"/>
          <w:color w:val="auto"/>
        </w:rPr>
      </w:pPr>
      <w:r>
        <w:rPr>
          <w:rFonts w:ascii="Arial" w:cs="Arial" w:eastAsia="Arial" w:hAnsi="Arial"/>
          <w:sz w:val="17"/>
          <w:szCs w:val="17"/>
          <w:color w:val="auto"/>
        </w:rPr>
        <w:t>In September 2020, the board of directors of the Company approved an amendment to the Company’s certificate of incorporation to effect a reverse split of shares of the Company’s common stock and preferred stock on a 7.9302-for-one basis, which was effected on September 11, 2020. All references to convertible preferred stock, common stock, warrants to purchase convertible preferred stock, warrants to purchase common stock, options to purchase common stock, restricted stock awards, per share amounts and related information contained in the financial statements have been retroactively adjusted to reflect the effect of the reverse stock split for all periods presented.</w:t>
      </w:r>
    </w:p>
    <w:p>
      <w:pPr>
        <w:spacing w:after="0" w:line="155" w:lineRule="exact"/>
        <w:rPr>
          <w:sz w:val="20"/>
          <w:szCs w:val="20"/>
          <w:color w:val="auto"/>
        </w:rPr>
      </w:pPr>
    </w:p>
    <w:p>
      <w:pPr>
        <w:ind w:left="1000" w:hanging="425"/>
        <w:spacing w:after="0"/>
        <w:tabs>
          <w:tab w:leader="none" w:pos="1000" w:val="left"/>
        </w:tabs>
        <w:numPr>
          <w:ilvl w:val="0"/>
          <w:numId w:val="177"/>
        </w:numPr>
        <w:rPr>
          <w:rFonts w:ascii="Times New Roman" w:cs="Times New Roman" w:eastAsia="Times New Roman" w:hAnsi="Times New Roman"/>
          <w:sz w:val="22"/>
          <w:szCs w:val="22"/>
          <w:b w:val="1"/>
          <w:bCs w:val="1"/>
          <w:color w:val="auto"/>
        </w:rPr>
      </w:pPr>
      <w:r>
        <w:rPr>
          <w:rFonts w:ascii="Arial" w:cs="Arial" w:eastAsia="Arial" w:hAnsi="Arial"/>
          <w:sz w:val="18"/>
          <w:szCs w:val="18"/>
          <w:b w:val="1"/>
          <w:bCs w:val="1"/>
          <w:color w:val="auto"/>
        </w:rPr>
        <w:t>National Institutes of Health Grant</w:t>
      </w:r>
    </w:p>
    <w:p>
      <w:pPr>
        <w:spacing w:after="0" w:line="100" w:lineRule="exact"/>
        <w:rPr>
          <w:sz w:val="20"/>
          <w:szCs w:val="20"/>
          <w:color w:val="auto"/>
        </w:rPr>
      </w:pPr>
    </w:p>
    <w:p>
      <w:pPr>
        <w:ind w:right="180" w:firstLine="589"/>
        <w:spacing w:after="0" w:line="276" w:lineRule="auto"/>
        <w:rPr>
          <w:sz w:val="20"/>
          <w:szCs w:val="20"/>
          <w:color w:val="auto"/>
        </w:rPr>
      </w:pPr>
      <w:r>
        <w:rPr>
          <w:rFonts w:ascii="Arial" w:cs="Arial" w:eastAsia="Arial" w:hAnsi="Arial"/>
          <w:sz w:val="18"/>
          <w:szCs w:val="18"/>
          <w:color w:val="auto"/>
        </w:rPr>
        <w:t>In September 2020, the Company was awarded a $7.8 million grant from the National Institute on Aging of the National Institutes of Health under award R01AG068268 for the period September 15, 2020 through May 31, 2021.</w:t>
      </w:r>
    </w:p>
    <w:p>
      <w:pPr>
        <w:spacing w:after="0" w:line="145" w:lineRule="exact"/>
        <w:rPr>
          <w:sz w:val="20"/>
          <w:szCs w:val="20"/>
          <w:color w:val="auto"/>
        </w:rPr>
      </w:pPr>
    </w:p>
    <w:p>
      <w:pPr>
        <w:ind w:firstLine="589"/>
        <w:spacing w:after="0" w:line="255" w:lineRule="auto"/>
        <w:rPr>
          <w:sz w:val="20"/>
          <w:szCs w:val="20"/>
          <w:color w:val="auto"/>
        </w:rPr>
      </w:pPr>
      <w:r>
        <w:rPr>
          <w:rFonts w:ascii="Arial" w:cs="Arial" w:eastAsia="Arial" w:hAnsi="Arial"/>
          <w:sz w:val="18"/>
          <w:szCs w:val="18"/>
          <w:color w:val="auto"/>
        </w:rPr>
        <w:t>In preparing the condensed interim financial statements as of June 30, 2020 and for the six-month period then ended (unaudited), the Company has evaluated subsequent events for recognition and measurement purposes through August 26, 2020, the date the condensed interim financial statements were issued, and September 14, 2020, the date the revised condensed financial statements were issued.</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4946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252" w:name="page253"/>
    <w:bookmarkEnd w:id="252"/>
    <w:p>
      <w:pPr>
        <w:spacing w:after="0" w:line="2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color w:val="auto"/>
        </w:rPr>
        <w:t>12,000,000 Shares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582930</wp:posOffset>
            </wp:positionV>
            <wp:extent cx="118300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2005965</wp:posOffset>
            </wp:positionV>
            <wp:extent cx="118300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18300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728345</wp:posOffset>
            </wp:positionV>
            <wp:extent cx="2134235" cy="1054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34235" cy="1054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5100" w:val="left"/>
          <w:tab w:leader="none" w:pos="1060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Jefferies</w:t>
      </w:r>
      <w:r>
        <w:rPr>
          <w:sz w:val="20"/>
          <w:szCs w:val="20"/>
          <w:color w:val="auto"/>
        </w:rPr>
        <w:tab/>
      </w:r>
      <w:r>
        <w:rPr>
          <w:rFonts w:ascii="Arial" w:cs="Arial" w:eastAsia="Arial" w:hAnsi="Arial"/>
          <w:sz w:val="25"/>
          <w:szCs w:val="25"/>
          <w:b w:val="1"/>
          <w:bCs w:val="1"/>
          <w:color w:val="auto"/>
        </w:rPr>
        <w:t>Stifel</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JMP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231140</wp:posOffset>
            </wp:positionV>
            <wp:extent cx="118300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60"/>
        <w:spacing w:after="0" w:line="283" w:lineRule="auto"/>
        <w:rPr>
          <w:sz w:val="20"/>
          <w:szCs w:val="20"/>
          <w:color w:val="auto"/>
        </w:rPr>
      </w:pPr>
      <w:r>
        <w:rPr>
          <w:rFonts w:ascii="Arial" w:cs="Arial" w:eastAsia="Arial" w:hAnsi="Arial"/>
          <w:sz w:val="17"/>
          <w:szCs w:val="17"/>
          <w:b w:val="1"/>
          <w:bCs w:val="1"/>
          <w:color w:val="auto"/>
        </w:rPr>
        <w:t>Through and including October 12,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1)"/>
      <w:numFmt w:val="decimal"/>
      <w:start w:val="1"/>
    </w:lvl>
  </w:abstractNum>
  <w:abstractNum w:abstractNumId="1">
    <w:nsid w:val="74DE0EE3"/>
    <w:multiLevelType w:val="hybridMultilevel"/>
    <w:lvl w:ilvl="0">
      <w:lvlJc w:val="left"/>
      <w:lvlText w:val="(%1)"/>
      <w:numFmt w:val="decimal"/>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
      <w:numFmt w:val="bullet"/>
      <w:start w:val="1"/>
    </w:lvl>
  </w:abstractNum>
  <w:abstractNum w:abstractNumId="13">
    <w:nsid w:val="49DA307D"/>
    <w:multiLevelType w:val="hybridMultilevel"/>
    <w:lvl w:ilvl="0">
      <w:lvlJc w:val="left"/>
      <w:lvlText w:val="(%1)"/>
      <w:numFmt w:val="decimal"/>
      <w:start w:val="1"/>
    </w:lvl>
  </w:abstractNum>
  <w:abstractNum w:abstractNumId="14">
    <w:nsid w:val="7055A5F5"/>
    <w:multiLevelType w:val="hybridMultilevel"/>
    <w:lvl w:ilvl="0">
      <w:lvlJc w:val="left"/>
      <w:lvlText w:val="(%1)"/>
      <w:numFmt w:val="decimal"/>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
      <w:numFmt w:val="bullet"/>
      <w:start w:val="1"/>
    </w:lvl>
  </w:abstractNum>
  <w:abstractNum w:abstractNumId="40">
    <w:nsid w:val="1D9F6E5F"/>
    <w:multiLevelType w:val="hybridMultilevel"/>
    <w:lvl w:ilvl="0">
      <w:lvlJc w:val="left"/>
      <w:lvlText w:val="•"/>
      <w:numFmt w:val="bullet"/>
      <w:start w:val="1"/>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
      <w:numFmt w:val="bullet"/>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
      <w:numFmt w:val="bullet"/>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abstractNum>
  <w:abstractNum w:abstractNumId="51">
    <w:nsid w:val="3C5991AA"/>
    <w:multiLevelType w:val="hybridMultilevel"/>
    <w:lvl w:ilvl="0">
      <w:lvlJc w:val="left"/>
      <w:lvlText w:val="•"/>
      <w:numFmt w:val="bullet"/>
      <w:start w:val="1"/>
    </w:lvl>
  </w:abstractNum>
  <w:abstractNum w:abstractNumId="52">
    <w:nsid w:val="4BD8591A"/>
    <w:multiLevelType w:val="hybridMultilevel"/>
    <w:lvl w:ilvl="0">
      <w:lvlJc w:val="left"/>
      <w:lvlText w:val="•"/>
      <w:numFmt w:val="bullet"/>
      <w:start w:val="1"/>
    </w:lvl>
  </w:abstractNum>
  <w:abstractNum w:abstractNumId="53">
    <w:nsid w:val="78DF6A55"/>
    <w:multiLevelType w:val="hybridMultilevel"/>
    <w:lvl w:ilvl="0">
      <w:lvlJc w:val="left"/>
      <w:lvlText w:val="•"/>
      <w:numFmt w:val="bullet"/>
      <w:start w:val="1"/>
    </w:lvl>
  </w:abstractNum>
  <w:abstractNum w:abstractNumId="54">
    <w:nsid w:val="39B7AAA2"/>
    <w:multiLevelType w:val="hybridMultilevel"/>
    <w:lvl w:ilvl="0">
      <w:lvlJc w:val="left"/>
      <w:lvlText w:val="•"/>
      <w:numFmt w:val="bullet"/>
      <w:start w:val="1"/>
    </w:lvl>
  </w:abstractNum>
  <w:abstractNum w:abstractNumId="55">
    <w:nsid w:val="2B0D8DBE"/>
    <w:multiLevelType w:val="hybridMultilevel"/>
    <w:lvl w:ilvl="0">
      <w:lvlJc w:val="left"/>
      <w:lvlText w:val="•"/>
      <w:numFmt w:val="bullet"/>
      <w:start w:val="1"/>
    </w:lvl>
  </w:abstractNum>
  <w:abstractNum w:abstractNumId="56">
    <w:nsid w:val="6C80EC70"/>
    <w:multiLevelType w:val="hybridMultilevel"/>
    <w:lvl w:ilvl="0">
      <w:lvlJc w:val="left"/>
      <w:lvlText w:val="•"/>
      <w:numFmt w:val="bullet"/>
      <w:start w:val="1"/>
    </w:lvl>
  </w:abstractNum>
  <w:abstractNum w:abstractNumId="57">
    <w:nsid w:val="379E21B5"/>
    <w:multiLevelType w:val="hybridMultilevel"/>
    <w:lvl w:ilvl="0">
      <w:lvlJc w:val="left"/>
      <w:lvlText w:val="(%1)"/>
      <w:numFmt w:val="decimal"/>
      <w:start w:val="1"/>
    </w:lvl>
  </w:abstractNum>
  <w:abstractNum w:abstractNumId="58">
    <w:nsid w:val="69E373"/>
    <w:multiLevelType w:val="hybridMultilevel"/>
    <w:lvl w:ilvl="0">
      <w:lvlJc w:val="left"/>
      <w:lvlText w:val="(%1)"/>
      <w:numFmt w:val="decimal"/>
      <w:start w:val="1"/>
    </w:lvl>
  </w:abstractNum>
  <w:abstractNum w:abstractNumId="59">
    <w:nsid w:val="2C27173B"/>
    <w:multiLevelType w:val="hybridMultilevel"/>
    <w:lvl w:ilvl="0">
      <w:lvlJc w:val="left"/>
      <w:lvlText w:val="(%1)"/>
      <w:numFmt w:val="decimal"/>
      <w:start w:val="1"/>
    </w:lvl>
  </w:abstractNum>
  <w:abstractNum w:abstractNumId="60">
    <w:nsid w:val="4C9B0904"/>
    <w:multiLevelType w:val="hybridMultilevel"/>
    <w:lvl w:ilvl="0">
      <w:lvlJc w:val="left"/>
      <w:lvlText w:val="•"/>
      <w:numFmt w:val="bullet"/>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
      <w:numFmt w:val="bullet"/>
      <w:start w:val="1"/>
    </w:lvl>
  </w:abstractNum>
  <w:abstractNum w:abstractNumId="63">
    <w:nsid w:val="5675FF36"/>
    <w:multiLevelType w:val="hybridMultilevel"/>
    <w:lvl w:ilvl="0">
      <w:lvlJc w:val="left"/>
      <w:lvlText w:val="*"/>
      <w:numFmt w:val="bullet"/>
      <w:start w:val="1"/>
    </w:lvl>
  </w:abstractNum>
  <w:abstractNum w:abstractNumId="64">
    <w:nsid w:val="3DD15094"/>
    <w:multiLevelType w:val="hybridMultilevel"/>
    <w:lvl w:ilvl="0">
      <w:lvlJc w:val="left"/>
      <w:lvlText w:val="*"/>
      <w:numFmt w:val="bullet"/>
      <w:start w:val="1"/>
    </w:lvl>
  </w:abstractNum>
  <w:abstractNum w:abstractNumId="65">
    <w:nsid w:val="3DB012B3"/>
    <w:multiLevelType w:val="hybridMultilevel"/>
    <w:lvl w:ilvl="0">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
      <w:numFmt w:val="bullet"/>
      <w:start w:val="1"/>
    </w:lvl>
  </w:abstractNum>
  <w:abstractNum w:abstractNumId="68">
    <w:nsid w:val="175DFCF0"/>
    <w:multiLevelType w:val="hybridMultilevel"/>
    <w:lvl w:ilvl="0">
      <w:lvlJc w:val="left"/>
      <w:lvlText w:val="•"/>
      <w:numFmt w:val="bullet"/>
      <w:start w:val="1"/>
    </w:lvl>
  </w:abstractNum>
  <w:abstractNum w:abstractNumId="69">
    <w:nsid w:val="4F97E3E4"/>
    <w:multiLevelType w:val="hybridMultilevel"/>
    <w:lvl w:ilvl="0">
      <w:lvlJc w:val="left"/>
      <w:lvlText w:val="(%1)"/>
      <w:numFmt w:val="decimal"/>
      <w:start w:val="1"/>
    </w:lvl>
  </w:abstractNum>
  <w:abstractNum w:abstractNumId="70">
    <w:nsid w:val="53B0A9E"/>
    <w:multiLevelType w:val="hybridMultilevel"/>
    <w:lvl w:ilvl="0">
      <w:lvlJc w:val="left"/>
      <w:lvlText w:val="•"/>
      <w:numFmt w:val="bullet"/>
      <w:start w:val="1"/>
    </w:lvl>
  </w:abstractNum>
  <w:abstractNum w:abstractNumId="71">
    <w:nsid w:val="34FD6B4F"/>
    <w:multiLevelType w:val="hybridMultilevel"/>
    <w:lvl w:ilvl="0">
      <w:lvlJc w:val="left"/>
      <w:lvlText w:val="•"/>
      <w:numFmt w:val="bullet"/>
      <w:start w:val="1"/>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
      <w:numFmt w:val="bullet"/>
      <w:start w:val="1"/>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
      <w:numFmt w:val="bullet"/>
      <w:start w:val="1"/>
    </w:lvl>
  </w:abstractNum>
  <w:abstractNum w:abstractNumId="76">
    <w:nsid w:val="17A1B582"/>
    <w:multiLevelType w:val="hybridMultilevel"/>
    <w:lvl w:ilvl="0">
      <w:lvlJc w:val="left"/>
      <w:lvlText w:val="•"/>
      <w:numFmt w:val="bullet"/>
      <w:start w:val="1"/>
    </w:lvl>
  </w:abstractNum>
  <w:abstractNum w:abstractNumId="77">
    <w:nsid w:val="4DF72E4E"/>
    <w:multiLevelType w:val="hybridMultilevel"/>
    <w:lvl w:ilvl="0">
      <w:lvlJc w:val="left"/>
      <w:lvlText w:val="•"/>
      <w:numFmt w:val="bullet"/>
      <w:start w:val="1"/>
    </w:lvl>
  </w:abstractNum>
  <w:abstractNum w:abstractNumId="78">
    <w:nsid w:val="5046B5A9"/>
    <w:multiLevelType w:val="hybridMultilevel"/>
    <w:lvl w:ilvl="0">
      <w:lvlJc w:val="left"/>
      <w:lvlText w:val="•"/>
      <w:numFmt w:val="bullet"/>
      <w:start w:val="1"/>
    </w:lvl>
  </w:abstractNum>
  <w:abstractNum w:abstractNumId="79">
    <w:nsid w:val="5D888A08"/>
    <w:multiLevelType w:val="hybridMultilevel"/>
    <w:lvl w:ilvl="0">
      <w:lvlJc w:val="left"/>
      <w:lvlText w:val="•"/>
      <w:numFmt w:val="bullet"/>
      <w:start w:val="1"/>
    </w:lvl>
  </w:abstractNum>
  <w:abstractNum w:abstractNumId="80">
    <w:nsid w:val="2A082C70"/>
    <w:multiLevelType w:val="hybridMultilevel"/>
    <w:lvl w:ilvl="0">
      <w:lvlJc w:val="left"/>
      <w:lvlText w:val="•"/>
      <w:numFmt w:val="bullet"/>
      <w:start w:val="1"/>
    </w:lvl>
  </w:abstractNum>
  <w:abstractNum w:abstractNumId="81">
    <w:nsid w:val="5EC6AFD4"/>
    <w:multiLevelType w:val="hybridMultilevel"/>
    <w:lvl w:ilvl="0">
      <w:lvlJc w:val="left"/>
      <w:lvlText w:val="•"/>
      <w:numFmt w:val="bullet"/>
      <w:start w:val="1"/>
    </w:lvl>
  </w:abstractNum>
  <w:abstractNum w:abstractNumId="82">
    <w:nsid w:val="19E21BB2"/>
    <w:multiLevelType w:val="hybridMultilevel"/>
    <w:lvl w:ilvl="0">
      <w:lvlJc w:val="left"/>
      <w:lvlText w:val="•"/>
      <w:numFmt w:val="bullet"/>
      <w:start w:val="1"/>
    </w:lvl>
  </w:abstractNum>
  <w:abstractNum w:abstractNumId="83">
    <w:nsid w:val="75E0858A"/>
    <w:multiLevelType w:val="hybridMultilevel"/>
    <w:lvl w:ilvl="0">
      <w:lvlJc w:val="left"/>
      <w:lvlText w:val="•"/>
      <w:numFmt w:val="bullet"/>
      <w:start w:val="1"/>
    </w:lvl>
  </w:abstractNum>
  <w:abstractNum w:abstractNumId="84">
    <w:nsid w:val="57A61A29"/>
    <w:multiLevelType w:val="hybridMultilevel"/>
    <w:lvl w:ilvl="0">
      <w:lvlJc w:val="left"/>
      <w:lvlText w:val="•"/>
      <w:numFmt w:val="bullet"/>
      <w:start w:val="1"/>
    </w:lvl>
  </w:abstractNum>
  <w:abstractNum w:abstractNumId="85">
    <w:nsid w:val="5399C654"/>
    <w:multiLevelType w:val="hybridMultilevel"/>
    <w:lvl w:ilvl="0">
      <w:lvlJc w:val="left"/>
      <w:lvlText w:val="•"/>
      <w:numFmt w:val="bullet"/>
      <w:start w:val="1"/>
    </w:lvl>
  </w:abstractNum>
  <w:abstractNum w:abstractNumId="86">
    <w:nsid w:val="20EE1348"/>
    <w:multiLevelType w:val="hybridMultilevel"/>
    <w:lvl w:ilvl="0">
      <w:lvlJc w:val="left"/>
      <w:lvlText w:val="•"/>
      <w:numFmt w:val="bullet"/>
      <w:start w:val="1"/>
    </w:lvl>
  </w:abstractNum>
  <w:abstractNum w:abstractNumId="87">
    <w:nsid w:val="4427069A"/>
    <w:multiLevelType w:val="hybridMultilevel"/>
    <w:lvl w:ilvl="0">
      <w:lvlJc w:val="left"/>
      <w:lvlText w:val="(%1)"/>
      <w:numFmt w:val="decimal"/>
      <w:start w:val="1"/>
    </w:lvl>
  </w:abstractNum>
  <w:abstractNum w:abstractNumId="88">
    <w:nsid w:val="B37E80A"/>
    <w:multiLevelType w:val="hybridMultilevel"/>
    <w:lvl w:ilvl="0">
      <w:lvlJc w:val="left"/>
      <w:lvlText w:val="•"/>
      <w:numFmt w:val="bullet"/>
      <w:start w:val="1"/>
    </w:lvl>
  </w:abstractNum>
  <w:abstractNum w:abstractNumId="89">
    <w:nsid w:val="2157F6BC"/>
    <w:multiLevelType w:val="hybridMultilevel"/>
    <w:lvl w:ilvl="0">
      <w:lvlJc w:val="left"/>
      <w:lvlText w:val="•"/>
      <w:numFmt w:val="bullet"/>
      <w:start w:val="1"/>
    </w:lvl>
  </w:abstractNum>
  <w:abstractNum w:abstractNumId="90">
    <w:nsid w:val="704E1DD5"/>
    <w:multiLevelType w:val="hybridMultilevel"/>
    <w:lvl w:ilvl="0">
      <w:lvlJc w:val="left"/>
      <w:lvlText w:val="•"/>
      <w:numFmt w:val="bullet"/>
      <w:start w:val="1"/>
    </w:lvl>
  </w:abstractNum>
  <w:abstractNum w:abstractNumId="91">
    <w:nsid w:val="57D2F10E"/>
    <w:multiLevelType w:val="hybridMultilevel"/>
    <w:lvl w:ilvl="0">
      <w:lvlJc w:val="left"/>
      <w:lvlText w:val="•"/>
      <w:numFmt w:val="bullet"/>
      <w:start w:val="1"/>
    </w:lvl>
  </w:abstractNum>
  <w:abstractNum w:abstractNumId="92">
    <w:nsid w:val="BFFAE18"/>
    <w:multiLevelType w:val="hybridMultilevel"/>
    <w:lvl w:ilvl="0">
      <w:lvlJc w:val="left"/>
      <w:lvlText w:val="•"/>
      <w:numFmt w:val="bullet"/>
      <w:start w:val="1"/>
    </w:lvl>
  </w:abstractNum>
  <w:abstractNum w:abstractNumId="93">
    <w:nsid w:val="E3E47A8"/>
    <w:multiLevelType w:val="hybridMultilevel"/>
    <w:lvl w:ilvl="0">
      <w:lvlJc w:val="left"/>
      <w:lvlText w:val="(%1)"/>
      <w:numFmt w:val="decimal"/>
      <w:start w:val="1"/>
    </w:lvl>
  </w:abstractNum>
  <w:abstractNum w:abstractNumId="94">
    <w:nsid w:val="2E48F044"/>
    <w:multiLevelType w:val="hybridMultilevel"/>
    <w:lvl w:ilvl="0">
      <w:lvlJc w:val="left"/>
      <w:lvlText w:val="•"/>
      <w:numFmt w:val="bullet"/>
      <w:start w:val="1"/>
    </w:lvl>
  </w:abstractNum>
  <w:abstractNum w:abstractNumId="95">
    <w:nsid w:val="49D0FEAC"/>
    <w:multiLevelType w:val="hybridMultilevel"/>
    <w:lvl w:ilvl="0">
      <w:lvlJc w:val="left"/>
      <w:lvlText w:val="•"/>
      <w:numFmt w:val="bullet"/>
      <w:start w:val="1"/>
    </w:lvl>
  </w:abstractNum>
  <w:abstractNum w:abstractNumId="96">
    <w:nsid w:val="4BEE5A5B"/>
    <w:multiLevelType w:val="hybridMultilevel"/>
    <w:lvl w:ilvl="0">
      <w:lvlJc w:val="left"/>
      <w:lvlText w:val="(%1)"/>
      <w:numFmt w:val="decimal"/>
      <w:start w:val="1"/>
    </w:lvl>
  </w:abstractNum>
  <w:abstractNum w:abstractNumId="97">
    <w:nsid w:val="5551B9F3"/>
    <w:multiLevelType w:val="hybridMultilevel"/>
    <w:lvl w:ilvl="0">
      <w:lvlJc w:val="left"/>
      <w:lvlText w:val="(%1)"/>
      <w:numFmt w:val="decimal"/>
      <w:start w:val="1"/>
    </w:lvl>
  </w:abstractNum>
  <w:abstractNum w:abstractNumId="98">
    <w:nsid w:val="24F6AB8E"/>
    <w:multiLevelType w:val="hybridMultilevel"/>
    <w:lvl w:ilvl="0">
      <w:lvlJc w:val="left"/>
      <w:lvlText w:val="•"/>
      <w:numFmt w:val="bullet"/>
      <w:start w:val="1"/>
    </w:lvl>
  </w:abstractNum>
  <w:abstractNum w:abstractNumId="99">
    <w:nsid w:val="634C574C"/>
    <w:multiLevelType w:val="hybridMultilevel"/>
    <w:lvl w:ilvl="0">
      <w:lvlJc w:val="left"/>
      <w:lvlText w:val="•"/>
      <w:numFmt w:val="bullet"/>
      <w:start w:val="1"/>
    </w:lvl>
  </w:abstractNum>
  <w:abstractNum w:abstractNumId="100">
    <w:nsid w:val="24E99DD7"/>
    <w:multiLevelType w:val="hybridMultilevel"/>
    <w:lvl w:ilvl="0">
      <w:lvlJc w:val="left"/>
      <w:lvlText w:val="•"/>
      <w:numFmt w:val="bullet"/>
      <w:start w:val="1"/>
    </w:lvl>
  </w:abstractNum>
  <w:abstractNum w:abstractNumId="101">
    <w:nsid w:val="2A31B62D"/>
    <w:multiLevelType w:val="hybridMultilevel"/>
    <w:lvl w:ilvl="0">
      <w:lvlJc w:val="left"/>
      <w:lvlText w:val="•"/>
      <w:numFmt w:val="bullet"/>
      <w:start w:val="1"/>
    </w:lvl>
  </w:abstractNum>
  <w:abstractNum w:abstractNumId="102">
    <w:nsid w:val="1849C29B"/>
    <w:multiLevelType w:val="hybridMultilevel"/>
    <w:lvl w:ilvl="0">
      <w:lvlJc w:val="left"/>
      <w:lvlText w:val="•"/>
      <w:numFmt w:val="bullet"/>
      <w:start w:val="1"/>
    </w:lvl>
  </w:abstractNum>
  <w:abstractNum w:abstractNumId="103">
    <w:nsid w:val="7DFF9D09"/>
    <w:multiLevelType w:val="hybridMultilevel"/>
    <w:lvl w:ilvl="0">
      <w:lvlJc w:val="left"/>
      <w:lvlText w:val="(%1)"/>
      <w:numFmt w:val="decimal"/>
      <w:start w:val="2"/>
    </w:lvl>
  </w:abstractNum>
  <w:abstractNum w:abstractNumId="104">
    <w:nsid w:val="754342"/>
    <w:multiLevelType w:val="hybridMultilevel"/>
    <w:lvl w:ilvl="0">
      <w:lvlJc w:val="left"/>
      <w:lvlText w:val="•"/>
      <w:numFmt w:val="bullet"/>
      <w:start w:val="1"/>
    </w:lvl>
  </w:abstractNum>
  <w:abstractNum w:abstractNumId="105">
    <w:nsid w:val="69E7F3E5"/>
    <w:multiLevelType w:val="hybridMultilevel"/>
    <w:lvl w:ilvl="0">
      <w:lvlJc w:val="left"/>
      <w:lvlText w:val="•"/>
      <w:numFmt w:val="bullet"/>
      <w:start w:val="1"/>
    </w:lvl>
  </w:abstractNum>
  <w:abstractNum w:abstractNumId="106">
    <w:nsid w:val="2A6DE806"/>
    <w:multiLevelType w:val="hybridMultilevel"/>
    <w:lvl w:ilvl="0">
      <w:lvlJc w:val="left"/>
      <w:lvlText w:val="•"/>
      <w:numFmt w:val="bullet"/>
      <w:start w:val="1"/>
    </w:lvl>
  </w:abstractNum>
  <w:abstractNum w:abstractNumId="107">
    <w:nsid w:val="1816F8C4"/>
    <w:multiLevelType w:val="hybridMultilevel"/>
    <w:lvl w:ilvl="0">
      <w:lvlJc w:val="left"/>
      <w:lvlText w:val="(%1)"/>
      <w:numFmt w:val="decimal"/>
      <w:start w:val="1"/>
    </w:lvl>
  </w:abstractNum>
  <w:abstractNum w:abstractNumId="108">
    <w:nsid w:val="37DF2233"/>
    <w:multiLevelType w:val="hybridMultilevel"/>
    <w:lvl w:ilvl="0">
      <w:lvlJc w:val="left"/>
      <w:lvlText w:val="•"/>
      <w:numFmt w:val="bullet"/>
      <w:start w:val="1"/>
    </w:lvl>
  </w:abstractNum>
  <w:abstractNum w:abstractNumId="109">
    <w:nsid w:val="7AB49DAF"/>
    <w:multiLevelType w:val="hybridMultilevel"/>
    <w:lvl w:ilvl="0">
      <w:lvlJc w:val="left"/>
      <w:lvlText w:val="•"/>
      <w:numFmt w:val="bullet"/>
      <w:start w:val="1"/>
    </w:lvl>
  </w:abstractNum>
  <w:abstractNum w:abstractNumId="110">
    <w:nsid w:val="759F82CD"/>
    <w:multiLevelType w:val="hybridMultilevel"/>
    <w:lvl w:ilvl="0">
      <w:lvlJc w:val="left"/>
      <w:lvlText w:val="*"/>
      <w:numFmt w:val="bullet"/>
      <w:start w:val="1"/>
    </w:lvl>
  </w:abstractNum>
  <w:abstractNum w:abstractNumId="111">
    <w:nsid w:val="61E74EA3"/>
    <w:multiLevelType w:val="hybridMultilevel"/>
    <w:lvl w:ilvl="0">
      <w:lvlJc w:val="left"/>
      <w:lvlText w:val="(%1)"/>
      <w:numFmt w:val="decimal"/>
      <w:start w:val="1"/>
    </w:lvl>
  </w:abstractNum>
  <w:abstractNum w:abstractNumId="112">
    <w:nsid w:val="597B4D84"/>
    <w:multiLevelType w:val="hybridMultilevel"/>
    <w:lvl w:ilvl="0">
      <w:lvlJc w:val="left"/>
      <w:lvlText w:val="(%1)"/>
      <w:numFmt w:val="decimal"/>
      <w:start w:val="7"/>
    </w:lvl>
  </w:abstractNum>
  <w:abstractNum w:abstractNumId="113">
    <w:nsid w:val="F819E7F"/>
    <w:multiLevelType w:val="hybridMultilevel"/>
    <w:lvl w:ilvl="0">
      <w:lvlJc w:val="left"/>
      <w:lvlText w:val="•"/>
      <w:numFmt w:val="bullet"/>
      <w:start w:val="1"/>
    </w:lvl>
  </w:abstractNum>
  <w:abstractNum w:abstractNumId="114">
    <w:nsid w:val="57C7D42D"/>
    <w:multiLevelType w:val="hybridMultilevel"/>
    <w:lvl w:ilvl="0">
      <w:lvlJc w:val="left"/>
      <w:lvlText w:val="•"/>
      <w:numFmt w:val="bullet"/>
      <w:start w:val="1"/>
    </w:lvl>
  </w:abstractNum>
  <w:abstractNum w:abstractNumId="115">
    <w:nsid w:val="312167AD"/>
    <w:multiLevelType w:val="hybridMultilevel"/>
    <w:lvl w:ilvl="0">
      <w:lvlJc w:val="left"/>
      <w:lvlText w:val="•"/>
      <w:numFmt w:val="bullet"/>
      <w:start w:val="1"/>
    </w:lvl>
  </w:abstractNum>
  <w:abstractNum w:abstractNumId="116">
    <w:nsid w:val="631B64D4"/>
    <w:multiLevelType w:val="hybridMultilevel"/>
    <w:lvl w:ilvl="0">
      <w:lvlJc w:val="left"/>
      <w:lvlText w:val="•"/>
      <w:numFmt w:val="bullet"/>
      <w:start w:val="1"/>
    </w:lvl>
  </w:abstractNum>
  <w:abstractNum w:abstractNumId="117">
    <w:nsid w:val="78B5E776"/>
    <w:multiLevelType w:val="hybridMultilevel"/>
    <w:lvl w:ilvl="0">
      <w:lvlJc w:val="left"/>
      <w:lvlText w:val="•"/>
      <w:numFmt w:val="bullet"/>
      <w:start w:val="1"/>
    </w:lvl>
  </w:abstractNum>
  <w:abstractNum w:abstractNumId="118">
    <w:nsid w:val="75486E47"/>
    <w:multiLevelType w:val="hybridMultilevel"/>
    <w:lvl w:ilvl="0">
      <w:lvlJc w:val="left"/>
      <w:lvlText w:val="•"/>
      <w:numFmt w:val="bullet"/>
      <w:start w:val="1"/>
    </w:lvl>
    <w:lvl w:ilvl="1">
      <w:lvlJc w:val="left"/>
      <w:lvlText w:val="•"/>
      <w:numFmt w:val="bullet"/>
      <w:start w:val="1"/>
    </w:lvl>
  </w:abstractNum>
  <w:abstractNum w:abstractNumId="119">
    <w:nsid w:val="6E534CDE"/>
    <w:multiLevelType w:val="hybridMultilevel"/>
    <w:lvl w:ilvl="0">
      <w:lvlJc w:val="left"/>
      <w:lvlText w:val="•"/>
      <w:numFmt w:val="bullet"/>
      <w:start w:val="1"/>
    </w:lvl>
  </w:abstractNum>
  <w:abstractNum w:abstractNumId="120">
    <w:nsid w:val="1A0DDE32"/>
    <w:multiLevelType w:val="hybridMultilevel"/>
    <w:lvl w:ilvl="0">
      <w:lvlJc w:val="left"/>
      <w:lvlText w:val="•"/>
      <w:numFmt w:val="bullet"/>
      <w:start w:val="1"/>
    </w:lvl>
  </w:abstractNum>
  <w:abstractNum w:abstractNumId="121">
    <w:nsid w:val="65968C1C"/>
    <w:multiLevelType w:val="hybridMultilevel"/>
    <w:lvl w:ilvl="0">
      <w:lvlJc w:val="left"/>
      <w:lvlText w:val="•"/>
      <w:numFmt w:val="bullet"/>
      <w:start w:val="1"/>
    </w:lvl>
  </w:abstractNum>
  <w:abstractNum w:abstractNumId="122">
    <w:nsid w:val="46263DEC"/>
    <w:multiLevelType w:val="hybridMultilevel"/>
    <w:lvl w:ilvl="0">
      <w:lvlJc w:val="left"/>
      <w:lvlText w:val="•"/>
      <w:numFmt w:val="bullet"/>
      <w:start w:val="1"/>
    </w:lvl>
  </w:abstractNum>
  <w:abstractNum w:abstractNumId="123">
    <w:nsid w:val="260D8C4A"/>
    <w:multiLevelType w:val="hybridMultilevel"/>
    <w:lvl w:ilvl="0">
      <w:lvlJc w:val="left"/>
      <w:lvlText w:val="•"/>
      <w:numFmt w:val="bullet"/>
      <w:start w:val="1"/>
    </w:lvl>
  </w:abstractNum>
  <w:abstractNum w:abstractNumId="124">
    <w:nsid w:val="73D4D3C4"/>
    <w:multiLevelType w:val="hybridMultilevel"/>
    <w:lvl w:ilvl="0">
      <w:lvlJc w:val="left"/>
      <w:lvlText w:val="%1."/>
      <w:numFmt w:val="decimal"/>
      <w:start w:val="1"/>
    </w:lvl>
  </w:abstractNum>
  <w:abstractNum w:abstractNumId="125">
    <w:nsid w:val="746F2E30"/>
    <w:multiLevelType w:val="hybridMultilevel"/>
    <w:lvl w:ilvl="0">
      <w:lvlJc w:val="left"/>
      <w:lvlText w:val="%1."/>
      <w:numFmt w:val="decimal"/>
      <w:start w:val="2"/>
    </w:lvl>
  </w:abstractNum>
  <w:abstractNum w:abstractNumId="126">
    <w:nsid w:val="6FDE8AF6"/>
    <w:multiLevelType w:val="hybridMultilevel"/>
    <w:lvl w:ilvl="0">
      <w:lvlJc w:val="left"/>
      <w:lvlText w:val="%1."/>
      <w:numFmt w:val="decimal"/>
      <w:start w:val="3"/>
    </w:lvl>
  </w:abstractNum>
  <w:abstractNum w:abstractNumId="127">
    <w:nsid w:val="3FC32E20"/>
    <w:multiLevelType w:val="hybridMultilevel"/>
    <w:lvl w:ilvl="0">
      <w:lvlJc w:val="left"/>
      <w:lvlText w:val="%1."/>
      <w:numFmt w:val="decimal"/>
      <w:start w:val="4"/>
    </w:lvl>
  </w:abstractNum>
  <w:abstractNum w:abstractNumId="128">
    <w:nsid w:val="49C0E823"/>
    <w:multiLevelType w:val="hybridMultilevel"/>
    <w:lvl w:ilvl="0">
      <w:lvlJc w:val="left"/>
      <w:lvlText w:val="%1."/>
      <w:numFmt w:val="decimal"/>
      <w:start w:val="5"/>
    </w:lvl>
  </w:abstractNum>
  <w:abstractNum w:abstractNumId="129">
    <w:nsid w:val="14D53685"/>
    <w:multiLevelType w:val="hybridMultilevel"/>
    <w:lvl w:ilvl="0">
      <w:lvlJc w:val="left"/>
      <w:lvlText w:val="%1."/>
      <w:numFmt w:val="decimal"/>
      <w:start w:val="6"/>
    </w:lvl>
  </w:abstractNum>
  <w:abstractNum w:abstractNumId="130">
    <w:nsid w:val="230F856C"/>
    <w:multiLevelType w:val="hybridMultilevel"/>
    <w:lvl w:ilvl="0">
      <w:lvlJc w:val="left"/>
      <w:lvlText w:val="%1."/>
      <w:numFmt w:val="decimal"/>
      <w:start w:val="7"/>
    </w:lvl>
  </w:abstractNum>
  <w:abstractNum w:abstractNumId="131">
    <w:nsid w:val="6EAA85FB"/>
    <w:multiLevelType w:val="hybridMultilevel"/>
    <w:lvl w:ilvl="0">
      <w:lvlJc w:val="left"/>
      <w:lvlText w:val="•"/>
      <w:numFmt w:val="bullet"/>
      <w:start w:val="1"/>
    </w:lvl>
  </w:abstractNum>
  <w:abstractNum w:abstractNumId="132">
    <w:nsid w:val="3F06ECB2"/>
    <w:multiLevelType w:val="hybridMultilevel"/>
    <w:lvl w:ilvl="0">
      <w:lvlJc w:val="left"/>
      <w:lvlText w:val="•"/>
      <w:numFmt w:val="bullet"/>
      <w:start w:val="1"/>
    </w:lvl>
  </w:abstractNum>
  <w:abstractNum w:abstractNumId="133">
    <w:nsid w:val="3B594807"/>
    <w:multiLevelType w:val="hybridMultilevel"/>
    <w:lvl w:ilvl="0">
      <w:lvlJc w:val="left"/>
      <w:lvlText w:val="%1."/>
      <w:numFmt w:val="decimal"/>
      <w:start w:val="8"/>
    </w:lvl>
  </w:abstractNum>
  <w:abstractNum w:abstractNumId="134">
    <w:nsid w:val="6CAA2304"/>
    <w:multiLevelType w:val="hybridMultilevel"/>
    <w:lvl w:ilvl="0">
      <w:lvlJc w:val="left"/>
      <w:lvlText w:val="%1."/>
      <w:numFmt w:val="decimal"/>
      <w:start w:val="9"/>
    </w:lvl>
  </w:abstractNum>
  <w:abstractNum w:abstractNumId="135">
    <w:nsid w:val="3F7C2FF4"/>
    <w:multiLevelType w:val="hybridMultilevel"/>
    <w:lvl w:ilvl="0">
      <w:lvlJc w:val="left"/>
      <w:lvlText w:val="%1."/>
      <w:numFmt w:val="decimal"/>
      <w:start w:val="10"/>
    </w:lvl>
  </w:abstractNum>
  <w:abstractNum w:abstractNumId="136">
    <w:nsid w:val="25413BEC"/>
    <w:multiLevelType w:val="hybridMultilevel"/>
    <w:lvl w:ilvl="0">
      <w:lvlJc w:val="left"/>
      <w:lvlText w:val="%1."/>
      <w:numFmt w:val="decimal"/>
      <w:start w:val="11"/>
    </w:lvl>
  </w:abstractNum>
  <w:abstractNum w:abstractNumId="137">
    <w:nsid w:val="17180B0B"/>
    <w:multiLevelType w:val="hybridMultilevel"/>
    <w:lvl w:ilvl="0">
      <w:lvlJc w:val="left"/>
      <w:lvlText w:val="%1."/>
      <w:numFmt w:val="decimal"/>
      <w:start w:val="12"/>
    </w:lvl>
  </w:abstractNum>
  <w:abstractNum w:abstractNumId="138">
    <w:nsid w:val="579328B9"/>
    <w:multiLevelType w:val="hybridMultilevel"/>
    <w:lvl w:ilvl="0">
      <w:lvlJc w:val="left"/>
      <w:lvlText w:val="•"/>
      <w:numFmt w:val="bullet"/>
      <w:start w:val="1"/>
    </w:lvl>
  </w:abstractNum>
  <w:abstractNum w:abstractNumId="139">
    <w:nsid w:val="5D205E20"/>
    <w:multiLevelType w:val="hybridMultilevel"/>
    <w:lvl w:ilvl="0">
      <w:lvlJc w:val="left"/>
      <w:lvlText w:val="•"/>
      <w:numFmt w:val="bullet"/>
      <w:start w:val="1"/>
    </w:lvl>
  </w:abstractNum>
  <w:abstractNum w:abstractNumId="140">
    <w:nsid w:val="11CCA8BA"/>
    <w:multiLevelType w:val="hybridMultilevel"/>
    <w:lvl w:ilvl="0">
      <w:lvlJc w:val="left"/>
      <w:lvlText w:val="%1."/>
      <w:numFmt w:val="decimal"/>
      <w:start w:val="13"/>
    </w:lvl>
  </w:abstractNum>
  <w:abstractNum w:abstractNumId="141">
    <w:nsid w:val="4D32AB86"/>
    <w:multiLevelType w:val="hybridMultilevel"/>
    <w:lvl w:ilvl="0">
      <w:lvlJc w:val="left"/>
      <w:lvlText w:val="%1."/>
      <w:numFmt w:val="decimal"/>
      <w:start w:val="14"/>
    </w:lvl>
  </w:abstractNum>
  <w:abstractNum w:abstractNumId="142">
    <w:nsid w:val="3F07ACC3"/>
    <w:multiLevelType w:val="hybridMultilevel"/>
    <w:lvl w:ilvl="0">
      <w:lvlJc w:val="left"/>
      <w:lvlText w:val="%1."/>
      <w:numFmt w:val="decimal"/>
      <w:start w:val="15"/>
    </w:lvl>
  </w:abstractNum>
  <w:abstractNum w:abstractNumId="143">
    <w:nsid w:val="6B47F63E"/>
    <w:multiLevelType w:val="hybridMultilevel"/>
    <w:lvl w:ilvl="0">
      <w:lvlJc w:val="left"/>
      <w:lvlText w:val="%1."/>
      <w:numFmt w:val="decimal"/>
      <w:start w:val="16"/>
    </w:lvl>
  </w:abstractNum>
  <w:abstractNum w:abstractNumId="144">
    <w:nsid w:val="5CB44A05"/>
    <w:multiLevelType w:val="hybridMultilevel"/>
    <w:lvl w:ilvl="0">
      <w:lvlJc w:val="left"/>
      <w:lvlText w:val="%1."/>
      <w:numFmt w:val="decimal"/>
      <w:start w:val="17"/>
    </w:lvl>
  </w:abstractNum>
  <w:abstractNum w:abstractNumId="145">
    <w:nsid w:val="16CF80F1"/>
    <w:multiLevelType w:val="hybridMultilevel"/>
    <w:lvl w:ilvl="0">
      <w:lvlJc w:val="left"/>
      <w:lvlText w:val="(%1)"/>
      <w:numFmt w:val="lowerLetter"/>
      <w:start w:val="1"/>
    </w:lvl>
  </w:abstractNum>
  <w:abstractNum w:abstractNumId="146">
    <w:nsid w:val="1C695DEC"/>
    <w:multiLevelType w:val="hybridMultilevel"/>
    <w:lvl w:ilvl="0">
      <w:lvlJc w:val="left"/>
      <w:lvlText w:val="(%1)"/>
      <w:numFmt w:val="lowerLetter"/>
      <w:start w:val="2"/>
    </w:lvl>
  </w:abstractNum>
  <w:abstractNum w:abstractNumId="147">
    <w:nsid w:val="3FCFAED9"/>
    <w:multiLevelType w:val="hybridMultilevel"/>
    <w:lvl w:ilvl="0">
      <w:lvlJc w:val="left"/>
      <w:lvlText w:val="(%1)"/>
      <w:numFmt w:val="lowerLetter"/>
      <w:start w:val="3"/>
    </w:lvl>
  </w:abstractNum>
  <w:abstractNum w:abstractNumId="148">
    <w:nsid w:val="F856867"/>
    <w:multiLevelType w:val="hybridMultilevel"/>
    <w:lvl w:ilvl="0">
      <w:lvlJc w:val="left"/>
      <w:lvlText w:val="(%1)"/>
      <w:numFmt w:val="lowerLetter"/>
      <w:start w:val="4"/>
    </w:lvl>
  </w:abstractNum>
  <w:abstractNum w:abstractNumId="149">
    <w:nsid w:val="11B1CC33"/>
    <w:multiLevelType w:val="hybridMultilevel"/>
    <w:lvl w:ilvl="0">
      <w:lvlJc w:val="left"/>
      <w:lvlText w:val="(%1)"/>
      <w:numFmt w:val="lowerLetter"/>
      <w:start w:val="5"/>
    </w:lvl>
  </w:abstractNum>
  <w:abstractNum w:abstractNumId="150">
    <w:nsid w:val="2E22FBB7"/>
    <w:multiLevelType w:val="hybridMultilevel"/>
    <w:lvl w:ilvl="0">
      <w:lvlJc w:val="left"/>
      <w:lvlText w:val="(%1)"/>
      <w:numFmt w:val="lowerLetter"/>
      <w:start w:val="6"/>
    </w:lvl>
  </w:abstractNum>
  <w:abstractNum w:abstractNumId="151">
    <w:nsid w:val="29934699"/>
    <w:multiLevelType w:val="hybridMultilevel"/>
    <w:lvl w:ilvl="0">
      <w:lvlJc w:val="left"/>
      <w:lvlText w:val="(%1)"/>
      <w:numFmt w:val="lowerLetter"/>
      <w:start w:val="7"/>
    </w:lvl>
  </w:abstractNum>
  <w:abstractNum w:abstractNumId="152">
    <w:nsid w:val="77485850"/>
    <w:multiLevelType w:val="hybridMultilevel"/>
    <w:lvl w:ilvl="0">
      <w:lvlJc w:val="left"/>
      <w:lvlText w:val="(%1)"/>
      <w:numFmt w:val="lowerLetter"/>
      <w:start w:val="8"/>
    </w:lvl>
  </w:abstractNum>
  <w:abstractNum w:abstractNumId="153">
    <w:nsid w:val="744939A3"/>
    <w:multiLevelType w:val="hybridMultilevel"/>
    <w:lvl w:ilvl="0">
      <w:lvlJc w:val="left"/>
      <w:lvlText w:val="(%1)"/>
      <w:numFmt w:val="lowerRoman"/>
      <w:start w:val="1"/>
    </w:lvl>
  </w:abstractNum>
  <w:abstractNum w:abstractNumId="154">
    <w:nsid w:val="4FA0D2E3"/>
    <w:multiLevelType w:val="hybridMultilevel"/>
    <w:lvl w:ilvl="0">
      <w:lvlJc w:val="left"/>
      <w:lvlText w:val="%1."/>
      <w:numFmt w:val="decimal"/>
      <w:start w:val="1"/>
    </w:lvl>
  </w:abstractNum>
  <w:abstractNum w:abstractNumId="155">
    <w:nsid w:val="6B1D2C14"/>
    <w:multiLevelType w:val="hybridMultilevel"/>
    <w:lvl w:ilvl="0">
      <w:lvlJc w:val="left"/>
      <w:lvlText w:val="%1."/>
      <w:numFmt w:val="decimal"/>
      <w:start w:val="2"/>
    </w:lvl>
  </w:abstractNum>
  <w:abstractNum w:abstractNumId="156">
    <w:nsid w:val="68B867D3"/>
    <w:multiLevelType w:val="hybridMultilevel"/>
    <w:lvl w:ilvl="0">
      <w:lvlJc w:val="left"/>
      <w:lvlText w:val="%1."/>
      <w:numFmt w:val="decimal"/>
      <w:start w:val="3"/>
    </w:lvl>
  </w:abstractNum>
  <w:abstractNum w:abstractNumId="157">
    <w:nsid w:val="3F7F5DD9"/>
    <w:multiLevelType w:val="hybridMultilevel"/>
    <w:lvl w:ilvl="0">
      <w:lvlJc w:val="left"/>
      <w:lvlText w:val="%1."/>
      <w:numFmt w:val="decimal"/>
      <w:start w:val="4"/>
    </w:lvl>
  </w:abstractNum>
  <w:abstractNum w:abstractNumId="158">
    <w:nsid w:val="2AE05A34"/>
    <w:multiLevelType w:val="hybridMultilevel"/>
    <w:lvl w:ilvl="0">
      <w:lvlJc w:val="left"/>
      <w:lvlText w:val="%1."/>
      <w:numFmt w:val="decimal"/>
      <w:start w:val="5"/>
    </w:lvl>
  </w:abstractNum>
  <w:abstractNum w:abstractNumId="159">
    <w:nsid w:val="32794FF7"/>
    <w:multiLevelType w:val="hybridMultilevel"/>
    <w:lvl w:ilvl="0">
      <w:lvlJc w:val="left"/>
      <w:lvlText w:val="%1."/>
      <w:numFmt w:val="decimal"/>
      <w:start w:val="6"/>
    </w:lvl>
  </w:abstractNum>
  <w:abstractNum w:abstractNumId="160">
    <w:nsid w:val="5454945E"/>
    <w:multiLevelType w:val="hybridMultilevel"/>
    <w:lvl w:ilvl="0">
      <w:lvlJc w:val="left"/>
      <w:lvlText w:val="•"/>
      <w:numFmt w:val="bullet"/>
      <w:start w:val="1"/>
    </w:lvl>
  </w:abstractNum>
  <w:abstractNum w:abstractNumId="161">
    <w:nsid w:val="4DEFDFA0"/>
    <w:multiLevelType w:val="hybridMultilevel"/>
    <w:lvl w:ilvl="0">
      <w:lvlJc w:val="left"/>
      <w:lvlText w:val="•"/>
      <w:numFmt w:val="bullet"/>
      <w:start w:val="1"/>
    </w:lvl>
  </w:abstractNum>
  <w:abstractNum w:abstractNumId="162">
    <w:nsid w:val="2123D5F2"/>
    <w:multiLevelType w:val="hybridMultilevel"/>
    <w:lvl w:ilvl="0">
      <w:lvlJc w:val="left"/>
      <w:lvlText w:val="%1."/>
      <w:numFmt w:val="decimal"/>
      <w:start w:val="7"/>
    </w:lvl>
  </w:abstractNum>
  <w:abstractNum w:abstractNumId="163">
    <w:nsid w:val="135B8110"/>
    <w:multiLevelType w:val="hybridMultilevel"/>
    <w:lvl w:ilvl="0">
      <w:lvlJc w:val="left"/>
      <w:lvlText w:val="%1."/>
      <w:numFmt w:val="decimal"/>
      <w:start w:val="8"/>
    </w:lvl>
  </w:abstractNum>
  <w:abstractNum w:abstractNumId="164">
    <w:nsid w:val="94927A8"/>
    <w:multiLevelType w:val="hybridMultilevel"/>
    <w:lvl w:ilvl="0">
      <w:lvlJc w:val="left"/>
      <w:lvlText w:val="%1."/>
      <w:numFmt w:val="decimal"/>
      <w:start w:val="9"/>
    </w:lvl>
  </w:abstractNum>
  <w:abstractNum w:abstractNumId="165">
    <w:nsid w:val="DCDF8F6"/>
    <w:multiLevelType w:val="hybridMultilevel"/>
    <w:lvl w:ilvl="0">
      <w:lvlJc w:val="left"/>
      <w:lvlText w:val="%1."/>
      <w:numFmt w:val="decimal"/>
      <w:start w:val="10"/>
    </w:lvl>
  </w:abstractNum>
  <w:abstractNum w:abstractNumId="166">
    <w:nsid w:val="52D7B105"/>
    <w:multiLevelType w:val="hybridMultilevel"/>
    <w:lvl w:ilvl="0">
      <w:lvlJc w:val="left"/>
      <w:lvlText w:val="%1."/>
      <w:numFmt w:val="decimal"/>
      <w:start w:val="11"/>
    </w:lvl>
  </w:abstractNum>
  <w:abstractNum w:abstractNumId="167">
    <w:nsid w:val="2E8A6394"/>
    <w:multiLevelType w:val="hybridMultilevel"/>
    <w:lvl w:ilvl="0">
      <w:lvlJc w:val="left"/>
      <w:lvlText w:val="•"/>
      <w:numFmt w:val="bullet"/>
      <w:start w:val="1"/>
    </w:lvl>
  </w:abstractNum>
  <w:abstractNum w:abstractNumId="168">
    <w:nsid w:val="24E60401"/>
    <w:multiLevelType w:val="hybridMultilevel"/>
    <w:lvl w:ilvl="0">
      <w:lvlJc w:val="left"/>
      <w:lvlText w:val="•"/>
      <w:numFmt w:val="bullet"/>
      <w:start w:val="1"/>
    </w:lvl>
  </w:abstractNum>
  <w:abstractNum w:abstractNumId="169">
    <w:nsid w:val="2A6AD9BE"/>
    <w:multiLevelType w:val="hybridMultilevel"/>
    <w:lvl w:ilvl="0">
      <w:lvlJc w:val="left"/>
      <w:lvlText w:val="%1."/>
      <w:numFmt w:val="decimal"/>
      <w:start w:val="12"/>
    </w:lvl>
  </w:abstractNum>
  <w:abstractNum w:abstractNumId="170">
    <w:nsid w:val="BAAC1B4"/>
    <w:multiLevelType w:val="hybridMultilevel"/>
    <w:lvl w:ilvl="0">
      <w:lvlJc w:val="left"/>
      <w:lvlText w:val="%1."/>
      <w:numFmt w:val="decimal"/>
      <w:start w:val="13"/>
    </w:lvl>
  </w:abstractNum>
  <w:abstractNum w:abstractNumId="171">
    <w:nsid w:val="36B2ACBC"/>
    <w:multiLevelType w:val="hybridMultilevel"/>
    <w:lvl w:ilvl="0">
      <w:lvlJc w:val="left"/>
      <w:lvlText w:val="%1."/>
      <w:numFmt w:val="decimal"/>
      <w:start w:val="14"/>
    </w:lvl>
    <w:lvl w:ilvl="1">
      <w:lvlJc w:val="left"/>
      <w:lvlText w:val="(%2)"/>
      <w:numFmt w:val="lowerLetter"/>
      <w:start w:val="1"/>
    </w:lvl>
  </w:abstractNum>
  <w:abstractNum w:abstractNumId="172">
    <w:nsid w:val="779D8544"/>
    <w:multiLevelType w:val="hybridMultilevel"/>
    <w:lvl w:ilvl="0">
      <w:lvlJc w:val="left"/>
      <w:lvlText w:val="(%1)"/>
      <w:numFmt w:val="lowerLetter"/>
      <w:start w:val="2"/>
    </w:lvl>
  </w:abstractNum>
  <w:abstractNum w:abstractNumId="173">
    <w:nsid w:val="4AB26E78"/>
    <w:multiLevelType w:val="hybridMultilevel"/>
    <w:lvl w:ilvl="0">
      <w:lvlJc w:val="left"/>
      <w:lvlText w:val="(%1)"/>
      <w:numFmt w:val="lowerLetter"/>
      <w:start w:val="3"/>
    </w:lvl>
  </w:abstractNum>
  <w:abstractNum w:abstractNumId="174">
    <w:nsid w:val="21FAA2FA"/>
    <w:multiLevelType w:val="hybridMultilevel"/>
    <w:lvl w:ilvl="0">
      <w:lvlJc w:val="left"/>
      <w:lvlText w:val="(%1)"/>
      <w:numFmt w:val="lowerLetter"/>
      <w:start w:val="4"/>
    </w:lvl>
  </w:abstractNum>
  <w:abstractNum w:abstractNumId="175">
    <w:nsid w:val="5451CF49"/>
    <w:multiLevelType w:val="hybridMultilevel"/>
    <w:lvl w:ilvl="0">
      <w:lvlJc w:val="left"/>
      <w:lvlText w:val="(%1)"/>
      <w:numFmt w:val="lowerLetter"/>
      <w:start w:val="5"/>
    </w:lvl>
  </w:abstractNum>
  <w:abstractNum w:abstractNumId="176">
    <w:nsid w:val="6181EF69"/>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2020-09-18T15:12:36Z</dcterms:created>
  <dcterms:modified xsi:type="dcterms:W3CDTF">2020-09-18T15:12:36Z</dcterms:modified>
</cp:coreProperties>
</file>