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 (Amendment No. 1)*</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Athira Pharma,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04746L104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1960" w:right="7980" w:hanging="8"/>
        <w:spacing w:after="0" w:line="530" w:lineRule="auto"/>
        <w:tabs>
          <w:tab w:leader="none" w:pos="2110" w:val="left"/>
        </w:tabs>
        <w:numPr>
          <w:ilvl w:val="0"/>
          <w:numId w:val="1"/>
        </w:numPr>
        <w:rPr>
          <w:rFonts w:ascii="Arial" w:cs="Arial" w:eastAsia="Arial" w:hAnsi="Arial"/>
          <w:sz w:val="17"/>
          <w:szCs w:val="17"/>
          <w:color w:val="auto"/>
        </w:rPr>
      </w:pPr>
      <w:r>
        <w:rPr>
          <w:rFonts w:ascii="Arial" w:cs="Arial" w:eastAsia="Arial" w:hAnsi="Arial"/>
          <w:sz w:val="17"/>
          <w:szCs w:val="17"/>
          <w:color w:val="auto"/>
        </w:rPr>
        <w:t>] Rule 13d-1(b) [X] Rule 13d-1(c)</w:t>
      </w:r>
    </w:p>
    <w:p>
      <w:pPr>
        <w:ind w:left="2100" w:hanging="148"/>
        <w:spacing w:after="0"/>
        <w:tabs>
          <w:tab w:leader="none" w:pos="2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6"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 w:name="page2"/>
    <w:bookmarkEnd w:id="1"/>
    <w:p>
      <w:pPr>
        <w:ind w:left="972" w:hanging="972"/>
        <w:spacing w:after="0"/>
        <w:tabs>
          <w:tab w:leader="none" w:pos="972"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72" w:right="3579"/>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RTW Investments, LP</w:t>
      </w:r>
    </w:p>
    <w:p>
      <w:pPr>
        <w:spacing w:after="0" w:line="1" w:lineRule="exact"/>
        <w:rPr>
          <w:rFonts w:ascii="Arial" w:cs="Arial" w:eastAsia="Arial" w:hAnsi="Arial"/>
          <w:sz w:val="18"/>
          <w:szCs w:val="18"/>
          <w:color w:val="auto"/>
        </w:rPr>
      </w:pPr>
    </w:p>
    <w:p>
      <w:pPr>
        <w:ind w:left="972" w:hanging="972"/>
        <w:spacing w:after="0"/>
        <w:tabs>
          <w:tab w:leader="none" w:pos="972"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5" w:lineRule="exact"/>
        <w:rPr>
          <w:sz w:val="20"/>
          <w:szCs w:val="20"/>
          <w:color w:val="auto"/>
        </w:rPr>
      </w:pPr>
    </w:p>
    <w:p>
      <w:pPr>
        <w:ind w:left="8092"/>
        <w:spacing w:after="0"/>
        <w:rPr>
          <w:sz w:val="20"/>
          <w:szCs w:val="20"/>
          <w:color w:val="auto"/>
        </w:rPr>
      </w:pPr>
      <w:r>
        <w:rPr>
          <w:rFonts w:ascii="Arial" w:cs="Arial" w:eastAsia="Arial" w:hAnsi="Arial"/>
          <w:sz w:val="18"/>
          <w:szCs w:val="18"/>
          <w:color w:val="auto"/>
        </w:rPr>
        <w:t>(a) [ ]</w:t>
      </w:r>
    </w:p>
    <w:p>
      <w:pPr>
        <w:spacing w:after="0" w:line="23" w:lineRule="exact"/>
        <w:rPr>
          <w:sz w:val="20"/>
          <w:szCs w:val="20"/>
          <w:color w:val="auto"/>
        </w:rPr>
      </w:pPr>
    </w:p>
    <w:p>
      <w:pPr>
        <w:ind w:left="8092"/>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972" w:hanging="972"/>
        <w:spacing w:after="0"/>
        <w:tabs>
          <w:tab w:leader="none" w:pos="972"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72" w:right="5499" w:hanging="972"/>
        <w:spacing w:after="0" w:line="527" w:lineRule="auto"/>
        <w:tabs>
          <w:tab w:leader="none" w:pos="972"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387" w:lineRule="exact"/>
        <w:rPr>
          <w:sz w:val="20"/>
          <w:szCs w:val="20"/>
          <w:color w:val="auto"/>
        </w:rPr>
      </w:pPr>
    </w:p>
    <w:p>
      <w:pPr>
        <w:ind w:left="972" w:right="7299" w:hanging="972"/>
        <w:spacing w:after="0" w:line="500" w:lineRule="auto"/>
        <w:tabs>
          <w:tab w:leader="none" w:pos="972"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972" w:right="7039" w:hanging="972"/>
        <w:spacing w:after="0" w:line="500" w:lineRule="auto"/>
        <w:tabs>
          <w:tab w:leader="none" w:pos="972"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2,685,779*</w:t>
      </w:r>
    </w:p>
    <w:p>
      <w:pPr>
        <w:spacing w:after="0" w:line="1" w:lineRule="exact"/>
        <w:rPr>
          <w:rFonts w:ascii="Arial" w:cs="Arial" w:eastAsia="Arial" w:hAnsi="Arial"/>
          <w:sz w:val="18"/>
          <w:szCs w:val="18"/>
          <w:color w:val="auto"/>
        </w:rPr>
      </w:pPr>
    </w:p>
    <w:p>
      <w:pPr>
        <w:ind w:left="972" w:right="6899" w:hanging="972"/>
        <w:spacing w:after="0" w:line="500" w:lineRule="auto"/>
        <w:tabs>
          <w:tab w:leader="none" w:pos="972"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972" w:right="6639" w:hanging="972"/>
        <w:spacing w:after="0" w:line="500" w:lineRule="auto"/>
        <w:tabs>
          <w:tab w:leader="none" w:pos="972"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2,685,779*</w:t>
      </w:r>
    </w:p>
    <w:p>
      <w:pPr>
        <w:spacing w:after="0" w:line="1" w:lineRule="exact"/>
        <w:rPr>
          <w:rFonts w:ascii="Arial" w:cs="Arial" w:eastAsia="Arial" w:hAnsi="Arial"/>
          <w:sz w:val="18"/>
          <w:szCs w:val="18"/>
          <w:color w:val="auto"/>
        </w:rPr>
      </w:pPr>
    </w:p>
    <w:p>
      <w:pPr>
        <w:ind w:left="972" w:right="2599" w:hanging="972"/>
        <w:spacing w:after="0" w:line="500" w:lineRule="auto"/>
        <w:tabs>
          <w:tab w:leader="none" w:pos="972"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2,685,779*</w:t>
      </w:r>
    </w:p>
    <w:p>
      <w:pPr>
        <w:spacing w:after="0" w:line="1" w:lineRule="exact"/>
        <w:rPr>
          <w:rFonts w:ascii="Arial" w:cs="Arial" w:eastAsia="Arial" w:hAnsi="Arial"/>
          <w:sz w:val="18"/>
          <w:szCs w:val="18"/>
          <w:color w:val="auto"/>
        </w:rPr>
      </w:pPr>
    </w:p>
    <w:p>
      <w:pPr>
        <w:ind w:left="8092" w:right="259" w:hanging="8092"/>
        <w:spacing w:after="0" w:line="500" w:lineRule="auto"/>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 ]</w:t>
      </w:r>
    </w:p>
    <w:p>
      <w:pPr>
        <w:spacing w:after="0" w:line="1" w:lineRule="exact"/>
        <w:rPr>
          <w:rFonts w:ascii="Arial" w:cs="Arial" w:eastAsia="Arial" w:hAnsi="Arial"/>
          <w:sz w:val="18"/>
          <w:szCs w:val="18"/>
          <w:color w:val="auto"/>
        </w:rPr>
      </w:pPr>
    </w:p>
    <w:p>
      <w:pPr>
        <w:ind w:left="972" w:right="4099" w:hanging="972"/>
        <w:spacing w:after="0" w:line="500" w:lineRule="auto"/>
        <w:tabs>
          <w:tab w:leader="none" w:pos="972"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8.26%*</w:t>
      </w:r>
    </w:p>
    <w:p>
      <w:pPr>
        <w:spacing w:after="0" w:line="1" w:lineRule="exact"/>
        <w:rPr>
          <w:rFonts w:ascii="Arial" w:cs="Arial" w:eastAsia="Arial" w:hAnsi="Arial"/>
          <w:sz w:val="18"/>
          <w:szCs w:val="18"/>
          <w:color w:val="auto"/>
        </w:rPr>
      </w:pPr>
    </w:p>
    <w:p>
      <w:pPr>
        <w:ind w:left="972" w:right="4819" w:hanging="972"/>
        <w:spacing w:after="0" w:line="527" w:lineRule="auto"/>
        <w:tabs>
          <w:tab w:leader="none" w:pos="972"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 PN, OO,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665" w:right="1440" w:bottom="1440" w:gutter="0" w:footer="0" w:header="0"/>
        </w:sectPr>
      </w:pPr>
    </w:p>
    <w:bookmarkStart w:id="2" w:name="page3"/>
    <w:bookmarkEnd w:id="2"/>
    <w:p>
      <w:pPr>
        <w:ind w:left="972" w:hanging="972"/>
        <w:spacing w:after="0"/>
        <w:tabs>
          <w:tab w:leader="none" w:pos="972"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72" w:right="3579"/>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RTW Master Fund, Ltd.</w:t>
      </w:r>
    </w:p>
    <w:p>
      <w:pPr>
        <w:spacing w:after="0" w:line="1" w:lineRule="exact"/>
        <w:rPr>
          <w:rFonts w:ascii="Arial" w:cs="Arial" w:eastAsia="Arial" w:hAnsi="Arial"/>
          <w:sz w:val="18"/>
          <w:szCs w:val="18"/>
          <w:color w:val="auto"/>
        </w:rPr>
      </w:pPr>
    </w:p>
    <w:p>
      <w:pPr>
        <w:ind w:left="972" w:hanging="972"/>
        <w:spacing w:after="0"/>
        <w:tabs>
          <w:tab w:leader="none" w:pos="972"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5" w:lineRule="exact"/>
        <w:rPr>
          <w:sz w:val="20"/>
          <w:szCs w:val="20"/>
          <w:color w:val="auto"/>
        </w:rPr>
      </w:pPr>
    </w:p>
    <w:p>
      <w:pPr>
        <w:ind w:left="8092"/>
        <w:spacing w:after="0"/>
        <w:rPr>
          <w:sz w:val="20"/>
          <w:szCs w:val="20"/>
          <w:color w:val="auto"/>
        </w:rPr>
      </w:pPr>
      <w:r>
        <w:rPr>
          <w:rFonts w:ascii="Arial" w:cs="Arial" w:eastAsia="Arial" w:hAnsi="Arial"/>
          <w:sz w:val="18"/>
          <w:szCs w:val="18"/>
          <w:color w:val="auto"/>
        </w:rPr>
        <w:t>(a) [ ]</w:t>
      </w:r>
    </w:p>
    <w:p>
      <w:pPr>
        <w:spacing w:after="0" w:line="23" w:lineRule="exact"/>
        <w:rPr>
          <w:sz w:val="20"/>
          <w:szCs w:val="20"/>
          <w:color w:val="auto"/>
        </w:rPr>
      </w:pPr>
    </w:p>
    <w:p>
      <w:pPr>
        <w:ind w:left="8092"/>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972" w:hanging="972"/>
        <w:spacing w:after="0"/>
        <w:tabs>
          <w:tab w:leader="none" w:pos="972"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72" w:right="5499" w:hanging="972"/>
        <w:spacing w:after="0" w:line="527" w:lineRule="auto"/>
        <w:tabs>
          <w:tab w:leader="none" w:pos="972"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pacing w:after="0" w:line="387" w:lineRule="exact"/>
        <w:rPr>
          <w:sz w:val="20"/>
          <w:szCs w:val="20"/>
          <w:color w:val="auto"/>
        </w:rPr>
      </w:pPr>
    </w:p>
    <w:p>
      <w:pPr>
        <w:ind w:left="972" w:right="7299" w:hanging="972"/>
        <w:spacing w:after="0" w:line="500" w:lineRule="auto"/>
        <w:tabs>
          <w:tab w:leader="none" w:pos="972"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972" w:right="7039" w:hanging="972"/>
        <w:spacing w:after="0" w:line="500" w:lineRule="auto"/>
        <w:tabs>
          <w:tab w:leader="none" w:pos="972"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SHARED VOTING POWER 1,695,399*</w:t>
      </w:r>
    </w:p>
    <w:p>
      <w:pPr>
        <w:spacing w:after="0" w:line="1" w:lineRule="exact"/>
        <w:rPr>
          <w:rFonts w:ascii="Arial" w:cs="Arial" w:eastAsia="Arial" w:hAnsi="Arial"/>
          <w:sz w:val="18"/>
          <w:szCs w:val="18"/>
          <w:color w:val="auto"/>
        </w:rPr>
      </w:pPr>
    </w:p>
    <w:p>
      <w:pPr>
        <w:ind w:left="972" w:right="6899" w:hanging="972"/>
        <w:spacing w:after="0" w:line="500" w:lineRule="auto"/>
        <w:tabs>
          <w:tab w:leader="none" w:pos="972"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972" w:right="6639" w:hanging="972"/>
        <w:spacing w:after="0" w:line="500" w:lineRule="auto"/>
        <w:tabs>
          <w:tab w:leader="none" w:pos="972"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SHARED DISPOSITIVE POWER 1,695,399*</w:t>
      </w:r>
    </w:p>
    <w:p>
      <w:pPr>
        <w:spacing w:after="0" w:line="1" w:lineRule="exact"/>
        <w:rPr>
          <w:rFonts w:ascii="Arial" w:cs="Arial" w:eastAsia="Arial" w:hAnsi="Arial"/>
          <w:sz w:val="18"/>
          <w:szCs w:val="18"/>
          <w:color w:val="auto"/>
        </w:rPr>
      </w:pPr>
    </w:p>
    <w:p>
      <w:pPr>
        <w:ind w:left="972" w:right="2599" w:hanging="972"/>
        <w:spacing w:after="0" w:line="500" w:lineRule="auto"/>
        <w:tabs>
          <w:tab w:leader="none" w:pos="972"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1,695,399*</w:t>
      </w:r>
    </w:p>
    <w:p>
      <w:pPr>
        <w:spacing w:after="0" w:line="1" w:lineRule="exact"/>
        <w:rPr>
          <w:rFonts w:ascii="Arial" w:cs="Arial" w:eastAsia="Arial" w:hAnsi="Arial"/>
          <w:sz w:val="18"/>
          <w:szCs w:val="18"/>
          <w:color w:val="auto"/>
        </w:rPr>
      </w:pPr>
    </w:p>
    <w:p>
      <w:pPr>
        <w:ind w:left="8092" w:right="259" w:hanging="8092"/>
        <w:spacing w:after="0" w:line="500" w:lineRule="auto"/>
        <w:tabs>
          <w:tab w:leader="none" w:pos="964"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 ]</w:t>
      </w:r>
    </w:p>
    <w:p>
      <w:pPr>
        <w:spacing w:after="0" w:line="1" w:lineRule="exact"/>
        <w:rPr>
          <w:rFonts w:ascii="Arial" w:cs="Arial" w:eastAsia="Arial" w:hAnsi="Arial"/>
          <w:sz w:val="18"/>
          <w:szCs w:val="18"/>
          <w:color w:val="auto"/>
        </w:rPr>
      </w:pPr>
    </w:p>
    <w:p>
      <w:pPr>
        <w:ind w:left="972" w:right="4099" w:hanging="972"/>
        <w:spacing w:after="0" w:line="500" w:lineRule="auto"/>
        <w:tabs>
          <w:tab w:leader="none" w:pos="972"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 5.22%*</w:t>
      </w:r>
    </w:p>
    <w:p>
      <w:pPr>
        <w:spacing w:after="0" w:line="1" w:lineRule="exact"/>
        <w:rPr>
          <w:rFonts w:ascii="Arial" w:cs="Arial" w:eastAsia="Arial" w:hAnsi="Arial"/>
          <w:sz w:val="18"/>
          <w:szCs w:val="18"/>
          <w:color w:val="auto"/>
        </w:rPr>
      </w:pPr>
    </w:p>
    <w:p>
      <w:pPr>
        <w:ind w:left="972" w:right="4819" w:hanging="972"/>
        <w:spacing w:after="0" w:line="527" w:lineRule="auto"/>
        <w:tabs>
          <w:tab w:leader="none" w:pos="972"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665" w:right="1440" w:bottom="1440" w:gutter="0" w:footer="0" w:header="0"/>
        </w:sectPr>
      </w:pPr>
    </w:p>
    <w:bookmarkStart w:id="3" w:name="page4"/>
    <w:bookmarkEnd w:id="3"/>
    <w:p>
      <w:pPr>
        <w:ind w:left="972" w:hanging="972"/>
        <w:spacing w:after="0"/>
        <w:tabs>
          <w:tab w:leader="none" w:pos="972"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72" w:right="3579"/>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Roderick Wong</w:t>
      </w:r>
    </w:p>
    <w:p>
      <w:pPr>
        <w:spacing w:after="0" w:line="1" w:lineRule="exact"/>
        <w:rPr>
          <w:rFonts w:ascii="Arial" w:cs="Arial" w:eastAsia="Arial" w:hAnsi="Arial"/>
          <w:sz w:val="18"/>
          <w:szCs w:val="18"/>
          <w:color w:val="auto"/>
        </w:rPr>
      </w:pPr>
    </w:p>
    <w:p>
      <w:pPr>
        <w:ind w:left="972" w:hanging="972"/>
        <w:spacing w:after="0"/>
        <w:tabs>
          <w:tab w:leader="none" w:pos="972"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5" w:lineRule="exact"/>
        <w:rPr>
          <w:sz w:val="20"/>
          <w:szCs w:val="20"/>
          <w:color w:val="auto"/>
        </w:rPr>
      </w:pPr>
    </w:p>
    <w:p>
      <w:pPr>
        <w:ind w:left="8092"/>
        <w:spacing w:after="0"/>
        <w:rPr>
          <w:sz w:val="20"/>
          <w:szCs w:val="20"/>
          <w:color w:val="auto"/>
        </w:rPr>
      </w:pPr>
      <w:r>
        <w:rPr>
          <w:rFonts w:ascii="Arial" w:cs="Arial" w:eastAsia="Arial" w:hAnsi="Arial"/>
          <w:sz w:val="18"/>
          <w:szCs w:val="18"/>
          <w:color w:val="auto"/>
        </w:rPr>
        <w:t>(a) [ ]</w:t>
      </w:r>
    </w:p>
    <w:p>
      <w:pPr>
        <w:spacing w:after="0" w:line="23" w:lineRule="exact"/>
        <w:rPr>
          <w:sz w:val="20"/>
          <w:szCs w:val="20"/>
          <w:color w:val="auto"/>
        </w:rPr>
      </w:pPr>
    </w:p>
    <w:p>
      <w:pPr>
        <w:ind w:left="8092"/>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972" w:hanging="972"/>
        <w:spacing w:after="0"/>
        <w:tabs>
          <w:tab w:leader="none" w:pos="972"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72" w:right="5499" w:hanging="972"/>
        <w:spacing w:after="0" w:line="527" w:lineRule="auto"/>
        <w:tabs>
          <w:tab w:leader="none" w:pos="972"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387" w:lineRule="exact"/>
        <w:rPr>
          <w:sz w:val="20"/>
          <w:szCs w:val="20"/>
          <w:color w:val="auto"/>
        </w:rPr>
      </w:pPr>
    </w:p>
    <w:p>
      <w:pPr>
        <w:ind w:left="972" w:right="7299" w:hanging="972"/>
        <w:spacing w:after="0" w:line="500" w:lineRule="auto"/>
        <w:tabs>
          <w:tab w:leader="none" w:pos="972"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972" w:right="7039" w:hanging="972"/>
        <w:spacing w:after="0" w:line="500" w:lineRule="auto"/>
        <w:tabs>
          <w:tab w:leader="none" w:pos="972"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VOTING POWER 2,685,779*</w:t>
      </w:r>
    </w:p>
    <w:p>
      <w:pPr>
        <w:spacing w:after="0" w:line="1" w:lineRule="exact"/>
        <w:rPr>
          <w:rFonts w:ascii="Arial" w:cs="Arial" w:eastAsia="Arial" w:hAnsi="Arial"/>
          <w:sz w:val="18"/>
          <w:szCs w:val="18"/>
          <w:color w:val="auto"/>
        </w:rPr>
      </w:pPr>
    </w:p>
    <w:p>
      <w:pPr>
        <w:ind w:left="972" w:right="6899" w:hanging="972"/>
        <w:spacing w:after="0" w:line="500" w:lineRule="auto"/>
        <w:tabs>
          <w:tab w:leader="none" w:pos="972"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972" w:right="6639" w:hanging="972"/>
        <w:spacing w:after="0" w:line="500" w:lineRule="auto"/>
        <w:tabs>
          <w:tab w:leader="none" w:pos="972"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DISPOSITIVE POWER 2,685,779*</w:t>
      </w:r>
    </w:p>
    <w:p>
      <w:pPr>
        <w:spacing w:after="0" w:line="1" w:lineRule="exact"/>
        <w:rPr>
          <w:rFonts w:ascii="Arial" w:cs="Arial" w:eastAsia="Arial" w:hAnsi="Arial"/>
          <w:sz w:val="18"/>
          <w:szCs w:val="18"/>
          <w:color w:val="auto"/>
        </w:rPr>
      </w:pPr>
    </w:p>
    <w:p>
      <w:pPr>
        <w:ind w:left="972" w:right="2599" w:hanging="972"/>
        <w:spacing w:after="0" w:line="500" w:lineRule="auto"/>
        <w:tabs>
          <w:tab w:leader="none" w:pos="972"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2,685,779*</w:t>
      </w:r>
    </w:p>
    <w:p>
      <w:pPr>
        <w:spacing w:after="0" w:line="1" w:lineRule="exact"/>
        <w:rPr>
          <w:rFonts w:ascii="Arial" w:cs="Arial" w:eastAsia="Arial" w:hAnsi="Arial"/>
          <w:sz w:val="18"/>
          <w:szCs w:val="18"/>
          <w:color w:val="auto"/>
        </w:rPr>
      </w:pPr>
    </w:p>
    <w:p>
      <w:pPr>
        <w:ind w:left="8092" w:right="259" w:hanging="8092"/>
        <w:spacing w:after="0" w:line="500" w:lineRule="auto"/>
        <w:tabs>
          <w:tab w:leader="none" w:pos="9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 ]</w:t>
      </w:r>
    </w:p>
    <w:p>
      <w:pPr>
        <w:spacing w:after="0" w:line="1" w:lineRule="exact"/>
        <w:rPr>
          <w:rFonts w:ascii="Arial" w:cs="Arial" w:eastAsia="Arial" w:hAnsi="Arial"/>
          <w:sz w:val="18"/>
          <w:szCs w:val="18"/>
          <w:color w:val="auto"/>
        </w:rPr>
      </w:pPr>
    </w:p>
    <w:p>
      <w:pPr>
        <w:ind w:left="972" w:right="4099" w:hanging="972"/>
        <w:spacing w:after="0" w:line="500" w:lineRule="auto"/>
        <w:tabs>
          <w:tab w:leader="none" w:pos="972"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(9) 8.26%*</w:t>
      </w:r>
    </w:p>
    <w:p>
      <w:pPr>
        <w:spacing w:after="0" w:line="1" w:lineRule="exact"/>
        <w:rPr>
          <w:rFonts w:ascii="Arial" w:cs="Arial" w:eastAsia="Arial" w:hAnsi="Arial"/>
          <w:sz w:val="18"/>
          <w:szCs w:val="18"/>
          <w:color w:val="auto"/>
        </w:rPr>
      </w:pPr>
    </w:p>
    <w:p>
      <w:pPr>
        <w:ind w:left="972" w:right="4819" w:hanging="972"/>
        <w:spacing w:after="0" w:line="527" w:lineRule="auto"/>
        <w:tabs>
          <w:tab w:leader="none" w:pos="97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665"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Item 1.</w:t>
            </w:r>
          </w:p>
        </w:tc>
        <w:tc>
          <w:tcPr>
            <w:tcW w:w="880" w:type="dxa"/>
            <w:vAlign w:val="bottom"/>
          </w:tcPr>
          <w:p>
            <w:pPr>
              <w:ind w:left="240"/>
              <w:spacing w:after="0"/>
              <w:rPr>
                <w:sz w:val="20"/>
                <w:szCs w:val="20"/>
                <w:color w:val="auto"/>
              </w:rPr>
            </w:pPr>
            <w:r>
              <w:rPr>
                <w:rFonts w:ascii="Arial" w:cs="Arial" w:eastAsia="Arial" w:hAnsi="Arial"/>
                <w:sz w:val="18"/>
                <w:szCs w:val="18"/>
                <w:color w:val="auto"/>
              </w:rPr>
              <w:t>(a).</w:t>
            </w:r>
          </w:p>
        </w:tc>
        <w:tc>
          <w:tcPr>
            <w:tcW w:w="9620" w:type="dxa"/>
            <w:vAlign w:val="bottom"/>
          </w:tcPr>
          <w:p>
            <w:pPr>
              <w:spacing w:after="0"/>
              <w:rPr>
                <w:sz w:val="20"/>
                <w:szCs w:val="20"/>
                <w:color w:val="auto"/>
              </w:rPr>
            </w:pPr>
            <w:r>
              <w:rPr>
                <w:rFonts w:ascii="Arial" w:cs="Arial" w:eastAsia="Arial" w:hAnsi="Arial"/>
                <w:sz w:val="18"/>
                <w:szCs w:val="18"/>
                <w:color w:val="auto"/>
              </w:rPr>
              <w:t>Name of Issuer:</w:t>
            </w:r>
          </w:p>
        </w:tc>
      </w:tr>
      <w:tr>
        <w:trPr>
          <w:trHeight w:val="432"/>
        </w:trPr>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Athira Pharma, Inc.</w:t>
            </w:r>
          </w:p>
        </w:tc>
      </w:tr>
      <w:tr>
        <w:trPr>
          <w:trHeight w:val="237"/>
        </w:trPr>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20" w:type="dxa"/>
            <w:vAlign w:val="bottom"/>
            <w:tcBorders>
              <w:bottom w:val="single" w:sz="8" w:color="auto"/>
            </w:tcBorders>
          </w:tcPr>
          <w:p>
            <w:pPr>
              <w:spacing w:after="0"/>
              <w:rPr>
                <w:sz w:val="20"/>
                <w:szCs w:val="20"/>
                <w:color w:val="auto"/>
              </w:rPr>
            </w:pPr>
          </w:p>
        </w:tc>
      </w:tr>
      <w:tr>
        <w:trPr>
          <w:trHeight w:val="432"/>
        </w:trPr>
        <w:tc>
          <w:tcPr>
            <w:tcW w:w="74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(b).</w:t>
            </w:r>
          </w:p>
        </w:tc>
        <w:tc>
          <w:tcPr>
            <w:tcW w:w="9620" w:type="dxa"/>
            <w:vAlign w:val="bottom"/>
          </w:tcPr>
          <w:p>
            <w:pPr>
              <w:spacing w:after="0"/>
              <w:rPr>
                <w:sz w:val="20"/>
                <w:szCs w:val="20"/>
                <w:color w:val="auto"/>
              </w:rPr>
            </w:pPr>
            <w:r>
              <w:rPr>
                <w:rFonts w:ascii="Arial" w:cs="Arial" w:eastAsia="Arial" w:hAnsi="Arial"/>
                <w:sz w:val="18"/>
                <w:szCs w:val="18"/>
                <w:color w:val="auto"/>
              </w:rPr>
              <w:t>Address of issuer’s principal executive offices:</w:t>
            </w:r>
          </w:p>
        </w:tc>
      </w:tr>
      <w:tr>
        <w:trPr>
          <w:trHeight w:val="418"/>
        </w:trPr>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4000 Mason Road, Suite 300</w:t>
            </w:r>
          </w:p>
        </w:tc>
      </w:tr>
      <w:tr>
        <w:trPr>
          <w:trHeight w:val="230"/>
        </w:trPr>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Seattle, WA 98195</w:t>
            </w:r>
          </w:p>
        </w:tc>
      </w:tr>
      <w:tr>
        <w:trPr>
          <w:trHeight w:val="236"/>
        </w:trPr>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20" w:type="dxa"/>
            <w:vAlign w:val="bottom"/>
            <w:tcBorders>
              <w:bottom w:val="single" w:sz="8" w:color="auto"/>
            </w:tcBorders>
          </w:tcPr>
          <w:p>
            <w:pPr>
              <w:spacing w:after="0"/>
              <w:rPr>
                <w:sz w:val="20"/>
                <w:szCs w:val="20"/>
                <w:color w:val="auto"/>
              </w:rPr>
            </w:pP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Item 2.</w:t>
            </w:r>
          </w:p>
        </w:tc>
        <w:tc>
          <w:tcPr>
            <w:tcW w:w="880" w:type="dxa"/>
            <w:vAlign w:val="bottom"/>
          </w:tcPr>
          <w:p>
            <w:pPr>
              <w:ind w:left="240"/>
              <w:spacing w:after="0"/>
              <w:rPr>
                <w:sz w:val="20"/>
                <w:szCs w:val="20"/>
                <w:color w:val="auto"/>
              </w:rPr>
            </w:pPr>
            <w:r>
              <w:rPr>
                <w:rFonts w:ascii="Arial" w:cs="Arial" w:eastAsia="Arial" w:hAnsi="Arial"/>
                <w:sz w:val="18"/>
                <w:szCs w:val="18"/>
                <w:color w:val="auto"/>
              </w:rPr>
              <w:t>(a).</w:t>
            </w:r>
          </w:p>
        </w:tc>
        <w:tc>
          <w:tcPr>
            <w:tcW w:w="9620" w:type="dxa"/>
            <w:vAlign w:val="bottom"/>
          </w:tcPr>
          <w:p>
            <w:pPr>
              <w:spacing w:after="0"/>
              <w:rPr>
                <w:sz w:val="20"/>
                <w:szCs w:val="20"/>
                <w:color w:val="auto"/>
              </w:rPr>
            </w:pPr>
            <w:r>
              <w:rPr>
                <w:rFonts w:ascii="Arial" w:cs="Arial" w:eastAsia="Arial" w:hAnsi="Arial"/>
                <w:sz w:val="18"/>
                <w:szCs w:val="18"/>
                <w:color w:val="auto"/>
              </w:rPr>
              <w:t>Name of person filing:</w:t>
            </w:r>
          </w:p>
        </w:tc>
      </w:tr>
      <w:tr>
        <w:trPr>
          <w:trHeight w:val="418"/>
        </w:trPr>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RTW Investments, LP</w:t>
            </w:r>
          </w:p>
        </w:tc>
      </w:tr>
      <w:tr>
        <w:trPr>
          <w:trHeight w:val="216"/>
        </w:trPr>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RTW Master Fund, Ltd.</w:t>
            </w:r>
          </w:p>
        </w:tc>
      </w:tr>
      <w:tr>
        <w:trPr>
          <w:trHeight w:val="230"/>
        </w:trPr>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Roderick Wong</w:t>
            </w:r>
          </w:p>
        </w:tc>
      </w:tr>
      <w:tr>
        <w:trPr>
          <w:trHeight w:val="236"/>
        </w:trPr>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20" w:type="dxa"/>
            <w:vAlign w:val="bottom"/>
            <w:tcBorders>
              <w:bottom w:val="single" w:sz="8" w:color="auto"/>
            </w:tcBorders>
          </w:tcPr>
          <w:p>
            <w:pPr>
              <w:spacing w:after="0"/>
              <w:rPr>
                <w:sz w:val="20"/>
                <w:szCs w:val="20"/>
                <w:color w:val="auto"/>
              </w:rPr>
            </w:pPr>
          </w:p>
        </w:tc>
      </w:tr>
      <w:tr>
        <w:trPr>
          <w:trHeight w:val="432"/>
        </w:trPr>
        <w:tc>
          <w:tcPr>
            <w:tcW w:w="74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(b).</w:t>
            </w:r>
          </w:p>
        </w:tc>
        <w:tc>
          <w:tcPr>
            <w:tcW w:w="9620" w:type="dxa"/>
            <w:vAlign w:val="bottom"/>
          </w:tcPr>
          <w:p>
            <w:pPr>
              <w:spacing w:after="0"/>
              <w:rPr>
                <w:sz w:val="20"/>
                <w:szCs w:val="20"/>
                <w:color w:val="auto"/>
              </w:rPr>
            </w:pPr>
            <w:r>
              <w:rPr>
                <w:rFonts w:ascii="Arial" w:cs="Arial" w:eastAsia="Arial" w:hAnsi="Arial"/>
                <w:sz w:val="18"/>
                <w:szCs w:val="18"/>
                <w:color w:val="auto"/>
              </w:rPr>
              <w:t>Address or principal business office or, if none, residence:</w:t>
            </w:r>
          </w:p>
        </w:tc>
      </w:tr>
      <w:tr>
        <w:trPr>
          <w:trHeight w:val="421"/>
        </w:trPr>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RTW Investments, LP</w:t>
            </w:r>
          </w:p>
        </w:tc>
      </w:tr>
      <w:tr>
        <w:trPr>
          <w:trHeight w:val="253"/>
        </w:trPr>
        <w:tc>
          <w:tcPr>
            <w:tcW w:w="7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620" w:type="dxa"/>
            <w:vAlign w:val="bottom"/>
          </w:tcPr>
          <w:p>
            <w:pPr>
              <w:spacing w:after="0" w:line="252" w:lineRule="exact"/>
              <w:rPr>
                <w:sz w:val="20"/>
                <w:szCs w:val="20"/>
                <w:color w:val="auto"/>
              </w:rPr>
            </w:pPr>
            <w:r>
              <w:rPr>
                <w:rFonts w:ascii="Arial" w:cs="Arial" w:eastAsia="Arial" w:hAnsi="Arial"/>
                <w:sz w:val="18"/>
                <w:szCs w:val="18"/>
                <w:color w:val="auto"/>
              </w:rPr>
              <w:t>40 10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Avenue</w:t>
            </w:r>
          </w:p>
        </w:tc>
      </w:tr>
      <w:tr>
        <w:trPr>
          <w:trHeight w:val="216"/>
        </w:trPr>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Floor 7</w:t>
            </w:r>
          </w:p>
        </w:tc>
      </w:tr>
      <w:tr>
        <w:trPr>
          <w:trHeight w:val="230"/>
        </w:trPr>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New York, New York 10014</w:t>
            </w:r>
          </w:p>
        </w:tc>
      </w:tr>
      <w:tr>
        <w:trPr>
          <w:trHeight w:val="418"/>
        </w:trPr>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RTW Master Fund, Ltd.</w:t>
            </w:r>
          </w:p>
        </w:tc>
      </w:tr>
      <w:tr>
        <w:trPr>
          <w:trHeight w:val="216"/>
        </w:trPr>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c/o Intertrust Corporate Services (Cayman) Limited</w:t>
            </w:r>
          </w:p>
        </w:tc>
      </w:tr>
      <w:tr>
        <w:trPr>
          <w:trHeight w:val="216"/>
        </w:trPr>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190 Elgin Avenue, George Town</w:t>
            </w:r>
          </w:p>
        </w:tc>
      </w:tr>
      <w:tr>
        <w:trPr>
          <w:trHeight w:val="230"/>
        </w:trPr>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Grand Cayman KY1-9001, Cayman Islands</w:t>
            </w:r>
          </w:p>
        </w:tc>
      </w:tr>
      <w:tr>
        <w:trPr>
          <w:trHeight w:val="418"/>
        </w:trPr>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Roderick Wong</w:t>
            </w:r>
          </w:p>
        </w:tc>
      </w:tr>
      <w:tr>
        <w:trPr>
          <w:trHeight w:val="220"/>
        </w:trPr>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c/o RTW Investments, LP</w:t>
            </w:r>
          </w:p>
        </w:tc>
      </w:tr>
      <w:tr>
        <w:trPr>
          <w:trHeight w:val="253"/>
        </w:trPr>
        <w:tc>
          <w:tcPr>
            <w:tcW w:w="7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620" w:type="dxa"/>
            <w:vAlign w:val="bottom"/>
          </w:tcPr>
          <w:p>
            <w:pPr>
              <w:spacing w:after="0" w:line="252" w:lineRule="exact"/>
              <w:rPr>
                <w:sz w:val="20"/>
                <w:szCs w:val="20"/>
                <w:color w:val="auto"/>
              </w:rPr>
            </w:pPr>
            <w:r>
              <w:rPr>
                <w:rFonts w:ascii="Arial" w:cs="Arial" w:eastAsia="Arial" w:hAnsi="Arial"/>
                <w:sz w:val="18"/>
                <w:szCs w:val="18"/>
                <w:color w:val="auto"/>
              </w:rPr>
              <w:t>40 10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Avenue</w:t>
            </w:r>
          </w:p>
        </w:tc>
      </w:tr>
      <w:tr>
        <w:trPr>
          <w:trHeight w:val="216"/>
        </w:trPr>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Floor 7</w:t>
            </w:r>
          </w:p>
        </w:tc>
      </w:tr>
      <w:tr>
        <w:trPr>
          <w:trHeight w:val="230"/>
        </w:trPr>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New York, New York 10014</w:t>
            </w:r>
          </w:p>
        </w:tc>
      </w:tr>
      <w:tr>
        <w:trPr>
          <w:trHeight w:val="236"/>
        </w:trPr>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20" w:type="dxa"/>
            <w:vAlign w:val="bottom"/>
            <w:tcBorders>
              <w:bottom w:val="single" w:sz="8" w:color="auto"/>
            </w:tcBorders>
          </w:tcPr>
          <w:p>
            <w:pPr>
              <w:spacing w:after="0"/>
              <w:rPr>
                <w:sz w:val="20"/>
                <w:szCs w:val="20"/>
                <w:color w:val="auto"/>
              </w:rPr>
            </w:pPr>
          </w:p>
        </w:tc>
      </w:tr>
      <w:tr>
        <w:trPr>
          <w:trHeight w:val="432"/>
        </w:trPr>
        <w:tc>
          <w:tcPr>
            <w:tcW w:w="74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(c).</w:t>
            </w:r>
          </w:p>
        </w:tc>
        <w:tc>
          <w:tcPr>
            <w:tcW w:w="9620" w:type="dxa"/>
            <w:vAlign w:val="bottom"/>
          </w:tcPr>
          <w:p>
            <w:pPr>
              <w:spacing w:after="0"/>
              <w:rPr>
                <w:sz w:val="20"/>
                <w:szCs w:val="20"/>
                <w:color w:val="auto"/>
              </w:rPr>
            </w:pPr>
            <w:r>
              <w:rPr>
                <w:rFonts w:ascii="Arial" w:cs="Arial" w:eastAsia="Arial" w:hAnsi="Arial"/>
                <w:sz w:val="18"/>
                <w:szCs w:val="18"/>
                <w:color w:val="auto"/>
              </w:rPr>
              <w:t>Citizenship:</w:t>
            </w:r>
          </w:p>
        </w:tc>
      </w:tr>
      <w:tr>
        <w:trPr>
          <w:trHeight w:val="418"/>
        </w:trPr>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RTW Investments, LP – Delaware</w:t>
            </w:r>
          </w:p>
        </w:tc>
      </w:tr>
      <w:tr>
        <w:trPr>
          <w:trHeight w:val="216"/>
        </w:trPr>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RTW Master Fund, Ltd. – Cayman Islands</w:t>
            </w:r>
          </w:p>
        </w:tc>
      </w:tr>
      <w:tr>
        <w:trPr>
          <w:trHeight w:val="230"/>
        </w:trPr>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Roderick Wong – United States of America</w:t>
            </w:r>
          </w:p>
        </w:tc>
      </w:tr>
      <w:tr>
        <w:trPr>
          <w:trHeight w:val="237"/>
        </w:trPr>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20" w:type="dxa"/>
            <w:vAlign w:val="bottom"/>
            <w:tcBorders>
              <w:bottom w:val="single" w:sz="8" w:color="auto"/>
            </w:tcBorders>
          </w:tcPr>
          <w:p>
            <w:pPr>
              <w:spacing w:after="0"/>
              <w:rPr>
                <w:sz w:val="20"/>
                <w:szCs w:val="20"/>
                <w:color w:val="auto"/>
              </w:rPr>
            </w:pPr>
          </w:p>
        </w:tc>
      </w:tr>
      <w:tr>
        <w:trPr>
          <w:trHeight w:val="432"/>
        </w:trPr>
        <w:tc>
          <w:tcPr>
            <w:tcW w:w="74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(d).</w:t>
            </w:r>
          </w:p>
        </w:tc>
        <w:tc>
          <w:tcPr>
            <w:tcW w:w="9620" w:type="dxa"/>
            <w:vAlign w:val="bottom"/>
          </w:tcPr>
          <w:p>
            <w:pPr>
              <w:spacing w:after="0"/>
              <w:rPr>
                <w:sz w:val="20"/>
                <w:szCs w:val="20"/>
                <w:color w:val="auto"/>
              </w:rPr>
            </w:pPr>
            <w:r>
              <w:rPr>
                <w:rFonts w:ascii="Arial" w:cs="Arial" w:eastAsia="Arial" w:hAnsi="Arial"/>
                <w:sz w:val="18"/>
                <w:szCs w:val="18"/>
                <w:color w:val="auto"/>
              </w:rPr>
              <w:t>Title of class of securities:</w:t>
            </w:r>
          </w:p>
        </w:tc>
      </w:tr>
      <w:tr>
        <w:trPr>
          <w:trHeight w:val="432"/>
        </w:trPr>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Common Stock</w:t>
            </w:r>
          </w:p>
        </w:tc>
      </w:tr>
      <w:tr>
        <w:trPr>
          <w:trHeight w:val="237"/>
        </w:trPr>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20" w:type="dxa"/>
            <w:vAlign w:val="bottom"/>
            <w:tcBorders>
              <w:bottom w:val="single" w:sz="8" w:color="auto"/>
            </w:tcBorders>
          </w:tcPr>
          <w:p>
            <w:pPr>
              <w:spacing w:after="0"/>
              <w:rPr>
                <w:sz w:val="20"/>
                <w:szCs w:val="20"/>
                <w:color w:val="auto"/>
              </w:rPr>
            </w:pPr>
          </w:p>
        </w:tc>
      </w:tr>
      <w:tr>
        <w:trPr>
          <w:trHeight w:val="432"/>
        </w:trPr>
        <w:tc>
          <w:tcPr>
            <w:tcW w:w="74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(e).</w:t>
            </w:r>
          </w:p>
        </w:tc>
        <w:tc>
          <w:tcPr>
            <w:tcW w:w="9620" w:type="dxa"/>
            <w:vAlign w:val="bottom"/>
          </w:tcPr>
          <w:p>
            <w:pPr>
              <w:spacing w:after="0"/>
              <w:rPr>
                <w:sz w:val="20"/>
                <w:szCs w:val="20"/>
                <w:color w:val="auto"/>
              </w:rPr>
            </w:pPr>
            <w:r>
              <w:rPr>
                <w:rFonts w:ascii="Arial" w:cs="Arial" w:eastAsia="Arial" w:hAnsi="Arial"/>
                <w:sz w:val="18"/>
                <w:szCs w:val="18"/>
                <w:color w:val="auto"/>
              </w:rPr>
              <w:t>CUSIP No.:</w:t>
            </w:r>
          </w:p>
        </w:tc>
      </w:tr>
      <w:tr>
        <w:trPr>
          <w:trHeight w:val="432"/>
        </w:trPr>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04746L104</w:t>
            </w:r>
          </w:p>
        </w:tc>
      </w:tr>
      <w:tr>
        <w:trPr>
          <w:trHeight w:val="236"/>
        </w:trPr>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20" w:type="dxa"/>
            <w:vAlign w:val="bottom"/>
            <w:tcBorders>
              <w:bottom w:val="single" w:sz="8" w:color="auto"/>
            </w:tcBorders>
          </w:tcPr>
          <w:p>
            <w:pPr>
              <w:spacing w:after="0"/>
              <w:rPr>
                <w:sz w:val="20"/>
                <w:szCs w:val="20"/>
                <w:color w:val="auto"/>
              </w:rPr>
            </w:pPr>
          </w:p>
        </w:tc>
      </w:tr>
      <w:tr>
        <w:trPr>
          <w:trHeight w:val="439"/>
        </w:trPr>
        <w:tc>
          <w:tcPr>
            <w:tcW w:w="7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5" w:name="page6"/>
    <w:bookmarkEnd w:id="5"/>
    <w:p>
      <w:pPr>
        <w:spacing w:after="0"/>
        <w:tabs>
          <w:tab w:leader="none" w:pos="9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Amount beneficially owned:</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RTW Investments, LP – 2,685,779*</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RTW Master Fund, Ltd. – 1,695,399*</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Roderick Wong – 2,685,779*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151765</wp:posOffset>
            </wp:positionV>
            <wp:extent cx="6103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03620"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  Percent of class: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RTW Investments, LP – 8.26%*</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RTW Master Fund, Ltd. – 5.22%*</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Roderick Wong – 8.26%*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151765</wp:posOffset>
            </wp:positionV>
            <wp:extent cx="6103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03620"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2280" w:hanging="652"/>
        <w:spacing w:after="0"/>
        <w:tabs>
          <w:tab w:leader="none" w:pos="22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2280" w:right="6960"/>
        <w:spacing w:after="0" w:line="286" w:lineRule="auto"/>
        <w:rPr>
          <w:rFonts w:ascii="Arial" w:cs="Arial" w:eastAsia="Arial" w:hAnsi="Arial"/>
          <w:sz w:val="18"/>
          <w:szCs w:val="18"/>
          <w:color w:val="auto"/>
        </w:rPr>
      </w:pPr>
      <w:r>
        <w:rPr>
          <w:rFonts w:ascii="Arial" w:cs="Arial" w:eastAsia="Arial" w:hAnsi="Arial"/>
          <w:sz w:val="17"/>
          <w:szCs w:val="17"/>
          <w:color w:val="auto"/>
        </w:rPr>
        <w:t>RTW Investments, LP – 0 RTW Master Fund, Ltd. – 0 Roderick Wong – 0</w:t>
      </w:r>
    </w:p>
    <w:p>
      <w:pPr>
        <w:spacing w:after="0" w:line="165" w:lineRule="exact"/>
        <w:rPr>
          <w:rFonts w:ascii="Arial" w:cs="Arial" w:eastAsia="Arial" w:hAnsi="Arial"/>
          <w:sz w:val="18"/>
          <w:szCs w:val="18"/>
          <w:color w:val="auto"/>
        </w:rPr>
      </w:pPr>
    </w:p>
    <w:p>
      <w:pPr>
        <w:ind w:left="2280" w:hanging="652"/>
        <w:spacing w:after="0"/>
        <w:tabs>
          <w:tab w:leader="none" w:pos="22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2280" w:right="6240"/>
        <w:spacing w:after="0" w:line="311" w:lineRule="auto"/>
        <w:rPr>
          <w:rFonts w:ascii="Arial" w:cs="Arial" w:eastAsia="Arial" w:hAnsi="Arial"/>
          <w:sz w:val="18"/>
          <w:szCs w:val="18"/>
          <w:color w:val="auto"/>
        </w:rPr>
      </w:pPr>
      <w:r>
        <w:rPr>
          <w:rFonts w:ascii="Arial" w:cs="Arial" w:eastAsia="Arial" w:hAnsi="Arial"/>
          <w:sz w:val="16"/>
          <w:szCs w:val="16"/>
          <w:color w:val="auto"/>
        </w:rPr>
        <w:t>RTW Investments, LP – 2,685,779* RTW Master Fund, Ltd. – 1,695,399* Roderick Wong – 2,685,779*</w:t>
      </w:r>
    </w:p>
    <w:p>
      <w:pPr>
        <w:spacing w:after="0" w:line="148" w:lineRule="exact"/>
        <w:rPr>
          <w:rFonts w:ascii="Arial" w:cs="Arial" w:eastAsia="Arial" w:hAnsi="Arial"/>
          <w:sz w:val="18"/>
          <w:szCs w:val="18"/>
          <w:color w:val="auto"/>
        </w:rPr>
      </w:pPr>
    </w:p>
    <w:p>
      <w:pPr>
        <w:ind w:left="2280" w:hanging="652"/>
        <w:spacing w:after="0"/>
        <w:tabs>
          <w:tab w:leader="none" w:pos="22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5" w:lineRule="exact"/>
        <w:rPr>
          <w:rFonts w:ascii="Arial" w:cs="Arial" w:eastAsia="Arial" w:hAnsi="Arial"/>
          <w:sz w:val="18"/>
          <w:szCs w:val="18"/>
          <w:color w:val="auto"/>
        </w:rPr>
      </w:pPr>
    </w:p>
    <w:p>
      <w:pPr>
        <w:ind w:left="2280" w:right="6960"/>
        <w:spacing w:after="0" w:line="286" w:lineRule="auto"/>
        <w:rPr>
          <w:rFonts w:ascii="Arial" w:cs="Arial" w:eastAsia="Arial" w:hAnsi="Arial"/>
          <w:sz w:val="18"/>
          <w:szCs w:val="18"/>
          <w:color w:val="auto"/>
        </w:rPr>
      </w:pPr>
      <w:r>
        <w:rPr>
          <w:rFonts w:ascii="Arial" w:cs="Arial" w:eastAsia="Arial" w:hAnsi="Arial"/>
          <w:sz w:val="17"/>
          <w:szCs w:val="17"/>
          <w:color w:val="auto"/>
        </w:rPr>
        <w:t>RTW Investments, LP – 0 RTW Master Fund, Ltd. – 0 Roderick Wong – 0</w:t>
      </w:r>
    </w:p>
    <w:p>
      <w:pPr>
        <w:spacing w:after="0" w:line="165" w:lineRule="exact"/>
        <w:rPr>
          <w:rFonts w:ascii="Arial" w:cs="Arial" w:eastAsia="Arial" w:hAnsi="Arial"/>
          <w:sz w:val="18"/>
          <w:szCs w:val="18"/>
          <w:color w:val="auto"/>
        </w:rPr>
      </w:pPr>
    </w:p>
    <w:p>
      <w:pPr>
        <w:ind w:left="2280" w:hanging="652"/>
        <w:spacing w:after="0"/>
        <w:tabs>
          <w:tab w:leader="none" w:pos="22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rFonts w:ascii="Arial" w:cs="Arial" w:eastAsia="Arial" w:hAnsi="Arial"/>
          <w:sz w:val="18"/>
          <w:szCs w:val="18"/>
          <w:color w:val="auto"/>
        </w:rPr>
      </w:pPr>
    </w:p>
    <w:p>
      <w:pPr>
        <w:ind w:left="2280" w:right="6240"/>
        <w:spacing w:after="0" w:line="311" w:lineRule="auto"/>
        <w:rPr>
          <w:rFonts w:ascii="Arial" w:cs="Arial" w:eastAsia="Arial" w:hAnsi="Arial"/>
          <w:sz w:val="18"/>
          <w:szCs w:val="18"/>
          <w:color w:val="auto"/>
        </w:rPr>
      </w:pPr>
      <w:r>
        <w:rPr>
          <w:rFonts w:ascii="Arial" w:cs="Arial" w:eastAsia="Arial" w:hAnsi="Arial"/>
          <w:sz w:val="16"/>
          <w:szCs w:val="16"/>
          <w:color w:val="auto"/>
        </w:rPr>
        <w:t>RTW Investments, LP – 2,685,779* RTW Master Fund, Ltd. – 1,695,399* Roderick Wong – 2,685,779*</w:t>
      </w: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jc w:val="both"/>
        <w:spacing w:after="0" w:line="290" w:lineRule="auto"/>
        <w:rPr>
          <w:rFonts w:ascii="Arial" w:cs="Arial" w:eastAsia="Arial" w:hAnsi="Arial"/>
          <w:sz w:val="18"/>
          <w:szCs w:val="18"/>
          <w:color w:val="auto"/>
        </w:rPr>
      </w:pPr>
      <w:r>
        <w:rPr>
          <w:rFonts w:ascii="Arial" w:cs="Arial" w:eastAsia="Arial" w:hAnsi="Arial"/>
          <w:sz w:val="16"/>
          <w:szCs w:val="16"/>
          <w:color w:val="auto"/>
        </w:rPr>
        <w:t>* The Common Stock (the “Shares”), of Athira Pharma, Inc. (the “Company”) reported herein are held by RTW Master Fund, Ltd. and one or more private funds (together the “Funds”) managed by RTW Investments, LP (the “Adviser”). The Adviser, in its capacity as the investment manager of the Funds, has the power to vote and the power to direct the disposition of all Shares held by the Funds. Accordingly, for the purposes of Reg. Section 240.13d-3, the Adviser may be deemed to beneficially own an aggregate of 2,685,779 Shares, or 8.26% of the Company’s 32,845,184 Shares deemed issued and outstanding as of November 9, 2020, as disclosed in the Issuer’s prospectus filed with the SEC on November 12, 2020. Roderick Wong is the Managing Partner of the Adviser. This report shall not be deemed an admission that the Adviser, the Funds or any other person is the beneficial owner of the securities reported herein for purposes of Section 13 of the Securities Exchange Act of 1934, as amended, or for any other purpose. Each of the reporting persons herein disclaims beneficial ownership of the Shares reported herein except to the extent of the reporting person’s pecuniary interest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 w:name="page7"/>
    <w:bookmarkEnd w:id="6"/>
    <w:p>
      <w:pPr>
        <w:spacing w:after="0"/>
        <w:tabs>
          <w:tab w:leader="none" w:pos="96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160655</wp:posOffset>
            </wp:positionV>
            <wp:extent cx="651510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1510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jc w:val="both"/>
        <w:ind w:left="980"/>
        <w:spacing w:after="0" w:line="279" w:lineRule="auto"/>
        <w:rPr>
          <w:sz w:val="20"/>
          <w:szCs w:val="20"/>
          <w:color w:val="auto"/>
        </w:rPr>
      </w:pPr>
      <w:r>
        <w:rPr>
          <w:rFonts w:ascii="Arial" w:cs="Arial" w:eastAsia="Arial" w:hAnsi="Arial"/>
          <w:sz w:val="17"/>
          <w:szCs w:val="17"/>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160655</wp:posOffset>
            </wp:positionV>
            <wp:extent cx="651510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1510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980" w:hanging="971"/>
        <w:spacing w:after="0" w:line="277" w:lineRule="auto"/>
        <w:tabs>
          <w:tab w:leader="none" w:pos="96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70" w:lineRule="exact"/>
        <w:rPr>
          <w:sz w:val="20"/>
          <w:szCs w:val="20"/>
          <w:color w:val="auto"/>
        </w:rPr>
      </w:pPr>
    </w:p>
    <w:p>
      <w:pPr>
        <w:jc w:val="both"/>
        <w:ind w:left="980"/>
        <w:spacing w:after="0" w:line="311" w:lineRule="auto"/>
        <w:rPr>
          <w:sz w:val="20"/>
          <w:szCs w:val="20"/>
          <w:color w:val="auto"/>
        </w:rPr>
      </w:pPr>
      <w:r>
        <w:rPr>
          <w:rFonts w:ascii="Arial" w:cs="Arial" w:eastAsia="Arial" w:hAnsi="Arial"/>
          <w:sz w:val="16"/>
          <w:szCs w:val="16"/>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160655</wp:posOffset>
            </wp:positionV>
            <wp:extent cx="651510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1510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160655</wp:posOffset>
            </wp:positionV>
            <wp:extent cx="651510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1510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jc w:val="both"/>
        <w:ind w:left="980"/>
        <w:spacing w:after="0" w:line="308" w:lineRule="auto"/>
        <w:rPr>
          <w:sz w:val="20"/>
          <w:szCs w:val="20"/>
          <w:color w:val="auto"/>
        </w:rPr>
      </w:pPr>
      <w:r>
        <w:rPr>
          <w:rFonts w:ascii="Arial" w:cs="Arial" w:eastAsia="Arial" w:hAnsi="Arial"/>
          <w:sz w:val="17"/>
          <w:szCs w:val="17"/>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3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160655</wp:posOffset>
            </wp:positionV>
            <wp:extent cx="651510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1510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225"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RTW Investments, LP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Roderick Wong, Managing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RTW Master Fund, Ltd.</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Roderick Wong, Director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Roderick Wong</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Roderick Wong, Individually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s.240.13d-7 for other parties for whom copies are to be 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Statement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Rule 13d-1(k)(1)</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undersigned hereby consent and agree to the joint filing of Schedule 13G Amendment No. 1 under the Securities Exchange Act of 1934, as amended, with respect to the Common Stock of Athira Pharma, Inc. beneficially owned by them, together with any or all amendments thereto, when and if appropriate. The parties hereto further consent and agree to file this Joint Filing Statement pursuant to Rule13d-1(k)(1)(iii) as an exhibit to Schedule 13G, thereby incorporating the same into such Schedule13G.</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Joint Filing Statement may be terminated by any of the undersigned upon written notice or such lesser period of notice as the undersigned may mutually agree.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RTW Investments, LP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Roderick Wong, Managing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RTW Master Fund, Ltd.</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Roderick Wong, Director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Roderick Wong</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Roderick Wong,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3"/>
    </w:lvl>
  </w:abstractNum>
  <w:abstractNum w:abstractNumId="3">
    <w:nsid w:val="79E2A9E3"/>
    <w:multiLevelType w:val="hybridMultilevel"/>
    <w:lvl w:ilvl="0">
      <w:lvlJc w:val="left"/>
      <w:lvlText w:val="%1."/>
      <w:numFmt w:val="decimal"/>
      <w:start w:val="5"/>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3"/>
    </w:lvl>
  </w:abstractNum>
  <w:abstractNum w:abstractNumId="6">
    <w:nsid w:val="5BD062C2"/>
    <w:multiLevelType w:val="hybridMultilevel"/>
    <w:lvl w:ilvl="0">
      <w:lvlJc w:val="left"/>
      <w:lvlText w:val="%1."/>
      <w:numFmt w:val="decimal"/>
      <w:start w:val="5"/>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3"/>
    </w:lvl>
  </w:abstractNum>
  <w:abstractNum w:abstractNumId="9">
    <w:nsid w:val="216231B"/>
    <w:multiLevelType w:val="hybridMultilevel"/>
    <w:lvl w:ilvl="0">
      <w:lvlJc w:val="left"/>
      <w:lvlText w:val="%1."/>
      <w:numFmt w:val="decimal"/>
      <w:start w:val="5"/>
    </w:lvl>
  </w:abstractNum>
  <w:abstractNum w:abstractNumId="10">
    <w:nsid w:val="1F16E9E8"/>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2021-02-12T08:33:16Z</dcterms:created>
  <dcterms:modified xsi:type="dcterms:W3CDTF">2021-02-12T08:33:16Z</dcterms:modified>
</cp:coreProperties>
</file>