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35"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21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29"/>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7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348" w:right="499" w:bottom="1440" w:gutter="0" w:footer="0" w:header="0"/>
        </w:sectPr>
      </w:pPr>
    </w:p>
    <w:p>
      <w:pPr>
        <w:spacing w:after="0" w:line="12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340" w:space="720"/>
            <w:col w:w="2160" w:space="720"/>
            <w:col w:w="3140"/>
          </w:cols>
          <w:pgMar w:left="320" w:top="1348"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101" w:lineRule="exact"/>
        <w:rPr>
          <w:sz w:val="24"/>
          <w:szCs w:val="24"/>
          <w:color w:val="auto"/>
        </w:rPr>
      </w:pPr>
    </w:p>
    <w:p>
      <w:pPr>
        <w:sectPr>
          <w:pgSz w:w="11900" w:h="16838" w:orient="portrait"/>
          <w:cols w:equalWidth="0" w:num="3">
            <w:col w:w="4700" w:space="720"/>
            <w:col w:w="1980" w:space="720"/>
            <w:col w:w="2960"/>
          </w:cols>
          <w:pgMar w:left="320" w:top="1348" w:right="49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48" w:right="49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On May 23, 2024, Athira Pharma, Inc. (the “Company”) held its 2024 Annual Meeting of Stockholders (the “Annual Meeting”). The Company had 38,326,652 shares of common stock outstanding on March 26, 2024, the record date for the Annual Meeting. At the Annual Meeting, 27,358,709 shares of the Company’s common stock, or approximately 71.38% of the total shares entitled to vote, were present or represented by proxy.</w:t>
      </w:r>
    </w:p>
    <w:p>
      <w:pPr>
        <w:spacing w:after="0" w:line="68" w:lineRule="exact"/>
        <w:rPr>
          <w:sz w:val="20"/>
          <w:szCs w:val="20"/>
          <w:color w:val="auto"/>
        </w:rPr>
      </w:pPr>
    </w:p>
    <w:p>
      <w:pPr>
        <w:jc w:val="both"/>
        <w:ind w:right="100" w:firstLine="360"/>
        <w:spacing w:after="0" w:line="266" w:lineRule="auto"/>
        <w:rPr>
          <w:sz w:val="20"/>
          <w:szCs w:val="20"/>
          <w:color w:val="auto"/>
        </w:rPr>
      </w:pPr>
      <w:r>
        <w:rPr>
          <w:rFonts w:ascii="Times New Roman" w:cs="Times New Roman" w:eastAsia="Times New Roman" w:hAnsi="Times New Roman"/>
          <w:sz w:val="18"/>
          <w:szCs w:val="18"/>
          <w:color w:val="auto"/>
        </w:rPr>
        <w:t>The following sets forth the final results of the voting at the Annual Meeting, as certified by a representative of C.T. Hagberg, LLC, the independent inspector of elections for the Annual Meeting. The proposals considered at the Annual Meeting are described in more detail in the Company’s definitive proxy statement filed with the United States Securities and Exchange Commission (the “SEC”) on April 9,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No. 1 – Election of Class I Directors</w:t>
      </w:r>
    </w:p>
    <w:p>
      <w:pPr>
        <w:spacing w:after="0" w:line="119" w:lineRule="exact"/>
        <w:rPr>
          <w:sz w:val="20"/>
          <w:szCs w:val="20"/>
          <w:color w:val="auto"/>
        </w:rPr>
      </w:pPr>
    </w:p>
    <w:p>
      <w:pPr>
        <w:jc w:val="both"/>
        <w:ind w:right="600" w:firstLine="749"/>
        <w:spacing w:after="0" w:line="266" w:lineRule="auto"/>
        <w:rPr>
          <w:sz w:val="20"/>
          <w:szCs w:val="20"/>
          <w:color w:val="auto"/>
        </w:rPr>
      </w:pPr>
      <w:r>
        <w:rPr>
          <w:rFonts w:ascii="Times New Roman" w:cs="Times New Roman" w:eastAsia="Times New Roman" w:hAnsi="Times New Roman"/>
          <w:sz w:val="18"/>
          <w:szCs w:val="18"/>
          <w:color w:val="auto"/>
        </w:rPr>
        <w:t>The stockholders elected the three candidates nominated by the Company’s Board of Directors (the “Board”) to serve as directors of the Company until the annual meeting of stockholders to be held in 2027 or until their successors are elected and qualified, or until their earlier death, resignation or removal. The following sets forth the results of the voting with respect to each candidate:</w:t>
      </w:r>
    </w:p>
    <w:p>
      <w:pPr>
        <w:spacing w:after="0" w:line="77"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Nominees of the Board</w:t>
            </w:r>
          </w:p>
        </w:tc>
        <w:tc>
          <w:tcPr>
            <w:tcW w:w="200" w:type="dxa"/>
            <w:vAlign w:val="bottom"/>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1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0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51"/>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Barbara Kosacz</w:t>
            </w:r>
          </w:p>
        </w:tc>
        <w:tc>
          <w:tcPr>
            <w:tcW w:w="2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16,194,646</w:t>
            </w:r>
          </w:p>
        </w:tc>
        <w:tc>
          <w:tcPr>
            <w:tcW w:w="2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4,121,308</w:t>
            </w:r>
          </w:p>
        </w:tc>
        <w:tc>
          <w:tcPr>
            <w:tcW w:w="2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7,042,755</w:t>
            </w:r>
          </w:p>
        </w:tc>
      </w:tr>
      <w:tr>
        <w:trPr>
          <w:trHeight w:val="351"/>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Litton</w:t>
            </w:r>
          </w:p>
        </w:tc>
        <w:tc>
          <w:tcPr>
            <w:tcW w:w="2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18,117,972</w:t>
            </w:r>
          </w:p>
        </w:tc>
        <w:tc>
          <w:tcPr>
            <w:tcW w:w="2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2,197,982</w:t>
            </w:r>
          </w:p>
        </w:tc>
        <w:tc>
          <w:tcPr>
            <w:tcW w:w="2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7,042,755</w:t>
            </w:r>
          </w:p>
        </w:tc>
      </w:tr>
      <w:tr>
        <w:trPr>
          <w:trHeight w:val="351"/>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Panzara</w:t>
            </w:r>
          </w:p>
        </w:tc>
        <w:tc>
          <w:tcPr>
            <w:tcW w:w="2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17,787,498</w:t>
            </w:r>
          </w:p>
        </w:tc>
        <w:tc>
          <w:tcPr>
            <w:tcW w:w="2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2,528,456</w:t>
            </w:r>
          </w:p>
        </w:tc>
        <w:tc>
          <w:tcPr>
            <w:tcW w:w="2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7,042,755</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No. 2 – Ratification of Appointment of Independent Registered Public Accounting Firm</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stockholders ratified the selection of Ernst &amp; Young LLP as the Company’s independent registered public accounting firm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fiscal year ending December 31, 2024. The following sets forth the results of the voting with respect to this proposal:</w:t>
      </w:r>
    </w:p>
    <w:p>
      <w:pPr>
        <w:spacing w:after="0" w:line="108"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51"/>
        </w:trPr>
        <w:tc>
          <w:tcPr>
            <w:tcW w:w="2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27,199,785</w:t>
            </w:r>
          </w:p>
        </w:tc>
        <w:tc>
          <w:tcPr>
            <w:tcW w:w="24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59,069</w:t>
            </w:r>
          </w:p>
        </w:tc>
        <w:tc>
          <w:tcPr>
            <w:tcW w:w="24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99,855</w:t>
            </w:r>
          </w:p>
        </w:tc>
        <w:tc>
          <w:tcPr>
            <w:tcW w:w="244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No. 3 – Approval of an Amendment to the Company's Amended and Restated Certificate of Incorporation</w:t>
      </w:r>
    </w:p>
    <w:p>
      <w:pPr>
        <w:spacing w:after="0" w:line="11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stockholders approved an amendment to the Company's amended and restated certificate of incorporation to limit the liability of officers as permitted by Delaware law. The following sets forth the results of the voting with respect to this proposal:</w:t>
      </w:r>
    </w:p>
    <w:p>
      <w:pPr>
        <w:spacing w:after="0" w:line="63"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51"/>
        </w:trPr>
        <w:tc>
          <w:tcPr>
            <w:tcW w:w="2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19,365,835</w:t>
            </w:r>
          </w:p>
        </w:tc>
        <w:tc>
          <w:tcPr>
            <w:tcW w:w="2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602,307</w:t>
            </w:r>
          </w:p>
        </w:tc>
        <w:tc>
          <w:tcPr>
            <w:tcW w:w="2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347,812</w:t>
            </w:r>
          </w:p>
        </w:tc>
        <w:tc>
          <w:tcPr>
            <w:tcW w:w="24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7,042,755</w:t>
            </w:r>
          </w:p>
        </w:tc>
      </w:tr>
    </w:tbl>
    <w:p>
      <w:pPr>
        <w:spacing w:after="0" w:line="31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A conformed copy of the amendment to the Company’s amended and restated certificate of incorporation that was filed with the Secretary of State of the State of Delaware is filed as Exhibit 3.1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1061720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Certificate of Amendment to the Amended and Restated Certificate of Incorporation of Athira Pharma, Inc. dated May 23,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(conformed copy).</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8680" w:type="dxa"/>
            <w:vAlign w:val="bottom"/>
            <w:gridSpan w:val="2"/>
          </w:tcPr>
          <w:p>
            <w:pPr>
              <w:spacing w:after="0" w:line="20" w:lineRule="exact"/>
              <w:rPr>
                <w:sz w:val="1"/>
                <w:szCs w:val="1"/>
                <w:color w:val="auto"/>
              </w:rPr>
            </w:pPr>
          </w:p>
        </w:tc>
      </w:tr>
      <w:tr>
        <w:trPr>
          <w:trHeight w:val="412"/>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640"/>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00" w:lineRule="exact"/>
        <w:rPr>
          <w:sz w:val="20"/>
          <w:szCs w:val="20"/>
          <w:color w:val="auto"/>
        </w:rPr>
      </w:pPr>
    </w:p>
    <w:p>
      <w:pPr>
        <w:spacing w:after="0" w:line="218" w:lineRule="exact"/>
        <w:rPr>
          <w:sz w:val="20"/>
          <w:szCs w:val="20"/>
          <w:color w:val="auto"/>
        </w:rPr>
      </w:pPr>
    </w:p>
    <w:p>
      <w:pPr>
        <w:ind w:left="280"/>
        <w:spacing w:after="0"/>
        <w:tabs>
          <w:tab w:leader="none" w:pos="6580" w:val="left"/>
          <w:tab w:leader="none" w:pos="7040" w:val="left"/>
        </w:tabs>
        <w:rPr>
          <w:sz w:val="20"/>
          <w:szCs w:val="20"/>
          <w:color w:val="auto"/>
        </w:rPr>
      </w:pPr>
      <w:r>
        <w:rPr>
          <w:rFonts w:ascii="Times New Roman" w:cs="Times New Roman" w:eastAsia="Times New Roman" w:hAnsi="Times New Roman"/>
          <w:sz w:val="18"/>
          <w:szCs w:val="18"/>
          <w:color w:val="auto"/>
        </w:rPr>
        <w:t>Date: May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51435</wp:posOffset>
            </wp:positionV>
            <wp:extent cx="2657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1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Mark Litton</w:t>
      </w:r>
    </w:p>
    <w:p>
      <w:pPr>
        <w:spacing w:after="0" w:line="10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1093470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981" w:right="939" w:bottom="1440" w:gutter="0" w:footer="0" w:header="0"/>
        </w:sectPr>
      </w:pPr>
    </w:p>
    <w:bookmarkStart w:id="4" w:name="page5"/>
    <w:bookmarkEnd w:id="4"/>
    <w:p>
      <w:pPr>
        <w:spacing w:after="0" w:line="35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TO THE</w:t>
      </w:r>
    </w:p>
    <w:p>
      <w:pPr>
        <w:jc w:val="center"/>
        <w:ind w:right="60"/>
        <w:spacing w:after="0" w:line="231" w:lineRule="auto"/>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Athira Pharma, Inc., a corporation organized and existing under the laws of the State of Delaware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does hereby certify as follows:</w:t>
      </w:r>
    </w:p>
    <w:p>
      <w:pPr>
        <w:spacing w:after="0" w:line="156" w:lineRule="exact"/>
        <w:rPr>
          <w:sz w:val="20"/>
          <w:szCs w:val="20"/>
          <w:color w:val="auto"/>
        </w:rPr>
      </w:pPr>
    </w:p>
    <w:p>
      <w:pPr>
        <w:ind w:firstLine="757"/>
        <w:spacing w:after="0" w:line="269" w:lineRule="auto"/>
        <w:tabs>
          <w:tab w:leader="none" w:pos="101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was originally incorporated under the name of M3 Biotechnology, Inc., and the original Certificate of Incorporation of the Company was filed with the Secretary of State of the State of Delaware on October 27, 2015.</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to the Amended and Restated Certificate of Incorporation of the Company was duly adopted in accordance with Section 242 of the General Corporation Law of the State of Delaware by the Board of Directors of the Company and the stockholders of the Company.</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of Article IX of the Company’s Amended and Restated Certificate of Incorporation is hereby amended and restated in its entirety to read as follows:</w:t>
      </w:r>
    </w:p>
    <w:p>
      <w:pPr>
        <w:spacing w:after="0" w:line="10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20"/>
          <w:szCs w:val="20"/>
          <w:color w:val="auto"/>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as applicable. If the DGCL is amended to authorize corporate action further eliminating or limiting the personal liability of directors or officers, then the liability of a director or officer of the Company, as applicable, shall be eliminated or limited to the fullest extent permitted by the DGCL, as so amended.”</w:t>
      </w:r>
    </w:p>
    <w:p>
      <w:pPr>
        <w:spacing w:after="0" w:line="18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Certificate of Amendment to the Amended and Restated Certificate of Incorporation of the Company to be signed by a duly authorized officer of the Company, on May 23, 2024.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Litton</w:t>
      </w:r>
      <w:r>
        <w:rPr>
          <w:rFonts w:ascii="Times New Roman" w:cs="Times New Roman" w:eastAsia="Times New Roman" w:hAnsi="Times New Roman"/>
          <w:sz w:val="20"/>
          <w:szCs w:val="20"/>
          <w:color w:val="auto"/>
        </w:rPr>
        <w:t>___________________</w:t>
      </w:r>
    </w:p>
    <w:p>
      <w:pPr>
        <w:spacing w:after="0" w:line="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Mark Litton</w:t>
      </w:r>
    </w:p>
    <w:p>
      <w:pPr>
        <w:ind w:left="57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2024-05-29T15:20:47Z</dcterms:created>
  <dcterms:modified xsi:type="dcterms:W3CDTF">2024-05-29T15:20:47Z</dcterms:modified>
</cp:coreProperties>
</file>