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tha-20240630.htm"/>
      <w:bookmarkStart w:id="1" w:name="ksatha20240630"/>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2"/>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quarterly period ended June 30, 2024</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60" w:after="283"/>
        <w:jc w:val="center"/>
        <w:rPr>
          <w:rFonts w:ascii="Times New Roman" w:hAnsi="Times New Roman"/>
          <w:sz w:val="20"/>
        </w:rPr>
      </w:pPr>
      <w:r>
        <w:rPr>
          <w:rFonts w:ascii="Arial" w:hAnsi="Arial"/>
          <w:b/>
          <w:color w:val="000000"/>
          <w:sz w:val="20"/>
        </w:rPr>
        <w:t>Commission File Number: 001-39503</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40"/>
        </w:rPr>
        <w:t>Athira Pharma,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18706 North Creek Parkway, Suite 104</w:t>
      </w:r>
    </w:p>
    <w:p>
      <w:pPr>
        <w:pStyle w:val="TextBody"/>
        <w:bidi w:val="0"/>
        <w:jc w:val="center"/>
        <w:rPr>
          <w:rFonts w:ascii="Times New Roman" w:hAnsi="Times New Roman"/>
          <w:sz w:val="20"/>
        </w:rPr>
      </w:pPr>
      <w:r>
        <w:rPr>
          <w:rFonts w:ascii="Arial" w:hAnsi="Arial"/>
          <w:b/>
          <w:color w:val="000000"/>
          <w:sz w:val="20"/>
        </w:rPr>
        <w:t>Bothell, Washington</w:t>
      </w:r>
      <w:r>
        <w:rPr>
          <w:rFonts w:ascii="Times New Roman" w:hAnsi="Times New Roman"/>
          <w:color w:val="000000"/>
          <w:sz w:val="20"/>
        </w:rPr>
        <w:t xml:space="preserve"> </w:t>
      </w:r>
      <w:r>
        <w:rPr>
          <w:rFonts w:ascii="Arial" w:hAnsi="Arial"/>
          <w:b/>
          <w:color w:val="000000"/>
          <w:sz w:val="20"/>
        </w:rPr>
        <w:t>98011</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jc w:val="center"/>
        <w:rPr>
          <w:rFonts w:ascii="Times New Roman" w:hAnsi="Times New Roman"/>
          <w:sz w:val="20"/>
        </w:rPr>
      </w:pPr>
      <w:r>
        <w:rPr>
          <w:rFonts w:ascii="Arial" w:hAnsi="Arial"/>
          <w:b/>
          <w:color w:val="000000"/>
          <w:sz w:val="20"/>
        </w:rPr>
        <w:t>(425) 620-8501</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ATHA</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As of July 29, 2024, there were 38,439,375</w:t>
      </w:r>
      <w:r>
        <w:rPr>
          <w:rFonts w:ascii="Times New Roman" w:hAnsi="Times New Roman"/>
          <w:color w:val="000000"/>
          <w:sz w:val="20"/>
        </w:rPr>
        <w:t xml:space="preserve"> </w:t>
      </w:r>
      <w:r>
        <w:rPr>
          <w:rFonts w:ascii="Arial" w:hAnsi="Arial"/>
          <w:color w:val="000000"/>
          <w:sz w:val="18"/>
        </w:rPr>
        <w:t>shares of registrant’s common stock, $0.0001 par value per share, outstanding.</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bl>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SUMMARY RISK FACTORS</w:t>
      </w:r>
    </w:p>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a late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development of fosgonimeton may never lead to a marketable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targeting neurotrophic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concentrated our research and development efforts on the treatment of central and peripheral nervous system degenerative disorders, a field that has seen very limited success in product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reporting of topline or final data for our clinical trials may be delayed and our regulatory submissions or receipt of necessary marketing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success depends on our ability to protect our intellectual property and our proprietary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loss of any of our key personnel could significantly harm our business, results of operations and competitive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will require substantial additional funding to finance our operations, complete the development and commercialization of fosgonimeton, and develop and commercialize other and future drug candidates. If we are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Arial" w:hAnsi="Arial"/>
          <w:color w:val="000000"/>
          <w:sz w:val="20"/>
        </w:rPr>
        <w:t>unable to raise this funding when needed, we may be forced to delay, reduce, or eliminate our drug product development programs or other operations.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our drug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commercialized a drug candidate before and may lack the necessary expertise, personnel and resources to successfully commercialize any drug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price of our common stock has been and may continue to be volatile, which could result in substantial losses for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certain of our directors and executive officers have been, and may in the future be, named as defendants in lawsuits that could result in substantial costs and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have in the past been, and may in the future be, disruptive and could cause uncertainty about the strategic direction of our business.</w:t>
      </w:r>
    </w:p>
    <w:p>
      <w:pPr>
        <w:pStyle w:val="TextBody"/>
        <w:bidi w:val="0"/>
        <w:spacing w:before="280" w:after="283"/>
        <w:jc w:val="both"/>
        <w:rPr>
          <w:rFonts w:ascii="Times New Roman" w:hAnsi="Times New Roman"/>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3" w:name="item_1_financial_statements_unaudited"/>
      <w:bookmarkEnd w:id="3"/>
      <w:r>
        <w:rPr>
          <w:rFonts w:ascii="Arial" w:hAnsi="Arial"/>
          <w:b/>
          <w:color w:val="000000"/>
          <w:sz w:val="20"/>
        </w:rPr>
        <w:t>Item 1.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4" w:name="condensed_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9027" w:type="dxa"/>
        <w:jc w:val="left"/>
        <w:tblInd w:w="0" w:type="dxa"/>
        <w:tblLayout w:type="fixed"/>
        <w:tblCellMar>
          <w:top w:w="28" w:type="dxa"/>
          <w:left w:w="28" w:type="dxa"/>
          <w:bottom w:w="28" w:type="dxa"/>
          <w:right w:w="28" w:type="dxa"/>
        </w:tblCellMar>
      </w:tblPr>
      <w:tblGrid>
        <w:gridCol w:w="5351"/>
        <w:gridCol w:w="146"/>
        <w:gridCol w:w="211"/>
        <w:gridCol w:w="856"/>
        <w:gridCol w:w="166"/>
        <w:gridCol w:w="146"/>
        <w:gridCol w:w="273"/>
        <w:gridCol w:w="1107"/>
        <w:gridCol w:w="771"/>
      </w:tblGrid>
      <w:tr>
        <w:trPr/>
        <w:tc>
          <w:tcPr>
            <w:tcW w:w="5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shd w:fill="FFFFFF" w:val="clear"/>
            <w:vAlign w:val="center"/>
          </w:tcPr>
          <w:p>
            <w:pPr>
              <w:pStyle w:val="TableContents"/>
              <w:bidi w:val="0"/>
              <w:spacing w:before="0" w:after="283"/>
              <w:jc w:val="center"/>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535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r>
      <w:tr>
        <w:trPr/>
        <w:tc>
          <w:tcPr>
            <w:tcW w:w="53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80"/>
              <w:jc w:val="right"/>
              <w:rPr/>
            </w:pPr>
            <w:r>
              <w:rPr/>
              <w:t> </w:t>
            </w:r>
          </w:p>
        </w:tc>
      </w:tr>
      <w:tr>
        <w:trPr/>
        <w:tc>
          <w:tcPr>
            <w:tcW w:w="53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73,828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Restricted cash,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3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5,682</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3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Insurance recovery receivable related to legal</w:t>
              <w:br/>
              <w:t>   settlement (Note 7)</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5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106,704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154,729</w:t>
            </w:r>
          </w:p>
        </w:tc>
        <w:tc>
          <w:tcPr>
            <w:tcW w:w="771" w:type="dxa"/>
            <w:tcBorders/>
            <w:shd w:fill="FFFFFF" w:val="clear"/>
            <w:vAlign w:val="center"/>
          </w:tcPr>
          <w:p>
            <w:pPr>
              <w:pStyle w:val="TableContents"/>
              <w:bidi w:val="0"/>
              <w:spacing w:before="0" w:after="283"/>
              <w:jc w:val="left"/>
              <w:rPr/>
            </w:pPr>
            <w:r>
              <w:rPr/>
              <w:t> </w:t>
            </w:r>
          </w:p>
        </w:tc>
      </w:tr>
      <w:tr>
        <w:trPr/>
        <w:tc>
          <w:tcPr>
            <w:tcW w:w="5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1" w:type="dxa"/>
            <w:tcBorders/>
            <w:shd w:fill="CFF0FC" w:val="clear"/>
            <w:vAlign w:val="center"/>
          </w:tcPr>
          <w:p>
            <w:pPr>
              <w:pStyle w:val="TableContents"/>
              <w:bidi w:val="0"/>
              <w:spacing w:before="0" w:after="283"/>
              <w:jc w:val="left"/>
              <w:rPr/>
            </w:pPr>
            <w:r>
              <w:rPr/>
              <w:t> </w:t>
            </w:r>
          </w:p>
        </w:tc>
      </w:tr>
      <w:tr>
        <w:trPr/>
        <w:tc>
          <w:tcPr>
            <w:tcW w:w="53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3,388</w:t>
            </w:r>
          </w:p>
        </w:tc>
        <w:tc>
          <w:tcPr>
            <w:tcW w:w="771" w:type="dxa"/>
            <w:tcBorders/>
            <w:shd w:fill="FFFFFF" w:val="clear"/>
            <w:vAlign w:val="center"/>
          </w:tcPr>
          <w:p>
            <w:pPr>
              <w:pStyle w:val="TableContents"/>
              <w:bidi w:val="0"/>
              <w:spacing w:before="0" w:after="283"/>
              <w:jc w:val="left"/>
              <w:rPr/>
            </w:pPr>
            <w:r>
              <w:rPr/>
              <w:t> </w:t>
            </w:r>
          </w:p>
        </w:tc>
      </w:tr>
      <w:tr>
        <w:trPr/>
        <w:tc>
          <w:tcPr>
            <w:tcW w:w="5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1,049</w:t>
            </w:r>
          </w:p>
        </w:tc>
        <w:tc>
          <w:tcPr>
            <w:tcW w:w="771" w:type="dxa"/>
            <w:tcBorders/>
            <w:shd w:fill="CFF0FC" w:val="clear"/>
            <w:vAlign w:val="center"/>
          </w:tcPr>
          <w:p>
            <w:pPr>
              <w:pStyle w:val="TableContents"/>
              <w:bidi w:val="0"/>
              <w:spacing w:before="0" w:after="283"/>
              <w:jc w:val="left"/>
              <w:rPr/>
            </w:pPr>
            <w:r>
              <w:rPr/>
              <w:t> </w:t>
            </w:r>
          </w:p>
        </w:tc>
      </w:tr>
      <w:tr>
        <w:trPr/>
        <w:tc>
          <w:tcPr>
            <w:tcW w:w="53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5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r>
      <w:tr>
        <w:trPr/>
        <w:tc>
          <w:tcPr>
            <w:tcW w:w="5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53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3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18,343</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legal settlement (Note 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3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Current 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5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26,902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28,840</w:t>
            </w:r>
          </w:p>
        </w:tc>
        <w:tc>
          <w:tcPr>
            <w:tcW w:w="771" w:type="dxa"/>
            <w:tcBorders/>
            <w:shd w:fill="FFFFFF" w:val="clear"/>
            <w:vAlign w:val="center"/>
          </w:tcPr>
          <w:p>
            <w:pPr>
              <w:pStyle w:val="TableContents"/>
              <w:bidi w:val="0"/>
              <w:spacing w:before="0" w:after="283"/>
              <w:jc w:val="left"/>
              <w:rPr/>
            </w:pPr>
            <w:r>
              <w:rPr/>
              <w:t> </w:t>
            </w:r>
          </w:p>
        </w:tc>
      </w:tr>
      <w:tr>
        <w:trPr/>
        <w:tc>
          <w:tcPr>
            <w:tcW w:w="5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5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5351" w:type="dxa"/>
            <w:tcBorders/>
            <w:shd w:fill="FFFFFF"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900,000,000</w:t>
            </w:r>
            <w:r>
              <w:rPr>
                <w:rFonts w:ascii="Times New Roman" w:hAnsi="Times New Roman"/>
                <w:color w:val="000000"/>
                <w:sz w:val="20"/>
              </w:rPr>
              <w:t> </w:t>
            </w:r>
            <w:r>
              <w:rPr>
                <w:rFonts w:ascii="Arial" w:hAnsi="Arial"/>
                <w:color w:val="000000"/>
                <w:sz w:val="20"/>
              </w:rPr>
              <w:t xml:space="preserve">shares </w:t>
              <w:br/>
              <w:t xml:space="preserve">   authorized at June 30, 2024 and December 31, 2023, </w:t>
              <w:br/>
              <w:t>   respectively; 38,439,375</w:t>
            </w:r>
            <w:r>
              <w:rPr>
                <w:rFonts w:ascii="Times New Roman" w:hAnsi="Times New Roman"/>
                <w:color w:val="000000"/>
                <w:sz w:val="20"/>
              </w:rPr>
              <w:t> </w:t>
            </w:r>
            <w:r>
              <w:rPr>
                <w:rFonts w:ascii="Arial" w:hAnsi="Arial"/>
                <w:color w:val="000000"/>
                <w:sz w:val="20"/>
              </w:rPr>
              <w:t>and 38,172,603</w:t>
            </w:r>
            <w:r>
              <w:rPr>
                <w:rFonts w:ascii="Times New Roman" w:hAnsi="Times New Roman"/>
                <w:color w:val="000000"/>
                <w:sz w:val="20"/>
              </w:rPr>
              <w:t> </w:t>
            </w:r>
            <w:r>
              <w:rPr>
                <w:rFonts w:ascii="Arial" w:hAnsi="Arial"/>
                <w:color w:val="000000"/>
                <w:sz w:val="20"/>
              </w:rPr>
              <w:t>shares issued</w:t>
              <w:br/>
              <w:t>   and outstanding at June 30, 2024 and December 31,</w:t>
              <w:br/>
              <w:t>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3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445,771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439,739</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7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35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(309,206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35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130,188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51"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64"/>
        <w:gridCol w:w="146"/>
        <w:gridCol w:w="211"/>
        <w:gridCol w:w="1066"/>
        <w:gridCol w:w="166"/>
        <w:gridCol w:w="146"/>
        <w:gridCol w:w="211"/>
        <w:gridCol w:w="1066"/>
        <w:gridCol w:w="166"/>
        <w:gridCol w:w="146"/>
        <w:gridCol w:w="211"/>
        <w:gridCol w:w="1066"/>
        <w:gridCol w:w="166"/>
        <w:gridCol w:w="146"/>
        <w:gridCol w:w="211"/>
        <w:gridCol w:w="1066"/>
        <w:gridCol w:w="751"/>
      </w:tblGrid>
      <w:tr>
        <w:trPr/>
        <w:tc>
          <w:tcPr>
            <w:tcW w:w="3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2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326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43,390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42,908</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326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18,502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264"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61,410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(28,028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(31,640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(55,715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(61,410</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751" w:type="dxa"/>
            <w:tcBorders/>
            <w:shd w:fill="FFFFFF" w:val="clear"/>
            <w:vAlign w:val="center"/>
          </w:tcPr>
          <w:p>
            <w:pPr>
              <w:pStyle w:val="TableContents"/>
              <w:bidi w:val="0"/>
              <w:spacing w:before="0" w:after="283"/>
              <w:jc w:val="left"/>
              <w:rPr/>
            </w:pPr>
            <w:r>
              <w:rPr/>
              <w:t> </w:t>
            </w:r>
          </w:p>
        </w:tc>
      </w:tr>
      <w:tr>
        <w:trPr/>
        <w:tc>
          <w:tcPr>
            <w:tcW w:w="3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(57,417</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on 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(56,400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w:t>
              <w:br/>
              <w:t>   net loss per share attributable to common</w:t>
              <w:br/>
              <w:t>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38,379,733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37,999,578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38,350,653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37,961,700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6" w:name="condensed_consolidated_statements_equity"/>
      <w:bookmarkEnd w:id="6"/>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Six Months Ended June 30, 2024</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371" w:type="dxa"/>
        <w:jc w:val="left"/>
        <w:tblInd w:w="0" w:type="dxa"/>
        <w:tblLayout w:type="fixed"/>
        <w:tblCellMar>
          <w:top w:w="28" w:type="dxa"/>
          <w:left w:w="28" w:type="dxa"/>
          <w:bottom w:w="28" w:type="dxa"/>
          <w:right w:w="28" w:type="dxa"/>
        </w:tblCellMar>
      </w:tblPr>
      <w:tblGrid>
        <w:gridCol w:w="1746"/>
        <w:gridCol w:w="1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38,172,603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439,739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(309,206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130,188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vesting of</w:t>
              <w:br/>
              <w:t>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154,049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38,326,652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106,742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vesting of</w:t>
              <w:br/>
              <w:t>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110,723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3,205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38,439,375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83,335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Six Months Ended June 30, 2023</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371" w:type="dxa"/>
        <w:jc w:val="left"/>
        <w:tblInd w:w="0" w:type="dxa"/>
        <w:tblLayout w:type="fixed"/>
        <w:tblCellMar>
          <w:top w:w="28" w:type="dxa"/>
          <w:left w:w="28" w:type="dxa"/>
          <w:bottom w:w="28" w:type="dxa"/>
          <w:right w:w="28" w:type="dxa"/>
        </w:tblCellMar>
      </w:tblPr>
      <w:tblGrid>
        <w:gridCol w:w="1746"/>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37,877,387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428,623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(191,534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235,137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exercise of</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37,950,600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211,125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exercise of</w:t>
              <w:br/>
              <w:t>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under</w:t>
              <w:br/>
              <w:t>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96,101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3,119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38,054,583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7" w:name="condensed_consolidated_statements_cash_f"/>
      <w:bookmarkEnd w:id="7"/>
      <w:r>
        <w:rPr>
          <w:rFonts w:ascii="Arial" w:hAnsi="Arial"/>
          <w:b/>
          <w:color w:val="000000"/>
          <w:sz w:val="20"/>
        </w:rPr>
        <w:t>Condensed 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47"/>
        <w:gridCol w:w="146"/>
        <w:gridCol w:w="211"/>
        <w:gridCol w:w="751"/>
        <w:gridCol w:w="166"/>
        <w:gridCol w:w="146"/>
        <w:gridCol w:w="211"/>
        <w:gridCol w:w="796"/>
        <w:gridCol w:w="1331"/>
      </w:tblGrid>
      <w:tr>
        <w:trPr/>
        <w:tc>
          <w:tcPr>
            <w:tcW w:w="6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64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7"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331" w:type="dxa"/>
            <w:tcBorders/>
            <w:shd w:fill="CFF0FC" w:val="clear"/>
            <w:vAlign w:val="center"/>
          </w:tcPr>
          <w:p>
            <w:pPr>
              <w:pStyle w:val="TableContents"/>
              <w:bidi w:val="0"/>
              <w:spacing w:before="0" w:after="283"/>
              <w:ind w:left="0" w:right="0" w:firstLine="280"/>
              <w:jc w:val="right"/>
              <w:rPr/>
            </w:pPr>
            <w:r>
              <w:rPr/>
              <w:t> </w:t>
            </w:r>
          </w:p>
        </w:tc>
      </w:tr>
      <w:tr>
        <w:trPr/>
        <w:tc>
          <w:tcPr>
            <w:tcW w:w="644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(53,196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(57,417</w:t>
            </w:r>
          </w:p>
        </w:tc>
        <w:tc>
          <w:tcPr>
            <w:tcW w:w="1331"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4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331" w:type="dxa"/>
            <w:tcBorders/>
            <w:shd w:fill="CFF0FC" w:val="clear"/>
            <w:vAlign w:val="center"/>
          </w:tcPr>
          <w:p>
            <w:pPr>
              <w:pStyle w:val="TableContents"/>
              <w:bidi w:val="0"/>
              <w:spacing w:before="0" w:after="283"/>
              <w:ind w:left="0" w:right="0" w:firstLine="560"/>
              <w:jc w:val="right"/>
              <w:rPr/>
            </w:pPr>
            <w:r>
              <w:rPr/>
              <w:t> </w:t>
            </w:r>
          </w:p>
        </w:tc>
      </w:tr>
      <w:tr>
        <w:trPr/>
        <w:tc>
          <w:tcPr>
            <w:tcW w:w="6447"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5,901</w:t>
            </w:r>
          </w:p>
        </w:tc>
        <w:tc>
          <w:tcPr>
            <w:tcW w:w="1331" w:type="dxa"/>
            <w:tcBorders/>
            <w:shd w:fill="FFFFFF" w:val="clear"/>
            <w:vAlign w:val="center"/>
          </w:tcPr>
          <w:p>
            <w:pPr>
              <w:pStyle w:val="TableContents"/>
              <w:bidi w:val="0"/>
              <w:spacing w:before="0" w:after="283"/>
              <w:ind w:left="0" w:right="0" w:firstLine="560"/>
              <w:jc w:val="left"/>
              <w:rPr/>
            </w:pPr>
            <w:r>
              <w:rPr/>
              <w:t> </w:t>
            </w:r>
          </w:p>
        </w:tc>
      </w:tr>
      <w:tr>
        <w:trPr/>
        <w:tc>
          <w:tcPr>
            <w:tcW w:w="644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1331" w:type="dxa"/>
            <w:tcBorders/>
            <w:shd w:fill="CFF0FC" w:val="clear"/>
            <w:vAlign w:val="center"/>
          </w:tcPr>
          <w:p>
            <w:pPr>
              <w:pStyle w:val="TableContents"/>
              <w:bidi w:val="0"/>
              <w:spacing w:before="0" w:after="283"/>
              <w:ind w:left="0" w:right="0" w:firstLine="560"/>
              <w:jc w:val="left"/>
              <w:rPr/>
            </w:pPr>
            <w:r>
              <w:rPr/>
              <w:t> </w:t>
            </w:r>
          </w:p>
        </w:tc>
      </w:tr>
      <w:tr>
        <w:trPr/>
        <w:tc>
          <w:tcPr>
            <w:tcW w:w="6447"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331" w:type="dxa"/>
            <w:tcBorders/>
            <w:shd w:fill="FFFFFF" w:val="clear"/>
            <w:vAlign w:val="center"/>
          </w:tcPr>
          <w:p>
            <w:pPr>
              <w:pStyle w:val="TableContents"/>
              <w:bidi w:val="0"/>
              <w:spacing w:before="0" w:after="283"/>
              <w:ind w:left="0" w:right="0" w:firstLine="560"/>
              <w:jc w:val="left"/>
              <w:rPr/>
            </w:pPr>
            <w:r>
              <w:rPr/>
              <w:t> </w:t>
            </w:r>
          </w:p>
        </w:tc>
      </w:tr>
      <w:tr>
        <w:trPr/>
        <w:tc>
          <w:tcPr>
            <w:tcW w:w="644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Amortization of premiums and accretion of discounts on</w:t>
              <w:br/>
              <w:t>   available-for-sale securities,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(737</w:t>
            </w:r>
          </w:p>
        </w:tc>
        <w:tc>
          <w:tcPr>
            <w:tcW w:w="1331"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447"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Loss on disposal of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331" w:type="dxa"/>
            <w:tcBorders/>
            <w:shd w:fill="FFFFFF" w:val="clear"/>
            <w:vAlign w:val="center"/>
          </w:tcPr>
          <w:p>
            <w:pPr>
              <w:pStyle w:val="TableContents"/>
              <w:bidi w:val="0"/>
              <w:spacing w:before="0" w:after="283"/>
              <w:ind w:left="0" w:right="0" w:firstLine="560"/>
              <w:jc w:val="left"/>
              <w:rPr/>
            </w:pPr>
            <w:r>
              <w:rPr/>
              <w:t> </w:t>
            </w:r>
          </w:p>
        </w:tc>
      </w:tr>
      <w:tr>
        <w:trPr/>
        <w:tc>
          <w:tcPr>
            <w:tcW w:w="6447"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331" w:type="dxa"/>
            <w:tcBorders/>
            <w:shd w:fill="CFF0FC" w:val="clear"/>
            <w:vAlign w:val="center"/>
          </w:tcPr>
          <w:p>
            <w:pPr>
              <w:pStyle w:val="TableContents"/>
              <w:bidi w:val="0"/>
              <w:spacing w:before="0" w:after="283"/>
              <w:ind w:left="0" w:right="0" w:firstLine="840"/>
              <w:jc w:val="right"/>
              <w:rPr/>
            </w:pPr>
            <w:r>
              <w:rPr/>
              <w:t> </w:t>
            </w:r>
          </w:p>
        </w:tc>
      </w:tr>
      <w:tr>
        <w:trPr/>
        <w:tc>
          <w:tcPr>
            <w:tcW w:w="6447"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Unbilled grant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1,227</w:t>
            </w:r>
          </w:p>
        </w:tc>
        <w:tc>
          <w:tcPr>
            <w:tcW w:w="1331" w:type="dxa"/>
            <w:tcBorders/>
            <w:shd w:fill="FFFFFF" w:val="clear"/>
            <w:vAlign w:val="center"/>
          </w:tcPr>
          <w:p>
            <w:pPr>
              <w:pStyle w:val="TableContents"/>
              <w:bidi w:val="0"/>
              <w:spacing w:before="0" w:after="283"/>
              <w:ind w:left="0" w:right="0" w:firstLine="840"/>
              <w:jc w:val="left"/>
              <w:rPr/>
            </w:pPr>
            <w:r>
              <w:rPr/>
              <w:t> </w:t>
            </w:r>
          </w:p>
        </w:tc>
      </w:tr>
      <w:tr>
        <w:trPr/>
        <w:tc>
          <w:tcPr>
            <w:tcW w:w="6447"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Prepaid expenses and other current and long-term assets,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331" w:type="dxa"/>
            <w:tcBorders/>
            <w:shd w:fill="CFF0FC" w:val="cle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447"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1331" w:type="dxa"/>
            <w:tcBorders/>
            <w:shd w:fill="FFFFFF" w:val="clear"/>
            <w:vAlign w:val="center"/>
          </w:tcPr>
          <w:p>
            <w:pPr>
              <w:pStyle w:val="TableContents"/>
              <w:bidi w:val="0"/>
              <w:spacing w:before="0" w:after="283"/>
              <w:ind w:left="0" w:right="0" w:firstLine="840"/>
              <w:jc w:val="left"/>
              <w:rPr/>
            </w:pPr>
            <w:r>
              <w:rPr/>
              <w:t> </w:t>
            </w:r>
          </w:p>
        </w:tc>
      </w:tr>
      <w:tr>
        <w:trPr/>
        <w:tc>
          <w:tcPr>
            <w:tcW w:w="6447"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447" w:type="dxa"/>
            <w:tcBorders/>
            <w:shd w:fill="FFFFFF"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(50,476</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47"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331" w:type="dxa"/>
            <w:tcBorders/>
            <w:shd w:fill="CFF0FC" w:val="clear"/>
            <w:vAlign w:val="center"/>
          </w:tcPr>
          <w:p>
            <w:pPr>
              <w:pStyle w:val="TableContents"/>
              <w:bidi w:val="0"/>
              <w:spacing w:before="0" w:after="283"/>
              <w:ind w:left="0" w:right="0" w:firstLine="280"/>
              <w:jc w:val="right"/>
              <w:rPr/>
            </w:pPr>
            <w:r>
              <w:rPr/>
              <w:t> </w:t>
            </w:r>
          </w:p>
        </w:tc>
      </w:tr>
      <w:tr>
        <w:trPr/>
        <w:tc>
          <w:tcPr>
            <w:tcW w:w="644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available-for-sale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(11,322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(24,891</w:t>
            </w:r>
          </w:p>
        </w:tc>
        <w:tc>
          <w:tcPr>
            <w:tcW w:w="133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447"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Maturities of 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50,958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93,173</w:t>
            </w:r>
          </w:p>
        </w:tc>
        <w:tc>
          <w:tcPr>
            <w:tcW w:w="1331" w:type="dxa"/>
            <w:tcBorders/>
            <w:shd w:fill="CFF0FC" w:val="clear"/>
            <w:vAlign w:val="center"/>
          </w:tcPr>
          <w:p>
            <w:pPr>
              <w:pStyle w:val="TableContents"/>
              <w:bidi w:val="0"/>
              <w:spacing w:before="0" w:after="283"/>
              <w:ind w:left="0" w:right="0" w:firstLine="280"/>
              <w:jc w:val="left"/>
              <w:rPr/>
            </w:pPr>
            <w:r>
              <w:rPr/>
              <w:t> </w:t>
            </w:r>
          </w:p>
        </w:tc>
      </w:tr>
      <w:tr>
        <w:trPr/>
        <w:tc>
          <w:tcPr>
            <w:tcW w:w="644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447" w:type="dxa"/>
            <w:tcBorders/>
            <w:shd w:fill="CFF0FC"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68,008</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7"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331" w:type="dxa"/>
            <w:tcBorders/>
            <w:shd w:fill="FFFFFF" w:val="clear"/>
            <w:vAlign w:val="center"/>
          </w:tcPr>
          <w:p>
            <w:pPr>
              <w:pStyle w:val="TableContents"/>
              <w:bidi w:val="0"/>
              <w:spacing w:before="0" w:after="283"/>
              <w:ind w:left="0" w:right="0" w:firstLine="280"/>
              <w:jc w:val="right"/>
              <w:rPr/>
            </w:pPr>
            <w:r>
              <w:rPr/>
              <w:t> </w:t>
            </w:r>
          </w:p>
        </w:tc>
      </w:tr>
      <w:tr>
        <w:trPr/>
        <w:tc>
          <w:tcPr>
            <w:tcW w:w="6447"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exercise of common stock options and issuance</w:t>
              <w:br/>
              <w:t>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447" w:type="dxa"/>
            <w:tcBorders/>
            <w:shd w:fill="FFFFFF"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(8,383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17,873</w:t>
            </w:r>
          </w:p>
        </w:tc>
        <w:tc>
          <w:tcPr>
            <w:tcW w:w="1331" w:type="dxa"/>
            <w:tcBorders/>
            <w:shd w:fill="CFF0FC" w:val="clear"/>
            <w:vAlign w:val="center"/>
          </w:tcPr>
          <w:p>
            <w:pPr>
              <w:pStyle w:val="TableContents"/>
              <w:bidi w:val="0"/>
              <w:spacing w:before="0" w:after="283"/>
              <w:jc w:val="left"/>
              <w:rPr/>
            </w:pPr>
            <w:r>
              <w:rPr/>
              <w:t> </w:t>
            </w:r>
          </w:p>
        </w:tc>
      </w:tr>
      <w:tr>
        <w:trPr/>
        <w:tc>
          <w:tcPr>
            <w:tcW w:w="64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96,386</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114,259</w:t>
            </w:r>
          </w:p>
        </w:tc>
        <w:tc>
          <w:tcPr>
            <w:tcW w:w="1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8" w:name="notes_to_unaudited_condensed_consolidate"/>
      <w:bookmarkEnd w:id="8"/>
      <w:r>
        <w:rPr>
          <w:rFonts w:ascii="Arial" w:hAnsi="Arial"/>
          <w:b/>
          <w:color w:val="000000"/>
          <w:sz w:val="20"/>
        </w:rPr>
        <w:t>Notes to Unaudited Condensed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280" w:after="283"/>
        <w:jc w:val="both"/>
        <w:rPr>
          <w:rFonts w:ascii="Arial" w:hAnsi="Arial"/>
          <w:b/>
          <w:i/>
          <w:color w:val="000000"/>
          <w:sz w:val="20"/>
        </w:rPr>
      </w:pPr>
      <w:r>
        <w:rPr>
          <w:rFonts w:ascii="Arial" w:hAnsi="Arial"/>
          <w:b/>
          <w:i/>
          <w:color w:val="000000"/>
          <w:sz w:val="20"/>
        </w:rPr>
        <w:t>Organization</w:t>
      </w:r>
    </w:p>
    <w:p>
      <w:pPr>
        <w:pStyle w:val="TextBody"/>
        <w:bidi w:val="0"/>
        <w:spacing w:before="280" w:after="283"/>
        <w:jc w:val="both"/>
        <w:rPr>
          <w:rFonts w:ascii="Times New Roman" w:hAnsi="Times New Roman"/>
          <w:sz w:val="20"/>
        </w:rPr>
      </w:pPr>
      <w:r>
        <w:rPr>
          <w:rFonts w:ascii="Arial" w:hAnsi="Arial"/>
          <w:color w:val="000000"/>
          <w:sz w:val="20"/>
        </w:rPr>
        <w:t>Athira Pharma, Inc., or the Company, was incorporated as M3 Biotechnology, Inc. in the state of Washington on March 31, 2011</w:t>
      </w:r>
      <w:r>
        <w:rPr>
          <w:rFonts w:ascii="Times New Roman" w:hAnsi="Times New Roman"/>
          <w:color w:val="000000"/>
          <w:sz w:val="20"/>
        </w:rPr>
        <w:t xml:space="preserve"> </w:t>
      </w:r>
      <w:r>
        <w:rPr>
          <w:rFonts w:ascii="Arial" w:hAnsi="Arial"/>
          <w:color w:val="000000"/>
          <w:sz w:val="20"/>
        </w:rPr>
        <w:t>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pStyle w:val="TextBody"/>
        <w:bidi w:val="0"/>
        <w:spacing w:before="280" w:after="283"/>
        <w:jc w:val="both"/>
        <w:rPr>
          <w:rFonts w:ascii="Arial" w:hAnsi="Arial"/>
          <w:b/>
          <w:i/>
          <w:color w:val="000000"/>
          <w:sz w:val="20"/>
        </w:rPr>
      </w:pPr>
      <w:r>
        <w:rPr>
          <w:rFonts w:ascii="Arial" w:hAnsi="Arial"/>
          <w:b/>
          <w:i/>
          <w:color w:val="000000"/>
          <w:sz w:val="20"/>
        </w:rPr>
        <w:t>Liquidity and Capital Resources</w:t>
      </w:r>
    </w:p>
    <w:p>
      <w:pPr>
        <w:pStyle w:val="TextBody"/>
        <w:bidi w:val="0"/>
        <w:spacing w:before="280" w:after="283"/>
        <w:jc w:val="both"/>
        <w:rPr>
          <w:rFonts w:ascii="Times New Roman" w:hAnsi="Times New Roman"/>
          <w:sz w:val="20"/>
        </w:rPr>
      </w:pPr>
      <w:r>
        <w:rPr>
          <w:rFonts w:ascii="Arial" w:hAnsi="Arial"/>
          <w:color w:val="000000"/>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June 30, 2024, it has raised aggregate net cash proceeds of $407.4</w:t>
      </w:r>
      <w:r>
        <w:rPr>
          <w:rFonts w:ascii="Times New Roman" w:hAnsi="Times New Roman"/>
          <w:color w:val="000000"/>
          <w:sz w:val="20"/>
        </w:rPr>
        <w:t xml:space="preserve"> </w:t>
      </w:r>
      <w:r>
        <w:rPr>
          <w:rFonts w:ascii="Arial" w:hAnsi="Arial"/>
          <w:color w:val="000000"/>
          <w:sz w:val="20"/>
        </w:rPr>
        <w:t>million primarily from the issuance of its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As of June 30, 2024, the Company had cash, cash equivalents and investments of $91.8</w:t>
      </w:r>
      <w:r>
        <w:rPr>
          <w:rFonts w:ascii="Times New Roman" w:hAnsi="Times New Roman"/>
          <w:color w:val="000000"/>
          <w:sz w:val="20"/>
        </w:rPr>
        <w:t xml:space="preserve"> </w:t>
      </w:r>
      <w:r>
        <w:rPr>
          <w:rFonts w:ascii="Arial" w:hAnsi="Arial"/>
          <w:color w:val="000000"/>
          <w:sz w:val="20"/>
        </w:rPr>
        <w:t>million. The Company’s loss for the six months ended June 30, 2024 was $53.2</w:t>
      </w:r>
      <w:r>
        <w:rPr>
          <w:rFonts w:ascii="Times New Roman" w:hAnsi="Times New Roman"/>
          <w:color w:val="000000"/>
          <w:sz w:val="20"/>
        </w:rPr>
        <w:t xml:space="preserve"> </w:t>
      </w:r>
      <w:r>
        <w:rPr>
          <w:rFonts w:ascii="Arial" w:hAnsi="Arial"/>
          <w:color w:val="000000"/>
          <w:sz w:val="20"/>
        </w:rPr>
        <w:t>million and cash used in operations for the six months ended June 30, 2024 was $48.1</w:t>
      </w:r>
      <w:r>
        <w:rPr>
          <w:rFonts w:ascii="Times New Roman" w:hAnsi="Times New Roman"/>
          <w:color w:val="000000"/>
          <w:sz w:val="20"/>
        </w:rPr>
        <w:t xml:space="preserve"> </w:t>
      </w:r>
      <w:r>
        <w:rPr>
          <w:rFonts w:ascii="Arial" w:hAnsi="Arial"/>
          <w:color w:val="000000"/>
          <w:sz w:val="20"/>
        </w:rPr>
        <w:t>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80" w:after="283"/>
        <w:jc w:val="both"/>
        <w:rPr>
          <w:rFonts w:ascii="Times New Roman" w:hAnsi="Times New Roman"/>
          <w:sz w:val="20"/>
        </w:rPr>
      </w:pPr>
      <w:r>
        <w:rPr>
          <w:rFonts w:ascii="Arial" w:hAnsi="Arial"/>
          <w:color w:val="000000"/>
          <w:sz w:val="20"/>
        </w:rPr>
        <w:t>Based upon the Company’s current operating plan, it estimates that its $91.8</w:t>
      </w:r>
      <w:r>
        <w:rPr>
          <w:rFonts w:ascii="Times New Roman" w:hAnsi="Times New Roman"/>
          <w:color w:val="000000"/>
          <w:sz w:val="20"/>
        </w:rPr>
        <w:t xml:space="preserve"> </w:t>
      </w:r>
      <w:r>
        <w:rPr>
          <w:rFonts w:ascii="Arial" w:hAnsi="Arial"/>
          <w:color w:val="000000"/>
          <w:sz w:val="20"/>
        </w:rPr>
        <w:t>million of cash, cash equivalents and investments at June 30, 2024</w:t>
      </w:r>
      <w:r>
        <w:rPr>
          <w:rFonts w:ascii="Times New Roman" w:hAnsi="Times New Roman"/>
          <w:color w:val="000000"/>
          <w:sz w:val="20"/>
        </w:rPr>
        <w:t xml:space="preserve"> </w:t>
      </w:r>
      <w:r>
        <w:rPr>
          <w:rFonts w:ascii="Arial" w:hAnsi="Arial"/>
          <w:color w:val="000000"/>
          <w:sz w:val="20"/>
        </w:rPr>
        <w:t>will be sufficient to fund its operating expenses and capital expenditure requirements through at least the 12 months following the date of this report. Historically, the Company has incurred net losses from continuing operations and negative operating cash flows. The Company has not yet established an ongoing source of revenue sufficient to cover its operating costs; therefore, the Company will need to continue to raise additional capital to accomplish its operating plan. The Company has a sales agreement in place with Cantor Fitzgerald &amp; Co., or Cantor Fitzgerald, and BTIG, LLC, or BTIG, for an “at the market” equity offering facility through which it may offer and sell shares of its common stock equaling an aggregate amount up to $75.0</w:t>
      </w:r>
      <w:r>
        <w:rPr>
          <w:rFonts w:ascii="Times New Roman" w:hAnsi="Times New Roman"/>
          <w:color w:val="000000"/>
          <w:sz w:val="20"/>
        </w:rPr>
        <w:t xml:space="preserve"> </w:t>
      </w:r>
      <w:r>
        <w:rPr>
          <w:rFonts w:ascii="Arial" w:hAnsi="Arial"/>
          <w:color w:val="000000"/>
          <w:sz w:val="20"/>
        </w:rPr>
        <w:t>million.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 Should it be necessary to manage operating expenses under a scenario with no near-term financing, the Company has developed plans to implement cost cutting measures to reduce its working capital requirements. These plans include delaying or terminating clinical trials, reducing selected research and development efforts, reductions in personnel-related costs, or implementing other restructuring activities that are within the Company's control.</w:t>
      </w:r>
    </w:p>
    <w:p>
      <w:pPr>
        <w:pStyle w:val="TextBody"/>
        <w:bidi w:val="0"/>
        <w:jc w:val="both"/>
        <w:rPr/>
      </w:pPr>
      <w:r>
        <w:rPr/>
        <w:t> </w:t>
      </w:r>
    </w:p>
    <w:p>
      <w:pPr>
        <w:pStyle w:val="TextBody"/>
        <w:bidi w:val="0"/>
        <w:spacing w:before="8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280" w:after="283"/>
        <w:jc w:val="both"/>
        <w:rPr>
          <w:rFonts w:ascii="Arial" w:hAnsi="Arial"/>
          <w:b/>
          <w:i/>
          <w:color w:val="000000"/>
          <w:sz w:val="20"/>
        </w:rPr>
      </w:pPr>
      <w:r>
        <w:rPr>
          <w:rFonts w:ascii="Arial" w:hAnsi="Arial"/>
          <w:b/>
          <w:i/>
          <w:color w:val="000000"/>
          <w:sz w:val="20"/>
        </w:rPr>
        <w:t>Basis of Presentation</w:t>
      </w:r>
    </w:p>
    <w:p>
      <w:pPr>
        <w:pStyle w:val="TextBody"/>
        <w:bidi w:val="0"/>
        <w:spacing w:before="280" w:after="283"/>
        <w:jc w:val="both"/>
        <w:rPr>
          <w:rFonts w:ascii="Arial" w:hAnsi="Arial"/>
          <w:color w:val="000000"/>
          <w:sz w:val="20"/>
        </w:rPr>
      </w:pPr>
      <w:r>
        <w:rPr>
          <w:rFonts w:ascii="Arial" w:hAnsi="Arial"/>
          <w:color w:val="000000"/>
          <w:sz w:val="20"/>
        </w:rPr>
        <w:t>The unaudited condensed consolidated financial statements have been prepared in conformity with U.S. generally accepted accounting principles, or U.S. GAAP. The unaudited condensed consolidated financial statements include the operations of Athira Pharma, Inc., and its wholly owned Australian subsidiary. All intercompany balances and transactions have been eliminated upon consolidation.</w:t>
      </w:r>
    </w:p>
    <w:p>
      <w:pPr>
        <w:pStyle w:val="TextBody"/>
        <w:bidi w:val="0"/>
        <w:spacing w:before="280" w:after="283"/>
        <w:jc w:val="both"/>
        <w:rPr>
          <w:rFonts w:ascii="Arial" w:hAnsi="Arial"/>
          <w:b/>
          <w:i/>
          <w:color w:val="000000"/>
          <w:sz w:val="20"/>
        </w:rPr>
      </w:pPr>
      <w:r>
        <w:rPr>
          <w:rFonts w:ascii="Arial" w:hAnsi="Arial"/>
          <w:b/>
          <w:i/>
          <w:color w:val="000000"/>
          <w:sz w:val="20"/>
        </w:rPr>
        <w:t>Unaudited Interim Condensed Consolidated Financial Statements</w:t>
      </w:r>
    </w:p>
    <w:p>
      <w:pPr>
        <w:pStyle w:val="TextBody"/>
        <w:bidi w:val="0"/>
        <w:spacing w:before="280" w:after="283"/>
        <w:jc w:val="both"/>
        <w:rPr>
          <w:rFonts w:ascii="Times New Roman" w:hAnsi="Times New Roman"/>
          <w:sz w:val="20"/>
        </w:rPr>
      </w:pPr>
      <w:r>
        <w:rPr>
          <w:rFonts w:ascii="Arial" w:hAnsi="Arial"/>
          <w:color w:val="000000"/>
          <w:sz w:val="20"/>
        </w:rPr>
        <w:t>The accompanying condensed consolidated balance sheet as of June 30, 2024, and condensed consolidated statements of operations and comprehensive loss, cash flows, and stockholders’ equity for the three and six months ended June 30, 2024 and 2023, are unaudited. The balance sheet as of December 31, 2023 was derived from the audited consolidated financial statements as of and for the year ended December 31, 2023. The unaudited interim condensed consolidated financial statements have been prepared on a basis consistent with the audited annual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as of and for the year ended December 31, 2023, and, in the opinion of management, reflect all adjustments, consisting solely of normal recurring adjustments, necessary for the fair presentation of the Company’s financial position as of June 30, 2024, and the unaudited condensed consolidated results of its operations and its cash flows for the three and six months ended June 30, 2024 and 2023. The financial data and other information disclosed in these notes related to the three and six months ended June 30, 2024 and 2023 are also unaudited. The unaudited condensed consolidated results of operations for the three and six months ended June 30, 2024 are not necessarily indicative of the results to be expected for the full year ending December 31, 2024 or any other period. These unaudited interim condensed consolidated financial statements should be read in conjunction with the Company’s audited consolidated financial statements as of and for the year ended December 31, 2023</w:t>
      </w:r>
      <w:r>
        <w:rPr>
          <w:rFonts w:ascii="Times New Roman" w:hAnsi="Times New Roman"/>
          <w:color w:val="000000"/>
          <w:sz w:val="20"/>
        </w:rPr>
        <w:t xml:space="preserve"> </w:t>
      </w:r>
      <w:r>
        <w:rPr>
          <w:rFonts w:ascii="Arial" w:hAnsi="Arial"/>
          <w:color w:val="000000"/>
          <w:sz w:val="20"/>
        </w:rPr>
        <w:t>included in its Annual Report on Form 10-K filed with the Securities and Exchange Commission, or SEC, on February 22, 2024.</w:t>
      </w:r>
    </w:p>
    <w:p>
      <w:pPr>
        <w:pStyle w:val="TextBody"/>
        <w:bidi w:val="0"/>
        <w:spacing w:before="280" w:after="283"/>
        <w:jc w:val="both"/>
        <w:rPr>
          <w:rFonts w:ascii="Arial" w:hAnsi="Arial"/>
          <w:b/>
          <w:i/>
          <w:color w:val="000000"/>
          <w:sz w:val="20"/>
        </w:rPr>
      </w:pPr>
      <w:r>
        <w:rPr>
          <w:rFonts w:ascii="Arial" w:hAnsi="Arial"/>
          <w:b/>
          <w:i/>
          <w:color w:val="000000"/>
          <w:sz w:val="20"/>
        </w:rPr>
        <w:t>Fair Value Measurements</w:t>
      </w:r>
    </w:p>
    <w:p>
      <w:pPr>
        <w:pStyle w:val="TextBody"/>
        <w:bidi w:val="0"/>
        <w:spacing w:before="280" w:after="283"/>
        <w:jc w:val="both"/>
        <w:rPr>
          <w:rFonts w:ascii="Arial" w:hAnsi="Arial"/>
          <w:color w:val="000000"/>
          <w:sz w:val="20"/>
        </w:rPr>
      </w:pPr>
      <w:r>
        <w:rPr>
          <w:rFonts w:ascii="Arial" w:hAnsi="Arial"/>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280" w:after="283"/>
        <w:jc w:val="both"/>
        <w:rPr>
          <w:rFonts w:ascii="Arial" w:hAnsi="Arial"/>
          <w:b/>
          <w:i/>
          <w:color w:val="000000"/>
          <w:sz w:val="20"/>
        </w:rPr>
      </w:pPr>
      <w:r>
        <w:rPr>
          <w:rFonts w:ascii="Arial" w:hAnsi="Arial"/>
          <w:b/>
          <w:i/>
          <w:color w:val="000000"/>
          <w:sz w:val="20"/>
        </w:rPr>
        <w:t>Restricted Cash</w:t>
      </w:r>
    </w:p>
    <w:p>
      <w:pPr>
        <w:pStyle w:val="TextBody"/>
        <w:bidi w:val="0"/>
        <w:spacing w:before="280" w:after="280"/>
        <w:jc w:val="both"/>
        <w:rPr>
          <w:rFonts w:ascii="Times New Roman" w:hAnsi="Times New Roman"/>
          <w:sz w:val="20"/>
        </w:rPr>
      </w:pPr>
      <w:r>
        <w:rPr>
          <w:rFonts w:ascii="Arial" w:hAnsi="Arial"/>
          <w:color w:val="000000"/>
          <w:sz w:val="20"/>
        </w:rPr>
        <w:t>Restricted cash consists of $8.4</w:t>
      </w:r>
      <w:r>
        <w:rPr>
          <w:rFonts w:ascii="Times New Roman" w:hAnsi="Times New Roman"/>
          <w:color w:val="000000"/>
          <w:sz w:val="20"/>
        </w:rPr>
        <w:t xml:space="preserve"> </w:t>
      </w:r>
      <w:r>
        <w:rPr>
          <w:rFonts w:ascii="Arial" w:hAnsi="Arial"/>
          <w:color w:val="000000"/>
          <w:sz w:val="20"/>
        </w:rPr>
        <w:t>million paid into a settlement fund account pending resolution of the securities class action settlement discussed in Note 7, as well as collateral pledged in connection with the Company's corporate credit cards. The table below reconciles the balances of cash and cash equivalents and restricted cash reported on the unaudited condensed consolidated balance sheets to the balances of cash, cash equivalents and restricted cash reported on the unaudited condensed consolidated statements of cash flows.</w:t>
      </w:r>
    </w:p>
    <w:tbl>
      <w:tblPr>
        <w:tblW w:w="6587" w:type="dxa"/>
        <w:jc w:val="left"/>
        <w:tblInd w:w="0" w:type="dxa"/>
        <w:tblLayout w:type="fixed"/>
        <w:tblCellMar>
          <w:top w:w="28" w:type="dxa"/>
          <w:left w:w="28" w:type="dxa"/>
          <w:bottom w:w="28" w:type="dxa"/>
          <w:right w:w="28" w:type="dxa"/>
        </w:tblCellMar>
      </w:tblPr>
      <w:tblGrid>
        <w:gridCol w:w="3886"/>
        <w:gridCol w:w="146"/>
        <w:gridCol w:w="211"/>
        <w:gridCol w:w="691"/>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19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Short-term Investments</w:t>
      </w:r>
    </w:p>
    <w:p>
      <w:pPr>
        <w:pStyle w:val="TextBody"/>
        <w:bidi w:val="0"/>
        <w:spacing w:before="280" w:after="283"/>
        <w:jc w:val="both"/>
        <w:rPr>
          <w:rFonts w:ascii="Times New Roman" w:hAnsi="Times New Roman"/>
          <w:sz w:val="20"/>
        </w:rPr>
      </w:pPr>
      <w:r>
        <w:rPr>
          <w:rFonts w:ascii="Arial" w:hAnsi="Arial"/>
          <w:color w:val="000000"/>
          <w:sz w:val="20"/>
        </w:rPr>
        <w:t>The Company generally invests its excess cash in investment grade short- to intermediate-term fixed income securities. Such investments are included in cash and cash equivalents, and short-term investments on the unaudited condensed consolidated balance sheets, classified as available-for-sale, and reported at fair value with unrealized gains and losses included in accumulated other comprehensive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280" w:after="283"/>
        <w:jc w:val="both"/>
        <w:rPr>
          <w:rFonts w:ascii="Arial" w:hAnsi="Arial"/>
          <w:b/>
          <w:i/>
          <w:color w:val="000000"/>
          <w:sz w:val="20"/>
        </w:rPr>
      </w:pPr>
      <w:r>
        <w:rPr>
          <w:rFonts w:ascii="Arial" w:hAnsi="Arial"/>
          <w:b/>
          <w:i/>
          <w:color w:val="000000"/>
          <w:sz w:val="20"/>
        </w:rPr>
        <w:t>Use of Estimates</w:t>
      </w:r>
    </w:p>
    <w:p>
      <w:pPr>
        <w:pStyle w:val="TextBody"/>
        <w:bidi w:val="0"/>
        <w:spacing w:before="28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Times New Roman" w:hAnsi="Times New Roman"/>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expense for employees engaged in research and development activities, and facilities and other expenses consisting of direct and allocated expenses for rent and depreciation and lab consumables.</w:t>
      </w:r>
    </w:p>
    <w:p>
      <w:pPr>
        <w:pStyle w:val="TextBody"/>
        <w:bidi w:val="0"/>
        <w:spacing w:before="280" w:after="283"/>
        <w:jc w:val="both"/>
        <w:rPr>
          <w:rFonts w:ascii="Arial" w:hAnsi="Arial"/>
          <w:color w:val="000000"/>
          <w:sz w:val="20"/>
        </w:rPr>
      </w:pPr>
      <w:r>
        <w:rPr>
          <w:rFonts w:ascii="Arial" w:hAnsi="Arial"/>
          <w:color w:val="000000"/>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280" w:after="283"/>
        <w:jc w:val="both"/>
        <w:rPr>
          <w:rFonts w:ascii="Arial" w:hAnsi="Arial"/>
          <w:b/>
          <w:i/>
          <w:color w:val="000000"/>
          <w:sz w:val="20"/>
        </w:rPr>
      </w:pPr>
      <w:r>
        <w:rPr>
          <w:rFonts w:ascii="Arial" w:hAnsi="Arial"/>
          <w:b/>
          <w:i/>
          <w:color w:val="000000"/>
          <w:sz w:val="20"/>
        </w:rPr>
        <w:t>Leases</w:t>
      </w:r>
    </w:p>
    <w:p>
      <w:pPr>
        <w:pStyle w:val="TextBody"/>
        <w:bidi w:val="0"/>
        <w:spacing w:before="280" w:after="283"/>
        <w:jc w:val="both"/>
        <w:rPr>
          <w:rFonts w:ascii="Times New Roman" w:hAnsi="Times New Roman"/>
          <w:sz w:val="20"/>
        </w:rPr>
      </w:pPr>
      <w:r>
        <w:rPr>
          <w:rFonts w:ascii="Arial" w:hAnsi="Arial"/>
          <w:color w:val="000000"/>
          <w:sz w:val="20"/>
        </w:rPr>
        <w:t xml:space="preserve">The Company adopted Accounting Standards Codification, or ASC, </w:t>
      </w:r>
      <w:r>
        <w:rPr>
          <w:rFonts w:ascii="Arial" w:hAnsi="Arial"/>
          <w:i/>
          <w:color w:val="000000"/>
          <w:sz w:val="20"/>
        </w:rPr>
        <w:t>Topic 842 – Leases</w:t>
      </w:r>
      <w:r>
        <w:rPr>
          <w:rFonts w:ascii="Times New Roman" w:hAnsi="Times New Roman"/>
          <w:color w:val="000000"/>
          <w:sz w:val="20"/>
        </w:rPr>
        <w:t xml:space="preserve"> </w:t>
      </w:r>
      <w:r>
        <w:rPr>
          <w:rFonts w:ascii="Arial" w:hAnsi="Arial"/>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or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pStyle w:val="TextBody"/>
        <w:bidi w:val="0"/>
        <w:spacing w:before="240" w:after="283"/>
        <w:jc w:val="both"/>
        <w:rPr>
          <w:rFonts w:ascii="Arial" w:hAnsi="Arial"/>
          <w:color w:val="000000"/>
          <w:sz w:val="20"/>
        </w:rPr>
      </w:pPr>
      <w:r>
        <w:rPr>
          <w:rFonts w:ascii="Arial" w:hAnsi="Arial"/>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both"/>
        <w:rPr>
          <w:rFonts w:ascii="Times New Roman" w:hAnsi="Times New Roman"/>
          <w:sz w:val="20"/>
        </w:rPr>
      </w:pPr>
      <w:r>
        <w:rPr>
          <w:rFonts w:ascii="Arial" w:hAnsi="Arial"/>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pStyle w:val="TextBody"/>
        <w:bidi w:val="0"/>
        <w:spacing w:before="280" w:after="283"/>
        <w:jc w:val="both"/>
        <w:rPr>
          <w:rFonts w:ascii="Arial" w:hAnsi="Arial"/>
          <w:b/>
          <w:i/>
          <w:color w:val="000000"/>
          <w:sz w:val="20"/>
        </w:rPr>
      </w:pPr>
      <w:r>
        <w:rPr>
          <w:rFonts w:ascii="Arial" w:hAnsi="Arial"/>
          <w:b/>
          <w:i/>
          <w:color w:val="000000"/>
          <w:sz w:val="20"/>
        </w:rPr>
        <w:t>Stock-based Compensation</w:t>
      </w:r>
    </w:p>
    <w:p>
      <w:pPr>
        <w:pStyle w:val="TextBody"/>
        <w:bidi w:val="0"/>
        <w:spacing w:before="280" w:after="283"/>
        <w:jc w:val="both"/>
        <w:rPr>
          <w:rFonts w:ascii="Arial" w:hAnsi="Arial"/>
          <w:color w:val="000000"/>
          <w:sz w:val="20"/>
        </w:rPr>
      </w:pPr>
      <w:r>
        <w:rPr>
          <w:rFonts w:ascii="Arial" w:hAnsi="Arial"/>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pStyle w:val="TextBody"/>
        <w:bidi w:val="0"/>
        <w:spacing w:before="240" w:after="283"/>
        <w:jc w:val="both"/>
        <w:rPr>
          <w:rFonts w:ascii="Times New Roman" w:hAnsi="Times New Roman"/>
          <w:sz w:val="20"/>
        </w:rPr>
      </w:pPr>
      <w:r>
        <w:rPr>
          <w:rFonts w:ascii="Arial" w:hAnsi="Arial"/>
          <w:color w:val="000000"/>
          <w:sz w:val="20"/>
        </w:rPr>
        <w:t>The Company records compensation expense for stock option and restricted stock unit grants subject to performance-based milestone vesting over the remaining implicit service period when management determines that achievement of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milestone is probable. Management evaluates when the achievement of a performance-based milestone is probable based on the relative satisfaction of the performance conditions as of the reporting date.</w:t>
      </w:r>
    </w:p>
    <w:p>
      <w:pPr>
        <w:pStyle w:val="TextBody"/>
        <w:bidi w:val="0"/>
        <w:spacing w:before="28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280" w:after="283"/>
        <w:jc w:val="both"/>
        <w:rPr>
          <w:rFonts w:ascii="Arial" w:hAnsi="Arial"/>
          <w:color w:val="000000"/>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bidi w:val="0"/>
        <w:spacing w:before="280" w:after="283"/>
        <w:jc w:val="both"/>
        <w:rPr>
          <w:rFonts w:ascii="Arial" w:hAnsi="Arial"/>
          <w:b/>
          <w:i/>
          <w:color w:val="000000"/>
          <w:sz w:val="20"/>
        </w:rPr>
      </w:pPr>
      <w:r>
        <w:rPr>
          <w:rFonts w:ascii="Arial" w:hAnsi="Arial"/>
          <w:b/>
          <w:i/>
          <w:color w:val="000000"/>
          <w:sz w:val="20"/>
        </w:rPr>
        <w:t>Segments</w:t>
      </w:r>
    </w:p>
    <w:p>
      <w:pPr>
        <w:pStyle w:val="TextBody"/>
        <w:bidi w:val="0"/>
        <w:spacing w:before="280" w:after="283"/>
        <w:jc w:val="both"/>
        <w:rPr>
          <w:rFonts w:ascii="Times New Roman" w:hAnsi="Times New Roman"/>
          <w:sz w:val="20"/>
        </w:rPr>
      </w:pPr>
      <w:r>
        <w:rPr>
          <w:rFonts w:ascii="Arial" w:hAnsi="Arial"/>
          <w:color w:val="000000"/>
          <w:sz w:val="20"/>
        </w:rPr>
        <w:t>The Company has determined that it operates and manages one</w:t>
      </w:r>
      <w:r>
        <w:rPr>
          <w:rFonts w:ascii="Times New Roman" w:hAnsi="Times New Roman"/>
          <w:color w:val="000000"/>
          <w:sz w:val="20"/>
        </w:rPr>
        <w:t xml:space="preserve"> </w:t>
      </w:r>
      <w:r>
        <w:rPr>
          <w:rFonts w:ascii="Arial" w:hAnsi="Arial"/>
          <w:color w:val="000000"/>
          <w:sz w:val="20"/>
        </w:rPr>
        <w:t>operating segment, which is the business of developing and commercializing therapeutics. The Company’s chief operating decision maker, its chief executive officer, reviews financial information on an aggregate basis for the purpose of allocating resources.</w:t>
      </w:r>
    </w:p>
    <w:p>
      <w:pPr>
        <w:pStyle w:val="TextBody"/>
        <w:bidi w:val="0"/>
        <w:spacing w:before="280" w:after="283"/>
        <w:jc w:val="both"/>
        <w:rPr>
          <w:rFonts w:ascii="Arial" w:hAnsi="Arial"/>
          <w:b/>
          <w:i/>
          <w:color w:val="000000"/>
          <w:sz w:val="20"/>
        </w:rPr>
      </w:pPr>
      <w:r>
        <w:rPr>
          <w:rFonts w:ascii="Arial" w:hAnsi="Arial"/>
          <w:b/>
          <w:i/>
          <w:color w:val="000000"/>
          <w:sz w:val="20"/>
        </w:rPr>
        <w:t>Emerging Growth Company Status</w:t>
      </w:r>
    </w:p>
    <w:p>
      <w:pPr>
        <w:pStyle w:val="TextBody"/>
        <w:bidi w:val="0"/>
        <w:spacing w:before="280" w:after="283"/>
        <w:jc w:val="both"/>
        <w:rPr>
          <w:rFonts w:ascii="Arial" w:hAnsi="Arial"/>
          <w:color w:val="000000"/>
          <w:sz w:val="20"/>
        </w:rPr>
      </w:pPr>
      <w:r>
        <w:rPr>
          <w:rFonts w:ascii="Arial" w:hAnsi="Arial"/>
          <w:color w:val="000000"/>
          <w:sz w:val="20"/>
        </w:rPr>
        <w:t>The Company is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Recently Adopted Accounting Pronouncements</w:t>
      </w:r>
    </w:p>
    <w:p>
      <w:pPr>
        <w:pStyle w:val="TextBody"/>
        <w:bidi w:val="0"/>
        <w:spacing w:before="280" w:after="283"/>
        <w:jc w:val="both"/>
        <w:rPr>
          <w:rFonts w:ascii="Arial" w:hAnsi="Arial"/>
          <w:color w:val="000000"/>
          <w:sz w:val="20"/>
        </w:rPr>
      </w:pPr>
      <w:r>
        <w:rPr>
          <w:rFonts w:ascii="Arial" w:hAnsi="Arial"/>
          <w:color w:val="000000"/>
          <w:sz w:val="20"/>
        </w:rPr>
        <w:t>In November 2023, the Financial Accounting Standards Board, or FASB, issued Accounting Standards Update, or ASU, 2023-07, Segment Reporting (Topic 280), Improvements to Reportable Segment Disclosures to improve reportable segment disclosure requirements through enhanced disclosures about significant segment expenses on an interim and annual basis. All disclosure requirements of ASU 2023-07 are required for entities with a single reportable segment. ASU 2023-07 is effective for fiscal years beginning after December 15, 2023, and interim periods for the fiscal years beginning after December 15, 2024, and should be applied on a retrospective basis to all periods presented. Early adoption is permitted. The Company does not expect the adoption of this new guidance to have a material impact on its consolidated financial statements and is currently evaluating the effect of adopting the ASU on its disclosures.</w:t>
      </w:r>
    </w:p>
    <w:p>
      <w:pPr>
        <w:pStyle w:val="TextBody"/>
        <w:bidi w:val="0"/>
        <w:spacing w:before="280" w:after="283"/>
        <w:jc w:val="both"/>
        <w:rPr>
          <w:rFonts w:ascii="Arial" w:hAnsi="Arial"/>
          <w:color w:val="000000"/>
          <w:sz w:val="20"/>
        </w:rPr>
      </w:pPr>
      <w:r>
        <w:rPr>
          <w:rFonts w:ascii="Arial" w:hAnsi="Arial"/>
          <w:color w:val="000000"/>
          <w:sz w:val="20"/>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and the amendments should be applied on a prospective basis. The Company does not expect the adoption of this new guidance to have a material impact on its consolidated financial statements and is currently evaluating the effect of adopting the ASU on its disclosures.</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3. Fair Value</w:t>
      </w:r>
    </w:p>
    <w:p>
      <w:pPr>
        <w:pStyle w:val="TextBody"/>
        <w:bidi w:val="0"/>
        <w:spacing w:before="280" w:after="283"/>
        <w:jc w:val="both"/>
        <w:rPr>
          <w:rFonts w:ascii="Arial" w:hAnsi="Arial"/>
          <w:color w:val="000000"/>
          <w:sz w:val="20"/>
        </w:rPr>
      </w:pPr>
      <w:r>
        <w:rPr>
          <w:rFonts w:ascii="Arial" w:hAnsi="Arial"/>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i/>
          <w:color w:val="000000"/>
          <w:sz w:val="20"/>
        </w:rPr>
        <w:t>Level 1</w:t>
      </w:r>
      <w:r>
        <w:rPr>
          <w:rFonts w:ascii="Times New Roman" w:hAnsi="Times New Roman"/>
          <w:color w:val="000000"/>
          <w:sz w:val="20"/>
        </w:rPr>
        <w:t>—</w:t>
      </w:r>
      <w:r>
        <w:rPr>
          <w:rFonts w:ascii="Arial" w:hAnsi="Arial"/>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Level 2</w:t>
      </w:r>
      <w:r>
        <w:rPr>
          <w:rFonts w:ascii="Times New Roman" w:hAnsi="Times New Roman"/>
          <w:color w:val="000000"/>
          <w:sz w:val="20"/>
        </w:rPr>
        <w:t>—</w:t>
      </w:r>
      <w:r>
        <w:rPr>
          <w:rFonts w:ascii="Arial" w:hAnsi="Arial"/>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i/>
          <w:color w:val="000000"/>
          <w:sz w:val="20"/>
        </w:rPr>
        <w:t>Level 3</w:t>
      </w:r>
      <w:r>
        <w:rPr>
          <w:rFonts w:ascii="Times New Roman" w:hAnsi="Times New Roman"/>
          <w:color w:val="000000"/>
          <w:sz w:val="20"/>
        </w:rPr>
        <w:t>—</w:t>
      </w:r>
      <w:r>
        <w:rPr>
          <w:rFonts w:ascii="Arial" w:hAnsi="Arial"/>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80" w:after="283"/>
        <w:jc w:val="both"/>
        <w:rPr>
          <w:rFonts w:ascii="Times New Roman" w:hAnsi="Times New Roman"/>
          <w:sz w:val="20"/>
        </w:rPr>
      </w:pPr>
      <w:r>
        <w:rPr>
          <w:rFonts w:ascii="Arial" w:hAnsi="Arial"/>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40"/>
        <w:gridCol w:w="606"/>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5,949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40,365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46,333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7,427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17,941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288"/>
        <w:gridCol w:w="65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59,197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59,260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6,427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50,408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All the commercial paper, U.S. government debt and agency securities, U.S. treasury bills, and corporate bonds designated as short-term investments have an effective maturity date that is equal to or less than one year</w:t>
      </w:r>
      <w:r>
        <w:rPr>
          <w:rFonts w:ascii="Times New Roman" w:hAnsi="Times New Roman"/>
          <w:color w:val="000000"/>
          <w:sz w:val="20"/>
        </w:rPr>
        <w:t xml:space="preserve"> </w:t>
      </w:r>
      <w:r>
        <w:rPr>
          <w:rFonts w:ascii="Arial" w:hAnsi="Arial"/>
          <w:color w:val="000000"/>
          <w:sz w:val="20"/>
        </w:rPr>
        <w:t>from the respective balance sheet date.</w:t>
      </w:r>
    </w:p>
    <w:p>
      <w:pPr>
        <w:pStyle w:val="TextBody"/>
        <w:bidi w:val="0"/>
        <w:spacing w:before="80" w:after="283"/>
        <w:jc w:val="both"/>
        <w:rPr>
          <w:rFonts w:ascii="Times New Roman" w:hAnsi="Times New Roman"/>
          <w:sz w:val="20"/>
        </w:rPr>
      </w:pPr>
      <w:r>
        <w:rPr>
          <w:rFonts w:ascii="Arial" w:hAnsi="Arial"/>
          <w:color w:val="000000"/>
          <w:sz w:val="20"/>
        </w:rPr>
        <w:t>As of June 30, 2024,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June 30, 2024</w:t>
      </w:r>
      <w:r>
        <w:rPr>
          <w:rFonts w:ascii="Times New Roman" w:hAnsi="Times New Roman"/>
          <w:color w:val="000000"/>
          <w:sz w:val="20"/>
        </w:rPr>
        <w:t xml:space="preserve"> </w:t>
      </w:r>
      <w:r>
        <w:rPr>
          <w:rFonts w:ascii="Arial" w:hAnsi="Arial"/>
          <w:color w:val="000000"/>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4. 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consisted of the following (in thousands):</w:t>
      </w:r>
    </w:p>
    <w:p>
      <w:pPr>
        <w:pStyle w:val="TextBody"/>
        <w:bidi w:val="0"/>
        <w:jc w:val="both"/>
        <w:rPr/>
      </w:pPr>
      <w:r>
        <w:rPr/>
        <w:t> </w:t>
      </w:r>
    </w:p>
    <w:tbl>
      <w:tblPr>
        <w:tblW w:w="5887" w:type="dxa"/>
        <w:jc w:val="left"/>
        <w:tblInd w:w="0" w:type="dxa"/>
        <w:tblLayout w:type="fixed"/>
        <w:tblCellMar>
          <w:top w:w="28" w:type="dxa"/>
          <w:left w:w="28" w:type="dxa"/>
          <w:bottom w:w="28" w:type="dxa"/>
          <w:right w:w="28" w:type="dxa"/>
        </w:tblCellMar>
      </w:tblPr>
      <w:tblGrid>
        <w:gridCol w:w="2911"/>
        <w:gridCol w:w="146"/>
        <w:gridCol w:w="211"/>
        <w:gridCol w:w="646"/>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688</w:t>
            </w:r>
          </w:p>
        </w:tc>
        <w:tc>
          <w:tcPr>
            <w:tcW w:w="4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Office furniture, fixtures, and</w:t>
              <w:br/>
              <w:t>   computer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at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5,722</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Depreciation expense was $242,000</w:t>
      </w:r>
      <w:r>
        <w:rPr>
          <w:rFonts w:ascii="Times New Roman" w:hAnsi="Times New Roman"/>
          <w:color w:val="000000"/>
          <w:sz w:val="20"/>
        </w:rPr>
        <w:t xml:space="preserve"> </w:t>
      </w:r>
      <w:r>
        <w:rPr>
          <w:rFonts w:ascii="Arial" w:hAnsi="Arial"/>
          <w:color w:val="000000"/>
          <w:sz w:val="20"/>
        </w:rPr>
        <w:t>and $484,000</w:t>
      </w:r>
      <w:r>
        <w:rPr>
          <w:rFonts w:ascii="Times New Roman" w:hAnsi="Times New Roman"/>
          <w:color w:val="000000"/>
          <w:sz w:val="20"/>
        </w:rPr>
        <w:t xml:space="preserve"> </w:t>
      </w:r>
      <w:r>
        <w:rPr>
          <w:rFonts w:ascii="Arial" w:hAnsi="Arial"/>
          <w:color w:val="000000"/>
          <w:sz w:val="20"/>
        </w:rPr>
        <w:t>for the three and six months ended June 30, 2024, respectively. Depreciation expense was $244,000</w:t>
      </w:r>
      <w:r>
        <w:rPr>
          <w:rFonts w:ascii="Times New Roman" w:hAnsi="Times New Roman"/>
          <w:color w:val="000000"/>
          <w:sz w:val="20"/>
        </w:rPr>
        <w:t xml:space="preserve"> </w:t>
      </w:r>
      <w:r>
        <w:rPr>
          <w:rFonts w:ascii="Arial" w:hAnsi="Arial"/>
          <w:color w:val="000000"/>
          <w:sz w:val="20"/>
        </w:rPr>
        <w:t>and $480,000</w:t>
      </w:r>
      <w:r>
        <w:rPr>
          <w:rFonts w:ascii="Times New Roman" w:hAnsi="Times New Roman"/>
          <w:color w:val="000000"/>
          <w:sz w:val="20"/>
        </w:rPr>
        <w:t xml:space="preserve"> </w:t>
      </w:r>
      <w:r>
        <w:rPr>
          <w:rFonts w:ascii="Arial" w:hAnsi="Arial"/>
          <w:color w:val="000000"/>
          <w:sz w:val="20"/>
        </w:rPr>
        <w:t>for the three and six months ended June 30, 2023, respectively.</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r>
        <w:rPr>
          <w:rFonts w:ascii="Arial" w:hAnsi="Arial"/>
          <w:b/>
          <w:color w:val="000000"/>
          <w:sz w:val="20"/>
        </w:rPr>
        <w:t>5. Accrued Liabilities</w:t>
      </w:r>
    </w:p>
    <w:p>
      <w:pPr>
        <w:pStyle w:val="TextBody"/>
        <w:bidi w:val="0"/>
        <w:spacing w:before="280" w:after="283"/>
        <w:jc w:val="both"/>
        <w:rPr>
          <w:rFonts w:ascii="Arial" w:hAnsi="Arial"/>
          <w:color w:val="000000"/>
          <w:sz w:val="20"/>
        </w:rPr>
      </w:pPr>
      <w:r>
        <w:rPr>
          <w:rFonts w:ascii="Arial" w:hAnsi="Arial"/>
          <w:color w:val="000000"/>
          <w:sz w:val="20"/>
        </w:rPr>
        <w:t>Accrued liabilities consisted of the following (in thousands):</w:t>
      </w:r>
    </w:p>
    <w:p>
      <w:pPr>
        <w:pStyle w:val="TextBody"/>
        <w:bidi w:val="0"/>
        <w:jc w:val="both"/>
        <w:rPr/>
      </w:pPr>
      <w:r>
        <w:rPr/>
        <w:t> </w:t>
      </w:r>
    </w:p>
    <w:tbl>
      <w:tblPr>
        <w:tblW w:w="6372" w:type="dxa"/>
        <w:jc w:val="left"/>
        <w:tblInd w:w="0" w:type="dxa"/>
        <w:tblLayout w:type="fixed"/>
        <w:tblCellMar>
          <w:top w:w="28" w:type="dxa"/>
          <w:left w:w="28" w:type="dxa"/>
          <w:bottom w:w="28" w:type="dxa"/>
          <w:right w:w="28" w:type="dxa"/>
        </w:tblCellMar>
      </w:tblPr>
      <w:tblGrid>
        <w:gridCol w:w="3391"/>
        <w:gridCol w:w="146"/>
        <w:gridCol w:w="211"/>
        <w:gridCol w:w="691"/>
        <w:gridCol w:w="146"/>
        <w:gridCol w:w="146"/>
        <w:gridCol w:w="273"/>
        <w:gridCol w:w="897"/>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11,588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11,916</w:t>
            </w:r>
          </w:p>
        </w:tc>
        <w:tc>
          <w:tcPr>
            <w:tcW w:w="47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4,545</w:t>
            </w:r>
          </w:p>
        </w:tc>
        <w:tc>
          <w:tcPr>
            <w:tcW w:w="47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18,343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6. Significant Agreements</w:t>
      </w:r>
    </w:p>
    <w:p>
      <w:pPr>
        <w:pStyle w:val="TextBody"/>
        <w:bidi w:val="0"/>
        <w:spacing w:before="280" w:after="283"/>
        <w:jc w:val="both"/>
        <w:rPr>
          <w:rFonts w:ascii="Times New Roman" w:hAnsi="Times New Roman"/>
          <w:sz w:val="20"/>
        </w:rPr>
      </w:pPr>
      <w:r>
        <w:rPr>
          <w:rFonts w:ascii="Arial" w:hAnsi="Arial"/>
          <w:b/>
          <w:i/>
          <w:color w:val="000000"/>
          <w:sz w:val="20"/>
        </w:rPr>
        <w:t>WSU License Agreement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is party to an amended and restated exclusive license agreement with sublicensing terms with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pStyle w:val="TextBody"/>
        <w:bidi w:val="0"/>
        <w:spacing w:before="280" w:after="283"/>
        <w:jc w:val="both"/>
        <w:rPr>
          <w:rFonts w:ascii="Arial" w:hAnsi="Arial"/>
          <w:color w:val="000000"/>
          <w:sz w:val="20"/>
        </w:rPr>
      </w:pPr>
      <w:r>
        <w:rPr>
          <w:rFonts w:ascii="Arial" w:hAnsi="Arial"/>
          <w:color w:val="000000"/>
          <w:sz w:val="20"/>
        </w:rPr>
        <w:t>To keep in good standing, the agreement requires the Company to meet certain development milestones and pay annual maintenance fees. All contractual requirements have been met as of June 30, 2024.</w:t>
      </w:r>
    </w:p>
    <w:p>
      <w:pPr>
        <w:pStyle w:val="TextBody"/>
        <w:bidi w:val="0"/>
        <w:spacing w:before="280" w:after="283"/>
        <w:jc w:val="both"/>
        <w:rPr>
          <w:rFonts w:ascii="Times New Roman" w:hAnsi="Times New Roman"/>
          <w:sz w:val="20"/>
        </w:rPr>
      </w:pPr>
      <w:r>
        <w:rPr>
          <w:rFonts w:ascii="Arial" w:hAnsi="Arial"/>
          <w:color w:val="000000"/>
          <w:sz w:val="20"/>
        </w:rPr>
        <w:t>During the year ended December 31, 2020, the Phase 2 clinical trial milestone was reached and a payment of $50,000</w:t>
      </w:r>
      <w:r>
        <w:rPr>
          <w:rFonts w:ascii="Times New Roman" w:hAnsi="Times New Roman"/>
          <w:color w:val="000000"/>
          <w:sz w:val="20"/>
        </w:rPr>
        <w:t xml:space="preserve"> </w:t>
      </w:r>
      <w:r>
        <w:rPr>
          <w:rFonts w:ascii="Arial" w:hAnsi="Arial"/>
          <w:color w:val="000000"/>
          <w:sz w:val="20"/>
        </w:rPr>
        <w:t>to WSU was recorded.</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may also be obligated to pay the following if the related milestones are reached: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$300,000 – At initiation of the first Phase 3 clinical trial in the United States, European Union or Japan for the first licensed product;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$600,000 – Upon receipt of marketing approval in the United States, European Union or Japan for the first licensed product.</w:t>
      </w:r>
    </w:p>
    <w:p>
      <w:pPr>
        <w:pStyle w:val="TextBody"/>
        <w:bidi w:val="0"/>
        <w:spacing w:before="280" w:after="283"/>
        <w:jc w:val="both"/>
        <w:rPr>
          <w:rFonts w:ascii="Times New Roman" w:hAnsi="Times New Roman"/>
          <w:sz w:val="20"/>
        </w:rPr>
      </w:pPr>
      <w:r>
        <w:rPr>
          <w:rFonts w:ascii="Arial" w:hAnsi="Arial"/>
          <w:color w:val="000000"/>
          <w:sz w:val="20"/>
        </w:rPr>
        <w:t>Under the terms of the agreement, the Company will pay a royalty in the mid-single digits of net sales, with the first $100,000</w:t>
      </w:r>
      <w:r>
        <w:rPr>
          <w:rFonts w:ascii="Times New Roman" w:hAnsi="Times New Roman"/>
          <w:color w:val="000000"/>
          <w:sz w:val="20"/>
        </w:rPr>
        <w:t xml:space="preserve"> </w:t>
      </w:r>
      <w:r>
        <w:rPr>
          <w:rFonts w:ascii="Arial" w:hAnsi="Arial"/>
          <w:color w:val="000000"/>
          <w:sz w:val="20"/>
        </w:rPr>
        <w:t>of net sales being exempt from royalty payment, and annual minimum royalty payments of $25,000</w:t>
      </w:r>
      <w:r>
        <w:rPr>
          <w:rFonts w:ascii="Times New Roman" w:hAnsi="Times New Roman"/>
          <w:color w:val="000000"/>
          <w:sz w:val="20"/>
        </w:rPr>
        <w:t xml:space="preserve"> </w:t>
      </w:r>
      <w:r>
        <w:rPr>
          <w:rFonts w:ascii="Arial" w:hAnsi="Arial"/>
          <w:color w:val="000000"/>
          <w:sz w:val="20"/>
        </w:rPr>
        <w:t>beginning after the first commercial sale of a licensed product. As of</w:t>
      </w:r>
      <w:r>
        <w:rPr>
          <w:rFonts w:ascii="Times New Roman" w:hAnsi="Times New Roman"/>
          <w:color w:val="000000"/>
          <w:sz w:val="20"/>
        </w:rPr>
        <w:t xml:space="preserve"> </w:t>
      </w:r>
      <w:r>
        <w:rPr>
          <w:rFonts w:ascii="Arial" w:hAnsi="Arial"/>
          <w:color w:val="000000"/>
          <w:sz w:val="20"/>
        </w:rPr>
        <w:t>June 30, 2024, no</w:t>
      </w:r>
      <w:r>
        <w:rPr>
          <w:rFonts w:ascii="Times New Roman" w:hAnsi="Times New Roman"/>
          <w:color w:val="000000"/>
          <w:sz w:val="20"/>
        </w:rPr>
        <w:t xml:space="preserve"> </w:t>
      </w:r>
      <w:r>
        <w:rPr>
          <w:rFonts w:ascii="Arial" w:hAnsi="Arial"/>
          <w:color w:val="000000"/>
          <w:sz w:val="20"/>
        </w:rPr>
        <w:t>sales of any licensed products had occurred and the Company had not incurred a royalty obligation under this agreement.</w:t>
      </w:r>
    </w:p>
    <w:p>
      <w:pPr>
        <w:pStyle w:val="TextBody"/>
        <w:bidi w:val="0"/>
        <w:spacing w:before="280" w:after="283"/>
        <w:jc w:val="both"/>
        <w:rPr>
          <w:rFonts w:ascii="Arial" w:hAnsi="Arial"/>
          <w:color w:val="000000"/>
          <w:sz w:val="20"/>
        </w:rPr>
      </w:pPr>
      <w:r>
        <w:rPr>
          <w:rFonts w:ascii="Arial" w:hAnsi="Arial"/>
          <w:color w:val="000000"/>
          <w:sz w:val="20"/>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June 30, 2024, the Company has not entered into or incurred any liability from a sublicense agreement.</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280" w:after="283"/>
        <w:jc w:val="both"/>
        <w:rPr>
          <w:rFonts w:ascii="Arial" w:hAnsi="Arial"/>
          <w:b/>
          <w:i/>
          <w:color w:val="000000"/>
          <w:sz w:val="20"/>
        </w:rPr>
      </w:pPr>
      <w:r>
        <w:rPr>
          <w:rFonts w:ascii="Arial" w:hAnsi="Arial"/>
          <w:b/>
          <w:i/>
          <w:color w:val="000000"/>
          <w:sz w:val="20"/>
        </w:rPr>
        <w:t>Legal Proceedings</w:t>
      </w:r>
    </w:p>
    <w:p>
      <w:pPr>
        <w:pStyle w:val="TextBody"/>
        <w:bidi w:val="0"/>
        <w:spacing w:before="280" w:after="283"/>
        <w:jc w:val="both"/>
        <w:rPr>
          <w:rFonts w:ascii="Arial" w:hAnsi="Arial"/>
          <w:color w:val="000000"/>
          <w:sz w:val="20"/>
        </w:rPr>
      </w:pPr>
      <w:r>
        <w:rPr>
          <w:rFonts w:ascii="Arial" w:hAnsi="Arial"/>
          <w:color w:val="000000"/>
          <w:sz w:val="20"/>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pStyle w:val="TextBody"/>
        <w:bidi w:val="0"/>
        <w:spacing w:before="280" w:after="283"/>
        <w:jc w:val="both"/>
        <w:rPr>
          <w:rFonts w:ascii="Arial" w:hAnsi="Arial"/>
          <w:b/>
          <w:color w:val="000000"/>
          <w:sz w:val="20"/>
        </w:rPr>
      </w:pPr>
      <w:r>
        <w:rPr>
          <w:rFonts w:ascii="Arial" w:hAnsi="Arial"/>
          <w:b/>
          <w:color w:val="000000"/>
          <w:sz w:val="20"/>
        </w:rPr>
        <w:t>Securities Class Actions</w:t>
      </w:r>
    </w:p>
    <w:p>
      <w:pPr>
        <w:pStyle w:val="TextBody"/>
        <w:bidi w:val="0"/>
        <w:spacing w:before="280" w:after="283"/>
        <w:jc w:val="both"/>
        <w:rPr>
          <w:rFonts w:ascii="Times New Roman" w:hAnsi="Times New Roman"/>
          <w:sz w:val="20"/>
        </w:rPr>
      </w:pPr>
      <w:r>
        <w:rPr>
          <w:rFonts w:ascii="Arial" w:hAnsi="Arial"/>
          <w:color w:val="000000"/>
          <w:sz w:val="20"/>
        </w:rPr>
        <w:t>On June 25, 2021, plaintiffs Fan Wang and Hang Gao</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and the Company’s former chief executive officer Dr. Leen Kawas, captioned </w:t>
      </w:r>
      <w:r>
        <w:rPr>
          <w:rFonts w:ascii="Arial" w:hAnsi="Arial"/>
          <w:i/>
          <w:color w:val="000000"/>
          <w:sz w:val="20"/>
        </w:rPr>
        <w:t>Wang v. Athira Pharma, Inc., et al.</w:t>
      </w:r>
      <w:r>
        <w:rPr>
          <w:rFonts w:ascii="Arial" w:hAnsi="Arial"/>
          <w:color w:val="000000"/>
          <w:sz w:val="20"/>
        </w:rPr>
        <w:t xml:space="preserve">, No. 2:21-cv-00861. Plaintiffs Wang and Gao assert claims under Sections 10(b) and 20(a) of the Securities Exchange Act of 1934, or Exchange Act, and SEC Rule 10b-5, alleging that the defendants made materially false and misleading statements and omitted material adverse facts regarding the Company’s business. Specifically, the </w:t>
      </w:r>
      <w:r>
        <w:rPr>
          <w:rFonts w:ascii="Arial" w:hAnsi="Arial"/>
          <w:i/>
          <w:color w:val="000000"/>
          <w:sz w:val="20"/>
        </w:rPr>
        <w:t xml:space="preserve">Wang </w:t>
      </w:r>
      <w:r>
        <w:rPr>
          <w:rFonts w:ascii="Arial" w:hAnsi="Arial"/>
          <w:color w:val="000000"/>
          <w:sz w:val="20"/>
        </w:rPr>
        <w:t xml:space="preserve">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hAnsi="Arial"/>
          <w:i/>
          <w:color w:val="000000"/>
          <w:sz w:val="20"/>
        </w:rPr>
        <w:t xml:space="preserve">Wang </w:t>
      </w:r>
      <w:r>
        <w:rPr>
          <w:rFonts w:ascii="Arial" w:hAnsi="Arial"/>
          <w:color w:val="000000"/>
          <w:sz w:val="20"/>
        </w:rPr>
        <w:t>plaintiffs seek unspecified compensatory and punitive damages, and reasonable costs and expenses, including attorneys’ fees.</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That same day, on June 25, 2021, plaintiff Harshdeep Jawandha</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Dr. Kawas, the Company’s then chief financial officer, certain members of the Company’s board of directors at the time of the Company’s initial public offering, or IPO, as well as the IPO underwriters, captioned </w:t>
      </w:r>
      <w:r>
        <w:rPr>
          <w:rFonts w:ascii="Arial" w:hAnsi="Arial"/>
          <w:i/>
          <w:color w:val="000000"/>
          <w:sz w:val="20"/>
        </w:rPr>
        <w:t>Jawandha v. Athira Pharma, Inc., et al.</w:t>
      </w:r>
      <w:r>
        <w:rPr>
          <w:rFonts w:ascii="Arial" w:hAnsi="Arial"/>
          <w:color w:val="000000"/>
          <w:sz w:val="20"/>
        </w:rPr>
        <w:t xml:space="preserve">, No. 2:21-cv-00862. The </w:t>
      </w:r>
      <w:r>
        <w:rPr>
          <w:rFonts w:ascii="Arial" w:hAnsi="Arial"/>
          <w:i/>
          <w:color w:val="000000"/>
          <w:sz w:val="20"/>
        </w:rPr>
        <w:t xml:space="preserve">Jawandha </w:t>
      </w:r>
      <w:r>
        <w:rPr>
          <w:rFonts w:ascii="Arial" w:hAnsi="Arial"/>
          <w:color w:val="000000"/>
          <w:sz w:val="20"/>
        </w:rPr>
        <w:t xml:space="preserve">complaint asserts violations of Sections 11 and 15 of the Securities Act of 1933, or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hAnsi="Arial"/>
          <w:i/>
          <w:color w:val="000000"/>
          <w:sz w:val="20"/>
        </w:rPr>
        <w:t xml:space="preserve">Jawandha </w:t>
      </w:r>
      <w:r>
        <w:rPr>
          <w:rFonts w:ascii="Arial" w:hAnsi="Arial"/>
          <w:color w:val="000000"/>
          <w:sz w:val="20"/>
        </w:rPr>
        <w:t>plaintiff seeks unspecified compensatory damages, and reasonable costs and expenses, including attorneys’ fees.</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Also on June 25, 2021, plaintiffs Timothy Slyne and Tai Slyne</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Dr. Kawas, the Company’s then chief financial officer, and the same members of the Company’s board of directors and underwriters as in the </w:t>
      </w:r>
      <w:r>
        <w:rPr>
          <w:rFonts w:ascii="Arial" w:hAnsi="Arial"/>
          <w:i/>
          <w:color w:val="000000"/>
          <w:sz w:val="20"/>
        </w:rPr>
        <w:t xml:space="preserve">Jawandha </w:t>
      </w:r>
      <w:r>
        <w:rPr>
          <w:rFonts w:ascii="Arial" w:hAnsi="Arial"/>
          <w:color w:val="000000"/>
          <w:sz w:val="20"/>
        </w:rPr>
        <w:t xml:space="preserve">complaint, captioned </w:t>
      </w:r>
      <w:r>
        <w:rPr>
          <w:rFonts w:ascii="Arial" w:hAnsi="Arial"/>
          <w:i/>
          <w:color w:val="000000"/>
          <w:sz w:val="20"/>
        </w:rPr>
        <w:t>Slyne v. Athira Pharma, Inc. et al.</w:t>
      </w:r>
      <w:r>
        <w:rPr>
          <w:rFonts w:ascii="Arial" w:hAnsi="Arial"/>
          <w:color w:val="000000"/>
          <w:sz w:val="20"/>
        </w:rPr>
        <w:t xml:space="preserve">, No. 2:21-cv-00864. The </w:t>
      </w:r>
      <w:r>
        <w:rPr>
          <w:rFonts w:ascii="Arial" w:hAnsi="Arial"/>
          <w:i/>
          <w:color w:val="000000"/>
          <w:sz w:val="20"/>
        </w:rPr>
        <w:t xml:space="preserve">Slyne </w:t>
      </w:r>
      <w:r>
        <w:rPr>
          <w:rFonts w:ascii="Arial" w:hAnsi="Arial"/>
          <w:color w:val="000000"/>
          <w:sz w:val="20"/>
        </w:rPr>
        <w:t xml:space="preserve">complaint asserts violations of Sections 11 and 15 of the Securities Act, alleging that purported issues with Dr. Kawas’s doctoral research at WSU should have been disclosed in the Company’s IPO registration statement. The </w:t>
      </w:r>
      <w:r>
        <w:rPr>
          <w:rFonts w:ascii="Arial" w:hAnsi="Arial"/>
          <w:i/>
          <w:color w:val="000000"/>
          <w:sz w:val="20"/>
        </w:rPr>
        <w:t>Slyne</w:t>
      </w:r>
      <w:r>
        <w:rPr>
          <w:rFonts w:ascii="Times New Roman" w:hAnsi="Times New Roman"/>
          <w:color w:val="000000"/>
          <w:sz w:val="20"/>
        </w:rPr>
        <w:t xml:space="preserve"> </w:t>
      </w:r>
      <w:r>
        <w:rPr>
          <w:rFonts w:ascii="Arial" w:hAnsi="Arial"/>
          <w:color w:val="000000"/>
          <w:sz w:val="20"/>
        </w:rPr>
        <w:t>plaintiffs</w:t>
      </w:r>
      <w:r>
        <w:rPr>
          <w:rFonts w:ascii="Times New Roman" w:hAnsi="Times New Roman"/>
          <w:color w:val="000000"/>
          <w:sz w:val="20"/>
        </w:rPr>
        <w:t xml:space="preserve"> </w:t>
      </w:r>
      <w:r>
        <w:rPr>
          <w:rFonts w:ascii="Arial" w:hAnsi="Arial"/>
          <w:color w:val="000000"/>
          <w:sz w:val="20"/>
        </w:rPr>
        <w:t>seek unspecified compensatory damages, reasonable costs and expenses, including attorneys’ fees, and injunctive and other equitable relief.</w:t>
      </w:r>
    </w:p>
    <w:p>
      <w:pPr>
        <w:pStyle w:val="TextBody"/>
        <w:bidi w:val="0"/>
        <w:spacing w:before="280" w:after="283"/>
        <w:jc w:val="both"/>
        <w:rPr>
          <w:rFonts w:ascii="Arial" w:hAnsi="Arial"/>
          <w:color w:val="000000"/>
          <w:sz w:val="20"/>
        </w:rPr>
      </w:pPr>
      <w:r>
        <w:rPr>
          <w:rFonts w:ascii="Arial" w:hAnsi="Arial"/>
          <w:color w:val="000000"/>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283"/>
        <w:jc w:val="both"/>
        <w:rPr>
          <w:rFonts w:ascii="Arial" w:hAnsi="Arial"/>
          <w:color w:val="000000"/>
          <w:sz w:val="20"/>
        </w:rPr>
      </w:pPr>
      <w:r>
        <w:rPr>
          <w:rFonts w:ascii="Arial" w:hAnsi="Arial"/>
          <w:color w:val="000000"/>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then chief financial officer, certain members of the Company's board of directors at the time of the Company's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On August 12, 2022, defendant Dr. Kawas</w:t>
      </w:r>
      <w:r>
        <w:rPr>
          <w:rFonts w:ascii="Times New Roman" w:hAnsi="Times New Roman"/>
          <w:color w:val="000000"/>
          <w:sz w:val="20"/>
        </w:rPr>
        <w:t xml:space="preserve"> </w:t>
      </w:r>
      <w:r>
        <w:rPr>
          <w:rFonts w:ascii="Arial" w:hAnsi="Arial"/>
          <w:color w:val="000000"/>
          <w:sz w:val="20"/>
        </w:rPr>
        <w:t>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On March 10, 2023, following a mediation and the parties’ agreement in principle to settle the securities class action,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pStyle w:val="TextBody"/>
        <w:bidi w:val="0"/>
        <w:spacing w:before="280" w:after="283"/>
        <w:jc w:val="both"/>
        <w:rPr>
          <w:rFonts w:ascii="Arial" w:hAnsi="Arial"/>
          <w:color w:val="000000"/>
          <w:sz w:val="20"/>
        </w:rPr>
      </w:pPr>
      <w:r>
        <w:rPr>
          <w:rFonts w:ascii="Arial" w:hAnsi="Arial"/>
          <w:color w:val="000000"/>
          <w:sz w:val="20"/>
        </w:rPr>
        <w:t>On February 15, 2024, the court issued an order granting in part and deferring in part plaintiffs’ renewed motion for preliminary approval and ordered the parties to submit a joint status report by March 15, 2024 proposing a date on which the court may schedule the final approval hearing, among other things. In its order, the court preliminarily approved the proposed settlement and certified a class and two subclasses. The court deferred ruling in part as to the proposed notices and claim form relating to the settlement. On March 29, 2024, the court issued a minute order (i) granting the portion of plaintiffs’ renewed motion for preliminary approval that the court had previously deferred ruling on, (ii) setting a final approval hearing, and (iii) ordering plaintiffs’ motion for final approval of the proposed settlement to be filed on or before September 26, 2024. On April 30, 2024, plaintiffs filed a motion for an award of attorneys’ fees and payment of expenses. The settlement final approval hearing is scheduled for October 25, 2024.</w:t>
      </w:r>
    </w:p>
    <w:p>
      <w:pPr>
        <w:pStyle w:val="TextBody"/>
        <w:bidi w:val="0"/>
        <w:spacing w:before="280" w:after="283"/>
        <w:jc w:val="both"/>
        <w:rPr>
          <w:rFonts w:ascii="Times New Roman" w:hAnsi="Times New Roman"/>
          <w:sz w:val="20"/>
        </w:rPr>
      </w:pPr>
      <w:r>
        <w:rPr>
          <w:rFonts w:ascii="Arial" w:hAnsi="Arial"/>
          <w:color w:val="000000"/>
          <w:sz w:val="20"/>
        </w:rPr>
        <w:t>As a result of the foregoing, the Company recorded a legal settlement expense of $10.0</w:t>
      </w:r>
      <w:r>
        <w:rPr>
          <w:rFonts w:ascii="Times New Roman" w:hAnsi="Times New Roman"/>
          <w:color w:val="000000"/>
          <w:sz w:val="20"/>
        </w:rPr>
        <w:t xml:space="preserve"> </w:t>
      </w:r>
      <w:r>
        <w:rPr>
          <w:rFonts w:ascii="Arial" w:hAnsi="Arial"/>
          <w:color w:val="000000"/>
          <w:sz w:val="20"/>
        </w:rPr>
        <w:t>million in operating expenses in the fourth quarter of 2022 and an accrued liability of $10.0</w:t>
      </w:r>
      <w:r>
        <w:rPr>
          <w:rFonts w:ascii="Times New Roman" w:hAnsi="Times New Roman"/>
          <w:color w:val="000000"/>
          <w:sz w:val="20"/>
        </w:rPr>
        <w:t xml:space="preserve"> </w:t>
      </w:r>
      <w:r>
        <w:rPr>
          <w:rFonts w:ascii="Arial" w:hAnsi="Arial"/>
          <w:color w:val="000000"/>
          <w:sz w:val="20"/>
        </w:rPr>
        <w:t>million on the accompanying condensed consolidated balance sheets. Additionally, the Company recorded an insurance recovery of $1.6</w:t>
      </w:r>
      <w:r>
        <w:rPr>
          <w:rFonts w:ascii="Times New Roman" w:hAnsi="Times New Roman"/>
          <w:color w:val="000000"/>
          <w:sz w:val="20"/>
        </w:rPr>
        <w:t xml:space="preserve"> </w:t>
      </w:r>
      <w:r>
        <w:rPr>
          <w:rFonts w:ascii="Arial" w:hAnsi="Arial"/>
          <w:color w:val="000000"/>
          <w:sz w:val="20"/>
        </w:rPr>
        <w:t>million in operating expenses in the fourth quarter of 2023 and an insurance recovery receivable of $1.6</w:t>
      </w:r>
      <w:r>
        <w:rPr>
          <w:rFonts w:ascii="Times New Roman" w:hAnsi="Times New Roman"/>
          <w:color w:val="000000"/>
          <w:sz w:val="20"/>
        </w:rPr>
        <w:t xml:space="preserve"> </w:t>
      </w:r>
      <w:r>
        <w:rPr>
          <w:rFonts w:ascii="Arial" w:hAnsi="Arial"/>
          <w:color w:val="000000"/>
          <w:sz w:val="20"/>
        </w:rPr>
        <w:t>million on the accompanying condensed consolidated balance sheets. This insurance recovery represents the amount of the settlement to be covered by the Company's insurers. The Company has deposited $8.4</w:t>
      </w:r>
      <w:r>
        <w:rPr>
          <w:rFonts w:ascii="Times New Roman" w:hAnsi="Times New Roman"/>
          <w:color w:val="000000"/>
          <w:sz w:val="20"/>
        </w:rPr>
        <w:t xml:space="preserve"> </w:t>
      </w:r>
      <w:r>
        <w:rPr>
          <w:rFonts w:ascii="Arial" w:hAnsi="Arial"/>
          <w:color w:val="000000"/>
          <w:sz w:val="20"/>
        </w:rPr>
        <w:t>million into a settlement fund account pending final payment of the settlement amount, and such funds are legally restricted for use and are included within restricted cash, current on the condensed consolidated balance sheets.</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Shareholder Derivative Actions</w:t>
      </w:r>
    </w:p>
    <w:p>
      <w:pPr>
        <w:pStyle w:val="TextBody"/>
        <w:bidi w:val="0"/>
        <w:spacing w:before="280" w:after="283"/>
        <w:jc w:val="both"/>
        <w:rPr>
          <w:rFonts w:ascii="Arial" w:hAnsi="Arial"/>
          <w:color w:val="000000"/>
          <w:sz w:val="20"/>
        </w:rPr>
      </w:pPr>
      <w:r>
        <w:rPr>
          <w:rFonts w:ascii="Arial" w:hAnsi="Arial"/>
          <w:color w:val="000000"/>
          <w:sz w:val="20"/>
        </w:rPr>
        <w:t>On April 14, 2022, a shareholder derivative action was filed by plaintiff Stephen Bushansky in the U.S. District Court for the Western District of Washington against certain current and former members of the Company’s board of directors, captioned Bushansky v. Kawas et al., No. 2:22-cv-497. Plaintiff purported to bring the action derivatively on behalf of the Company, which was a nominal defendant to the action. The derivative complaint alleged that the Company’s board of directors breached its fiduciary duties by failing to prevent alleged misstatements in the Company’s public filings, failing to discover altered images in certain research papers, and failing to take appropriate action. The derivative complaint asserted claims for violations of Section 14(a) of the Exchange Act as well as claims for breach of fiduciary duty, contribution and indemnification, aiding and abetting, and waste of corporate assets. The derivative complaint sought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283"/>
        <w:jc w:val="both"/>
        <w:rPr>
          <w:rFonts w:ascii="Arial" w:hAnsi="Arial"/>
          <w:color w:val="000000"/>
          <w:sz w:val="20"/>
        </w:rPr>
      </w:pPr>
      <w:r>
        <w:rPr>
          <w:rFonts w:ascii="Arial" w:hAnsi="Arial"/>
          <w:color w:val="000000"/>
          <w:sz w:val="20"/>
        </w:rPr>
        <w:t>On May 6, 2022, a second shareholder derivative action was filed by plaintiff Thomas Houlihan in the U.S. District Court for the Western District of Washington against certain current and former directors and officers of the Company, captioned Houlihan v. Kawas et al., No. 2:22-cv-620. Plaintiff purported to bring the action derivatively on behalf of the Company, which was a nominal defendant to the action. The derivative complaint alleged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asserted claims for violations of Section 14(a) of the Exchange Act as well as claims for breach of fiduciary duties, contribution, and indemnification. The derivative complaint sought unspecified damages, unspecified corporate governance reforms, restitution, and an award of costs and expenses to the derivative plaintiff, including attorneys’ fees.</w:t>
      </w:r>
    </w:p>
    <w:p>
      <w:pPr>
        <w:pStyle w:val="TextBody"/>
        <w:bidi w:val="0"/>
        <w:spacing w:before="280" w:after="283"/>
        <w:jc w:val="both"/>
        <w:rPr>
          <w:rFonts w:ascii="Times New Roman" w:hAnsi="Times New Roman"/>
          <w:sz w:val="20"/>
        </w:rPr>
      </w:pPr>
      <w:r>
        <w:rPr>
          <w:rFonts w:ascii="Arial" w:hAnsi="Arial"/>
          <w:color w:val="000000"/>
          <w:sz w:val="20"/>
        </w:rPr>
        <w:t>On May 26, 2022, the court issued an order consolidating the cases and staying them until further order of the court. On March 18, 2024, following a mediation and the parties entering into a stipulation of settlement to settle the consolidated derivative action for certain corporate governance reforms and the Company’s payment of a fee and expense award to plaintiffs’ counsel, plaintiffs filed an unopposed motion for preliminary approval of a settlement of the derivative action. On May 3, 2024, the court entered an order preliminarily approving the settlement. On May 17, 2024, plaintiffs filed an unopposed motion for approval of attorneys’ fees and expenses and service awards to plaintiffs. On July 3, 2024, plaintiffs filed an unopposed motion for final approval of derivative settlement. The settlement final approval hearing took place on July 18, 2024, and no Company shareholders objected to the proposed settlement or attorneys’ fees or service awards sought by plaintiffs. After the hearing, on July 18, 2024, the court entered an order and judgment granting plaintiffs’ motion for final approval of derivative settlement, finding the settlement to be fair, reasonable, and adequate to the settling parties and the Company’s shareholders, and dismissing the derivative action with prejudice.</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believes it has adequate reserves related to this matter as of the latest balance sheet date.</w:t>
      </w:r>
    </w:p>
    <w:p>
      <w:pPr>
        <w:pStyle w:val="TextBody"/>
        <w:bidi w:val="0"/>
        <w:spacing w:before="280" w:after="283"/>
        <w:jc w:val="both"/>
        <w:rPr>
          <w:rFonts w:ascii="Arial" w:hAnsi="Arial"/>
          <w:b/>
          <w:color w:val="000000"/>
          <w:sz w:val="20"/>
        </w:rPr>
      </w:pPr>
      <w:r>
        <w:rPr>
          <w:rFonts w:ascii="Arial" w:hAnsi="Arial"/>
          <w:b/>
          <w:color w:val="000000"/>
          <w:sz w:val="20"/>
        </w:rPr>
        <w:t>Government Investigation</w:t>
      </w:r>
    </w:p>
    <w:p>
      <w:pPr>
        <w:pStyle w:val="TextBody"/>
        <w:bidi w:val="0"/>
        <w:spacing w:before="280" w:after="283"/>
        <w:jc w:val="both"/>
        <w:rPr>
          <w:rFonts w:ascii="Times New Roman" w:hAnsi="Times New Roman"/>
          <w:sz w:val="20"/>
        </w:rPr>
      </w:pPr>
      <w:r>
        <w:rPr>
          <w:rFonts w:ascii="Arial" w:hAnsi="Arial"/>
          <w:color w:val="000000"/>
          <w:sz w:val="20"/>
        </w:rPr>
        <w:t>In November 2022, the Company received a Civil Investigative Demand from the Civil Division of the Department of Justice, or the Demand. The Demand seeks documents and information relating to our relationship with WSU, certain of our grant applications in 2016 and 2019 with the NIH, and our receipt of an NIH grant in 2020. The Company is cooperating with the Department of Justice with respect to the Demand</w:t>
      </w:r>
      <w:r>
        <w:rPr>
          <w:rFonts w:ascii="Arial" w:hAnsi="Arial"/>
          <w:b/>
          <w:color w:val="000000"/>
          <w:sz w:val="20"/>
        </w:rPr>
        <w:t>.</w:t>
      </w:r>
    </w:p>
    <w:p>
      <w:pPr>
        <w:pStyle w:val="TextBody"/>
        <w:bidi w:val="0"/>
        <w:spacing w:before="280" w:after="283"/>
        <w:jc w:val="both"/>
        <w:rPr>
          <w:rFonts w:ascii="Arial" w:hAnsi="Arial"/>
          <w:color w:val="000000"/>
          <w:sz w:val="20"/>
        </w:rPr>
      </w:pPr>
      <w:r>
        <w:rPr>
          <w:rFonts w:ascii="Arial" w:hAnsi="Arial"/>
          <w:color w:val="000000"/>
          <w:sz w:val="20"/>
        </w:rPr>
        <w:t>The Company cannot predict the outcome of the Demand. Failure by the Company to obtain a favorable resolution could have a material adverse effect on our business, results of operations and financial condition.</w:t>
      </w:r>
    </w:p>
    <w:p>
      <w:pPr>
        <w:pStyle w:val="TextBody"/>
        <w:bidi w:val="0"/>
        <w:spacing w:before="28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color w:val="000000"/>
          <w:sz w:val="20"/>
        </w:rPr>
        <w:t>to 7</w:t>
      </w:r>
      <w:r>
        <w:rPr>
          <w:rFonts w:ascii="Times New Roman" w:hAnsi="Times New Roman"/>
          <w:color w:val="000000"/>
          <w:sz w:val="20"/>
        </w:rPr>
        <w:t xml:space="preserve"> </w:t>
      </w:r>
      <w:r>
        <w:rPr>
          <w:rFonts w:ascii="Arial" w:hAnsi="Arial"/>
          <w:color w:val="000000"/>
          <w:sz w:val="20"/>
        </w:rPr>
        <w:t>years and the Company has options to extend</w:t>
      </w:r>
      <w:r>
        <w:rPr>
          <w:rFonts w:ascii="Times New Roman" w:hAnsi="Times New Roman"/>
          <w:color w:val="000000"/>
          <w:sz w:val="20"/>
        </w:rPr>
        <w:t xml:space="preserve"> </w:t>
      </w:r>
      <w:r>
        <w:rPr>
          <w:rFonts w:ascii="Arial" w:hAnsi="Arial"/>
          <w:color w:val="000000"/>
          <w:sz w:val="20"/>
        </w:rPr>
        <w:t>the leases for an additional five years</w:t>
      </w:r>
      <w:r>
        <w:rPr>
          <w:rFonts w:ascii="Times New Roman" w:hAnsi="Times New Roman"/>
          <w:color w:val="000000"/>
          <w:sz w:val="20"/>
        </w:rPr>
        <w:t xml:space="preserve"> </w:t>
      </w:r>
      <w:r>
        <w:rPr>
          <w:rFonts w:ascii="Arial" w:hAnsi="Arial"/>
          <w:color w:val="000000"/>
          <w:sz w:val="20"/>
        </w:rPr>
        <w:t>that it is not reasonably certain to exercise. As of June 30, 2024, the Company was not party to any finance leases.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440" w:type="dxa"/>
        <w:jc w:val="left"/>
        <w:tblInd w:w="0" w:type="dxa"/>
        <w:tblLayout w:type="fixed"/>
        <w:tblCellMar>
          <w:top w:w="28" w:type="dxa"/>
          <w:left w:w="28" w:type="dxa"/>
          <w:bottom w:w="28" w:type="dxa"/>
          <w:right w:w="28" w:type="dxa"/>
        </w:tblCellMar>
      </w:tblPr>
      <w:tblGrid>
        <w:gridCol w:w="4006"/>
        <w:gridCol w:w="146"/>
        <w:gridCol w:w="211"/>
        <w:gridCol w:w="586"/>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Remaining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4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undiscounted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1,592</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adjustment for minimum lease</w:t>
              <w:br/>
              <w:t>   commitments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458" w:type="dxa"/>
        <w:jc w:val="left"/>
        <w:tblInd w:w="0" w:type="dxa"/>
        <w:tblLayout w:type="fixed"/>
        <w:tblCellMar>
          <w:top w:w="28" w:type="dxa"/>
          <w:left w:w="28" w:type="dxa"/>
          <w:bottom w:w="28" w:type="dxa"/>
          <w:right w:w="28" w:type="dxa"/>
        </w:tblCellMar>
      </w:tblPr>
      <w:tblGrid>
        <w:gridCol w:w="4216"/>
        <w:gridCol w:w="146"/>
        <w:gridCol w:w="214"/>
        <w:gridCol w:w="551"/>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33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Operating lease expense and variable lease expense consisted of the following (in thousands):</w:t>
      </w:r>
    </w:p>
    <w:p>
      <w:pPr>
        <w:pStyle w:val="TextBody"/>
        <w:bidi w:val="0"/>
        <w:spacing w:before="80" w:after="283"/>
        <w:jc w:val="both"/>
        <w:rPr/>
      </w:pPr>
      <w:r>
        <w:rPr/>
        <w:t> </w:t>
      </w:r>
    </w:p>
    <w:tbl>
      <w:tblPr>
        <w:tblW w:w="7884" w:type="dxa"/>
        <w:jc w:val="left"/>
        <w:tblInd w:w="0" w:type="dxa"/>
        <w:tblLayout w:type="fixed"/>
        <w:tblCellMar>
          <w:top w:w="28" w:type="dxa"/>
          <w:left w:w="28" w:type="dxa"/>
          <w:bottom w:w="28" w:type="dxa"/>
          <w:right w:w="28" w:type="dxa"/>
        </w:tblCellMar>
      </w:tblPr>
      <w:tblGrid>
        <w:gridCol w:w="2281"/>
        <w:gridCol w:w="146"/>
        <w:gridCol w:w="244"/>
        <w:gridCol w:w="828"/>
        <w:gridCol w:w="157"/>
        <w:gridCol w:w="157"/>
        <w:gridCol w:w="244"/>
        <w:gridCol w:w="828"/>
        <w:gridCol w:w="146"/>
        <w:gridCol w:w="146"/>
        <w:gridCol w:w="226"/>
        <w:gridCol w:w="886"/>
        <w:gridCol w:w="146"/>
        <w:gridCol w:w="146"/>
        <w:gridCol w:w="226"/>
        <w:gridCol w:w="88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28"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88,000</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28"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86"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86"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176,000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41,000</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102,000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80" w:after="283"/>
        <w:jc w:val="both"/>
        <w:rPr/>
      </w:pPr>
      <w:r>
        <w:rPr/>
        <w:t> </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8. Common Stock</w:t>
      </w:r>
    </w:p>
    <w:p>
      <w:pPr>
        <w:pStyle w:val="TextBody"/>
        <w:bidi w:val="0"/>
        <w:spacing w:before="280" w:after="283"/>
        <w:jc w:val="both"/>
        <w:rPr>
          <w:rFonts w:ascii="Arial" w:hAnsi="Arial"/>
          <w:color w:val="000000"/>
          <w:sz w:val="20"/>
        </w:rPr>
      </w:pPr>
      <w:r>
        <w:rPr>
          <w:rFonts w:ascii="Arial" w:hAnsi="Arial"/>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80" w:after="283"/>
        <w:jc w:val="both"/>
        <w:rPr>
          <w:rFonts w:ascii="Arial" w:hAnsi="Arial"/>
          <w:color w:val="000000"/>
          <w:sz w:val="20"/>
        </w:rPr>
      </w:pPr>
      <w:r>
        <w:rPr>
          <w:rFonts w:ascii="Arial" w:hAnsi="Arial"/>
          <w:color w:val="000000"/>
          <w:sz w:val="20"/>
        </w:rPr>
        <w:t>The Company has reserved the following shares of common stock for future issuance, on an as-converted basis, as follows:</w:t>
      </w:r>
    </w:p>
    <w:p>
      <w:pPr>
        <w:pStyle w:val="TextBody"/>
        <w:bidi w:val="0"/>
        <w:jc w:val="both"/>
        <w:rPr/>
      </w:pPr>
      <w:r>
        <w:rPr/>
        <w:t> </w:t>
      </w:r>
    </w:p>
    <w:tbl>
      <w:tblPr>
        <w:tblW w:w="7744" w:type="dxa"/>
        <w:jc w:val="left"/>
        <w:tblInd w:w="0" w:type="dxa"/>
        <w:tblLayout w:type="fixed"/>
        <w:tblCellMar>
          <w:top w:w="28" w:type="dxa"/>
          <w:left w:w="28" w:type="dxa"/>
          <w:bottom w:w="28" w:type="dxa"/>
          <w:right w:w="28" w:type="dxa"/>
        </w:tblCellMar>
      </w:tblPr>
      <w:tblGrid>
        <w:gridCol w:w="4411"/>
        <w:gridCol w:w="146"/>
        <w:gridCol w:w="146"/>
        <w:gridCol w:w="1066"/>
        <w:gridCol w:w="146"/>
        <w:gridCol w:w="146"/>
        <w:gridCol w:w="146"/>
        <w:gridCol w:w="106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11,013,145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7,130,956</w:t>
            </w:r>
          </w:p>
        </w:tc>
        <w:tc>
          <w:tcPr>
            <w:tcW w:w="47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2020</w:t>
              <w:br/>
              <w:t>   Equity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1,428,486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3,158,094</w:t>
            </w:r>
          </w:p>
        </w:tc>
        <w:tc>
          <w:tcPr>
            <w:tcW w:w="47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1,399,735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1,128,732</w:t>
            </w:r>
          </w:p>
        </w:tc>
        <w:tc>
          <w:tcPr>
            <w:tcW w:w="47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2024</w:t>
              <w:br/>
              <w:t>   Inducement Equity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14,191,366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11,417,782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The Company’s 2020 Equity Incentive Plan, or the 2020 Plan, provides for annual increases in the number of shares that may be issued under the 2020 Plan on January 1, 2021 and each subsequent January 1, thereafter, by a number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shares equal to the least of (1) 3,230,000</w:t>
      </w:r>
      <w:r>
        <w:rPr>
          <w:rFonts w:ascii="Times New Roman" w:hAnsi="Times New Roman"/>
          <w:color w:val="000000"/>
          <w:sz w:val="20"/>
        </w:rPr>
        <w:t xml:space="preserve"> </w:t>
      </w:r>
      <w:r>
        <w:rPr>
          <w:rFonts w:ascii="Arial" w:hAnsi="Arial"/>
          <w:color w:val="000000"/>
          <w:sz w:val="20"/>
        </w:rPr>
        <w:t>shares, (2) 5%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2020 Employee Stock Purchase Plan, or the ESPP, provides for annual increases in the number of shares that may be issued under the ESPP on January 1, 2021 and each subsequent January 1, thereafter, by a number of shares equal to the least of (1) 646,000</w:t>
      </w:r>
      <w:r>
        <w:rPr>
          <w:rFonts w:ascii="Times New Roman" w:hAnsi="Times New Roman"/>
          <w:color w:val="000000"/>
          <w:sz w:val="20"/>
        </w:rPr>
        <w:t xml:space="preserve"> </w:t>
      </w:r>
      <w:r>
        <w:rPr>
          <w:rFonts w:ascii="Arial" w:hAnsi="Arial"/>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Effective January 1, 2024, the Company’s 2020 Plan and ESPP reserves increased by 1,908,630</w:t>
      </w:r>
      <w:r>
        <w:rPr>
          <w:rFonts w:ascii="Times New Roman" w:hAnsi="Times New Roman"/>
          <w:color w:val="000000"/>
          <w:sz w:val="20"/>
        </w:rPr>
        <w:t xml:space="preserve"> </w:t>
      </w:r>
      <w:r>
        <w:rPr>
          <w:rFonts w:ascii="Arial" w:hAnsi="Arial"/>
          <w:color w:val="000000"/>
          <w:sz w:val="20"/>
        </w:rPr>
        <w:t>shares and 381,726</w:t>
      </w:r>
      <w:r>
        <w:rPr>
          <w:rFonts w:ascii="Times New Roman" w:hAnsi="Times New Roman"/>
          <w:color w:val="000000"/>
          <w:sz w:val="20"/>
        </w:rPr>
        <w:t xml:space="preserve"> </w:t>
      </w:r>
      <w:r>
        <w:rPr>
          <w:rFonts w:ascii="Arial" w:hAnsi="Arial"/>
          <w:color w:val="000000"/>
          <w:sz w:val="20"/>
        </w:rPr>
        <w:t>shares, respectively.</w:t>
      </w:r>
    </w:p>
    <w:p>
      <w:pPr>
        <w:pStyle w:val="TextBody"/>
        <w:bidi w:val="0"/>
        <w:spacing w:before="240" w:after="283"/>
        <w:jc w:val="both"/>
        <w:rPr>
          <w:rFonts w:ascii="Times New Roman" w:hAnsi="Times New Roman"/>
          <w:sz w:val="20"/>
        </w:rPr>
      </w:pPr>
      <w:r>
        <w:rPr>
          <w:rFonts w:ascii="Arial" w:hAnsi="Arial"/>
          <w:color w:val="000000"/>
          <w:sz w:val="20"/>
        </w:rPr>
        <w:t>In February 2024, the board of directors adopted the Athira Pharma, Inc. 2024 Inducement Equity Incentive Plan, or the 2024 Inducement Plan, and, subject to the adjustment provisions of the 2024 Inducement Plan, reserved 750,000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2024 Inducement Plan.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9. Stock-based Compensation</w:t>
      </w:r>
    </w:p>
    <w:p>
      <w:pPr>
        <w:pStyle w:val="TextBody"/>
        <w:bidi w:val="0"/>
        <w:spacing w:before="280" w:after="283"/>
        <w:jc w:val="both"/>
        <w:rPr>
          <w:rFonts w:ascii="Arial" w:hAnsi="Arial"/>
          <w:color w:val="000000"/>
          <w:sz w:val="20"/>
        </w:rPr>
      </w:pPr>
      <w:r>
        <w:rPr>
          <w:rFonts w:ascii="Arial" w:hAnsi="Arial"/>
          <w:color w:val="000000"/>
          <w:sz w:val="20"/>
        </w:rPr>
        <w:t>Stock</w:t>
        <w:noBreakHyphen/>
        <w:t>based compensation expense recognized was as follows (in thousands):</w:t>
      </w:r>
    </w:p>
    <w:p>
      <w:pPr>
        <w:pStyle w:val="TextBody"/>
        <w:bidi w:val="0"/>
        <w:jc w:val="both"/>
        <w:rPr/>
      </w:pPr>
      <w:r>
        <w:rPr/>
        <w:t> </w:t>
      </w:r>
    </w:p>
    <w:tbl>
      <w:tblPr>
        <w:tblW w:w="9646" w:type="dxa"/>
        <w:jc w:val="left"/>
        <w:tblInd w:w="0" w:type="dxa"/>
        <w:tblLayout w:type="fixed"/>
        <w:tblCellMar>
          <w:top w:w="28" w:type="dxa"/>
          <w:left w:w="28" w:type="dxa"/>
          <w:bottom w:w="28" w:type="dxa"/>
          <w:right w:w="28" w:type="dxa"/>
        </w:tblCellMar>
      </w:tblPr>
      <w:tblGrid>
        <w:gridCol w:w="4031"/>
        <w:gridCol w:w="146"/>
        <w:gridCol w:w="275"/>
        <w:gridCol w:w="764"/>
        <w:gridCol w:w="190"/>
        <w:gridCol w:w="190"/>
        <w:gridCol w:w="275"/>
        <w:gridCol w:w="764"/>
        <w:gridCol w:w="146"/>
        <w:gridCol w:w="146"/>
        <w:gridCol w:w="251"/>
        <w:gridCol w:w="699"/>
        <w:gridCol w:w="174"/>
        <w:gridCol w:w="174"/>
        <w:gridCol w:w="251"/>
        <w:gridCol w:w="699"/>
        <w:gridCol w:w="47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1,153</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2,139</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2,284</w:t>
            </w:r>
          </w:p>
        </w:tc>
        <w:tc>
          <w:tcPr>
            <w:tcW w:w="47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3,205</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5,884</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i/>
          <w:color w:val="000000"/>
          <w:sz w:val="20"/>
        </w:rPr>
      </w:pPr>
      <w:r>
        <w:rPr>
          <w:rFonts w:ascii="Arial" w:hAnsi="Arial"/>
          <w:b/>
          <w:i/>
          <w:color w:val="000000"/>
          <w:sz w:val="20"/>
        </w:rPr>
        <w:t>Valuation Assumptions</w:t>
      </w:r>
    </w:p>
    <w:p>
      <w:pPr>
        <w:pStyle w:val="TextBody"/>
        <w:bidi w:val="0"/>
        <w:spacing w:before="280" w:after="283"/>
        <w:jc w:val="both"/>
        <w:rPr>
          <w:rFonts w:ascii="Times New Roman" w:hAnsi="Times New Roman"/>
          <w:sz w:val="20"/>
        </w:rPr>
      </w:pPr>
      <w:r>
        <w:rPr>
          <w:rFonts w:ascii="Arial" w:hAnsi="Arial"/>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Fair Value of Common Stock</w:t>
      </w:r>
      <w:r>
        <w:rPr>
          <w:rFonts w:ascii="Arial" w:hAnsi="Arial"/>
          <w:color w:val="000000"/>
          <w:sz w:val="24"/>
        </w:rPr>
        <w:t>—</w:t>
      </w:r>
      <w:r>
        <w:rPr>
          <w:rFonts w:ascii="Arial" w:hAnsi="Arial"/>
          <w:color w:val="000000"/>
          <w:sz w:val="20"/>
        </w:rPr>
        <w:t>The fair value of each share of common stock is based on the closing price of the Company’s common stock on the date of grant, or other relevant determination date, as reported on The Nasdaq Global Select Market.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Risk-Free Interest Rate</w:t>
      </w:r>
      <w:r>
        <w:rPr>
          <w:rFonts w:ascii="Arial" w:hAnsi="Arial"/>
          <w:color w:val="000000"/>
          <w:sz w:val="24"/>
        </w:rPr>
        <w:t>—</w:t>
      </w:r>
      <w:r>
        <w:rPr>
          <w:rFonts w:ascii="Arial" w:hAnsi="Arial"/>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Expected Volatility</w:t>
      </w:r>
      <w:r>
        <w:rPr>
          <w:rFonts w:ascii="Arial" w:hAnsi="Arial"/>
          <w:color w:val="000000"/>
          <w:sz w:val="24"/>
        </w:rPr>
        <w:t>—</w:t>
      </w:r>
      <w:r>
        <w:rPr>
          <w:rFonts w:ascii="Arial" w:hAnsi="Arial"/>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Expected Term</w:t>
      </w:r>
      <w:r>
        <w:rPr>
          <w:rFonts w:ascii="Arial" w:hAnsi="Arial"/>
          <w:color w:val="000000"/>
          <w:sz w:val="24"/>
        </w:rPr>
        <w:t>—</w:t>
      </w:r>
      <w:r>
        <w:rPr>
          <w:rFonts w:ascii="Arial" w:hAnsi="Arial"/>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Expected Dividend Yield</w:t>
      </w:r>
      <w:r>
        <w:rPr>
          <w:rFonts w:ascii="Arial" w:hAnsi="Arial"/>
          <w:color w:val="000000"/>
          <w:sz w:val="24"/>
        </w:rPr>
        <w:t>—</w:t>
      </w:r>
      <w:r>
        <w:rPr>
          <w:rFonts w:ascii="Arial" w:hAnsi="Arial"/>
          <w:color w:val="000000"/>
          <w:sz w:val="20"/>
        </w:rPr>
        <w:t>The Company has never paid dividends on its common stock and has no plans to pay dividends going forward. Therefore, it used an expected dividend yield of zero.</w:t>
      </w:r>
    </w:p>
    <w:p>
      <w:pPr>
        <w:pStyle w:val="TextBody"/>
        <w:bidi w:val="0"/>
        <w:spacing w:before="280" w:after="283"/>
        <w:jc w:val="both"/>
        <w:rPr>
          <w:rFonts w:ascii="Times New Roman" w:hAnsi="Times New Roman"/>
          <w:sz w:val="20"/>
        </w:rPr>
      </w:pPr>
      <w:r>
        <w:rPr>
          <w:rFonts w:ascii="Arial" w:hAnsi="Arial"/>
          <w:color w:val="000000"/>
          <w:sz w:val="20"/>
        </w:rPr>
        <w:t>The fair value of each stock option was estimated using the Black-Scholes option-pricing model with the following weighted-average assumptions:</w:t>
      </w:r>
      <w:r>
        <w:rPr>
          <w:rFonts w:ascii="Times New Roman" w:hAnsi="Times New Roman"/>
          <w:color w:val="000000"/>
          <w:sz w:val="20"/>
        </w:rPr>
        <w:t xml:space="preserve"> </w:t>
      </w:r>
    </w:p>
    <w:p>
      <w:pPr>
        <w:pStyle w:val="TextBody"/>
        <w:bidi w:val="0"/>
        <w:jc w:val="both"/>
        <w:rPr/>
      </w:pPr>
      <w:r>
        <w:rPr/>
        <w:t> </w:t>
      </w:r>
    </w:p>
    <w:tbl>
      <w:tblPr>
        <w:tblW w:w="4991" w:type="dxa"/>
        <w:jc w:val="left"/>
        <w:tblInd w:w="0" w:type="dxa"/>
        <w:tblLayout w:type="fixed"/>
        <w:tblCellMar>
          <w:top w:w="28" w:type="dxa"/>
          <w:left w:w="28" w:type="dxa"/>
          <w:bottom w:w="28" w:type="dxa"/>
          <w:right w:w="28" w:type="dxa"/>
        </w:tblCellMar>
      </w:tblPr>
      <w:tblGrid>
        <w:gridCol w:w="2266"/>
        <w:gridCol w:w="146"/>
        <w:gridCol w:w="173"/>
        <w:gridCol w:w="695"/>
        <w:gridCol w:w="339"/>
        <w:gridCol w:w="173"/>
        <w:gridCol w:w="173"/>
        <w:gridCol w:w="695"/>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4.26</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96.93</w:t>
            </w:r>
          </w:p>
        </w:tc>
        <w:tc>
          <w:tcPr>
            <w:tcW w:w="3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99.09</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339"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5.83</w:t>
            </w:r>
          </w:p>
        </w:tc>
        <w:tc>
          <w:tcPr>
            <w:tcW w:w="33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color w:val="000000"/>
              </w:rPr>
            </w:pPr>
            <w:r>
              <w:rPr>
                <w:color w:val="000000"/>
              </w:rPr>
              <w:t>—</w:t>
            </w:r>
          </w:p>
        </w:tc>
        <w:tc>
          <w:tcPr>
            <w:tcW w:w="339"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grant date fair value of restricted stock units is based upon the fair market value of the Company’s common stock based on its closing price as reported on the date of grant on the Nasdaq Global Select Market.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fair value of options granted during the six months ended June 30, 2024 and 2023</w:t>
      </w:r>
      <w:r>
        <w:rPr>
          <w:rFonts w:ascii="Times New Roman" w:hAnsi="Times New Roman"/>
          <w:color w:val="000000"/>
          <w:sz w:val="20"/>
        </w:rPr>
        <w:t xml:space="preserve"> </w:t>
      </w:r>
      <w:r>
        <w:rPr>
          <w:rFonts w:ascii="Arial" w:hAnsi="Arial"/>
          <w:color w:val="000000"/>
          <w:sz w:val="20"/>
        </w:rPr>
        <w:t>was $10.2</w:t>
      </w:r>
      <w:r>
        <w:rPr>
          <w:rFonts w:ascii="Times New Roman" w:hAnsi="Times New Roman"/>
          <w:color w:val="000000"/>
          <w:sz w:val="20"/>
        </w:rPr>
        <w:t xml:space="preserve"> </w:t>
      </w:r>
      <w:r>
        <w:rPr>
          <w:rFonts w:ascii="Arial" w:hAnsi="Arial"/>
          <w:color w:val="000000"/>
          <w:sz w:val="20"/>
        </w:rPr>
        <w:t>million and $9.5</w:t>
      </w:r>
      <w:r>
        <w:rPr>
          <w:rFonts w:ascii="Times New Roman" w:hAnsi="Times New Roman"/>
          <w:color w:val="000000"/>
          <w:sz w:val="20"/>
        </w:rPr>
        <w:t xml:space="preserve"> </w:t>
      </w:r>
      <w:r>
        <w:rPr>
          <w:rFonts w:ascii="Arial" w:hAnsi="Arial"/>
          <w:color w:val="000000"/>
          <w:sz w:val="20"/>
        </w:rPr>
        <w:t>million, respectively. The fair value of restricted stock units granted during the six months ended June 30, 2023 was $0.4</w:t>
      </w:r>
      <w:r>
        <w:rPr>
          <w:rFonts w:ascii="Times New Roman" w:hAnsi="Times New Roman"/>
          <w:color w:val="000000"/>
          <w:sz w:val="20"/>
        </w:rPr>
        <w:t xml:space="preserve"> </w:t>
      </w:r>
      <w:r>
        <w:rPr>
          <w:rFonts w:ascii="Arial" w:hAnsi="Arial"/>
          <w:color w:val="000000"/>
          <w:sz w:val="20"/>
        </w:rPr>
        <w:t>million. There were no</w:t>
      </w:r>
      <w:r>
        <w:rPr>
          <w:rFonts w:ascii="Times New Roman" w:hAnsi="Times New Roman"/>
          <w:color w:val="000000"/>
          <w:sz w:val="20"/>
        </w:rPr>
        <w:t xml:space="preserve"> </w:t>
      </w:r>
      <w:r>
        <w:rPr>
          <w:rFonts w:ascii="Arial" w:hAnsi="Arial"/>
          <w:color w:val="000000"/>
          <w:sz w:val="20"/>
        </w:rPr>
        <w:t>restricted stock units granted during the six months ended June 30, 2024.</w:t>
      </w:r>
    </w:p>
    <w:p>
      <w:pPr>
        <w:pStyle w:val="TextBody"/>
        <w:bidi w:val="0"/>
        <w:spacing w:before="240" w:after="283"/>
        <w:jc w:val="both"/>
        <w:rPr>
          <w:rFonts w:ascii="Arial" w:hAnsi="Arial"/>
          <w:b/>
          <w:i/>
          <w:color w:val="000000"/>
          <w:sz w:val="20"/>
        </w:rPr>
      </w:pPr>
      <w:r>
        <w:rPr>
          <w:rFonts w:ascii="Arial" w:hAnsi="Arial"/>
          <w:b/>
          <w:i/>
          <w:color w:val="000000"/>
          <w:sz w:val="20"/>
        </w:rPr>
        <w:t>Stock Option Activity</w:t>
      </w:r>
    </w:p>
    <w:p>
      <w:pPr>
        <w:pStyle w:val="TextBody"/>
        <w:bidi w:val="0"/>
        <w:spacing w:before="280" w:after="283"/>
        <w:jc w:val="both"/>
        <w:rPr>
          <w:rFonts w:ascii="Arial" w:hAnsi="Arial"/>
          <w:color w:val="000000"/>
          <w:sz w:val="20"/>
        </w:rPr>
      </w:pPr>
      <w:r>
        <w:rPr>
          <w:rFonts w:ascii="Arial" w:hAnsi="Arial"/>
          <w:color w:val="000000"/>
          <w:sz w:val="20"/>
        </w:rPr>
        <w:t>Changes in shares available for grant under the 2020 Plan and the 2024 Inducement Plan during the six months ended June 30, 2024 were as follows:</w:t>
      </w:r>
    </w:p>
    <w:p>
      <w:pPr>
        <w:pStyle w:val="TextBody"/>
        <w:bidi w:val="0"/>
        <w:jc w:val="both"/>
        <w:rPr/>
      </w:pPr>
      <w:r>
        <w:rPr/>
        <w:t> </w:t>
      </w:r>
    </w:p>
    <w:tbl>
      <w:tblPr>
        <w:tblW w:w="5845" w:type="dxa"/>
        <w:jc w:val="left"/>
        <w:tblInd w:w="0" w:type="dxa"/>
        <w:tblLayout w:type="fixed"/>
        <w:tblCellMar>
          <w:top w:w="28" w:type="dxa"/>
          <w:left w:w="28" w:type="dxa"/>
          <w:bottom w:w="28" w:type="dxa"/>
          <w:right w:w="28" w:type="dxa"/>
        </w:tblCellMar>
      </w:tblPr>
      <w:tblGrid>
        <w:gridCol w:w="4321"/>
        <w:gridCol w:w="146"/>
        <w:gridCol w:w="146"/>
        <w:gridCol w:w="102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3,158,094</w:t>
            </w:r>
          </w:p>
        </w:tc>
        <w:tc>
          <w:tcPr>
            <w:tcW w:w="21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2020 Plan reserve increase on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1,908,630</w:t>
            </w:r>
          </w:p>
        </w:tc>
        <w:tc>
          <w:tcPr>
            <w:tcW w:w="21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reserved upon adoption of the</w:t>
              <w:br/>
              <w:t>   2024 Inducement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750,000</w:t>
            </w:r>
          </w:p>
        </w:tc>
        <w:tc>
          <w:tcPr>
            <w:tcW w:w="21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and restricted stock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(4,088,804</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Options and restricted stock units forfeited, </w:t>
              <w:br/>
              <w:t>   cancelled, or expired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1,778,486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 summary of stock option activity under the 2020 Plan and the 2024 Inducement Plan for the six months ended June 30, 2024 was as follows:</w:t>
      </w:r>
    </w:p>
    <w:p>
      <w:pPr>
        <w:pStyle w:val="TextBody"/>
        <w:bidi w:val="0"/>
        <w:jc w:val="both"/>
        <w:rPr/>
      </w:pPr>
      <w:r>
        <w:rPr/>
        <w:t> </w:t>
      </w:r>
    </w:p>
    <w:tbl>
      <w:tblPr>
        <w:tblW w:w="8223" w:type="dxa"/>
        <w:jc w:val="left"/>
        <w:tblInd w:w="0" w:type="dxa"/>
        <w:tblLayout w:type="fixed"/>
        <w:tblCellMar>
          <w:top w:w="28" w:type="dxa"/>
          <w:left w:w="28" w:type="dxa"/>
          <w:bottom w:w="28" w:type="dxa"/>
          <w:right w:w="28" w:type="dxa"/>
        </w:tblCellMar>
      </w:tblPr>
      <w:tblGrid>
        <w:gridCol w:w="2806"/>
        <w:gridCol w:w="146"/>
        <w:gridCol w:w="146"/>
        <w:gridCol w:w="1066"/>
        <w:gridCol w:w="166"/>
        <w:gridCol w:w="146"/>
        <w:gridCol w:w="242"/>
        <w:gridCol w:w="674"/>
        <w:gridCol w:w="146"/>
        <w:gridCol w:w="146"/>
        <w:gridCol w:w="241"/>
        <w:gridCol w:w="795"/>
        <w:gridCol w:w="146"/>
        <w:gridCol w:w="146"/>
        <w:gridCol w:w="339"/>
        <w:gridCol w:w="6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6,820,869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4,088,804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Forfeited/expired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10,859,107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655</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6,618,731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4,240,376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total fair value of options granted that vested during the six months ended June 30, 2024 and 2023</w:t>
      </w:r>
      <w:r>
        <w:rPr>
          <w:rFonts w:ascii="Times New Roman" w:hAnsi="Times New Roman"/>
          <w:color w:val="000000"/>
          <w:sz w:val="20"/>
        </w:rPr>
        <w:t xml:space="preserve"> </w:t>
      </w:r>
      <w:r>
        <w:rPr>
          <w:rFonts w:ascii="Arial" w:hAnsi="Arial"/>
          <w:color w:val="000000"/>
          <w:sz w:val="20"/>
        </w:rPr>
        <w:t>was $6.6</w:t>
      </w:r>
      <w:r>
        <w:rPr>
          <w:rFonts w:ascii="Times New Roman" w:hAnsi="Times New Roman"/>
          <w:color w:val="000000"/>
          <w:sz w:val="20"/>
        </w:rPr>
        <w:t xml:space="preserve"> </w:t>
      </w:r>
      <w:r>
        <w:rPr>
          <w:rFonts w:ascii="Arial" w:hAnsi="Arial"/>
          <w:color w:val="000000"/>
          <w:sz w:val="20"/>
        </w:rPr>
        <w:t>million and $6.1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both"/>
        <w:rPr>
          <w:rFonts w:ascii="Times New Roman" w:hAnsi="Times New Roman"/>
          <w:sz w:val="20"/>
        </w:rPr>
      </w:pPr>
      <w:r>
        <w:rPr>
          <w:rFonts w:ascii="Arial" w:hAnsi="Arial"/>
          <w:color w:val="000000"/>
          <w:sz w:val="20"/>
        </w:rPr>
        <w:t>The aggregate intrinsic value in the table above is calculated as the difference between the exercise price of the underlying options and the estimated fair value of the Company’s common stock underlying all options that were in-the-money at June 30, 2024. The aggregate intrinsic value of options exercised was $0.2</w:t>
      </w:r>
      <w:r>
        <w:rPr>
          <w:rFonts w:ascii="Times New Roman" w:hAnsi="Times New Roman"/>
          <w:color w:val="000000"/>
          <w:sz w:val="20"/>
        </w:rPr>
        <w:t xml:space="preserve"> </w:t>
      </w:r>
      <w:r>
        <w:rPr>
          <w:rFonts w:ascii="Arial" w:hAnsi="Arial"/>
          <w:color w:val="000000"/>
          <w:sz w:val="20"/>
        </w:rPr>
        <w:t>million during the six months ended June 30, 2023, determined as of the date of option exercise. There were no</w:t>
      </w:r>
      <w:r>
        <w:rPr>
          <w:rFonts w:ascii="Times New Roman" w:hAnsi="Times New Roman"/>
          <w:color w:val="000000"/>
          <w:sz w:val="20"/>
        </w:rPr>
        <w:t xml:space="preserve"> </w:t>
      </w:r>
      <w:r>
        <w:rPr>
          <w:rFonts w:ascii="Arial" w:hAnsi="Arial"/>
          <w:color w:val="000000"/>
          <w:sz w:val="20"/>
        </w:rPr>
        <w:t>options exercised during the six months ended June 30, 2024. As of June 30, 2024, there was $20.6</w:t>
      </w:r>
      <w:r>
        <w:rPr>
          <w:rFonts w:ascii="Times New Roman" w:hAnsi="Times New Roman"/>
          <w:color w:val="000000"/>
          <w:sz w:val="20"/>
        </w:rPr>
        <w:t xml:space="preserve"> </w:t>
      </w:r>
      <w:r>
        <w:rPr>
          <w:rFonts w:ascii="Arial" w:hAnsi="Arial"/>
          <w:color w:val="000000"/>
          <w:sz w:val="20"/>
        </w:rPr>
        <w:t>million of total unrecognized compensation cost related to non-vested stock options. The Company expects to recognize this cost over a remaining weighted-average period of 2.4 years. The Company utilizes newly issued shares to satisfy option exercises.</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Stock options outstanding and exercisable under the 2020 Plan and the 2024 Inducement Plan consisted of the following at June 30, 2024:</w:t>
      </w:r>
    </w:p>
    <w:p>
      <w:pPr>
        <w:pStyle w:val="TextBody"/>
        <w:bidi w:val="0"/>
        <w:jc w:val="both"/>
        <w:rPr/>
      </w:pPr>
      <w:r>
        <w:rPr/>
        <w:t> </w:t>
      </w:r>
    </w:p>
    <w:tbl>
      <w:tblPr>
        <w:tblW w:w="4699" w:type="dxa"/>
        <w:jc w:val="left"/>
        <w:tblInd w:w="0" w:type="dxa"/>
        <w:tblLayout w:type="fixed"/>
        <w:tblCellMar>
          <w:top w:w="28" w:type="dxa"/>
          <w:left w:w="28" w:type="dxa"/>
          <w:bottom w:w="28" w:type="dxa"/>
          <w:right w:w="28" w:type="dxa"/>
        </w:tblCellMar>
      </w:tblPr>
      <w:tblGrid>
        <w:gridCol w:w="1471"/>
        <w:gridCol w:w="146"/>
        <w:gridCol w:w="146"/>
        <w:gridCol w:w="1066"/>
        <w:gridCol w:w="146"/>
        <w:gridCol w:w="146"/>
        <w:gridCol w:w="146"/>
        <w:gridCol w:w="961"/>
        <w:gridCol w:w="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11" w:type="dxa"/>
            <w:gridSpan w:val="6"/>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0.16</w:t>
            </w:r>
            <w:r>
              <w:rPr>
                <w:rFonts w:ascii="Times New Roman" w:hAnsi="Times New Roman"/>
                <w:color w:val="000000"/>
                <w:sz w:val="20"/>
              </w:rPr>
              <w:t> </w:t>
            </w:r>
            <w:r>
              <w:rPr>
                <w:rFonts w:ascii="Arial" w:hAnsi="Arial"/>
                <w:color w:val="000000"/>
                <w:sz w:val="20"/>
              </w:rPr>
              <w:t>to 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7,779,053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2,094,571</w:t>
            </w:r>
          </w:p>
        </w:tc>
        <w:tc>
          <w:tcPr>
            <w:tcW w:w="47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8.93</w:t>
            </w:r>
            <w:r>
              <w:rPr>
                <w:rFonts w:ascii="Times New Roman" w:hAnsi="Times New Roman"/>
                <w:color w:val="000000"/>
                <w:sz w:val="20"/>
              </w:rPr>
              <w:t> </w:t>
            </w:r>
            <w:r>
              <w:rPr>
                <w:rFonts w:ascii="Arial" w:hAnsi="Arial"/>
                <w:color w:val="000000"/>
                <w:sz w:val="20"/>
              </w:rPr>
              <w:t>to 19.94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2,727,806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1,873,340</w:t>
            </w:r>
          </w:p>
        </w:tc>
        <w:tc>
          <w:tcPr>
            <w:tcW w:w="47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20.55</w:t>
            </w:r>
            <w:r>
              <w:rPr>
                <w:rFonts w:ascii="Times New Roman" w:hAnsi="Times New Roman"/>
                <w:color w:val="000000"/>
                <w:sz w:val="20"/>
              </w:rPr>
              <w:t> </w:t>
            </w:r>
            <w:r>
              <w:rPr>
                <w:rFonts w:ascii="Arial" w:hAnsi="Arial"/>
                <w:color w:val="000000"/>
                <w:sz w:val="20"/>
              </w:rPr>
              <w:t>to 29.41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272,465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10,859,107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4,240,376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Restricted Stock Unit Activity</w:t>
      </w:r>
    </w:p>
    <w:p>
      <w:pPr>
        <w:pStyle w:val="TextBody"/>
        <w:bidi w:val="0"/>
        <w:spacing w:before="280" w:after="283"/>
        <w:jc w:val="both"/>
        <w:rPr>
          <w:rFonts w:ascii="Arial" w:hAnsi="Arial"/>
          <w:color w:val="000000"/>
          <w:sz w:val="20"/>
        </w:rPr>
      </w:pPr>
      <w:r>
        <w:rPr>
          <w:rFonts w:ascii="Arial" w:hAnsi="Arial"/>
          <w:color w:val="000000"/>
          <w:sz w:val="20"/>
        </w:rPr>
        <w:t>A summary of restricted stock unit, or RSU, activity for the six months ended June 30, 2024 is as follows:</w:t>
      </w:r>
    </w:p>
    <w:p>
      <w:pPr>
        <w:pStyle w:val="TextBody"/>
        <w:bidi w:val="0"/>
        <w:jc w:val="both"/>
        <w:rPr/>
      </w:pPr>
      <w:r>
        <w:rPr/>
        <w:t> </w:t>
      </w:r>
    </w:p>
    <w:tbl>
      <w:tblPr>
        <w:tblW w:w="5702" w:type="dxa"/>
        <w:jc w:val="left"/>
        <w:tblInd w:w="0" w:type="dxa"/>
        <w:tblLayout w:type="fixed"/>
        <w:tblCellMar>
          <w:top w:w="28" w:type="dxa"/>
          <w:left w:w="28" w:type="dxa"/>
          <w:bottom w:w="28" w:type="dxa"/>
          <w:right w:w="28" w:type="dxa"/>
        </w:tblCellMar>
      </w:tblPr>
      <w:tblGrid>
        <w:gridCol w:w="3091"/>
        <w:gridCol w:w="146"/>
        <w:gridCol w:w="146"/>
        <w:gridCol w:w="856"/>
        <w:gridCol w:w="166"/>
        <w:gridCol w:w="146"/>
        <w:gridCol w:w="253"/>
        <w:gridCol w:w="707"/>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310,087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11.44</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both"/>
        <w:rPr>
          <w:rFonts w:ascii="Arial" w:hAnsi="Arial"/>
          <w:b/>
          <w:color w:val="212121"/>
          <w:sz w:val="20"/>
        </w:rPr>
      </w:pPr>
      <w:r>
        <w:rPr>
          <w:rFonts w:ascii="Arial" w:hAnsi="Arial"/>
          <w:b/>
          <w:color w:val="212121"/>
          <w:sz w:val="20"/>
        </w:rPr>
        <w:t>10. Net Loss Per Share Attributable to Common Stockholders</w:t>
      </w:r>
    </w:p>
    <w:p>
      <w:pPr>
        <w:pStyle w:val="TextBody"/>
        <w:bidi w:val="0"/>
        <w:spacing w:before="280" w:after="283"/>
        <w:jc w:val="both"/>
        <w:rPr>
          <w:rFonts w:ascii="Arial" w:hAnsi="Arial"/>
          <w:color w:val="212121"/>
          <w:sz w:val="20"/>
        </w:rPr>
      </w:pPr>
      <w:r>
        <w:rPr>
          <w:rFonts w:ascii="Arial" w:hAnsi="Arial"/>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jc w:val="both"/>
        <w:rPr/>
      </w:pPr>
      <w:r>
        <w:rPr/>
        <w:t> </w:t>
      </w:r>
    </w:p>
    <w:tbl>
      <w:tblPr>
        <w:tblW w:w="6979"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146"/>
        <w:gridCol w:w="961"/>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10,859,107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7,326,434</w:t>
            </w:r>
          </w:p>
        </w:tc>
        <w:tc>
          <w:tcPr>
            <w:tcW w:w="47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154,038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350,172</w:t>
            </w:r>
          </w:p>
        </w:tc>
        <w:tc>
          <w:tcPr>
            <w:tcW w:w="47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11,017,291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7,680,079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80" w:after="283"/>
        <w:jc w:val="both"/>
        <w:rPr>
          <w:rFonts w:ascii="Arial" w:hAnsi="Arial"/>
          <w:i/>
          <w:color w:val="000000"/>
          <w:sz w:val="20"/>
        </w:rPr>
      </w:pPr>
      <w:r>
        <w:rPr>
          <w:rFonts w:ascii="Arial" w:hAnsi="Arial"/>
          <w:i/>
          <w:color w:val="000000"/>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February 22, 2024.</w:t>
      </w:r>
    </w:p>
    <w:p>
      <w:pPr>
        <w:pStyle w:val="TextBody"/>
        <w:bidi w:val="0"/>
        <w:spacing w:before="28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280" w:after="283"/>
        <w:jc w:val="both"/>
        <w:rPr>
          <w:rFonts w:ascii="Arial" w:hAnsi="Arial"/>
          <w:color w:val="000000"/>
          <w:sz w:val="20"/>
        </w:rPr>
      </w:pPr>
      <w:r>
        <w:rPr>
          <w:rFonts w:ascii="Arial" w:hAnsi="Arial"/>
          <w:color w:val="000000"/>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80" w:after="283"/>
        <w:jc w:val="both"/>
        <w:rPr>
          <w:rFonts w:ascii="Arial" w:hAnsi="Arial"/>
          <w:color w:val="000000"/>
          <w:sz w:val="20"/>
        </w:rPr>
      </w:pPr>
      <w:r>
        <w:rPr>
          <w:rFonts w:ascii="Arial" w:hAnsi="Arial"/>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sufficiency of our existing cash, cash equivalents and investments to fund our future operating expenses and capital expenditure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funding for our operations, including funding necessary to develop and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ability of our nonclinical studies and clinical trials to demonstrate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learnings from our ACT-AD and SHAPE trials and LIFT-AD independent unblinded interim efficacy and futility analysis and their ability to inform and improve future clinical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of LIFT-AD to show clinical benefits of fosgonimeton;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and focus of our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anticipated milestone timelines, such as the timing of data releases, and our ability to meet such timelines;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relating to commercializing our drug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establish sales, marketing and distribution infrastructure to commercialize any drug candidates for which we obtain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and retain key managerial, scientific and clinical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drug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reliance on third parties to conduct clinical trials of our drug candidates, and for the manufacture of our drug candidates for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beneficial characteristics, safety and efficacy of our drug candidates;</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developments in the United States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obtain or protect intellectual property rights, including extensions of existing patent terms where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drug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of legal proceedings which have been or may in the future be instituted against us and certain of our directors and officers, including the legal proceedings discussed in Part II, Item 1 — "Legal Proceedings,” and elsewhere in this report;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size and growth potential of the markets for our drug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benefits of any strategic collaboration agreements we may enter into;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the time during which we will be an emerging growth company under the JOBS Act.</w:t>
      </w:r>
    </w:p>
    <w:p>
      <w:pPr>
        <w:pStyle w:val="TextBody"/>
        <w:bidi w:val="0"/>
        <w:spacing w:before="280" w:after="283"/>
        <w:jc w:val="both"/>
        <w:rPr>
          <w:rFonts w:ascii="Arial" w:hAnsi="Arial"/>
          <w:color w:val="000000"/>
          <w:sz w:val="20"/>
        </w:rPr>
      </w:pPr>
      <w:r>
        <w:rPr>
          <w:rFonts w:ascii="Arial" w:hAnsi="Arial"/>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80" w:after="283"/>
        <w:jc w:val="both"/>
        <w:rPr>
          <w:rFonts w:ascii="Arial" w:hAnsi="Arial"/>
          <w:color w:val="000000"/>
          <w:sz w:val="20"/>
        </w:rPr>
      </w:pPr>
      <w:r>
        <w:rPr>
          <w:rFonts w:ascii="Arial" w:hAnsi="Arial"/>
          <w:color w:val="000000"/>
          <w:sz w:val="20"/>
        </w:rPr>
        <w:t>This report includes our trademarks and registered trademarks, including Athira, Athira Pharma, the Athira logo, and other trademarks, trade names, or service marks of Athira. All other trademarks, trade names or service marks appearing in this report belong to their respective holders. Solely for convenience, trademarks, trade names, and service marks referred to in this report are listed without ® or TM symbols, but we will assert, to the fullest extent under applicable law, our rights to these trademarks, trade names, and service marks.</w:t>
      </w:r>
    </w:p>
    <w:p>
      <w:pPr>
        <w:pStyle w:val="TextBody"/>
        <w:bidi w:val="0"/>
        <w:spacing w:before="280" w:after="283"/>
        <w:jc w:val="both"/>
        <w:rPr>
          <w:rFonts w:ascii="Arial" w:hAnsi="Arial"/>
          <w:color w:val="000000"/>
          <w:sz w:val="20"/>
        </w:rPr>
      </w:pPr>
      <w:r>
        <w:rPr>
          <w:rFonts w:ascii="Arial" w:hAnsi="Arial"/>
          <w:color w:val="000000"/>
          <w:sz w:val="20"/>
        </w:rPr>
        <w:t>In this report, “we,” “our,” “us,” “Athira,” and “the Company” refer to Athira Pharma, Inc. and our wholly owned subsidiary.</w:t>
      </w:r>
    </w:p>
    <w:p>
      <w:pPr>
        <w:pStyle w:val="TextBody"/>
        <w:bidi w:val="0"/>
        <w:spacing w:before="280" w:after="283"/>
        <w:jc w:val="both"/>
        <w:rPr>
          <w:rFonts w:ascii="Arial" w:hAnsi="Arial"/>
          <w:b/>
          <w:color w:val="000000"/>
          <w:sz w:val="20"/>
        </w:rPr>
      </w:pPr>
      <w:r>
        <w:rPr>
          <w:rFonts w:ascii="Arial" w:hAnsi="Arial"/>
          <w:b/>
          <w:color w:val="000000"/>
          <w:sz w:val="20"/>
        </w:rPr>
        <w:t>Overview</w:t>
      </w:r>
    </w:p>
    <w:p>
      <w:pPr>
        <w:pStyle w:val="TextBody"/>
        <w:bidi w:val="0"/>
        <w:spacing w:before="280" w:after="283"/>
        <w:jc w:val="both"/>
        <w:rPr>
          <w:rFonts w:ascii="Times New Roman" w:hAnsi="Times New Roman"/>
          <w:sz w:val="20"/>
        </w:rPr>
      </w:pPr>
      <w:r>
        <w:rPr>
          <w:rFonts w:ascii="Arial" w:hAnsi="Arial"/>
          <w:color w:val="000000"/>
          <w:sz w:val="20"/>
        </w:rPr>
        <w:t>We are a late clinical-stage biopharmaceutical company focused on developing small molecules engineered to restore neuronal health and slow neurodegeneration. Our approach is designed to modulate the neurotrophic hepatocyte growth factor, or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central nervous system, or CNS, by crossing the blood brain barrier, or BBB, or the peripheral nervous system, or PNS.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Our lead drug candidate, fosgonimeton, is a potentially first-in-class, small molecule drug candidate designed to positively modulate the neurotrophic HGF system for potential treatment of neurodegenerative diseases. The effects of fosgonimeton in its primary target indication, Alzheimer's disease, or AD, were previously evaluated in our ACT-AD clinical trial and are currently being evaluated in our LIFT-AD clinical trial.</w:t>
      </w:r>
    </w:p>
    <w:p>
      <w:pPr>
        <w:pStyle w:val="TextBody"/>
        <w:bidi w:val="0"/>
        <w:spacing w:before="280" w:after="283"/>
        <w:jc w:val="both"/>
        <w:rPr/>
      </w:pPr>
      <w:r>
        <w:rPr>
          <w:rFonts w:ascii="Arial" w:hAnsi="Arial"/>
          <w:color w:val="000000"/>
          <w:sz w:val="20"/>
        </w:rPr>
        <w:t>ACT-AD</w:t>
      </w:r>
      <w:hyperlink w:anchor="mda_footnote_1">
        <w:r>
          <w:rPr>
            <w:rStyle w:val="InternetLink"/>
            <w:rFonts w:ascii="Arial" w:hAnsi="Arial"/>
            <w:color w:val="0000FF"/>
            <w:sz w:val="13"/>
            <w:u w:val="single"/>
          </w:rPr>
          <w:t>1</w:t>
        </w:r>
      </w:hyperlink>
      <w:r>
        <w:rPr>
          <w:rFonts w:ascii="Times New Roman" w:hAnsi="Times New Roman"/>
          <w:color w:val="000000"/>
          <w:sz w:val="20"/>
        </w:rPr>
        <w:t xml:space="preserve"> </w:t>
      </w:r>
      <w:r>
        <w:rPr>
          <w:rFonts w:ascii="Arial" w:hAnsi="Arial"/>
          <w:color w:val="000000"/>
          <w:sz w:val="20"/>
        </w:rPr>
        <w:t>was a randomized, double-blind, placebo-controlled, parallel-group 26-week exploratory Phase 2 clinical trial with fosgonimeton in mild-to-moderate AD, with event-related potential, or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or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treatment-related serious adverse events or deaths observed. While we have completed the ACT-AD trial, its open-label extension is ongoing.</w:t>
      </w:r>
    </w:p>
    <w:p>
      <w:pPr>
        <w:pStyle w:val="TextBody"/>
        <w:bidi w:val="0"/>
        <w:spacing w:before="280" w:after="283"/>
        <w:jc w:val="both"/>
        <w:rPr>
          <w:rFonts w:ascii="Arial" w:hAnsi="Arial"/>
          <w:color w:val="000000"/>
          <w:sz w:val="20"/>
        </w:rPr>
      </w:pPr>
      <w:r>
        <w:rPr>
          <w:rFonts w:ascii="Arial" w:hAnsi="Arial"/>
          <w:color w:val="000000"/>
          <w:sz w:val="20"/>
        </w:rPr>
        <w:t>LIFT-AD is a randomized, double-blind, placebo-controlled, parallel-group 26-week Phase 2/3 clinical trial with fosgonimeton in mild-to-moderate AD. The primary endpoint for the Phase 2/3 LIFT-AD trial is the Global Statistical Test, or GST, which combines the scores from the co-key secondary endpoints of cognition (Alzheimer's Disease Assessment Scale-Cognitive Subscale, or ADAS-Cog11) and function (Alzheimer’s Disease Cooperative Study-Activities of Daily Living, or ADCS-ADL23), and which we believe is a comprehensive measure of overall disease burden. Guided by the results from the completed exploratory ACT-AD Phase 2 trial, in September 2022, we proactively amended LIFT-AD to focus on participants not on background AChEIs, and in May 2023, we further amended LIFT-AD to focus on 40 mg dosing, which we have selected for further development and as the potential dose for regulatory approval of fosgonimeton in this indication. In January 2024, we announced the completion of enrollment with a total of approximately 315 patients randomized in the primary analysis population. In July 2024, we announced the completion of dosing for the last patient in LIFT-AD and that we are targeting to report topline LIFT-AD results by the end of the third quarter of 2024.</w:t>
      </w:r>
    </w:p>
    <w:p>
      <w:pPr>
        <w:pStyle w:val="TextBody"/>
        <w:bidi w:val="0"/>
        <w:spacing w:before="280" w:after="283"/>
        <w:jc w:val="both"/>
        <w:rPr/>
      </w:pPr>
      <w:r>
        <w:rPr>
          <w:rFonts w:ascii="Arial" w:hAnsi="Arial"/>
          <w:color w:val="000000"/>
          <w:sz w:val="20"/>
        </w:rPr>
        <w:t>In July 2021, we announced that we would enroll participants into an open-label extension, or OLEX, trial</w:t>
      </w:r>
      <w:hyperlink w:anchor="mda_footnote_1">
        <w:r>
          <w:rPr>
            <w:rStyle w:val="InternetLink"/>
            <w:rFonts w:ascii="Arial" w:hAnsi="Arial"/>
            <w:color w:val="0000FF"/>
            <w:sz w:val="13"/>
            <w:u w:val="single"/>
          </w:rPr>
          <w:t>1</w:t>
        </w:r>
      </w:hyperlink>
      <w:r>
        <w:rPr>
          <w:rFonts w:ascii="Times New Roman" w:hAnsi="Times New Roman"/>
          <w:color w:val="000000"/>
          <w:sz w:val="20"/>
        </w:rPr>
        <w:t xml:space="preserve"> </w:t>
      </w:r>
      <w:r>
        <w:rPr>
          <w:rFonts w:ascii="Arial" w:hAnsi="Arial"/>
          <w:color w:val="000000"/>
          <w:sz w:val="20"/>
        </w:rPr>
        <w:t>for our LIFT-AD and ACT-AD clinical trials, enabling eligible participants who have completed either trial and elect to participate in the OLEX trial to receive open-label treatment with fosgonimeton. Subsequently, we have extended the OLEX trial several times and eligible participants may now receive up to 48 months of open-label treatment, which allows us to collect up to 54 months total of long-term exposure data.</w:t>
      </w:r>
    </w:p>
    <w:p>
      <w:pPr>
        <w:pStyle w:val="TextBody"/>
        <w:bidi w:val="0"/>
        <w:spacing w:before="280" w:after="283"/>
        <w:jc w:val="both"/>
        <w:rPr/>
      </w:pPr>
      <w:r>
        <w:rPr/>
        <w:t> </w:t>
      </w:r>
    </w:p>
    <w:p>
      <w:pPr>
        <w:pStyle w:val="TextBody"/>
        <w:pBdr>
          <w:bottom w:val="single" w:sz="4" w:space="1" w:color="000000"/>
        </w:pBdr>
        <w:bidi w:val="0"/>
        <w:jc w:val="left"/>
        <w:rPr/>
      </w:pPr>
      <w:r>
        <w:rPr/>
        <w:t> </w:t>
      </w:r>
    </w:p>
    <w:p>
      <w:pPr>
        <w:pStyle w:val="TextBody"/>
        <w:bidi w:val="0"/>
        <w:spacing w:before="240" w:after="283"/>
        <w:jc w:val="both"/>
        <w:rPr>
          <w:rFonts w:ascii="Times New Roman" w:hAnsi="Times New Roman"/>
          <w:sz w:val="20"/>
        </w:rPr>
      </w:pPr>
      <w:bookmarkStart w:id="10" w:name="mda_footnote_1"/>
      <w:bookmarkEnd w:id="10"/>
      <w:r>
        <w:rPr>
          <w:rFonts w:ascii="Arial" w:hAnsi="Arial"/>
          <w:color w:val="000000"/>
          <w:sz w:val="13"/>
        </w:rPr>
        <w:t xml:space="preserve">1 </w:t>
      </w:r>
      <w:r>
        <w:rPr>
          <w:rFonts w:ascii="Arial" w:hAnsi="Arial"/>
          <w:color w:val="000000"/>
          <w:sz w:val="20"/>
        </w:rPr>
        <w:t>The ACT-AD trial and the related OLEX trial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The following figure illustrates the current development stage of our proprietary drug candidates and early discovery and development programs. Our pipeline consists of both BBB permeable and peripherally restricted drug candidates for CNS, PNS and other indications. In addition, we are exploring the use of our drug candidates in additional indications in the CNS and PNS as we aim to improve neuronal health in multiple neurodegenerative diseases. Our drug discovery efforts are focused on designing and testing new early compounds to enhance the neurotrophic HGF system for a variety of clinical applications.</w:t>
      </w:r>
    </w:p>
    <w:p>
      <w:pPr>
        <w:pStyle w:val="TextBody"/>
        <w:bidi w:val="0"/>
        <w:jc w:val="both"/>
        <w:rPr/>
      </w:pPr>
      <w:r>
        <w:rPr/>
        <w:t> </w:t>
      </w:r>
    </w:p>
    <w:p>
      <w:pPr>
        <w:pStyle w:val="TextBody"/>
        <w:bidi w:val="0"/>
        <w:jc w:val="center"/>
        <w:rPr/>
      </w:pPr>
      <w:r>
        <w:rPr/>
        <w:drawing>
          <wp:inline distT="0" distB="0" distL="0" distR="0">
            <wp:extent cx="6858000" cy="3019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019425"/>
                    </a:xfrm>
                    <a:prstGeom prst="rect">
                      <a:avLst/>
                    </a:prstGeom>
                  </pic:spPr>
                </pic:pic>
              </a:graphicData>
            </a:graphic>
          </wp:inline>
        </w:drawing>
      </w:r>
      <w:r>
        <w:rPr/>
        <w:t> </w:t>
      </w:r>
    </w:p>
    <w:p>
      <w:pPr>
        <w:pStyle w:val="TextBody"/>
        <w:bidi w:val="0"/>
        <w:spacing w:before="280" w:after="283"/>
        <w:jc w:val="both"/>
        <w:rPr>
          <w:rFonts w:ascii="Times New Roman" w:hAnsi="Times New Roman"/>
          <w:sz w:val="20"/>
        </w:rPr>
      </w:pPr>
      <w:r>
        <w:rPr>
          <w:rFonts w:ascii="Arial" w:hAnsi="Arial"/>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contract manufacturing organizations, or CMOs, to manufacture and supply our preclinical and clinical materials during the development of our drug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pStyle w:val="TextBody"/>
        <w:bidi w:val="0"/>
        <w:spacing w:before="280" w:after="283"/>
        <w:jc w:val="both"/>
        <w:rPr>
          <w:rFonts w:ascii="Arial" w:hAnsi="Arial"/>
          <w:color w:val="000000"/>
          <w:sz w:val="20"/>
        </w:rPr>
      </w:pPr>
      <w:r>
        <w:rPr>
          <w:rFonts w:ascii="Arial" w:hAnsi="Arial"/>
          <w:color w:val="000000"/>
          <w:sz w:val="20"/>
        </w:rPr>
        <w:t>Given our stage of development, we have not yet established a commercial organization or distribution capabilities. We intend to build a commercial infrastructure to support sales of our drug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pStyle w:val="TextBody"/>
        <w:bidi w:val="0"/>
        <w:spacing w:before="280" w:after="283"/>
        <w:jc w:val="both"/>
        <w:rPr>
          <w:rFonts w:ascii="Times New Roman" w:hAnsi="Times New Roman"/>
          <w:sz w:val="20"/>
        </w:rPr>
      </w:pPr>
      <w:r>
        <w:rPr>
          <w:rFonts w:ascii="Arial" w:hAnsi="Arial"/>
          <w:color w:val="000000"/>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June 30, 2024, we have raised aggregate net cash proceeds of approximately $407.4 million primarily from the issuance of our common stock (excluding option exercises), convertible preferred stock, common stock warrants, and convertible notes. We have incurred significant operating losses to date.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net losses were $53.2 million and $57.4 million for the six months ended June 30, 2024 and 2023, respectively. As of June 30, 2024, we had an accumulated deficit of $362.4 million and cash, cash equivalents and investments of $91.8 million.</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expect to continue to incur increasing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advance fosgonimeton and our other drug candidates through preclinical studies and clinical trials, and continue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our pipeline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grow our discovery organization and invest in our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ramp up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 and maintain operational, financial and management information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approval for any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 a sales, marketing and distribution infrastructure to commercialize any drug candidate for which we may obtain marketing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legal expenses associated with ongoing litigation, as further described in “Part II, Item 1—Legal Proceedings,” and elsewhere in this report.</w:t>
      </w:r>
    </w:p>
    <w:p>
      <w:pPr>
        <w:pStyle w:val="TextBody"/>
        <w:bidi w:val="0"/>
        <w:spacing w:before="280" w:after="283"/>
        <w:jc w:val="both"/>
        <w:rPr>
          <w:rFonts w:ascii="Times New Roman" w:hAnsi="Times New Roman"/>
          <w:sz w:val="20"/>
        </w:rPr>
      </w:pPr>
      <w:r>
        <w:rPr>
          <w:rFonts w:ascii="Arial" w:hAnsi="Arial"/>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280" w:after="283"/>
        <w:jc w:val="both"/>
        <w:rPr>
          <w:rFonts w:ascii="Arial" w:hAnsi="Arial"/>
          <w:b/>
          <w:i/>
          <w:color w:val="000000"/>
          <w:sz w:val="20"/>
        </w:rPr>
      </w:pPr>
      <w:r>
        <w:rPr>
          <w:rFonts w:ascii="Arial" w:hAnsi="Arial"/>
          <w:b/>
          <w:i/>
          <w:color w:val="000000"/>
          <w:sz w:val="20"/>
        </w:rPr>
        <w:t>Our Collaboration and Grant Agreements</w:t>
      </w:r>
    </w:p>
    <w:p>
      <w:pPr>
        <w:pStyle w:val="TextBody"/>
        <w:bidi w:val="0"/>
        <w:spacing w:before="280" w:after="283"/>
        <w:jc w:val="both"/>
        <w:rPr>
          <w:rFonts w:ascii="Arial" w:hAnsi="Arial"/>
          <w:color w:val="000000"/>
          <w:sz w:val="20"/>
        </w:rPr>
      </w:pPr>
      <w:r>
        <w:rPr>
          <w:rFonts w:ascii="Arial" w:hAnsi="Arial"/>
          <w:color w:val="000000"/>
          <w:sz w:val="20"/>
        </w:rPr>
        <w:t>We are party to certain collaboration and grant agreements, as described in the section titled “Part I, Item 1 – Business—Our Collaboration and Grant Agreements” in our Annual Report on Form 10-K filed with the SEC on February 22, 2024.</w:t>
      </w:r>
    </w:p>
    <w:p>
      <w:pPr>
        <w:pStyle w:val="TextBody"/>
        <w:bidi w:val="0"/>
        <w:spacing w:before="28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280" w:after="283"/>
        <w:jc w:val="both"/>
        <w:rPr>
          <w:rFonts w:ascii="Arial" w:hAnsi="Arial"/>
          <w:b/>
          <w:i/>
          <w:color w:val="000000"/>
          <w:sz w:val="20"/>
        </w:rPr>
      </w:pPr>
      <w:r>
        <w:rPr>
          <w:rFonts w:ascii="Arial" w:hAnsi="Arial"/>
          <w:b/>
          <w:i/>
          <w:color w:val="000000"/>
          <w:sz w:val="20"/>
        </w:rPr>
        <w:t>Operating Expenses</w:t>
      </w:r>
    </w:p>
    <w:p>
      <w:pPr>
        <w:pStyle w:val="TextBody"/>
        <w:bidi w:val="0"/>
        <w:spacing w:before="28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Research and development expenses consist primarily of direct and indirect costs incurred for our research activities, including our drug discovery efforts and the development of our drug candidates. Direct costs include laboratory materials and supplies, contracted research and manufacturing, clinical trial costs, consulting fees, and other expenses incurred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283"/>
        <w:jc w:val="both"/>
        <w:rPr>
          <w:rFonts w:ascii="Times New Roman" w:hAnsi="Times New Roman"/>
          <w:sz w:val="20"/>
        </w:rPr>
      </w:pPr>
      <w:r>
        <w:rPr>
          <w:rFonts w:ascii="Arial" w:hAnsi="Arial"/>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drug candidates, as our drug candidates advance into later stages of development, as we conduct larger clinical trials, as we seek regulatory approvals for any drug candidates that successfully complete clinical trials, as we expand our drug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pStyle w:val="TextBody"/>
        <w:bidi w:val="0"/>
        <w:spacing w:before="280" w:after="283"/>
        <w:jc w:val="both"/>
        <w:rPr>
          <w:rFonts w:ascii="Times New Roman" w:hAnsi="Times New Roman"/>
          <w:sz w:val="20"/>
        </w:rPr>
      </w:pPr>
      <w:r>
        <w:rPr>
          <w:rFonts w:ascii="Arial" w:hAnsi="Arial"/>
          <w:color w:val="000000"/>
          <w:sz w:val="20"/>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phases of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progress and results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 in particular with respect to fosgonimeton for the treatment of mild-to-moderate AD (including any potential confirmatory or Phase 3 registrational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continuation of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and timing of manufacturing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health epidemics, including COVID-19, on timelines and clinical operations, which may lead to increased costs; and</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establish collaboration, licensing or similar arrangements and the performance of any related third parties.</w:t>
      </w:r>
    </w:p>
    <w:p>
      <w:pPr>
        <w:pStyle w:val="TextBody"/>
        <w:bidi w:val="0"/>
        <w:spacing w:before="280" w:after="283"/>
        <w:jc w:val="both"/>
        <w:rPr>
          <w:rFonts w:ascii="Times New Roman" w:hAnsi="Times New Roman"/>
          <w:sz w:val="20"/>
        </w:rPr>
      </w:pPr>
      <w:r>
        <w:rPr>
          <w:rFonts w:ascii="Arial" w:hAnsi="Arial"/>
          <w:color w:val="000000"/>
          <w:sz w:val="20"/>
        </w:rPr>
        <w:t>A change in the outcome of any of these variables with respect to the development of any of our drug candidates could significantly change the costs and timing associated with the development of that drug candidate.</w:t>
      </w:r>
      <w:r>
        <w:rPr>
          <w:rFonts w:ascii="Times New Roman" w:hAnsi="Times New Roman"/>
          <w:color w:val="000000"/>
          <w:sz w:val="20"/>
        </w:rPr>
        <w:t xml:space="preserve"> </w:t>
      </w:r>
    </w:p>
    <w:p>
      <w:pPr>
        <w:pStyle w:val="TextBody"/>
        <w:bidi w:val="0"/>
        <w:spacing w:before="280" w:after="283"/>
        <w:jc w:val="both"/>
        <w:rPr>
          <w:rFonts w:ascii="Arial" w:hAnsi="Arial"/>
          <w:i/>
          <w:color w:val="000000"/>
          <w:sz w:val="20"/>
        </w:rPr>
      </w:pPr>
      <w:r>
        <w:rPr>
          <w:rFonts w:ascii="Arial" w:hAnsi="Arial"/>
          <w:i/>
          <w:color w:val="000000"/>
          <w:sz w:val="20"/>
        </w:rPr>
        <w:t>General and Administrative</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pStyle w:val="TextBody"/>
        <w:bidi w:val="0"/>
        <w:spacing w:before="280" w:after="283"/>
        <w:jc w:val="both"/>
        <w:rPr>
          <w:rFonts w:ascii="Arial" w:hAnsi="Arial"/>
          <w:color w:val="000000"/>
          <w:sz w:val="20"/>
        </w:rPr>
      </w:pPr>
      <w:r>
        <w:rPr>
          <w:rFonts w:ascii="Arial" w:hAnsi="Arial"/>
          <w:color w:val="000000"/>
          <w:sz w:val="20"/>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 growth of our business. Additionally, we may experience an overall increase in general and administrative expenses as a result of inflation.</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color w:val="000000"/>
          <w:sz w:val="20"/>
        </w:rPr>
      </w:pPr>
      <w:r>
        <w:rPr>
          <w:rFonts w:ascii="Arial" w:hAnsi="Arial"/>
          <w:color w:val="000000"/>
          <w:sz w:val="20"/>
        </w:rPr>
        <w:t>Grant income consists of income related to the NIH grant and is recognized as qualifying expenses under the grant agreement are incurred. As of June 30, 2024, we had recognized aggregate grant income of $15.2 million in connection with the NIH grant, equal to the total grant amount approved. We will not recognize additional grant income in connection with the NIH grant in the future.</w:t>
      </w:r>
    </w:p>
    <w:p>
      <w:pPr>
        <w:pStyle w:val="TextBody"/>
        <w:bidi w:val="0"/>
        <w:spacing w:before="2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Times New Roman" w:hAnsi="Times New Roman"/>
          <w:sz w:val="20"/>
        </w:rPr>
      </w:pPr>
      <w:r>
        <w:rPr>
          <w:rFonts w:ascii="Arial" w:hAnsi="Arial"/>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r>
        <w:rPr>
          <w:rFonts w:ascii="Arial" w:hAnsi="Arial"/>
          <w:b/>
          <w:color w:val="000000"/>
          <w:sz w:val="20"/>
        </w:rPr>
        <w:t>Results of Operations</w:t>
      </w:r>
    </w:p>
    <w:p>
      <w:pPr>
        <w:pStyle w:val="TextBody"/>
        <w:bidi w:val="0"/>
        <w:spacing w:before="280" w:after="283"/>
        <w:jc w:val="both"/>
        <w:rPr>
          <w:rFonts w:ascii="Arial" w:hAnsi="Arial"/>
          <w:b/>
          <w:i/>
          <w:color w:val="000000"/>
          <w:sz w:val="20"/>
        </w:rPr>
      </w:pPr>
      <w:r>
        <w:rPr>
          <w:rFonts w:ascii="Arial" w:hAnsi="Arial"/>
          <w:b/>
          <w:i/>
          <w:color w:val="000000"/>
          <w:sz w:val="20"/>
        </w:rPr>
        <w:t>Comparison of the Three Months Ended June 30, 2024 and 2023</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results of operations for the periods presented:</w:t>
      </w:r>
    </w:p>
    <w:tbl>
      <w:tblPr>
        <w:tblW w:w="8226"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646"/>
        <w:gridCol w:w="166"/>
        <w:gridCol w:w="146"/>
        <w:gridCol w:w="201"/>
        <w:gridCol w:w="520"/>
        <w:gridCol w:w="77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71" w:type="dxa"/>
            <w:tcBorders/>
            <w:shd w:fill="FFFFFF" w:val="cle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5"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771"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(28,028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(31,640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216" w:type="dxa"/>
        <w:jc w:val="left"/>
        <w:tblInd w:w="0" w:type="dxa"/>
        <w:tblLayout w:type="fixed"/>
        <w:tblCellMar>
          <w:top w:w="28" w:type="dxa"/>
          <w:left w:w="28" w:type="dxa"/>
          <w:bottom w:w="28" w:type="dxa"/>
          <w:right w:w="28" w:type="dxa"/>
        </w:tblCellMar>
      </w:tblPr>
      <w:tblGrid>
        <w:gridCol w:w="4121"/>
        <w:gridCol w:w="146"/>
        <w:gridCol w:w="211"/>
        <w:gridCol w:w="691"/>
        <w:gridCol w:w="146"/>
        <w:gridCol w:w="146"/>
        <w:gridCol w:w="211"/>
        <w:gridCol w:w="691"/>
        <w:gridCol w:w="146"/>
        <w:gridCol w:w="146"/>
        <w:gridCol w:w="211"/>
        <w:gridCol w:w="646"/>
        <w:gridCol w:w="166"/>
        <w:gridCol w:w="146"/>
        <w:gridCol w:w="185"/>
        <w:gridCol w:w="536"/>
        <w:gridCol w:w="67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71" w:type="dxa"/>
            <w:tcBorders/>
            <w:shd w:fill="FFFFFF" w:val="cle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671" w:type="dxa"/>
            <w:tcBorders/>
            <w:shd w:fill="FFFFFF" w:val="clear"/>
            <w:vAlign w:val="center"/>
          </w:tcPr>
          <w:p>
            <w:pPr>
              <w:pStyle w:val="TableContents"/>
              <w:bidi w:val="0"/>
              <w:spacing w:before="0" w:after="283"/>
              <w:jc w:val="center"/>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ATH-1020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671" w:type="dxa"/>
            <w:tcBorders/>
            <w:shd w:fill="CFF0FC" w:val="clear"/>
            <w:vAlign w:val="center"/>
          </w:tcPr>
          <w:p>
            <w:pPr>
              <w:pStyle w:val="TableContents"/>
              <w:bidi w:val="0"/>
              <w:spacing w:before="0" w:after="283"/>
              <w:ind w:left="0" w:right="0" w:firstLine="280"/>
              <w:jc w:val="lef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ATH-1105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71" w:type="dxa"/>
            <w:tcBorders/>
            <w:shd w:fill="FFFFFF" w:val="clear"/>
            <w:vAlign w:val="center"/>
          </w:tcPr>
          <w:p>
            <w:pPr>
              <w:pStyle w:val="TableContents"/>
              <w:bidi w:val="0"/>
              <w:spacing w:before="0" w:after="283"/>
              <w:ind w:left="0" w:right="0" w:firstLine="280"/>
              <w:jc w:val="left"/>
              <w:rPr/>
            </w:pPr>
            <w:r>
              <w:rPr/>
              <w:t> </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Preclinical programs and other direct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direct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71" w:type="dxa"/>
            <w:tcBorders/>
            <w:shd w:fill="FFFFFF" w:val="clear"/>
            <w:vAlign w:val="center"/>
          </w:tcPr>
          <w:p>
            <w:pPr>
              <w:pStyle w:val="TableContents"/>
              <w:bidi w:val="0"/>
              <w:spacing w:before="0" w:after="283"/>
              <w:jc w:val="left"/>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Personnel-related costs, including stock-</w:t>
              <w:br/>
              <w:t>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Facilities and other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71" w:type="dxa"/>
            <w:tcBorders/>
            <w:shd w:fill="CFF0FC" w:val="clear"/>
            <w:vAlign w:val="center"/>
          </w:tcPr>
          <w:p>
            <w:pPr>
              <w:pStyle w:val="TableContents"/>
              <w:bidi w:val="0"/>
              <w:spacing w:before="0" w:after="283"/>
              <w:jc w:val="left"/>
              <w:rPr/>
            </w:pPr>
            <w:r>
              <w:rPr/>
              <w:t> </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71" w:type="dxa"/>
            <w:tcBorders/>
            <w:shd w:fill="FFFFFF" w:val="cle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color w:val="000000"/>
          <w:sz w:val="20"/>
        </w:rPr>
      </w:pPr>
      <w:r>
        <w:rPr>
          <w:rFonts w:ascii="Arial" w:hAnsi="Arial"/>
          <w:color w:val="000000"/>
          <w:sz w:val="20"/>
        </w:rPr>
        <w:t>Research and development expenses increased by $0.6 million, from $21.6 million for the three months ended June 30, 2023 to $22.2 million for the three months ended June 30, 2024. The increase was driven primarily by an increase in ATH-1105 program costs of $3.3 million associated with the Phase 1 clinical trial, which commenced in the second quarter of 2024. This increase was partially offset by decreases in fosgonimeton program costs of $1.4 million and preclinical and other direct costs of $1.2 million, and to a lesser extent, a decrease in personnel-related expenses. The decrease in fosgonimeton program costs of $1.4 million was driven by decreases in contract research organization and clinical site visit costs for our Phase 2/3 LIFT-AD clinical trial and the corresponding open-label extension for our Phase 2 ACT-AD and Phase 2/3 LIFT-AD clinical trials of $2.0 million and a decrease in contract manufacturing costs of $0.4 million, partially offset by an increase in program consulting costs of $1.2 million.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decreased by $4.1 million, from $10.0 million for the three months ended June 30, 2023 to $5.9 million for the three months ended June 30, 2024. The decrease was primarily due to a decrease in legal costs of $1.8 million, a decrease in business development expenses of $1.3 million, a decrease in professional services expenses of $0.6 million, and a decrease in other general corporate expenses of $0.4 million.</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Arial" w:hAnsi="Arial"/>
          <w:color w:val="000000"/>
          <w:sz w:val="20"/>
        </w:rPr>
      </w:pPr>
      <w:r>
        <w:rPr>
          <w:rFonts w:ascii="Arial" w:hAnsi="Arial"/>
          <w:color w:val="000000"/>
          <w:sz w:val="20"/>
        </w:rPr>
        <w:t>Other income, net, decreased by $0.8 million, from $2.0 million for the three months ended June 30, 2023 to $1.2 million for the three months ended June 30, 2024 due to lower income from accretion of discounts on debt securities purchased below par value and held to maturity and lower interest income earned on our available-for-sale securities. These decreases resulted from lower balances of available-for-sale securities held during the three months ended June 30, 2024 compared to the three months ended June 30, 2023.</w:t>
      </w:r>
    </w:p>
    <w:p>
      <w:pPr>
        <w:pStyle w:val="TextBody"/>
        <w:bidi w:val="0"/>
        <w:spacing w:before="280" w:after="283"/>
        <w:jc w:val="both"/>
        <w:rPr>
          <w:rFonts w:ascii="Arial" w:hAnsi="Arial"/>
          <w:b/>
          <w:i/>
          <w:color w:val="000000"/>
          <w:sz w:val="20"/>
        </w:rPr>
      </w:pPr>
      <w:r>
        <w:rPr>
          <w:rFonts w:ascii="Arial" w:hAnsi="Arial"/>
          <w:b/>
          <w:i/>
          <w:color w:val="000000"/>
          <w:sz w:val="20"/>
        </w:rPr>
        <w:t>Comparison of the Six Months Ended June 30, 2024 and 2023</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both"/>
        <w:rPr/>
      </w:pPr>
      <w:r>
        <w:rPr/>
        <w:t> </w:t>
      </w:r>
    </w:p>
    <w:tbl>
      <w:tblPr>
        <w:tblW w:w="8226"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646"/>
        <w:gridCol w:w="166"/>
        <w:gridCol w:w="146"/>
        <w:gridCol w:w="167"/>
        <w:gridCol w:w="554"/>
        <w:gridCol w:w="77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71" w:type="dxa"/>
            <w:tcBorders/>
            <w:shd w:fill="FFFFFF" w:val="cle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5"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43,390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771"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(55,715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(61,410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216" w:type="dxa"/>
        <w:jc w:val="left"/>
        <w:tblInd w:w="0" w:type="dxa"/>
        <w:tblLayout w:type="fixed"/>
        <w:tblCellMar>
          <w:top w:w="28" w:type="dxa"/>
          <w:left w:w="28" w:type="dxa"/>
          <w:bottom w:w="28" w:type="dxa"/>
          <w:right w:w="28" w:type="dxa"/>
        </w:tblCellMar>
      </w:tblPr>
      <w:tblGrid>
        <w:gridCol w:w="4121"/>
        <w:gridCol w:w="146"/>
        <w:gridCol w:w="211"/>
        <w:gridCol w:w="691"/>
        <w:gridCol w:w="146"/>
        <w:gridCol w:w="146"/>
        <w:gridCol w:w="211"/>
        <w:gridCol w:w="691"/>
        <w:gridCol w:w="146"/>
        <w:gridCol w:w="146"/>
        <w:gridCol w:w="211"/>
        <w:gridCol w:w="646"/>
        <w:gridCol w:w="166"/>
        <w:gridCol w:w="146"/>
        <w:gridCol w:w="185"/>
        <w:gridCol w:w="536"/>
        <w:gridCol w:w="67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71" w:type="dxa"/>
            <w:tcBorders/>
            <w:shd w:fill="FFFFFF" w:val="cle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45"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671" w:type="dxa"/>
            <w:tcBorders/>
            <w:shd w:fill="FFFFFF" w:val="clear"/>
            <w:vAlign w:val="center"/>
          </w:tcPr>
          <w:p>
            <w:pPr>
              <w:pStyle w:val="TableContents"/>
              <w:bidi w:val="0"/>
              <w:spacing w:before="0" w:after="283"/>
              <w:jc w:val="center"/>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(1,366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ATH-1020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ATH-1105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71" w:type="dxa"/>
            <w:tcBorders/>
            <w:shd w:fill="FFFFFF" w:val="clear"/>
            <w:vAlign w:val="center"/>
          </w:tcPr>
          <w:p>
            <w:pPr>
              <w:pStyle w:val="TableContents"/>
              <w:bidi w:val="0"/>
              <w:spacing w:before="0" w:after="283"/>
              <w:ind w:left="0" w:right="0" w:firstLine="280"/>
              <w:jc w:val="left"/>
              <w:rPr/>
            </w:pPr>
            <w:r>
              <w:rPr/>
              <w:t> </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Preclinical programs and other direct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direct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71" w:type="dxa"/>
            <w:tcBorders/>
            <w:shd w:fill="FFFFFF" w:val="clear"/>
            <w:vAlign w:val="center"/>
          </w:tcPr>
          <w:p>
            <w:pPr>
              <w:pStyle w:val="TableContents"/>
              <w:bidi w:val="0"/>
              <w:spacing w:before="0" w:after="283"/>
              <w:jc w:val="left"/>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7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Personnel-related costs, including stock-</w:t>
              <w:br/>
              <w:t>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Facilities and other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71" w:type="dxa"/>
            <w:tcBorders/>
            <w:shd w:fill="CFF0FC" w:val="clear"/>
            <w:vAlign w:val="center"/>
          </w:tcPr>
          <w:p>
            <w:pPr>
              <w:pStyle w:val="TableContents"/>
              <w:bidi w:val="0"/>
              <w:spacing w:before="0" w:after="283"/>
              <w:jc w:val="left"/>
              <w:rPr/>
            </w:pPr>
            <w:r>
              <w:rPr/>
              <w:t> </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71" w:type="dxa"/>
            <w:tcBorders/>
            <w:shd w:fill="FFFFFF" w:val="cle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color w:val="000000"/>
          <w:sz w:val="20"/>
        </w:rPr>
      </w:pPr>
      <w:r>
        <w:rPr>
          <w:rFonts w:ascii="Arial" w:hAnsi="Arial"/>
          <w:color w:val="000000"/>
          <w:sz w:val="20"/>
        </w:rPr>
        <w:t>Research and development expenses increased by $0.5 million, from $42.9 million for the six months ended June 30, 2023 to $43.4 million for the six months ended June 30, 2024. The increase was driven primarily by an increase in ATH-1105 program costs of $3.3 million associated with the Phase 1 clinical trial, which commenced in the second quarter of 2024. This increase was partially offset by decreases in fosgonimeton program costs of $1.4 million and preclinical and other direct costs of $1.2 million, and to a lesser extent, a decrease in personnel-related expenses. The decrease in fosgonimeton program costs of $1.4 million was driven by a decrease in contract manufacturing costs of $2.4 million, and decreases in contract research organization and clinical site visit costs for our Phase 2/3 LIFT-AD clinical trial and the corresponding open-label extension for our Phase 2 ACT-AD and Phase 2/3 LIFT-AD clinical trials of $1.8 million, partially offset by an increase in program consulting costs of $3.0 million.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decreased by $6.2 million, from $18.5 million for the six months ended June 30, 2023 to $12.3 million for the six months ended June 30, 2024. The decrease was primarily due to a decrease in legal costs of $2.4 million, a decrease in business development expenses of $1.8 million, a decrease in professional services expenses of $1.1 million, a decrease in other general corporate expenses of $0.6 million, and a decrease in personnel-related costs of $0.4 million.</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color w:val="000000"/>
          <w:sz w:val="20"/>
        </w:rPr>
      </w:pPr>
      <w:r>
        <w:rPr>
          <w:rFonts w:ascii="Arial" w:hAnsi="Arial"/>
          <w:color w:val="000000"/>
          <w:sz w:val="20"/>
        </w:rPr>
        <w:t>Grant income recognized during the six months ended June 30, 2023 of $0.2 million represented the remaining balance of the total $15.2 million approved grant amount available at the beginning of the quarter. There was no grant income recognized during the six months ended June 30, 2024.</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Arial" w:hAnsi="Arial"/>
          <w:color w:val="000000"/>
          <w:sz w:val="20"/>
        </w:rPr>
      </w:pPr>
      <w:r>
        <w:rPr>
          <w:rFonts w:ascii="Arial" w:hAnsi="Arial"/>
          <w:color w:val="000000"/>
          <w:sz w:val="20"/>
        </w:rPr>
        <w:t>Other income, net, decreased by $1.3 million, from $3.8 million for the six months ended June 30, 2023 to $2.5 million for the six months ended June 30, 2024 due to lower income from accretion of discounts on debt securities purchased below par value and held to maturity and lower interest income earned on our available-for-sale securities. These decreases resulted from lower balances of available-for-sale securities held during the six months ended June 30, 2024 compared to the six months ended June 30, 2023.</w:t>
      </w:r>
    </w:p>
    <w:p>
      <w:pPr>
        <w:pStyle w:val="TextBody"/>
        <w:bidi w:val="0"/>
        <w:spacing w:before="28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80" w:after="283"/>
        <w:jc w:val="both"/>
        <w:rPr>
          <w:rFonts w:ascii="Arial" w:hAnsi="Arial"/>
          <w:b/>
          <w:i/>
          <w:color w:val="000000"/>
          <w:sz w:val="20"/>
        </w:rPr>
      </w:pPr>
      <w:r>
        <w:rPr>
          <w:rFonts w:ascii="Arial" w:hAnsi="Arial"/>
          <w:b/>
          <w:i/>
          <w:color w:val="000000"/>
          <w:sz w:val="20"/>
        </w:rPr>
        <w:t>Sources of Liquidity</w:t>
      </w:r>
    </w:p>
    <w:p>
      <w:pPr>
        <w:pStyle w:val="TextBody"/>
        <w:bidi w:val="0"/>
        <w:spacing w:before="280" w:after="283"/>
        <w:jc w:val="both"/>
        <w:rPr>
          <w:rFonts w:ascii="Times New Roman" w:hAnsi="Times New Roman"/>
          <w:sz w:val="20"/>
        </w:rPr>
      </w:pPr>
      <w:r>
        <w:rPr>
          <w:rFonts w:ascii="Arial" w:hAnsi="Arial"/>
          <w:color w:val="000000"/>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June 30, 2024, we have raised aggregate net cash proceeds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$407.4 million primarily from the issuance of our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As of June 30, 2024, we had $91.8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28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280" w:after="283"/>
        <w:jc w:val="both"/>
        <w:rPr>
          <w:rFonts w:ascii="Arial" w:hAnsi="Arial"/>
          <w:color w:val="000000"/>
          <w:sz w:val="20"/>
        </w:rPr>
      </w:pPr>
      <w:r>
        <w:rPr>
          <w:rFonts w:ascii="Arial" w:hAnsi="Arial"/>
          <w:color w:val="000000"/>
          <w:sz w:val="20"/>
        </w:rPr>
        <w:t>Our material cash requirements include our operating leases for laboratory and office facilities. As of June 30, 2024, we had lease payment obligations of $1.6 million, with $0.5 million payable within 12 months. For additional information regarding our lease commitments, see Note 7 to our unaudited condensed consolidated financial statements included elsewhere in this report. We are contingently committed to $0.9 million of potential future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drug candidates through clinical trials, adjust our headcount to support our operations, and incur legal and other professional expenses related to our ongoing legal proceedings. We cannot predict with certainty the amount and timing of these increased expenses.</w:t>
      </w:r>
    </w:p>
    <w:p>
      <w:pPr>
        <w:pStyle w:val="TextBody"/>
        <w:bidi w:val="0"/>
        <w:spacing w:before="280" w:after="283"/>
        <w:jc w:val="both"/>
        <w:rPr>
          <w:rFonts w:ascii="Arial" w:hAnsi="Arial"/>
          <w:color w:val="000000"/>
          <w:sz w:val="20"/>
        </w:rPr>
      </w:pPr>
      <w:r>
        <w:rPr>
          <w:rFonts w:ascii="Arial" w:hAnsi="Arial"/>
          <w:color w:val="000000"/>
          <w:sz w:val="20"/>
        </w:rPr>
        <w:t>Based upon our current operating plan, we estimate that our $91.8 million of cash, cash equivalents and investments at June 30, 2024 will be sufficient to fund our operating expenses and capital expenditure requirements through at least the next 12 months following the date of this report.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80" w:after="283"/>
        <w:jc w:val="both"/>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timing, progress and results of our ongoing preclinical studies and clinical trials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 in particular with respect to fosgonimeton for the treatment of mild-to-moderate AD (including any potential confirmatory or Phase 3 registrational trials);</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progress, results and costs of preclinical development, laboratory testing and clinical trials of other drug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establish and maintain collaboration,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timing and outcome of regulatory review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future commercialization activities, including drug product manufacturing, marketing, sales and distribution, for any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revenue, if any, received from commercial sales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related to ongoing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associated with expanding our laboratory and office facilities;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acquire or in-license other companies’ product candidates and technologies or engage in other strategic transactions.</w:t>
      </w:r>
    </w:p>
    <w:p>
      <w:pPr>
        <w:pStyle w:val="TextBody"/>
        <w:bidi w:val="0"/>
        <w:spacing w:before="280" w:after="283"/>
        <w:jc w:val="both"/>
        <w:rPr>
          <w:rFonts w:ascii="Arial" w:hAnsi="Arial"/>
          <w:color w:val="000000"/>
          <w:sz w:val="20"/>
        </w:rPr>
      </w:pPr>
      <w:r>
        <w:rPr>
          <w:rFonts w:ascii="Arial" w:hAnsi="Arial"/>
          <w:color w:val="000000"/>
          <w:sz w:val="20"/>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pStyle w:val="TextBody"/>
        <w:bidi w:val="0"/>
        <w:spacing w:before="280" w:after="283"/>
        <w:jc w:val="both"/>
        <w:rPr>
          <w:rFonts w:ascii="Arial" w:hAnsi="Arial"/>
          <w:b/>
          <w:i/>
          <w:color w:val="000000"/>
          <w:sz w:val="20"/>
        </w:rPr>
      </w:pPr>
      <w:r>
        <w:rPr>
          <w:rFonts w:ascii="Arial" w:hAnsi="Arial"/>
          <w:b/>
          <w:i/>
          <w:color w:val="000000"/>
          <w:sz w:val="20"/>
        </w:rPr>
        <w:t>Cash Flows</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cash flows for the periods indicated:</w:t>
      </w:r>
    </w:p>
    <w:p>
      <w:pPr>
        <w:pStyle w:val="TextBody"/>
        <w:bidi w:val="0"/>
        <w:jc w:val="both"/>
        <w:rPr/>
      </w:pPr>
      <w:r>
        <w:rPr/>
        <w:t> </w:t>
      </w:r>
    </w:p>
    <w:tbl>
      <w:tblPr>
        <w:tblW w:w="9082" w:type="dxa"/>
        <w:jc w:val="left"/>
        <w:tblInd w:w="0" w:type="dxa"/>
        <w:tblLayout w:type="fixed"/>
        <w:tblCellMar>
          <w:top w:w="28" w:type="dxa"/>
          <w:left w:w="28" w:type="dxa"/>
          <w:bottom w:w="28" w:type="dxa"/>
          <w:right w:w="28" w:type="dxa"/>
        </w:tblCellMar>
      </w:tblPr>
      <w:tblGrid>
        <w:gridCol w:w="6196"/>
        <w:gridCol w:w="146"/>
        <w:gridCol w:w="212"/>
        <w:gridCol w:w="756"/>
        <w:gridCol w:w="167"/>
        <w:gridCol w:w="146"/>
        <w:gridCol w:w="212"/>
        <w:gridCol w:w="756"/>
        <w:gridCol w:w="4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9"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61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968"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8"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61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(48,134</w:t>
            </w:r>
          </w:p>
        </w:tc>
        <w:tc>
          <w:tcPr>
            <w:tcW w:w="16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(50,476</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9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39,603</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68,008</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61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(8,383</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17,873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Operating Activities</w:t>
      </w:r>
    </w:p>
    <w:p>
      <w:pPr>
        <w:pStyle w:val="TextBody"/>
        <w:bidi w:val="0"/>
        <w:spacing w:before="280" w:after="283"/>
        <w:jc w:val="both"/>
        <w:rPr>
          <w:rFonts w:ascii="Arial" w:hAnsi="Arial"/>
          <w:color w:val="000000"/>
          <w:sz w:val="20"/>
        </w:rPr>
      </w:pPr>
      <w:r>
        <w:rPr>
          <w:rFonts w:ascii="Arial" w:hAnsi="Arial"/>
          <w:color w:val="000000"/>
          <w:sz w:val="20"/>
        </w:rPr>
        <w:t>During the six months ended June 30, 2024, net cash used in operating activities was $48.1 million. This consisted primarily of a net loss of $53.2 million, partially offset by non-cash charges of $6.1 million, and an increase in our net operating assets of $1.0 million. The non-cash charges primarily consisted of stock-based compensation expense, depreciation expense, and amortization of premiums and accretion of discounts on available-for-sale securities. The increase in our net operating assets was primarily due to a decrease in accounts payable and accrued expenses, partially offset by a decrease in prepaid expenses and other assets.</w:t>
      </w:r>
    </w:p>
    <w:p>
      <w:pPr>
        <w:pStyle w:val="TextBody"/>
        <w:bidi w:val="0"/>
        <w:spacing w:before="280" w:after="283"/>
        <w:jc w:val="both"/>
        <w:rPr>
          <w:rFonts w:ascii="Times New Roman" w:hAnsi="Times New Roman"/>
          <w:sz w:val="20"/>
        </w:rPr>
      </w:pPr>
      <w:r>
        <w:rPr>
          <w:rFonts w:ascii="Arial" w:hAnsi="Arial"/>
          <w:color w:val="000000"/>
          <w:sz w:val="20"/>
        </w:rPr>
        <w:t>During the six months ended June 30, 2023, net cash used in operating activities was $50.5 million. This consisted primarily of a net loss of $57.4 million, partially offset by non-cash charges of $5.7 million and a decrease in our net operating assets of $1.2 million. The non-cash charges primarily consisted of stock-based compensation expense, amortization of premiums and accretion of discounts on available-for-sale securities, and depreciation expense. The decrease in our net operating assets was primarily due to a decrease in unbilled grant receivable and an increase in accrued expenses, partially offset by a decrease in accounts payable and an increase in prepaid expenses and other current assets.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Investing Activities</w:t>
      </w:r>
    </w:p>
    <w:p>
      <w:pPr>
        <w:pStyle w:val="TextBody"/>
        <w:bidi w:val="0"/>
        <w:spacing w:before="280" w:after="283"/>
        <w:jc w:val="both"/>
        <w:rPr>
          <w:rFonts w:ascii="Arial" w:hAnsi="Arial"/>
          <w:color w:val="000000"/>
          <w:sz w:val="20"/>
        </w:rPr>
      </w:pPr>
      <w:r>
        <w:rPr>
          <w:rFonts w:ascii="Arial" w:hAnsi="Arial"/>
          <w:color w:val="000000"/>
          <w:sz w:val="20"/>
        </w:rPr>
        <w:t>During the six months ended June 30, 2024, net cash provided by investing was $39.6 million. This consisted of maturities of available-for-sale securities of $51.0 million, partially offset by purchases of available-for-sale securities of $11.3 million.</w:t>
      </w:r>
    </w:p>
    <w:p>
      <w:pPr>
        <w:pStyle w:val="TextBody"/>
        <w:bidi w:val="0"/>
        <w:spacing w:before="280" w:after="283"/>
        <w:jc w:val="both"/>
        <w:rPr>
          <w:rFonts w:ascii="Arial" w:hAnsi="Arial"/>
          <w:color w:val="000000"/>
          <w:sz w:val="20"/>
        </w:rPr>
      </w:pPr>
      <w:r>
        <w:rPr>
          <w:rFonts w:ascii="Arial" w:hAnsi="Arial"/>
          <w:color w:val="000000"/>
          <w:sz w:val="20"/>
        </w:rPr>
        <w:t>During the six months ended June 30, 2023, net cash provided by investing was $68.0 million. This consisted of maturities of available-for-sale securities of $93.2 million, partially offset by purchases of available-for-sale securities of $24.9 million and property and equipment of $0.3 million.</w:t>
      </w:r>
    </w:p>
    <w:p>
      <w:pPr>
        <w:pStyle w:val="TextBody"/>
        <w:bidi w:val="0"/>
        <w:spacing w:before="280" w:after="283"/>
        <w:jc w:val="both"/>
        <w:rPr>
          <w:rFonts w:ascii="Arial" w:hAnsi="Arial"/>
          <w:b/>
          <w:i/>
          <w:color w:val="000000"/>
          <w:sz w:val="20"/>
        </w:rPr>
      </w:pPr>
      <w:r>
        <w:rPr>
          <w:rFonts w:ascii="Arial" w:hAnsi="Arial"/>
          <w:b/>
          <w:i/>
          <w:color w:val="000000"/>
          <w:sz w:val="20"/>
        </w:rPr>
        <w:t>Financing Activities</w:t>
      </w:r>
    </w:p>
    <w:p>
      <w:pPr>
        <w:pStyle w:val="TextBody"/>
        <w:bidi w:val="0"/>
        <w:spacing w:before="280" w:after="283"/>
        <w:jc w:val="both"/>
        <w:rPr>
          <w:rFonts w:ascii="Arial" w:hAnsi="Arial"/>
          <w:color w:val="000000"/>
          <w:sz w:val="20"/>
        </w:rPr>
      </w:pPr>
      <w:r>
        <w:rPr>
          <w:rFonts w:ascii="Arial" w:hAnsi="Arial"/>
          <w:color w:val="000000"/>
          <w:sz w:val="20"/>
        </w:rPr>
        <w:t>During the six months ended June 30, 2024, net cash provided by financing activities was $0.1 million, consisting of proceeds received from the issuance of common stock under our employee stock purchase plan.</w:t>
      </w:r>
    </w:p>
    <w:p>
      <w:pPr>
        <w:pStyle w:val="TextBody"/>
        <w:bidi w:val="0"/>
        <w:spacing w:before="280" w:after="283"/>
        <w:jc w:val="both"/>
        <w:rPr>
          <w:rFonts w:ascii="Arial" w:hAnsi="Arial"/>
          <w:color w:val="000000"/>
          <w:sz w:val="20"/>
        </w:rPr>
      </w:pPr>
      <w:r>
        <w:rPr>
          <w:rFonts w:ascii="Arial" w:hAnsi="Arial"/>
          <w:color w:val="000000"/>
          <w:sz w:val="20"/>
        </w:rPr>
        <w:t>During the six months ended June 30, 2023, net cash provided by financing activities was $0.3 million, consisting of proceeds received from exercises of stock options and the issuance of common stock under our employee stock purchase plan.</w:t>
      </w:r>
    </w:p>
    <w:p>
      <w:pPr>
        <w:pStyle w:val="TextBody"/>
        <w:bidi w:val="0"/>
        <w:spacing w:before="28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280" w:after="283"/>
        <w:jc w:val="both"/>
        <w:rPr>
          <w:rFonts w:ascii="Times New Roman" w:hAnsi="Times New Roman"/>
          <w:sz w:val="20"/>
        </w:rPr>
      </w:pPr>
      <w:r>
        <w:rPr>
          <w:rFonts w:ascii="Arial" w:hAnsi="Arial"/>
          <w:color w:val="000000"/>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During the six months ended June 30, 2024,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February 22, 2024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income taxes.</w:t>
      </w:r>
    </w:p>
    <w:p>
      <w:pPr>
        <w:pStyle w:val="TextBody"/>
        <w:bidi w:val="0"/>
        <w:spacing w:before="2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280" w:after="283"/>
        <w:jc w:val="both"/>
        <w:rPr>
          <w:rFonts w:ascii="Arial" w:hAnsi="Arial"/>
          <w:color w:val="000000"/>
          <w:sz w:val="20"/>
        </w:rPr>
      </w:pPr>
      <w:r>
        <w:rPr>
          <w:rFonts w:ascii="Arial" w:hAnsi="Arial"/>
          <w:color w:val="000000"/>
          <w:sz w:val="20"/>
        </w:rPr>
        <w:t>See Note 2 to our unaudited condensed consolidated financial statements included in "Part I, Item 1—Financial Statements (Unaudited)” of this report for additional information.</w:t>
      </w:r>
    </w:p>
    <w:p>
      <w:pPr>
        <w:pStyle w:val="TextBody"/>
        <w:bidi w:val="0"/>
        <w:spacing w:before="280" w:after="283"/>
        <w:jc w:val="both"/>
        <w:rPr>
          <w:rFonts w:ascii="Arial" w:hAnsi="Arial"/>
          <w:b/>
          <w:color w:val="000000"/>
          <w:sz w:val="20"/>
        </w:rPr>
      </w:pPr>
      <w:r>
        <w:rPr>
          <w:rFonts w:ascii="Arial" w:hAnsi="Arial"/>
          <w:b/>
          <w:color w:val="000000"/>
          <w:sz w:val="20"/>
        </w:rPr>
        <w:t>Emerging Growth Company Status</w:t>
      </w:r>
    </w:p>
    <w:p>
      <w:pPr>
        <w:pStyle w:val="TextBody"/>
        <w:bidi w:val="0"/>
        <w:spacing w:before="280" w:after="283"/>
        <w:jc w:val="both"/>
        <w:rPr>
          <w:rFonts w:ascii="Times New Roman" w:hAnsi="Times New Roman"/>
          <w:sz w:val="20"/>
        </w:rPr>
      </w:pPr>
      <w:r>
        <w:rPr>
          <w:rFonts w:ascii="Arial" w:hAnsi="Arial"/>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bookmarkStart w:id="11" w:name="item_3_quantitative_qualitative_disclos"/>
      <w:bookmarkEnd w:id="11"/>
      <w:r>
        <w:rPr>
          <w:rFonts w:ascii="Arial" w:hAnsi="Arial"/>
          <w:b/>
          <w:color w:val="000000"/>
          <w:sz w:val="20"/>
        </w:rPr>
        <w:t>Item 3. Quantitative and Qualitative Disclosures About Market Risk.</w:t>
      </w:r>
    </w:p>
    <w:p>
      <w:pPr>
        <w:pStyle w:val="TextBody"/>
        <w:bidi w:val="0"/>
        <w:spacing w:before="28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305 of Regulation S-K.</w:t>
      </w:r>
    </w:p>
    <w:p>
      <w:pPr>
        <w:pStyle w:val="TextBody"/>
        <w:bidi w:val="0"/>
        <w:spacing w:before="280" w:after="283"/>
        <w:jc w:val="both"/>
        <w:rPr>
          <w:rFonts w:ascii="Arial" w:hAnsi="Arial"/>
          <w:b/>
          <w:color w:val="000000"/>
          <w:sz w:val="20"/>
        </w:rPr>
      </w:pPr>
      <w:bookmarkStart w:id="12" w:name="item_4_controls_procedures"/>
      <w:bookmarkEnd w:id="12"/>
      <w:r>
        <w:rPr>
          <w:rFonts w:ascii="Arial" w:hAnsi="Arial"/>
          <w:b/>
          <w:color w:val="000000"/>
          <w:sz w:val="20"/>
        </w:rPr>
        <w:t>Item 4. Controls and Procedures.</w:t>
      </w:r>
    </w:p>
    <w:p>
      <w:pPr>
        <w:pStyle w:val="TextBody"/>
        <w:bidi w:val="0"/>
        <w:spacing w:before="2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28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8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8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280" w:after="283"/>
        <w:jc w:val="both"/>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both"/>
        <w:rPr>
          <w:rFonts w:ascii="Arial" w:hAnsi="Arial"/>
          <w:b/>
          <w:color w:val="000000"/>
          <w:sz w:val="20"/>
        </w:rPr>
      </w:pPr>
      <w:bookmarkStart w:id="14" w:name="item_1_legal_proceedings"/>
      <w:bookmarkEnd w:id="14"/>
      <w:r>
        <w:rPr>
          <w:rFonts w:ascii="Arial" w:hAnsi="Arial"/>
          <w:b/>
          <w:color w:val="000000"/>
          <w:sz w:val="20"/>
        </w:rPr>
        <w:t>Item 1. Legal Proceedings.</w:t>
      </w:r>
    </w:p>
    <w:p>
      <w:pPr>
        <w:pStyle w:val="TextBody"/>
        <w:bidi w:val="0"/>
        <w:spacing w:before="280" w:after="283"/>
        <w:jc w:val="both"/>
        <w:rPr>
          <w:rFonts w:ascii="Arial" w:hAnsi="Arial"/>
          <w:color w:val="000000"/>
          <w:sz w:val="20"/>
        </w:rPr>
      </w:pPr>
      <w:r>
        <w:rPr>
          <w:rFonts w:ascii="Arial" w:hAnsi="Arial"/>
          <w:color w:val="000000"/>
          <w:sz w:val="20"/>
        </w:rPr>
        <w:t>From time to time, we are subject to various legal proceedings or claims that arise in the ordinary course of business. The following is a brief description of the more significant legal proceedings in which we are involved.</w:t>
      </w:r>
    </w:p>
    <w:p>
      <w:pPr>
        <w:pStyle w:val="TextBody"/>
        <w:bidi w:val="0"/>
        <w:spacing w:before="280" w:after="283"/>
        <w:jc w:val="left"/>
        <w:rPr>
          <w:rFonts w:ascii="Times New Roman" w:hAnsi="Times New Roman"/>
          <w:sz w:val="20"/>
        </w:rPr>
      </w:pPr>
      <w:r>
        <w:rPr>
          <w:rFonts w:ascii="Arial" w:hAnsi="Arial"/>
          <w:b/>
          <w:color w:val="000000"/>
          <w:sz w:val="20"/>
        </w:rPr>
        <w:t>Securities Class Actions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hAnsi="Arial"/>
          <w:i/>
          <w:color w:val="000000"/>
          <w:sz w:val="20"/>
        </w:rPr>
        <w:t>Wang v. Athira Pharma, Inc., et al.</w:t>
      </w:r>
      <w:r>
        <w:rPr>
          <w:rFonts w:ascii="Arial" w:hAnsi="Arial"/>
          <w:color w:val="000000"/>
          <w:sz w:val="20"/>
        </w:rPr>
        <w:t xml:space="preserve">, No. 2:21-cv-00861. Plaintiffs Wang and Gao assert claims under Sections 10(b) and 20(a) of the Exchange Act, and SEC Rule 10b-5, alleging that the defendants made materially false and misleading statements and omitted material adverse facts regarding our business. Specifically, the </w:t>
      </w:r>
      <w:r>
        <w:rPr>
          <w:rFonts w:ascii="Arial" w:hAnsi="Arial"/>
          <w:i/>
          <w:color w:val="000000"/>
          <w:sz w:val="20"/>
        </w:rPr>
        <w:t xml:space="preserve">Wang </w:t>
      </w:r>
      <w:r>
        <w:rPr>
          <w:rFonts w:ascii="Arial" w:hAnsi="Arial"/>
          <w:color w:val="000000"/>
          <w:sz w:val="20"/>
        </w:rPr>
        <w:t xml:space="preserve">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 w:hAnsi="Arial"/>
          <w:i/>
          <w:color w:val="000000"/>
          <w:sz w:val="20"/>
        </w:rPr>
        <w:t xml:space="preserve">Wang </w:t>
      </w:r>
      <w:r>
        <w:rPr>
          <w:rFonts w:ascii="Arial" w:hAnsi="Arial"/>
          <w:color w:val="000000"/>
          <w:sz w:val="20"/>
        </w:rPr>
        <w:t>plaintiffs seek unspecified compensatory and punitive damages, and reasonable costs and expenses, including attorneys’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That same day, on June 25, 2021, plaintiff Harshdeep Jawandha filed a putative securities class action lawsuit in the U.S. District Court for the Western District of Washington against us, Dr. Kawas, our then chief financial officer, certain members of our board of directors at the time of our IPO, as well as the IPO underwriters, captioned </w:t>
      </w:r>
      <w:r>
        <w:rPr>
          <w:rFonts w:ascii="Arial" w:hAnsi="Arial"/>
          <w:i/>
          <w:color w:val="000000"/>
          <w:sz w:val="20"/>
        </w:rPr>
        <w:t>Jawandha v. Athira Pharma, Inc., et al.</w:t>
      </w:r>
      <w:r>
        <w:rPr>
          <w:rFonts w:ascii="Arial" w:hAnsi="Arial"/>
          <w:color w:val="000000"/>
          <w:sz w:val="20"/>
        </w:rPr>
        <w:t xml:space="preserve">, No. 2:21-cv-00862. The </w:t>
      </w:r>
      <w:r>
        <w:rPr>
          <w:rFonts w:ascii="Arial" w:hAnsi="Arial"/>
          <w:i/>
          <w:color w:val="000000"/>
          <w:sz w:val="20"/>
        </w:rPr>
        <w:t>Jawandha</w:t>
      </w:r>
      <w:r>
        <w:rPr>
          <w:rFonts w:ascii="Times New Roman" w:hAnsi="Times New Roman"/>
          <w:color w:val="000000"/>
          <w:sz w:val="20"/>
        </w:rPr>
        <w:t xml:space="preserve"> </w:t>
      </w:r>
      <w:r>
        <w:rPr>
          <w:rFonts w:ascii="Arial" w:hAnsi="Arial"/>
          <w:color w:val="000000"/>
          <w:sz w:val="20"/>
        </w:rPr>
        <w:t xml:space="preserve">complaint asserts violations of Sections 11 and 15 of the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hAnsi="Arial"/>
          <w:i/>
          <w:color w:val="000000"/>
          <w:sz w:val="20"/>
        </w:rPr>
        <w:t xml:space="preserve">Jawandha </w:t>
      </w:r>
      <w:r>
        <w:rPr>
          <w:rFonts w:ascii="Arial" w:hAnsi="Arial"/>
          <w:color w:val="000000"/>
          <w:sz w:val="20"/>
        </w:rPr>
        <w:t>plaintiff seeks unspecified compensatory damages, and reasonable costs and expenses, including attorneys’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Also on June 25, 2021, plaintiffs Timothy Slyne and Tai Slyne filed a putative securities class action lawsuit in the U.S. District Court for the Western District of Washington against us, Dr. Kawas, our then chief financial officer, and the same members of our board of directors and underwriters as in the </w:t>
      </w:r>
      <w:r>
        <w:rPr>
          <w:rFonts w:ascii="Arial" w:hAnsi="Arial"/>
          <w:i/>
          <w:color w:val="000000"/>
          <w:sz w:val="20"/>
        </w:rPr>
        <w:t>Jawandha</w:t>
      </w:r>
      <w:r>
        <w:rPr>
          <w:rFonts w:ascii="Times New Roman" w:hAnsi="Times New Roman"/>
          <w:color w:val="000000"/>
          <w:sz w:val="20"/>
        </w:rPr>
        <w:t xml:space="preserve"> </w:t>
      </w:r>
      <w:r>
        <w:rPr>
          <w:rFonts w:ascii="Arial" w:hAnsi="Arial"/>
          <w:color w:val="000000"/>
          <w:sz w:val="20"/>
        </w:rPr>
        <w:t xml:space="preserve">complaint, captioned </w:t>
      </w:r>
      <w:r>
        <w:rPr>
          <w:rFonts w:ascii="Arial" w:hAnsi="Arial"/>
          <w:i/>
          <w:color w:val="000000"/>
          <w:sz w:val="20"/>
        </w:rPr>
        <w:t>Slyne v. Athira Pharma, Inc. et al.</w:t>
      </w:r>
      <w:r>
        <w:rPr>
          <w:rFonts w:ascii="Arial" w:hAnsi="Arial"/>
          <w:color w:val="000000"/>
          <w:sz w:val="20"/>
        </w:rPr>
        <w:t xml:space="preserve">, No. 2:21-cv-00864. The </w:t>
      </w:r>
      <w:r>
        <w:rPr>
          <w:rFonts w:ascii="Arial" w:hAnsi="Arial"/>
          <w:i/>
          <w:color w:val="000000"/>
          <w:sz w:val="20"/>
        </w:rPr>
        <w:t xml:space="preserve">Slyne </w:t>
      </w:r>
      <w:r>
        <w:rPr>
          <w:rFonts w:ascii="Arial" w:hAnsi="Arial"/>
          <w:color w:val="000000"/>
          <w:sz w:val="20"/>
        </w:rPr>
        <w:t xml:space="preserve">complaint asserts violations of Sections 11 and 15 of the Securities Act, alleging that purported issues with Dr. Kawas’s doctoral research at WSU should have been disclosed in our IPO registration statement. The </w:t>
      </w:r>
      <w:r>
        <w:rPr>
          <w:rFonts w:ascii="Arial" w:hAnsi="Arial"/>
          <w:i/>
          <w:color w:val="000000"/>
          <w:sz w:val="20"/>
        </w:rPr>
        <w:t>Slyne</w:t>
      </w:r>
      <w:r>
        <w:rPr>
          <w:rFonts w:ascii="Times New Roman" w:hAnsi="Times New Roman"/>
          <w:color w:val="000000"/>
          <w:sz w:val="20"/>
        </w:rPr>
        <w:t xml:space="preserve"> </w:t>
      </w:r>
      <w:r>
        <w:rPr>
          <w:rFonts w:ascii="Arial" w:hAnsi="Arial"/>
          <w:color w:val="000000"/>
          <w:sz w:val="20"/>
        </w:rPr>
        <w:t>plaintiffs</w:t>
      </w:r>
      <w:r>
        <w:rPr>
          <w:rFonts w:ascii="Times New Roman" w:hAnsi="Times New Roman"/>
          <w:color w:val="000000"/>
          <w:sz w:val="20"/>
        </w:rPr>
        <w:t xml:space="preserve"> </w:t>
      </w:r>
      <w:r>
        <w:rPr>
          <w:rFonts w:ascii="Arial" w:hAnsi="Arial"/>
          <w:color w:val="000000"/>
          <w:sz w:val="20"/>
        </w:rPr>
        <w:t>seek unspecified compensatory damages, reasonable costs and expenses, including attorneys’ fees, and injunctive and other equitable relief.</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283"/>
        <w:jc w:val="both"/>
        <w:rPr>
          <w:rFonts w:ascii="Times New Roman" w:hAnsi="Times New Roman"/>
          <w:sz w:val="20"/>
        </w:rPr>
      </w:pPr>
      <w:r>
        <w:rPr>
          <w:rFonts w:ascii="Arial" w:hAnsi="Arial"/>
          <w:color w:val="000000"/>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us, Dr. Kawas, our then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w:t>
      </w:r>
      <w:r>
        <w:rPr>
          <w:rFonts w:ascii="Times New Roman" w:hAnsi="Times New Roman"/>
          <w:color w:val="000000"/>
          <w:sz w:val="20"/>
        </w:rPr>
        <w:t xml:space="preserve"> </w:t>
      </w:r>
      <w:r>
        <w:rPr>
          <w:rFonts w:ascii="Arial" w:hAnsi="Arial"/>
          <w:color w:val="000000"/>
          <w:sz w:val="20"/>
        </w:rPr>
        <w:t>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80" w:after="283"/>
        <w:jc w:val="both"/>
        <w:rPr>
          <w:rFonts w:ascii="Times New Roman" w:hAnsi="Times New Roman"/>
          <w:sz w:val="20"/>
        </w:rPr>
      </w:pPr>
      <w:r>
        <w:rPr>
          <w:rFonts w:ascii="Arial" w:hAnsi="Arial"/>
          <w:color w:val="000000"/>
          <w:sz w:val="20"/>
        </w:rPr>
        <w:t>On August 12, 2022, defendant Dr. Kawas filed a motion for partial reconsideration of the court’s July 29, 2022 order. On October 4, 2022, the court denied the motion.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court entered an order setting certain case deadlines. On November 4, 2022, we and Dr. Kawas filed our individual answers to the consolidated amended complaint. In mid-November 2022, the parties began conducting fact discovery.</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On March 10, 2023, following a mediation and the parties’ agreement in principle to settle the securities class action for $10.0 million,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pStyle w:val="TextBody"/>
        <w:bidi w:val="0"/>
        <w:spacing w:before="280" w:after="283"/>
        <w:jc w:val="both"/>
        <w:rPr>
          <w:rFonts w:ascii="Arial" w:hAnsi="Arial"/>
          <w:color w:val="000000"/>
          <w:sz w:val="20"/>
        </w:rPr>
      </w:pPr>
      <w:r>
        <w:rPr>
          <w:rFonts w:ascii="Arial" w:hAnsi="Arial"/>
          <w:color w:val="000000"/>
          <w:sz w:val="20"/>
        </w:rPr>
        <w:t>On February 15, 2024, the court issued an order granting in part and deferring in part plaintiffs’ renewed motion for preliminary approval and ordered the parties to submit a joint status report by March 15, 2024 proposing a date on which the court may schedule the final approval hearing, among other things. In its order, the court preliminarily approved the proposed settlement and certified a class and two subclasses. The court deferred ruling in part as to the proposed notices and claim form relating to the settlement. On March 29, 2024, the court issued a minute order (i) granting the portion of plaintiffs’ renewed motion for preliminary approval that the court had previously deferred ruling on, (ii) setting a final approval hearing, and (iii) ordering plaintiffs’ motion for final approval of the proposed settlement to be filed on or before September 26, 2024. On April 30, 2024, plaintiffs filed a motion for an award of attorneys’ fees and payment of expenses. The settlement final approval hearing is scheduled for October 25, 2024.</w:t>
      </w:r>
    </w:p>
    <w:p>
      <w:pPr>
        <w:pStyle w:val="TextBody"/>
        <w:bidi w:val="0"/>
        <w:spacing w:before="280" w:after="283"/>
        <w:jc w:val="both"/>
        <w:rPr>
          <w:rFonts w:ascii="Arial" w:hAnsi="Arial"/>
          <w:color w:val="000000"/>
          <w:sz w:val="20"/>
        </w:rPr>
      </w:pPr>
      <w:r>
        <w:rPr>
          <w:rFonts w:ascii="Arial" w:hAnsi="Arial"/>
          <w:color w:val="000000"/>
          <w:sz w:val="20"/>
        </w:rPr>
        <w:t>As a result of the foregoing, we recorded a legal settlement expense of $10.0 million in operating expenses in the fourth quarter of 2022 and an accrued liability of $10.0 million on the accompanying condensed consolidated balance sheets. Additionally, we recorded an insurance recovery of $1.6 million in operating expenses in the fourth quarter of 2023 and an insurance recovery receivable of $1.6 million on the accompanying condensed consolidated balance sheets. This insurance recovery represents the amount of the settlement to be covered by our insurers.</w:t>
      </w:r>
    </w:p>
    <w:p>
      <w:pPr>
        <w:pStyle w:val="TextBody"/>
        <w:bidi w:val="0"/>
        <w:spacing w:before="280" w:after="283"/>
        <w:jc w:val="both"/>
        <w:rPr>
          <w:rFonts w:ascii="Arial" w:hAnsi="Arial"/>
          <w:b/>
          <w:color w:val="000000"/>
          <w:sz w:val="20"/>
        </w:rPr>
      </w:pPr>
      <w:r>
        <w:rPr>
          <w:rFonts w:ascii="Arial" w:hAnsi="Arial"/>
          <w:b/>
          <w:color w:val="000000"/>
          <w:sz w:val="20"/>
        </w:rPr>
        <w:t>Shareholder Derivative Actions</w:t>
      </w:r>
    </w:p>
    <w:p>
      <w:pPr>
        <w:pStyle w:val="TextBody"/>
        <w:bidi w:val="0"/>
        <w:spacing w:before="280" w:after="283"/>
        <w:jc w:val="both"/>
        <w:rPr>
          <w:rFonts w:ascii="Arial" w:hAnsi="Arial"/>
          <w:color w:val="000000"/>
          <w:sz w:val="20"/>
        </w:rPr>
      </w:pPr>
      <w:r>
        <w:rPr>
          <w:rFonts w:ascii="Arial" w:hAnsi="Arial"/>
          <w:color w:val="000000"/>
          <w:sz w:val="20"/>
        </w:rPr>
        <w:t>On April 14, 2022, a shareholder derivative action was filed by plaintiff Stephen Bushansky in the U.S. District Court for the Western District of Washington against certain current and former members of our board of directors, captioned Bushansky v. Kawas et al., No. 2:22-cv-497. Plaintiff purported to bring the action derivatively on our behalf, and we were a nominal defendant to the action. The derivative complaint alleged that our board of directors breached its fiduciary duties by failing to prevent alleged misstatements in our public filings, failing to discover altered images in certain research papers, and failing to take appropriate action. The derivative complaint asserted claims for violations of Section 14(a) of the Exchange Act as well as claims for breach of fiduciary duty, contribution and indemnification, aiding and abetting, and waste of corporate assets. The derivative complaint sought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283"/>
        <w:jc w:val="both"/>
        <w:rPr>
          <w:rFonts w:ascii="Arial" w:hAnsi="Arial"/>
          <w:color w:val="000000"/>
          <w:sz w:val="20"/>
        </w:rPr>
      </w:pPr>
      <w:r>
        <w:rPr>
          <w:rFonts w:ascii="Arial" w:hAnsi="Arial"/>
          <w:color w:val="000000"/>
          <w:sz w:val="20"/>
        </w:rPr>
        <w:t>On May 6, 2022, a second shareholder derivative action was filed by plaintiff Thomas Houlihan in the U.S. District Court for the Western District of Washington against certain of our current and former directors and officers, captioned Houlihan v. Kawas et al., No. 2:22-cv-620. Plaintiff purported to bring the action derivatively on our behalf, and we were a nominal defendant to the action. The derivative complaint alleged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asserted claims for violations of Section 14(a) of the Exchange Act as well as claims for breach of fiduciary duties, contribution, and indemnification. The derivative complaint sought unspecified damages, unspecified corporate governance reforms, restitution, and an award of costs and expenses to the derivative plaintiff, including attorneys’ fees.</w:t>
      </w:r>
    </w:p>
    <w:p>
      <w:pPr>
        <w:pStyle w:val="TextBody"/>
        <w:bidi w:val="0"/>
        <w:spacing w:before="280" w:after="283"/>
        <w:jc w:val="both"/>
        <w:rPr>
          <w:rFonts w:ascii="Times New Roman" w:hAnsi="Times New Roman"/>
          <w:sz w:val="20"/>
        </w:rPr>
      </w:pPr>
      <w:r>
        <w:rPr>
          <w:rFonts w:ascii="Arial" w:hAnsi="Arial"/>
          <w:color w:val="000000"/>
          <w:sz w:val="20"/>
        </w:rPr>
        <w:t>On May 26, 2022, the court issued an order consolidating the cases and staying them until further order of the court. On March 18, 2024, following a mediation and the parties entering into a stipulation of settlement to settle the consolidated derivative action for certain corporate governance reforms and the payment of a fee and expense award to plaintiffs’ counsel, plaintiffs filed an unopposed motion for preliminary approval of a settlement of the derivative action. On May 3, 2024, the court entered an order preliminarily approving the settlement and scheduling a final approval hearing for July 18, 2024. On May 17, 2024, plaintiffs filed an unopposed motion for approval of attorneys’ fees and expenses and service awards to plaintiffs. On July 3, 2024, plaintiffs filed an unopposed motion for final approval of derivative settlement. The settlement final approval hearing took place on July 18, 2024, and no shareholders objected to the proposed settlement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attorneys’ fees or service awards sought by plaintiffs. After the hearing, on July 18, 2024, the court entered an order and judgment granting plaintiffs’ motion for final approval of derivative settlement, finding the settlement to be fair, reasonable, and adequate to the settling parties and our shareholders, and dismissing the derivative action with prejudice.</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believe we have adequate reserves related to this matter as of the balance sheet date.</w:t>
      </w:r>
    </w:p>
    <w:p>
      <w:pPr>
        <w:pStyle w:val="TextBody"/>
        <w:bidi w:val="0"/>
        <w:spacing w:before="280" w:after="283"/>
        <w:jc w:val="both"/>
        <w:rPr>
          <w:rFonts w:ascii="Arial" w:hAnsi="Arial"/>
          <w:b/>
          <w:color w:val="000000"/>
          <w:sz w:val="20"/>
        </w:rPr>
      </w:pPr>
      <w:r>
        <w:rPr>
          <w:rFonts w:ascii="Arial" w:hAnsi="Arial"/>
          <w:b/>
          <w:color w:val="000000"/>
          <w:sz w:val="20"/>
        </w:rPr>
        <w:t>Government Investigation</w:t>
      </w:r>
    </w:p>
    <w:p>
      <w:pPr>
        <w:pStyle w:val="TextBody"/>
        <w:bidi w:val="0"/>
        <w:spacing w:before="280" w:after="283"/>
        <w:jc w:val="both"/>
        <w:rPr>
          <w:rFonts w:ascii="Times New Roman" w:hAnsi="Times New Roman"/>
          <w:sz w:val="20"/>
        </w:rPr>
      </w:pPr>
      <w:r>
        <w:rPr>
          <w:rFonts w:ascii="Arial" w:hAnsi="Arial"/>
          <w:color w:val="000000"/>
          <w:sz w:val="20"/>
        </w:rPr>
        <w:t>In November 2022, we received a Civil Investigative Demand from the Civil Division of the Department of Justice, or the Demand. The Demand seeks documents and information relating to our relationship with WSU, certain of our grant applications in 2016 and 2019 with the NIH and our receipt of an NIH grant in 2020. We are cooperating with the Department of Justice with respect to the Demand</w:t>
      </w:r>
      <w:r>
        <w:rPr>
          <w:rFonts w:ascii="Arial" w:hAnsi="Arial"/>
          <w:b/>
          <w:color w:val="000000"/>
          <w:sz w:val="20"/>
        </w:rPr>
        <w:t>.</w:t>
      </w:r>
    </w:p>
    <w:p>
      <w:pPr>
        <w:pStyle w:val="TextBody"/>
        <w:bidi w:val="0"/>
        <w:spacing w:before="280" w:after="283"/>
        <w:jc w:val="both"/>
        <w:rPr>
          <w:rFonts w:ascii="Arial" w:hAnsi="Arial"/>
          <w:color w:val="000000"/>
          <w:sz w:val="20"/>
        </w:rPr>
      </w:pPr>
      <w:r>
        <w:rPr>
          <w:rFonts w:ascii="Arial" w:hAnsi="Arial"/>
          <w:color w:val="000000"/>
          <w:sz w:val="20"/>
        </w:rPr>
        <w:t>We cannot predict the outcome of the Demand. Failure by us to obtain a favorable resolution could have a material adverse effect on our business, results of operations and financial condition.</w:t>
      </w:r>
    </w:p>
    <w:p>
      <w:pPr>
        <w:pStyle w:val="TextBody"/>
        <w:bidi w:val="0"/>
        <w:spacing w:before="280" w:after="283"/>
        <w:jc w:val="both"/>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280" w:after="283"/>
        <w:jc w:val="both"/>
        <w:rPr>
          <w:rFonts w:ascii="Times New Roman" w:hAnsi="Times New Roman"/>
          <w:sz w:val="20"/>
        </w:rPr>
      </w:pPr>
      <w:r>
        <w:rPr>
          <w:rFonts w:ascii="Arial" w:hAnsi="Arial"/>
          <w:color w:val="231F20"/>
          <w:sz w:val="20"/>
        </w:rPr>
        <w:t xml:space="preserve">You should carefully consider the </w:t>
      </w:r>
      <w:r>
        <w:rPr>
          <w:rFonts w:ascii="Arial" w:hAnsi="Arial"/>
          <w:i/>
          <w:color w:val="231F20"/>
          <w:sz w:val="20"/>
        </w:rPr>
        <w:t xml:space="preserve">following risk factors, in addition to </w:t>
      </w:r>
      <w:r>
        <w:rPr>
          <w:rFonts w:ascii="Arial" w:hAnsi="Arial"/>
          <w:color w:val="231F20"/>
          <w:sz w:val="20"/>
        </w:rPr>
        <w:t xml:space="preserve">the other information </w:t>
      </w:r>
      <w:r>
        <w:rPr>
          <w:rFonts w:ascii="Arial" w:hAnsi="Arial"/>
          <w:i/>
          <w:color w:val="231F20"/>
          <w:sz w:val="20"/>
        </w:rPr>
        <w:t>contained in this report</w:t>
      </w:r>
      <w:r>
        <w:rPr>
          <w:rFonts w:ascii="Arial" w:hAnsi="Arial"/>
          <w:color w:val="231F20"/>
          <w:sz w:val="20"/>
        </w:rPr>
        <w:t xml:space="preserve">, </w:t>
      </w:r>
      <w:r>
        <w:rPr>
          <w:rFonts w:ascii="Arial" w:hAnsi="Arial"/>
          <w:i/>
          <w:color w:val="231F20"/>
          <w:sz w:val="20"/>
        </w:rPr>
        <w:t>including the “Management’s Discussion and Analysis of Financial Condition and Results of Operations”</w:t>
      </w:r>
      <w:r>
        <w:rPr>
          <w:rFonts w:ascii="Times New Roman" w:hAnsi="Times New Roman"/>
          <w:color w:val="231F20"/>
          <w:sz w:val="20"/>
        </w:rPr>
        <w:t xml:space="preserve"> </w:t>
      </w:r>
      <w:r>
        <w:rPr>
          <w:rFonts w:ascii="Arial" w:hAnsi="Arial"/>
          <w:i/>
          <w:color w:val="231F20"/>
          <w:sz w:val="20"/>
        </w:rPr>
        <w:t xml:space="preserve">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Arial" w:hAnsi="Arial"/>
          <w:b/>
          <w:color w:val="000000"/>
          <w:sz w:val="20"/>
        </w:rPr>
      </w:pPr>
      <w:r>
        <w:rPr>
          <w:rFonts w:ascii="Arial" w:hAnsi="Arial"/>
          <w:b/>
          <w:color w:val="000000"/>
          <w:sz w:val="20"/>
        </w:rPr>
        <w:t>Risks Relating to Our Business and the Development of Our Drug Candidates</w:t>
      </w:r>
    </w:p>
    <w:p>
      <w:pPr>
        <w:pStyle w:val="TextBody"/>
        <w:bidi w:val="0"/>
        <w:spacing w:before="240" w:after="283"/>
        <w:jc w:val="both"/>
        <w:rPr>
          <w:rFonts w:ascii="Arial" w:hAnsi="Arial"/>
          <w:b/>
          <w:i/>
          <w:color w:val="000000"/>
          <w:sz w:val="20"/>
        </w:rPr>
      </w:pPr>
      <w:r>
        <w:rPr>
          <w:rFonts w:ascii="Arial" w:hAnsi="Arial"/>
          <w:b/>
          <w:i/>
          <w:color w:val="000000"/>
          <w:sz w:val="20"/>
        </w:rPr>
        <w:t>We are a late clinical-stage biopharmaceutical company with a limited operating history.</w:t>
      </w:r>
    </w:p>
    <w:p>
      <w:pPr>
        <w:pStyle w:val="TextBody"/>
        <w:bidi w:val="0"/>
        <w:spacing w:before="240" w:after="283"/>
        <w:jc w:val="both"/>
        <w:rPr>
          <w:rFonts w:ascii="Times New Roman" w:hAnsi="Times New Roman"/>
          <w:sz w:val="20"/>
        </w:rPr>
      </w:pPr>
      <w:r>
        <w:rPr>
          <w:rFonts w:ascii="Arial" w:hAnsi="Arial"/>
          <w:color w:val="000000"/>
          <w:sz w:val="20"/>
        </w:rPr>
        <w:t>We are a late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fail to or be unable to design and execute clinical trials to support marketing approval of fosgonimeton or any of our other drug candidates.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(including potential confirmatory or Phase 3 registrational trials). Even if regulatory approval is secured for any of our drug candidates, the terms of such approval may limit the scope and use of our drug candidate, which may also limit its commercial potential.</w:t>
      </w:r>
    </w:p>
    <w:p>
      <w:pPr>
        <w:pStyle w:val="TextBody"/>
        <w:bidi w:val="0"/>
        <w:spacing w:before="24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fosgonimeton and one or more of our other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drug candidates.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and timely completion of nonclinical and clinical development of our drug candidates and any future drug candidates, as well as the associated costs, including any unforeseen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relationships with contract research organizations, or CROs, and clinical sites for the clinical development, both in the United States and internationally, of our drug candidates and any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timely submission of application for and receipt of marketing approvals from applicable regulatory authorities for any drug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developing an efficient and scalable manufacturing process for our drug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continued acceptable safety profile following any marketing approval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commercial acceptance of our drug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assessing and developing new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defending against third-party patent challenges, derivation proceedings, or interference or infringement claims,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negotiating favorable terms in any collaboration, licensing or other arrangements that may be necessary or desirable to develop, manufacture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coverage and adequate reimbursement by hospitals, government and third-party payors for drug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both"/>
        <w:rPr>
          <w:rFonts w:ascii="Arial" w:hAnsi="Arial"/>
          <w:color w:val="000000"/>
          <w:sz w:val="20"/>
        </w:rPr>
      </w:pPr>
      <w:r>
        <w:rPr>
          <w:rFonts w:ascii="Arial" w:hAnsi="Arial"/>
          <w:color w:val="00000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Arial" w:hAnsi="Arial"/>
          <w:color w:val="000000"/>
          <w:sz w:val="20"/>
        </w:rPr>
      </w:pPr>
      <w:r>
        <w:rPr>
          <w:rFonts w:ascii="Arial" w:hAnsi="Arial"/>
          <w:color w:val="000000"/>
          <w:sz w:val="20"/>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both"/>
        <w:rPr>
          <w:rFonts w:ascii="Times New Roman" w:hAnsi="Times New Roman"/>
          <w:sz w:val="20"/>
        </w:rPr>
      </w:pPr>
      <w:r>
        <w:rPr>
          <w:rFonts w:ascii="Arial" w:hAnsi="Arial"/>
          <w:color w:val="000000"/>
          <w:sz w:val="20"/>
        </w:rPr>
        <w:t>We have not previously submitted a new drug application, or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240" w:after="283"/>
        <w:jc w:val="both"/>
        <w:rPr>
          <w:rFonts w:ascii="Times New Roman" w:hAnsi="Times New Roman"/>
          <w:sz w:val="20"/>
        </w:rPr>
      </w:pPr>
      <w:r>
        <w:rPr>
          <w:rFonts w:ascii="Arial" w:hAnsi="Arial"/>
          <w:b/>
          <w:i/>
          <w:color w:val="000000"/>
          <w:sz w:val="20"/>
        </w:rPr>
        <w:t>Our development of fosgonimeton may never lead to a marketable product.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and all secondary endpoints of the ACT-AD and SHAPE trials were not met by protocoled analysis. While we are continuing with the LIFT-AD study, we may not succeed in demonstrating safety and efficacy of fosgonimeton in our LIFT-AD trial or in other clinical trials.</w:t>
      </w:r>
    </w:p>
    <w:p>
      <w:pPr>
        <w:pStyle w:val="TextBody"/>
        <w:bidi w:val="0"/>
        <w:spacing w:before="240" w:after="283"/>
        <w:jc w:val="both"/>
        <w:rPr>
          <w:rFonts w:ascii="Arial" w:hAnsi="Arial"/>
          <w:color w:val="000000"/>
          <w:sz w:val="20"/>
        </w:rPr>
      </w:pPr>
      <w:r>
        <w:rPr>
          <w:rFonts w:ascii="Arial" w:hAnsi="Arial"/>
          <w:color w:val="000000"/>
          <w:sz w:val="20"/>
        </w:rPr>
        <w:t>Advancing fosgonimeton as a small molecule aimed at restoring neuronal health creates significant challenges for us,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the sales and marketing capabilities upon obtaining any marketing approvals to gain market acceptance.</w:t>
      </w:r>
    </w:p>
    <w:p>
      <w:pPr>
        <w:pStyle w:val="TextBody"/>
        <w:bidi w:val="0"/>
        <w:spacing w:before="240" w:after="283"/>
        <w:jc w:val="both"/>
        <w:rPr>
          <w:rFonts w:ascii="Arial" w:hAnsi="Arial"/>
          <w:color w:val="000000"/>
          <w:sz w:val="20"/>
        </w:rPr>
      </w:pPr>
      <w:r>
        <w:rPr>
          <w:rFonts w:ascii="Arial" w:hAnsi="Arial"/>
          <w:color w:val="000000"/>
          <w:sz w:val="20"/>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pStyle w:val="TextBody"/>
        <w:bidi w:val="0"/>
        <w:spacing w:before="240" w:after="283"/>
        <w:jc w:val="both"/>
        <w:rPr>
          <w:rFonts w:ascii="Times New Roman" w:hAnsi="Times New Roman"/>
          <w:sz w:val="20"/>
        </w:rPr>
      </w:pPr>
      <w:r>
        <w:rPr>
          <w:rFonts w:ascii="Arial" w:hAnsi="Arial"/>
          <w:b/>
          <w:i/>
          <w:color w:val="000000"/>
          <w:sz w:val="20"/>
        </w:rPr>
        <w:t>Our approach to targeting neurotrophic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drug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discovered and are developing a pipeline of small molecule drug candidates from which we have selected our lead drug candidate, fosgonimeton, which is under development to treat AD, Parkinson's Disease Dementia, or PDD, and Dementia with Lewy Bodies, or DLB.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Based on the results of our nonclinical and clinical studies to date, we believe fosgonimeton has the potential to improve cognition, function and help restore the lives of patients suffering from AD. However, these ideas and this approach are novel, and we currently have limited data based on our Phase 1a/b and Phase 2 clinical trials to date.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primary and all secondary endpoints of our Phase 2 ACT-AD clinical trial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modified intent to treat, or mITT, population treated with fosgonimeton 40 mg once daily saw improvement in ADAS-Cog13 individually, and collectively improved compared with placebo (n=7 mITT, one-sided p=0.0321). Results for patients in the 70 mg dose group were inconsistent.</w:t>
      </w:r>
    </w:p>
    <w:p>
      <w:pPr>
        <w:pStyle w:val="TextBody"/>
        <w:bidi w:val="0"/>
        <w:spacing w:before="240" w:after="283"/>
        <w:jc w:val="both"/>
        <w:rPr>
          <w:rFonts w:ascii="Times New Roman" w:hAnsi="Times New Roman"/>
          <w:sz w:val="20"/>
        </w:rPr>
      </w:pPr>
      <w:r>
        <w:rPr>
          <w:rFonts w:ascii="Arial" w:hAnsi="Arial"/>
          <w:color w:val="000000"/>
          <w:sz w:val="20"/>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drug candidates. We may ultimately discover that fosgonimeton, or any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other small molecules, do not possess certain properties required for therapeutic effectiveness. We have limited evidence regarding the efficacy, safety and tolerability of fosgonimeton and other small molecules in our drug product pipeline. We may spend substantial funds attempting to develop these drug candidates and never succeed in doing so.</w:t>
      </w:r>
    </w:p>
    <w:p>
      <w:pPr>
        <w:pStyle w:val="TextBody"/>
        <w:bidi w:val="0"/>
        <w:spacing w:before="240" w:after="283"/>
        <w:jc w:val="both"/>
        <w:rPr>
          <w:rFonts w:ascii="Times New Roman" w:hAnsi="Times New Roman"/>
          <w:sz w:val="20"/>
        </w:rPr>
      </w:pPr>
      <w:r>
        <w:rPr>
          <w:rFonts w:ascii="Arial" w:hAnsi="Arial"/>
          <w:b/>
          <w:i/>
          <w:color w:val="000000"/>
          <w:sz w:val="20"/>
        </w:rPr>
        <w:t>We have concentrated our research and development efforts on the treatment of central and peripheral nervous system degenerative disorders, a field that has seen very limited success in product development.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240" w:after="283"/>
        <w:jc w:val="both"/>
        <w:rPr>
          <w:rFonts w:ascii="Arial" w:hAnsi="Arial"/>
          <w:b/>
          <w:i/>
          <w:color w:val="000000"/>
          <w:sz w:val="20"/>
        </w:rPr>
      </w:pPr>
      <w:r>
        <w:rPr>
          <w:rFonts w:ascii="Arial" w:hAnsi="Arial"/>
          <w:b/>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p>
    <w:p>
      <w:pPr>
        <w:pStyle w:val="TextBody"/>
        <w:bidi w:val="0"/>
        <w:spacing w:before="240" w:after="283"/>
        <w:jc w:val="both"/>
        <w:rPr>
          <w:rFonts w:ascii="Times New Roman" w:hAnsi="Times New Roman"/>
          <w:sz w:val="20"/>
        </w:rPr>
      </w:pPr>
      <w:r>
        <w:rPr>
          <w:rFonts w:ascii="Arial" w:hAnsi="Arial"/>
          <w:color w:val="000000"/>
          <w:sz w:val="20"/>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drug candidates or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pStyle w:val="TextBody"/>
        <w:bidi w:val="0"/>
        <w:spacing w:before="240" w:after="283"/>
        <w:jc w:val="both"/>
        <w:rPr>
          <w:rFonts w:ascii="Times New Roman" w:hAnsi="Times New Roman"/>
          <w:sz w:val="20"/>
        </w:rPr>
      </w:pPr>
      <w:r>
        <w:rPr>
          <w:rFonts w:ascii="Arial" w:hAnsi="Arial"/>
          <w:color w:val="000000"/>
          <w:sz w:val="20"/>
        </w:rPr>
        <w:t>As disclosed elsewhere in this report, including in this “Risk Factors” section under the heading “</w:t>
      </w:r>
      <w:r>
        <w:rPr>
          <w:rFonts w:ascii="Times New Roman" w:hAnsi="Times New Roman"/>
          <w:color w:val="000000"/>
          <w:sz w:val="20"/>
        </w:rPr>
        <w:t>—</w:t>
      </w:r>
      <w:r>
        <w:rPr>
          <w:rFonts w:ascii="Arial" w:hAnsi="Arial"/>
          <w:i/>
          <w:color w:val="000000"/>
          <w:sz w:val="20"/>
        </w:rPr>
        <w:t>We and certain of our directors and executive officers have been, and may in the future be, named as defendants in lawsuits that could result in substantial costs and divert management’s attention</w:t>
      </w:r>
      <w:r>
        <w:rPr>
          <w:rFonts w:ascii="Arial" w:hAnsi="Arial"/>
          <w:color w:val="000000"/>
          <w:sz w:val="20"/>
        </w:rPr>
        <w:t>,” and 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pStyle w:val="TextBody"/>
        <w:bidi w:val="0"/>
        <w:spacing w:before="240" w:after="283"/>
        <w:jc w:val="both"/>
        <w:rPr>
          <w:rFonts w:ascii="Times New Roman" w:hAnsi="Times New Roman"/>
          <w:sz w:val="20"/>
        </w:rPr>
      </w:pPr>
      <w:r>
        <w:rPr>
          <w:rFonts w:ascii="Arial" w:hAnsi="Arial"/>
          <w:b/>
          <w:i/>
          <w:color w:val="000000"/>
          <w:sz w:val="20"/>
        </w:rPr>
        <w:t>WSU has undertaken a review of claims of potential research misconduct involving our former chief executive officer’s doctoral research at WSU. We cannot predict what conclusions WSU will reach, whether or when WSU</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will share its conclusions with us or the public, and what effect, if any, this investigation may have on our business and reputation.</w:t>
      </w:r>
    </w:p>
    <w:p>
      <w:pPr>
        <w:pStyle w:val="TextBody"/>
        <w:bidi w:val="0"/>
        <w:spacing w:before="240" w:after="283"/>
        <w:jc w:val="both"/>
        <w:rPr>
          <w:rFonts w:ascii="Times New Roman" w:hAnsi="Times New Roman"/>
          <w:sz w:val="20"/>
        </w:rPr>
      </w:pPr>
      <w:r>
        <w:rPr>
          <w:rFonts w:ascii="Arial" w:hAnsi="Arial"/>
          <w:color w:val="000000"/>
          <w:sz w:val="20"/>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cannot predict what, if any, effect this investigation may have on our business and reputation. It is possible that the investigation by WSU could come to different conclusions, or uncover additional or different information, than the investigation of the independent special committee of our board of directors, the conclusions of which are discussed under “—</w:t>
      </w:r>
      <w:r>
        <w:rPr>
          <w:rFonts w:ascii="Arial" w:hAnsi="Arial"/>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r>
        <w:rPr>
          <w:rFonts w:ascii="Times New Roman" w:hAnsi="Times New Roman"/>
          <w:color w:val="000000"/>
          <w:sz w:val="20"/>
        </w:rPr>
        <w:t>”</w:t>
      </w:r>
      <w:r>
        <w:rPr>
          <w:rFonts w:ascii="Arial" w:hAnsi="Arial"/>
          <w:color w:val="000000"/>
          <w:sz w:val="20"/>
        </w:rPr>
        <w:t>.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drug candidates.</w:t>
      </w:r>
    </w:p>
    <w:p>
      <w:pPr>
        <w:pStyle w:val="TextBody"/>
        <w:bidi w:val="0"/>
        <w:spacing w:before="240" w:after="283"/>
        <w:jc w:val="both"/>
        <w:rPr>
          <w:rFonts w:ascii="Arial" w:hAnsi="Arial"/>
          <w:b/>
          <w:i/>
          <w:color w:val="000000"/>
          <w:sz w:val="20"/>
        </w:rPr>
      </w:pPr>
      <w:r>
        <w:rPr>
          <w:rFonts w:ascii="Arial" w:hAnsi="Arial"/>
          <w:b/>
          <w:i/>
          <w:color w:val="000000"/>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240" w:after="283"/>
        <w:jc w:val="both"/>
        <w:rPr>
          <w:rFonts w:ascii="Arial" w:hAnsi="Arial"/>
          <w:color w:val="000000"/>
          <w:sz w:val="20"/>
        </w:rPr>
      </w:pPr>
      <w:r>
        <w:rPr>
          <w:rFonts w:ascii="Arial" w:hAnsi="Arial"/>
          <w:color w:val="000000"/>
          <w:sz w:val="20"/>
        </w:rPr>
        <w:t>We are and may in the future be subject to claims, lawsuits, arbitration proceedings, government investigations and other legal, regulatory and administrative proceedings. For example, in November 2022, we received a Civil Investigative Demand from the Civil Division of the Department of Justice, or the Demand. The Demand seeks documents and information relating to our relationship with WSU, certain of our grant applications in 2016 and 2019 with the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cooperated with the SEC with respect to the subpoena. On March 29, 2024, we received a letter from the SEC stating that the SEC had concluded its investigation without any enforcement action against us.</w:t>
      </w:r>
    </w:p>
    <w:p>
      <w:pPr>
        <w:pStyle w:val="TextBody"/>
        <w:bidi w:val="0"/>
        <w:spacing w:before="240" w:after="283"/>
        <w:jc w:val="both"/>
        <w:rPr>
          <w:rFonts w:ascii="Arial" w:hAnsi="Arial"/>
          <w:color w:val="000000"/>
          <w:sz w:val="20"/>
        </w:rPr>
      </w:pPr>
      <w:r>
        <w:rPr>
          <w:rFonts w:ascii="Arial" w:hAnsi="Arial"/>
          <w:color w:val="000000"/>
          <w:sz w:val="20"/>
        </w:rPr>
        <w:t>The outcome of the Demand or any related claims or proceedings, as well as any other investigations or claims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both"/>
        <w:rPr>
          <w:rFonts w:ascii="Arial" w:hAnsi="Arial"/>
          <w:color w:val="000000"/>
          <w:sz w:val="20"/>
        </w:rPr>
      </w:pPr>
      <w:r>
        <w:rPr>
          <w:rFonts w:ascii="Arial" w:hAnsi="Arial"/>
          <w:color w:val="000000"/>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240" w:after="283"/>
        <w:jc w:val="both"/>
        <w:rPr>
          <w:rFonts w:ascii="Times New Roman" w:hAnsi="Times New Roman"/>
          <w:sz w:val="20"/>
        </w:rPr>
      </w:pPr>
      <w:r>
        <w:rPr>
          <w:rFonts w:ascii="Arial" w:hAnsi="Arial"/>
          <w:b/>
          <w:i/>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lead drug candidate, fosgonimeton, is in clinical development for the potential treatment of AD, PDD and DLB. Our additional drug candidates, including ATH-1105 for ALS, are in preclinical development or early clinical development.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It is impossible to predict when or if any of our drug candidates will prove to be effective and safe in humans or will receive regulatory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Before obtaining regulatory approvals for the commercial sale of our drug candidates, we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 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in AD, which included a larger patient population, approximately 60% of which were receiving background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AChEIs, we cannot be sure that data from future trials will support our earlier findings or demonstrate the safety and effectiveness of fosgonimeton for treatment of AD to the satisfaction of the FDA and other regulatory authorities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(including potential confirmatory or Phase 3 registrational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background AChEIs is diminished, we may be required to seek a narrower indication or restrict our target population to those where fosgonimeton shows a greater effect, which could have a material adverse effect on our business and prospects.</w:t>
      </w:r>
    </w:p>
    <w:p>
      <w:pPr>
        <w:pStyle w:val="TextBody"/>
        <w:bidi w:val="0"/>
        <w:spacing w:before="240" w:after="283"/>
        <w:jc w:val="both"/>
        <w:rPr>
          <w:rFonts w:ascii="Times New Roman" w:hAnsi="Times New Roman"/>
          <w:sz w:val="20"/>
        </w:rPr>
      </w:pPr>
      <w:r>
        <w:rPr>
          <w:rFonts w:ascii="Arial" w:hAnsi="Arial"/>
          <w:color w:val="000000"/>
          <w:sz w:val="20"/>
        </w:rPr>
        <w:t>On July 6, 2021, we announced the initiation of an open-label extension for the LIFT-AD and ACT-AD trials and in May 2022 we announced the extension of the open label extension for an additional 12 months. In May 2023, we amended the open-label extension trial to further extend the trial by an additional 12 months, and in April 2024, we amended the open-label extension trial to further extend the trial by an additional 18 months. Upon completion of the 26-week treatment period during the LIFT-AD or ACT-AD trials, patients may continue on the open-label extension and receive treatment with fosgonimeton for up to an additional 48 months. Investigators and patients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color w:val="000000"/>
          <w:sz w:val="20"/>
        </w:rPr>
      </w:pPr>
      <w:r>
        <w:rPr>
          <w:rFonts w:ascii="Arial" w:hAnsi="Arial"/>
          <w:color w:val="000000"/>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with our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recruiting an adequate number of suitable patients to participate in a clinical trial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patients required for clinical trials of our drug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by us or our CROs in qualifying or analyzing patient data at the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demonstrate a benefit from using a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adding a sufficient number of clinical trial sites;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sufficient supply of drug candidate for use in nonclinical studies or clinical trials from third-party suppliers.</w:t>
      </w:r>
    </w:p>
    <w:p>
      <w:pPr>
        <w:pStyle w:val="TextBody"/>
        <w:bidi w:val="0"/>
        <w:spacing w:before="240" w:after="283"/>
        <w:jc w:val="both"/>
        <w:rPr>
          <w:rFonts w:ascii="Arial" w:hAnsi="Arial"/>
          <w:color w:val="000000"/>
          <w:sz w:val="20"/>
        </w:rPr>
      </w:pPr>
      <w:r>
        <w:rPr>
          <w:rFonts w:ascii="Arial" w:hAnsi="Arial"/>
          <w:color w:val="000000"/>
          <w:sz w:val="20"/>
        </w:rPr>
        <w:t>Further, conducting clinical trials in foreign countries, as we intend to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Arial" w:hAnsi="Arial"/>
          <w:color w:val="000000"/>
          <w:sz w:val="20"/>
        </w:rPr>
      </w:pPr>
      <w:r>
        <w:rPr>
          <w:rFonts w:ascii="Arial" w:hAnsi="Arial"/>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If the results of our current and future clinical trials are inconclusive with respect to the efficacy of our drug candidates, if we do not meet the clinical endpoints with statistical and clinically meaningful significance, or if there are safety concerns associated with our drug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determine to limit or terminate clinical trials, including our open-label extension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delayed in or prevented from obtaining marketing approval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changes in the way the drug candidate is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have regulatory authorities withdraw their approval of the drug product or impose restrictions on its distribution in the form of a modified risk evaluation and mitigation strategy, or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damage to our reputation.</w:t>
      </w:r>
    </w:p>
    <w:p>
      <w:pPr>
        <w:pStyle w:val="TextBody"/>
        <w:bidi w:val="0"/>
        <w:spacing w:before="24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both"/>
        <w:rPr>
          <w:rFonts w:ascii="Arial" w:hAnsi="Arial"/>
          <w:color w:val="000000"/>
          <w:sz w:val="20"/>
        </w:rPr>
      </w:pPr>
      <w:r>
        <w:rPr>
          <w:rFonts w:ascii="Arial" w:hAnsi="Arial"/>
          <w:color w:val="000000"/>
          <w:sz w:val="20"/>
        </w:rPr>
        <w:t>From time to time, we may also disclose interim data from our nonclinical studies and clinical trials. For example, in October 2022 we announced that an independent DMC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Arial" w:hAnsi="Arial"/>
          <w:color w:val="000000"/>
          <w:sz w:val="20"/>
        </w:rPr>
      </w:pPr>
      <w:r>
        <w:rPr>
          <w:rFonts w:ascii="Arial" w:hAnsi="Arial"/>
          <w:color w:val="000000"/>
          <w:sz w:val="20"/>
        </w:rPr>
        <w:t>Additionally, we rely on data received from clinical trials, whether preliminary or final, to inform decisions on future clinical trials, including trial design, trial size, and whether or not to initiate additional clinical trials (including any potential confirmatory or Phase 3 registrational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pStyle w:val="TextBody"/>
        <w:bidi w:val="0"/>
        <w:spacing w:before="240" w:after="283"/>
        <w:jc w:val="both"/>
        <w:rPr>
          <w:rFonts w:ascii="Times New Roman" w:hAnsi="Times New Roman"/>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b/>
          <w:i/>
          <w:color w:val="000000"/>
          <w:sz w:val="20"/>
        </w:rPr>
        <w:t>Our reporting of topline or final data for our clinical trials may be delayed and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projected timeline for announcing our topline data may be delayed, including, among other reasons, due to possible delays in data cleaning, processing or analysis, either on our part and/or on the part of any of our third-party vendors,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color w:val="000000"/>
          <w:sz w:val="20"/>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clinical trials had slowed due to the effects of the COVID-19 pandemic, including governmental restrictions imposed in Australia, where certain of our clinical trial sites were located. In our ACT-AD clinical trial, this slowed recruitment resulted in a change in the timing of topline 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(including potential confirmatory or Phase 3 registrational trials)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use of clinical research organizations, and procurement of operational resources. As a result, our competitors may discover, develop, license or commercialize products before or more successfully than we do.</w:t>
      </w:r>
    </w:p>
    <w:p>
      <w:pPr>
        <w:pStyle w:val="TextBody"/>
        <w:bidi w:val="0"/>
        <w:spacing w:before="240" w:after="283"/>
        <w:jc w:val="both"/>
        <w:rPr>
          <w:rFonts w:ascii="Times New Roman" w:hAnsi="Times New Roman"/>
          <w:sz w:val="20"/>
        </w:rPr>
      </w:pPr>
      <w:r>
        <w:rPr>
          <w:rFonts w:ascii="Arial" w:hAnsi="Arial"/>
          <w:color w:val="000000"/>
          <w:sz w:val="20"/>
        </w:rPr>
        <w:t>Drug candidates that we may successfully develop and commercialize will compete with existing therapies and new therapies that may become available in the future. For example, the FDA recently granted traditional approval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lecanemab, a drug developed by Biogen Inc. and Eisai Co., Ltd., and Eli Lilly and Company received approval for an amyloid beta-directed antibody in July 2024.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For example, the U.S. Centers for Medicare &amp; Medicaid Services, or CMS, announced a two-part National Coverage Determination, or NCD, under which Medicare will cover monoclonal antibodies that target amyloid (or plaque) for the treatment of AD that receive traditional approval from the FDA under coverage with evidence development. Additionally, for drugs that FDA has not determined to have shown a clinical benefit or that received an accelerated approval, Medicare will provide coverage in FDA or NIH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10-K filed with the SEC on February 22,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expend our limited resources to pursue a particular drug candidate or indication and fail to capitalize on drug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pStyle w:val="TextBody"/>
        <w:bidi w:val="0"/>
        <w:spacing w:before="240" w:after="283"/>
        <w:jc w:val="both"/>
        <w:rPr>
          <w:rFonts w:ascii="Times New Roman" w:hAnsi="Times New Roman"/>
          <w:sz w:val="20"/>
        </w:rPr>
      </w:pPr>
      <w:r>
        <w:rPr>
          <w:rFonts w:ascii="Arial" w:hAnsi="Arial"/>
          <w:b/>
          <w:i/>
          <w:color w:val="000000"/>
          <w:sz w:val="20"/>
        </w:rPr>
        <w:t>We may develop drug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pStyle w:val="TextBody"/>
        <w:bidi w:val="0"/>
        <w:spacing w:before="240" w:after="283"/>
        <w:jc w:val="both"/>
        <w:rPr>
          <w:rFonts w:ascii="Arial" w:hAnsi="Arial"/>
          <w:color w:val="000000"/>
          <w:sz w:val="20"/>
        </w:rPr>
      </w:pPr>
      <w:r>
        <w:rPr>
          <w:rFonts w:ascii="Arial" w:hAnsi="Arial"/>
          <w:color w:val="000000"/>
          <w:sz w:val="20"/>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pStyle w:val="TextBody"/>
        <w:bidi w:val="0"/>
        <w:spacing w:before="240" w:after="283"/>
        <w:jc w:val="both"/>
        <w:rPr>
          <w:rFonts w:ascii="Times New Roman" w:hAnsi="Times New Roman"/>
          <w:sz w:val="20"/>
        </w:rPr>
      </w:pPr>
      <w:r>
        <w:rPr>
          <w:rFonts w:ascii="Arial" w:hAnsi="Arial"/>
          <w:b/>
          <w:i/>
          <w:color w:val="000000"/>
          <w:sz w:val="20"/>
        </w:rPr>
        <w:t>Our long-term prospects depend in part upon discovering, developing and commercializing additional drug candidates, which may fail in development or suffer delays that adversely affect their commercial viability.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unpredictable variables. The results from nonclinical testing or early clinical trials of a drug candidate may not be predictive of the results that will be obtained in later stage clinical trials of the drug candidate.</w:t>
      </w:r>
    </w:p>
    <w:p>
      <w:pPr>
        <w:pStyle w:val="TextBody"/>
        <w:bidi w:val="0"/>
        <w:spacing w:before="240" w:after="283"/>
        <w:jc w:val="both"/>
        <w:rPr>
          <w:rFonts w:ascii="Arial" w:hAnsi="Arial"/>
          <w:color w:val="000000"/>
          <w:sz w:val="20"/>
        </w:rPr>
      </w:pPr>
      <w:r>
        <w:rPr>
          <w:rFonts w:ascii="Arial" w:hAnsi="Arial"/>
          <w:color w:val="000000"/>
          <w:sz w:val="20"/>
        </w:rPr>
        <w:t>The success of other future drug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timely manufacture of sufficient quantities of the drug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events in the clinical trials.</w:t>
      </w:r>
    </w:p>
    <w:p>
      <w:pPr>
        <w:pStyle w:val="TextBody"/>
        <w:bidi w:val="0"/>
        <w:spacing w:before="240" w:after="283"/>
        <w:jc w:val="both"/>
        <w:rPr>
          <w:rFonts w:ascii="Arial" w:hAnsi="Arial"/>
          <w:color w:val="000000"/>
          <w:sz w:val="20"/>
        </w:rPr>
      </w:pPr>
      <w:r>
        <w:rPr>
          <w:rFonts w:ascii="Arial" w:hAnsi="Arial"/>
          <w:color w:val="000000"/>
          <w:sz w:val="20"/>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pStyle w:val="TextBody"/>
        <w:bidi w:val="0"/>
        <w:spacing w:before="240" w:after="283"/>
        <w:jc w:val="both"/>
        <w:rPr>
          <w:rFonts w:ascii="Arial" w:hAnsi="Arial"/>
          <w:b/>
          <w:color w:val="000000"/>
          <w:sz w:val="20"/>
        </w:rPr>
      </w:pPr>
      <w:r>
        <w:rPr>
          <w:rFonts w:ascii="Arial" w:hAnsi="Arial"/>
          <w:b/>
          <w:color w:val="000000"/>
          <w:sz w:val="20"/>
        </w:rPr>
        <w:t>Risks Relating to Health Epidemics</w:t>
      </w:r>
    </w:p>
    <w:p>
      <w:pPr>
        <w:pStyle w:val="TextBody"/>
        <w:bidi w:val="0"/>
        <w:spacing w:before="240" w:after="283"/>
        <w:jc w:val="both"/>
        <w:rPr>
          <w:rFonts w:ascii="Arial" w:hAnsi="Arial"/>
          <w:b/>
          <w:i/>
          <w:color w:val="000000"/>
          <w:sz w:val="20"/>
        </w:rPr>
      </w:pPr>
      <w:r>
        <w:rPr>
          <w:rFonts w:ascii="Arial" w:hAnsi="Arial"/>
          <w:b/>
          <w:i/>
          <w:color w:val="000000"/>
          <w:sz w:val="20"/>
        </w:rPr>
        <w:t>The potential effects of health epidemics could adversely impact our business, including our nonclinical studies and clinical trials.</w:t>
      </w:r>
    </w:p>
    <w:p>
      <w:pPr>
        <w:pStyle w:val="TextBody"/>
        <w:bidi w:val="0"/>
        <w:spacing w:before="240" w:after="283"/>
        <w:jc w:val="both"/>
        <w:rPr>
          <w:rFonts w:ascii="Times New Roman" w:hAnsi="Times New Roman"/>
          <w:sz w:val="20"/>
        </w:rPr>
      </w:pPr>
      <w:r>
        <w:rPr>
          <w:rFonts w:ascii="Arial" w:hAnsi="Arial"/>
          <w:color w:val="000000"/>
          <w:sz w:val="20"/>
        </w:rPr>
        <w:t>Our business could in the future be adversely impacted by the effects of possible health epidemics and other outbreaks which could cause disruptions that could severely impact our business, nonclinical studies and clinical trials. Such disruptions may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interruption or delays in the operations of the FDA or other regulatory authorities, which may impact review and approval timelines;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or delays in receiving, supplies of our drug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clinical site procedures and requirements as well as regulatory requirements for conducting clinical trials during the pandemic.</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For example, in the event of a disease outbreak or resurgence of COVID-19, we could be required to develop and implement additional clinical trial policies and procedures designed to help protect subjects from such diseases. On May 11, 2023, the federal government ended the COVID-19 public health emergency, which ended a number of temporary changes made to federally funded programs while some continue to be in effect. Since March 2020, the FDA has issued various COVID-19 related guidance documents for sponsors and manufacturers, many of which have expired or were withdrawn with the expiration of the COVID-19 public health emergency declaration, although some COVID-19 related guidance documents continue in effect. The full impact of this termination of the national emergency and the wind-down of the public health emergency on FDA and other regulatory policies and operations is unclear.</w:t>
      </w:r>
    </w:p>
    <w:p>
      <w:pPr>
        <w:pStyle w:val="TextBody"/>
        <w:bidi w:val="0"/>
        <w:spacing w:before="240" w:after="283"/>
        <w:jc w:val="both"/>
        <w:rPr>
          <w:rFonts w:ascii="Arial" w:hAnsi="Arial"/>
          <w:color w:val="000000"/>
          <w:sz w:val="20"/>
        </w:rPr>
      </w:pPr>
      <w:r>
        <w:rPr>
          <w:rFonts w:ascii="Arial" w:hAnsi="Arial"/>
          <w:color w:val="000000"/>
          <w:sz w:val="20"/>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pStyle w:val="TextBody"/>
        <w:bidi w:val="0"/>
        <w:spacing w:before="240" w:after="283"/>
        <w:jc w:val="both"/>
        <w:rPr>
          <w:rFonts w:ascii="Arial" w:hAnsi="Arial"/>
          <w:color w:val="000000"/>
          <w:sz w:val="20"/>
        </w:rPr>
      </w:pPr>
      <w:r>
        <w:rPr>
          <w:rFonts w:ascii="Arial" w:hAnsi="Arial"/>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pStyle w:val="TextBody"/>
        <w:bidi w:val="0"/>
        <w:spacing w:before="240" w:after="283"/>
        <w:jc w:val="both"/>
        <w:rPr>
          <w:rFonts w:ascii="Arial" w:hAnsi="Arial"/>
          <w:b/>
          <w:color w:val="000000"/>
          <w:sz w:val="20"/>
        </w:rPr>
      </w:pPr>
      <w:r>
        <w:rPr>
          <w:rFonts w:ascii="Arial" w:hAnsi="Arial"/>
          <w:b/>
          <w:color w:val="000000"/>
          <w:sz w:val="20"/>
        </w:rPr>
        <w:t>Risks Relating to Our Financial Position and Capital Needs</w:t>
      </w:r>
    </w:p>
    <w:p>
      <w:pPr>
        <w:pStyle w:val="TextBody"/>
        <w:bidi w:val="0"/>
        <w:spacing w:before="24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240" w:after="283"/>
        <w:jc w:val="both"/>
        <w:rPr>
          <w:rFonts w:ascii="Times New Roman" w:hAnsi="Times New Roman"/>
          <w:sz w:val="20"/>
        </w:rPr>
      </w:pPr>
      <w:r>
        <w:rPr>
          <w:rFonts w:ascii="Arial" w:hAnsi="Arial"/>
          <w:color w:val="000000"/>
          <w:sz w:val="20"/>
        </w:rPr>
        <w:t>We have not generated any revenue from drug product sales and our drug candidates will require substantial additional investment before they may provide us with any revenue. We had net losses of $53.2 million and $57.4 million for the six months ended June 30, 2024 and 2023</w:t>
      </w:r>
      <w:r>
        <w:rPr>
          <w:rFonts w:ascii="Arial" w:hAnsi="Arial"/>
          <w:color w:val="212529"/>
          <w:sz w:val="20"/>
        </w:rPr>
        <w:t>, respectively, and an accumulated deficit of $362.4 million as of June 30, 2024.</w:t>
      </w:r>
    </w:p>
    <w:p>
      <w:pPr>
        <w:pStyle w:val="TextBody"/>
        <w:bidi w:val="0"/>
        <w:spacing w:before="240" w:after="283"/>
        <w:jc w:val="both"/>
        <w:rPr>
          <w:rFonts w:ascii="Times New Roman" w:hAnsi="Times New Roman"/>
          <w:sz w:val="20"/>
        </w:rPr>
      </w:pPr>
      <w:r>
        <w:rPr>
          <w:rFonts w:ascii="Arial" w:hAnsi="Arial"/>
          <w:color w:val="212529"/>
          <w:sz w:val="20"/>
        </w:rPr>
        <w:t xml:space="preserve">We have devoted most of our financial resources to research and development, including our clinical and nonclinical development </w:t>
      </w:r>
      <w:r>
        <w:rPr>
          <w:rFonts w:ascii="Arial" w:hAnsi="Arial"/>
          <w:color w:val="000000"/>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color w:val="000000"/>
          <w:sz w:val="20"/>
        </w:rPr>
        <w:t>We expect to incur significant expenses and increasing operating losses for the foreseeable future as we: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our research and nonclinical and clinical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the scope of our clinical studies for our current and prospective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initiate additional nonclinical, clinical or other studies for our drug candidates, including any potentially pivotal trials with respect to fosgonimeton for the treatment of mild-to-moderate AD in addition to LIFT-AD, and continue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 or add additional manufacturers or suppliers and manufacture drug supply and drug product for clinical trials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and marketing approvals for any of our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expand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to identify and validate additional drug candidates;</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acquire or in-license other drug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make milestone or other payments under our in-license or other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 a sales, marketing and distribution infrastructure to commercialize any drug products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create additional infrastructure to support our operations and our drug product development and planned future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incur expenses in connection with legal proceedings, and addressing potential stockholder activism;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any delays or encounter issues with any of the above.</w:t>
      </w:r>
    </w:p>
    <w:p>
      <w:pPr>
        <w:pStyle w:val="TextBody"/>
        <w:bidi w:val="0"/>
        <w:spacing w:before="240" w:after="283"/>
        <w:jc w:val="both"/>
        <w:rPr>
          <w:rFonts w:ascii="Times New Roman" w:hAnsi="Times New Roman"/>
          <w:sz w:val="20"/>
        </w:rPr>
      </w:pPr>
      <w:r>
        <w:rPr>
          <w:rFonts w:ascii="Arial" w:hAnsi="Arial"/>
          <w:color w:val="000000"/>
          <w:sz w:val="20"/>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hAnsi="Arial"/>
          <w:color w:val="212529"/>
          <w:sz w:val="20"/>
        </w:rPr>
        <w:t xml:space="preserve">studies </w:t>
      </w:r>
      <w:r>
        <w:rPr>
          <w:rFonts w:ascii="Arial" w:hAnsi="Arial"/>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funding to finance our operations, complete the development and commercialization of fosgonimeton, and develop and commercialize other and future drug candidates. If we are unable to raise this funding when needed, we may be forced to delay, reduce, or eliminate our drug product development programs or other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w:t>
      </w:r>
      <w:r>
        <w:rPr>
          <w:rFonts w:ascii="Arial" w:hAnsi="Arial"/>
          <w:color w:val="212529"/>
          <w:sz w:val="20"/>
        </w:rPr>
        <w:t xml:space="preserve">obtain marketing approval for fosgonimeton or any future </w:t>
      </w:r>
      <w:r>
        <w:rPr>
          <w:rFonts w:ascii="Arial" w:hAnsi="Arial"/>
          <w:color w:val="000000"/>
          <w:sz w:val="20"/>
        </w:rPr>
        <w:t>drug</w:t>
      </w:r>
      <w:r>
        <w:rPr>
          <w:rFonts w:ascii="Times New Roman" w:hAnsi="Times New Roman"/>
          <w:color w:val="212529"/>
          <w:sz w:val="20"/>
        </w:rPr>
        <w:t xml:space="preserve"> </w:t>
      </w:r>
      <w:r>
        <w:rPr>
          <w:rFonts w:ascii="Arial" w:hAnsi="Arial"/>
          <w:color w:val="212529"/>
          <w:sz w:val="20"/>
        </w:rPr>
        <w:t>candidates, we expect to incur significant commercialization expenses related to sales, marketing, manufacturing, and distribution. Furthermore, we expect to continue to incur additional costs associated with operating as a public company.</w:t>
      </w:r>
      <w:r>
        <w:rPr>
          <w:rFonts w:ascii="Times New Roman" w:hAnsi="Times New Roman"/>
          <w:color w:val="212529"/>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Accordingly, we will need to obtain substantial additional funding in connection with our continuing operations. As of June 30, 2024, we had cash, cash equivalents and investments of $91.8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240" w:after="283"/>
        <w:jc w:val="both"/>
        <w:rPr>
          <w:rFonts w:ascii="Times New Roman" w:hAnsi="Times New Roman"/>
          <w:sz w:val="20"/>
        </w:rPr>
      </w:pPr>
      <w:r>
        <w:rPr>
          <w:rFonts w:ascii="Arial" w:hAnsi="Arial"/>
          <w:color w:val="212529"/>
          <w:sz w:val="20"/>
        </w:rPr>
        <w:t xml:space="preserve">The </w:t>
      </w:r>
      <w:r>
        <w:rPr>
          <w:rFonts w:ascii="Arial" w:hAnsi="Arial"/>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costs, clinical trial design, results of and timing of our LIFT-AD trial and other clinical trials of fosgonimeton, including for potential additional indications that we are pursuing beyond AD, such as PDD, DLB, and the continuation of the open label extension of the ACT-AD and LIFT-AD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willingness of the FDA and EMA to accept our LIFT-AD trial, as well as data from our completed and planned clinical and nonclinical studies and other work, as the basis for review and approval of fosgonimeton for AD and the potential need for additional clinical trials (including potential confirmatory or Phase 3 registrational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outcome, costs and timing of seeking and obtaining FDA, EMA and any other regulatory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characteristics of drug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manufacture sufficient quantities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expand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of acquiring, licensing or investing in businesses, drug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effect of competing drugs and drug candidates and other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implement additional internal systems and infrastructure, including financial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Times New Roman" w:hAnsi="Times New Roman"/>
          <w:sz w:val="20"/>
        </w:rPr>
      </w:pPr>
      <w:r>
        <w:rPr>
          <w:rFonts w:ascii="Arial" w:hAnsi="Arial"/>
          <w:color w:val="000000"/>
          <w:sz w:val="20"/>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color w:val="212529"/>
          <w:sz w:val="20"/>
        </w:rPr>
        <w:t xml:space="preserve">unable </w:t>
      </w:r>
      <w:r>
        <w:rPr>
          <w:rFonts w:ascii="Arial" w:hAnsi="Arial"/>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will depend on financial, economic and other factors, many of which are beyond our control. For example, the current inflationary economic environment, health epidemics,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by, among other things, SEC rules and regulations impacting the eligibility of smaller companies to use Form S-3 for primary offerings of securities.</w:t>
      </w:r>
    </w:p>
    <w:p>
      <w:pPr>
        <w:pStyle w:val="TextBody"/>
        <w:bidi w:val="0"/>
        <w:spacing w:before="240" w:after="283"/>
        <w:jc w:val="both"/>
        <w:rPr>
          <w:rFonts w:ascii="Arial" w:hAnsi="Arial"/>
          <w:b/>
          <w:i/>
          <w:color w:val="000000"/>
          <w:sz w:val="20"/>
        </w:rPr>
      </w:pPr>
      <w:r>
        <w:rPr>
          <w:rFonts w:ascii="Arial" w:hAnsi="Arial"/>
          <w:b/>
          <w:i/>
          <w:color w:val="000000"/>
          <w:sz w:val="20"/>
        </w:rPr>
        <w:t>Adverse events or perceptions affecting the financial services industry could adversely affect our operating results, liquidity, financial condition and prospects.</w:t>
      </w:r>
    </w:p>
    <w:p>
      <w:pPr>
        <w:pStyle w:val="TextBody"/>
        <w:bidi w:val="0"/>
        <w:spacing w:before="240" w:after="283"/>
        <w:jc w:val="both"/>
        <w:rPr>
          <w:rFonts w:ascii="Arial" w:hAnsi="Arial"/>
          <w:color w:val="000000"/>
          <w:sz w:val="20"/>
        </w:rPr>
      </w:pPr>
      <w:r>
        <w:rPr>
          <w:rFonts w:ascii="Arial" w:hAnsi="Arial"/>
          <w:color w:val="000000"/>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termination of cash management arrangements or delays in accessing or actual loss of funds subject to cash management arrangements.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pStyle w:val="TextBody"/>
        <w:bidi w:val="0"/>
        <w:spacing w:before="240" w:after="283"/>
        <w:jc w:val="both"/>
        <w:rPr>
          <w:rFonts w:ascii="Times New Roman" w:hAnsi="Times New Roman"/>
          <w:sz w:val="20"/>
        </w:rPr>
      </w:pPr>
      <w:r>
        <w:rPr>
          <w:rFonts w:ascii="Arial" w:hAnsi="Arial"/>
          <w:color w:val="000000"/>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risks could materially impact our operating results, liquidity, financial condition and prospects.</w:t>
      </w:r>
      <w:r>
        <w:rPr>
          <w:rFonts w:ascii="Times New Roman" w:hAnsi="Times New Roman"/>
          <w:color w:val="000000"/>
          <w:sz w:val="20"/>
        </w:rPr>
        <w:t xml:space="preserve"> </w:t>
      </w:r>
    </w:p>
    <w:p>
      <w:pPr>
        <w:pStyle w:val="TextBody"/>
        <w:bidi w:val="0"/>
        <w:spacing w:before="24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240" w:after="283"/>
        <w:jc w:val="both"/>
        <w:rPr>
          <w:rFonts w:ascii="Arial" w:hAnsi="Arial"/>
          <w:color w:val="212529"/>
          <w:sz w:val="20"/>
        </w:rPr>
      </w:pPr>
      <w:r>
        <w:rPr>
          <w:rFonts w:ascii="Arial" w:hAnsi="Arial"/>
          <w:color w:val="212529"/>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both"/>
        <w:rPr>
          <w:rFonts w:ascii="Arial" w:hAnsi="Arial"/>
          <w:color w:val="212529"/>
          <w:sz w:val="20"/>
        </w:rPr>
      </w:pPr>
      <w:r>
        <w:rPr>
          <w:rFonts w:ascii="Arial" w:hAnsi="Arial"/>
          <w:color w:val="212529"/>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240" w:after="283"/>
        <w:jc w:val="both"/>
        <w:rPr>
          <w:rFonts w:ascii="Times New Roman" w:hAnsi="Times New Roman"/>
          <w:sz w:val="20"/>
        </w:rPr>
      </w:pPr>
      <w:r>
        <w:rPr>
          <w:rFonts w:ascii="Arial" w:hAnsi="Arial"/>
          <w:b/>
          <w:i/>
          <w:color w:val="212529"/>
          <w:sz w:val="20"/>
        </w:rPr>
        <w:t xml:space="preserve">Our ability to use net operating </w:t>
      </w:r>
      <w:r>
        <w:rPr>
          <w:rFonts w:ascii="Arial" w:hAnsi="Arial"/>
          <w:b/>
          <w:i/>
          <w:color w:val="000000"/>
          <w:sz w:val="20"/>
        </w:rPr>
        <w:t>losses</w:t>
      </w:r>
      <w:r>
        <w:rPr>
          <w:rFonts w:ascii="Times New Roman" w:hAnsi="Times New Roman"/>
          <w:color w:val="212529"/>
          <w:sz w:val="20"/>
        </w:rPr>
        <w:t xml:space="preserve"> </w:t>
      </w:r>
      <w:r>
        <w:rPr>
          <w:rFonts w:ascii="Arial" w:hAnsi="Arial"/>
          <w:b/>
          <w:i/>
          <w:color w:val="212529"/>
          <w:sz w:val="20"/>
        </w:rPr>
        <w:t>to offset future taxable income may be subject to certain limitations.</w:t>
      </w:r>
      <w:r>
        <w:rPr>
          <w:rFonts w:ascii="Times New Roman" w:hAnsi="Times New Roman"/>
          <w:color w:val="212529"/>
          <w:sz w:val="20"/>
        </w:rPr>
        <w:t xml:space="preserve"> </w:t>
      </w:r>
    </w:p>
    <w:p>
      <w:pPr>
        <w:pStyle w:val="TextBody"/>
        <w:bidi w:val="0"/>
        <w:spacing w:before="240" w:after="283"/>
        <w:jc w:val="both"/>
        <w:rPr>
          <w:rFonts w:ascii="Arial" w:hAnsi="Arial"/>
          <w:color w:val="212529"/>
          <w:sz w:val="20"/>
        </w:rPr>
      </w:pPr>
      <w:r>
        <w:rPr>
          <w:rFonts w:ascii="Arial" w:hAnsi="Arial"/>
          <w:color w:val="212529"/>
          <w:sz w:val="20"/>
        </w:rPr>
        <w:t>As of December 31, 2023, we had federal net operating loss carryforwards, or NOLs, to offset future taxable income of approximately $9.5 million and federal tax credit carryforwards of approximately $12.4 million, which expire over a period of 8 to 14 years. Federal NOLs of $138.7 million were generated after 2017, and therefore do not expire. At December 31, 2023, we also had state NOLs of $3.3 million, which expire over a period of 18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bidi w:val="0"/>
        <w:spacing w:before="240" w:after="283"/>
        <w:jc w:val="both"/>
        <w:rPr>
          <w:rFonts w:ascii="Arial" w:hAnsi="Arial"/>
          <w:b/>
          <w:i/>
          <w:color w:val="212529"/>
          <w:sz w:val="20"/>
        </w:rPr>
      </w:pPr>
      <w:r>
        <w:rPr>
          <w:rFonts w:ascii="Arial" w:hAnsi="Arial"/>
          <w:b/>
          <w:i/>
          <w:color w:val="212529"/>
          <w:sz w:val="20"/>
        </w:rPr>
        <w:t>Changes in tax laws could have a material adverse effect on our business, cash flows, results of operations or financial condition.</w:t>
      </w:r>
    </w:p>
    <w:p>
      <w:pPr>
        <w:pStyle w:val="TextBody"/>
        <w:bidi w:val="0"/>
        <w:spacing w:before="240" w:after="283"/>
        <w:jc w:val="both"/>
        <w:rPr>
          <w:rFonts w:ascii="Times New Roman" w:hAnsi="Times New Roman"/>
          <w:sz w:val="20"/>
        </w:rPr>
      </w:pPr>
      <w:r>
        <w:rPr>
          <w:rFonts w:ascii="Arial" w:hAnsi="Arial"/>
          <w:color w:val="212529"/>
          <w:sz w:val="20"/>
        </w:rPr>
        <w:t xml:space="preserve">We </w:t>
      </w:r>
      <w:r>
        <w:rPr>
          <w:rFonts w:ascii="Arial" w:hAnsi="Arial"/>
          <w:color w:val="000000"/>
          <w:sz w:val="20"/>
        </w:rPr>
        <w:t>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Arial" w:hAnsi="Arial"/>
          <w:color w:val="212529"/>
          <w:sz w:val="20"/>
        </w:rPr>
        <w:t>.</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Risks Relating to Regulatory Approval and Other Legal Compliance Matters</w:t>
      </w:r>
    </w:p>
    <w:p>
      <w:pPr>
        <w:pStyle w:val="TextBody"/>
        <w:bidi w:val="0"/>
        <w:spacing w:before="24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pStyle w:val="TextBody"/>
        <w:bidi w:val="0"/>
        <w:spacing w:before="240" w:after="283"/>
        <w:jc w:val="both"/>
        <w:rPr>
          <w:rFonts w:ascii="Arial" w:hAnsi="Arial"/>
          <w:color w:val="000000"/>
          <w:sz w:val="20"/>
        </w:rPr>
      </w:pPr>
      <w:r>
        <w:rPr>
          <w:rFonts w:ascii="Arial" w:hAnsi="Arial"/>
          <w:color w:val="000000"/>
          <w:sz w:val="20"/>
        </w:rPr>
        <w:t>Applications for our drug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demonstrate to the FDA or other comparable foreign regulatory authorities that our drug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pStyle w:val="TextBody"/>
        <w:bidi w:val="0"/>
        <w:spacing w:before="240" w:after="283"/>
        <w:jc w:val="both"/>
        <w:rPr>
          <w:rFonts w:ascii="Times New Roman" w:hAnsi="Times New Roman"/>
          <w:sz w:val="20"/>
        </w:rPr>
      </w:pPr>
      <w:r>
        <w:rPr>
          <w:rFonts w:ascii="Arial" w:hAnsi="Arial"/>
          <w:color w:val="000000"/>
          <w:sz w:val="20"/>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 but may still impact the success of our clinical trials, including, for example, by interfering with the effects of our drug candidates. A pre-specified group analysis of patients in our ACT-AD clinical trial identified a potential diminished effect of the combination of background AChEIs and fosgonimeton. While more clinical studies are needed to determine the safety and efficacy of fosgonimeton, to the extent background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color w:val="000000"/>
          <w:sz w:val="20"/>
        </w:rPr>
      </w:pPr>
      <w:r>
        <w:rPr>
          <w:rFonts w:ascii="Arial" w:hAnsi="Arial"/>
          <w:color w:val="000000"/>
          <w:sz w:val="20"/>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Obtaining and maintaining regulatory approval of our drug candidates in one jurisdiction does not mean that we will be successful in obtaining regulatory approval of our drug candidates in other jurisdictions.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pStyle w:val="TextBody"/>
        <w:bidi w:val="0"/>
        <w:spacing w:before="240" w:after="283"/>
        <w:jc w:val="both"/>
        <w:rPr>
          <w:rFonts w:ascii="Arial" w:hAnsi="Arial"/>
          <w:color w:val="000000"/>
          <w:sz w:val="20"/>
        </w:rPr>
      </w:pPr>
      <w:r>
        <w:rPr>
          <w:rFonts w:ascii="Arial" w:hAnsi="Arial"/>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240" w:after="283"/>
        <w:jc w:val="both"/>
        <w:rPr>
          <w:rFonts w:ascii="Times New Roman" w:hAnsi="Times New Roman"/>
          <w:sz w:val="20"/>
        </w:rPr>
      </w:pPr>
      <w:r>
        <w:rPr>
          <w:rFonts w:ascii="Arial" w:hAnsi="Arial"/>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GLP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our drug candidates, withdrawal of the drug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requirements to conduct additional post-market clinical trials to assess the safety of the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our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both"/>
        <w:rPr>
          <w:rFonts w:ascii="Times New Roman" w:hAnsi="Times New Roman"/>
          <w:sz w:val="20"/>
        </w:rPr>
      </w:pPr>
      <w:r>
        <w:rPr>
          <w:rFonts w:ascii="Arial" w:hAnsi="Arial"/>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Recently,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240" w:after="283"/>
        <w:jc w:val="both"/>
        <w:rPr>
          <w:rFonts w:ascii="Times New Roman" w:hAnsi="Times New Roman"/>
          <w:sz w:val="20"/>
        </w:rPr>
      </w:pPr>
      <w:r>
        <w:rPr>
          <w:rFonts w:ascii="Arial" w:hAnsi="Arial"/>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To the extent the FDA’s normal operations are disrupted or delayed, for example due to travel restrictions, public health or geopolitical issues, staffing shortages,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both"/>
        <w:rPr>
          <w:rFonts w:ascii="Arial" w:hAnsi="Arial"/>
          <w:color w:val="000000"/>
          <w:sz w:val="20"/>
        </w:rPr>
      </w:pPr>
      <w:r>
        <w:rPr>
          <w:rFonts w:ascii="Arial" w:hAnsi="Arial"/>
          <w:color w:val="000000"/>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pStyle w:val="TextBody"/>
        <w:bidi w:val="0"/>
        <w:spacing w:before="240" w:after="283"/>
        <w:jc w:val="both"/>
        <w:rPr>
          <w:rFonts w:ascii="Arial" w:hAnsi="Arial"/>
          <w:color w:val="000000"/>
          <w:sz w:val="20"/>
        </w:rPr>
      </w:pPr>
      <w:r>
        <w:rPr>
          <w:rFonts w:ascii="Arial" w:hAnsi="Arial"/>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AD and our clinical development programs.</w:t>
      </w:r>
    </w:p>
    <w:p>
      <w:pPr>
        <w:pStyle w:val="TextBody"/>
        <w:bidi w:val="0"/>
        <w:spacing w:before="24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additions or modifications to drug product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recall or discontinuation of our drug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record-keeping requirements. If any such changes were to be imposed, they could adversely affect the operation of our business.</w:t>
      </w:r>
    </w:p>
    <w:p>
      <w:pPr>
        <w:pStyle w:val="TextBody"/>
        <w:bidi w:val="0"/>
        <w:spacing w:before="240" w:after="283"/>
        <w:jc w:val="both"/>
        <w:rPr>
          <w:rFonts w:ascii="Times New Roman" w:hAnsi="Times New Roman"/>
          <w:sz w:val="20"/>
        </w:rPr>
      </w:pPr>
      <w:r>
        <w:rPr>
          <w:rFonts w:ascii="Arial" w:hAnsi="Arial"/>
          <w:color w:val="000000"/>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Arial" w:hAnsi="Arial"/>
          <w:color w:val="000000"/>
          <w:sz w:val="20"/>
        </w:rPr>
      </w:pPr>
      <w:r>
        <w:rPr>
          <w:rFonts w:ascii="Arial" w:hAnsi="Arial"/>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pStyle w:val="TextBody"/>
        <w:bidi w:val="0"/>
        <w:spacing w:before="240" w:after="283"/>
        <w:jc w:val="both"/>
        <w:rPr>
          <w:rFonts w:ascii="Arial" w:hAnsi="Arial"/>
          <w:color w:val="000000"/>
          <w:sz w:val="20"/>
        </w:rPr>
      </w:pPr>
      <w:r>
        <w:rPr>
          <w:rFonts w:ascii="Arial" w:hAnsi="Arial"/>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pStyle w:val="TextBody"/>
        <w:bidi w:val="0"/>
        <w:spacing w:before="240" w:after="283"/>
        <w:jc w:val="both"/>
        <w:rPr>
          <w:rFonts w:ascii="Times New Roman" w:hAnsi="Times New Roman"/>
          <w:sz w:val="20"/>
        </w:rPr>
      </w:pPr>
      <w:r>
        <w:rPr>
          <w:rFonts w:ascii="Arial" w:hAnsi="Arial"/>
          <w:color w:val="000000"/>
          <w:sz w:val="20"/>
        </w:rPr>
        <w:t xml:space="preserve">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judicial challenges in view of the Supreme Court’s overruling of the </w:t>
      </w:r>
      <w:r>
        <w:rPr>
          <w:rFonts w:ascii="Arial" w:hAnsi="Arial"/>
          <w:i/>
          <w:color w:val="000000"/>
          <w:sz w:val="20"/>
        </w:rPr>
        <w:t>Chevron</w:t>
      </w:r>
      <w:r>
        <w:rPr>
          <w:rFonts w:ascii="Times New Roman" w:hAnsi="Times New Roman"/>
          <w:color w:val="000000"/>
          <w:sz w:val="20"/>
        </w:rPr>
        <w:t xml:space="preserve"> </w:t>
      </w:r>
      <w:r>
        <w:rPr>
          <w:rFonts w:ascii="Arial" w:hAnsi="Arial"/>
          <w:color w:val="000000"/>
          <w:sz w:val="20"/>
        </w:rPr>
        <w:t>doctrine, other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drug candidates if approved.</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April 2022, CMS released a finalized national policy for coverage of aducanumab, or Aduhelm, and any future monoclonal antibodies directed against amyloid approved by the FDA with an indication for use in treating AD. According to the two-part National Coverage Determination, or NCD, Medicare will cover monoclonal antibodies that target amyloid (or plaque) for the treatment of AD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NIH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pStyle w:val="TextBody"/>
        <w:bidi w:val="0"/>
        <w:spacing w:before="240" w:after="283"/>
        <w:jc w:val="both"/>
        <w:rPr>
          <w:rFonts w:ascii="Arial" w:hAnsi="Arial"/>
          <w:color w:val="000000"/>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demand for our drug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set a price that we believe is fair for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coverage and reimbursement approval for a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capital.</w:t>
      </w:r>
    </w:p>
    <w:p>
      <w:pPr>
        <w:pStyle w:val="TextBody"/>
        <w:bidi w:val="0"/>
        <w:spacing w:before="240" w:after="283"/>
        <w:jc w:val="both"/>
        <w:rPr>
          <w:rFonts w:ascii="Arial" w:hAnsi="Arial"/>
          <w:color w:val="000000"/>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Times New Roman" w:hAnsi="Times New Roman"/>
          <w:sz w:val="20"/>
        </w:rPr>
      </w:pPr>
      <w:r>
        <w:rPr>
          <w:rFonts w:ascii="Arial" w:hAnsi="Arial"/>
          <w:color w:val="000000"/>
          <w:sz w:val="20"/>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color w:val="000000"/>
          <w:sz w:val="20"/>
        </w:rPr>
      </w:pPr>
      <w:r>
        <w:rPr>
          <w:rFonts w:ascii="Arial" w:hAnsi="Arial"/>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federal Anti-Kickback Statute, a person or entity can be found guilty of violating HIPAA without actual knowledge of the statute or specific intent to violate 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Arial" w:hAnsi="Arial"/>
          <w:color w:val="000000"/>
          <w:sz w:val="20"/>
        </w:rPr>
      </w:pPr>
      <w:r>
        <w:rPr>
          <w:rFonts w:ascii="Arial" w:hAnsi="Arial"/>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24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240" w:after="283"/>
        <w:jc w:val="both"/>
        <w:rPr>
          <w:rFonts w:ascii="Arial" w:hAnsi="Arial"/>
          <w:b/>
          <w:color w:val="000000"/>
          <w:sz w:val="20"/>
        </w:rPr>
      </w:pPr>
      <w:r>
        <w:rPr>
          <w:rFonts w:ascii="Arial" w:hAnsi="Arial"/>
          <w:b/>
          <w:color w:val="000000"/>
          <w:sz w:val="20"/>
        </w:rPr>
        <w:t>Risks Relating to Our Reliance on Third Parties</w:t>
      </w:r>
    </w:p>
    <w:p>
      <w:pPr>
        <w:pStyle w:val="TextBody"/>
        <w:bidi w:val="0"/>
        <w:spacing w:before="24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For example, in connection with our preparation activities for the completion and readout of LIFT-AD that we are targeting by the end of the third quarter of 2024, we currently are completing systematic blinded data review and data cleaning from the LIFT-AD trial.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Arial" w:hAnsi="Arial"/>
          <w:color w:val="000000"/>
          <w:sz w:val="20"/>
        </w:rPr>
      </w:pPr>
      <w:r>
        <w:rPr>
          <w:rFonts w:ascii="Arial" w:hAnsi="Arial"/>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pStyle w:val="TextBody"/>
        <w:bidi w:val="0"/>
        <w:spacing w:before="240" w:after="283"/>
        <w:jc w:val="both"/>
        <w:rPr>
          <w:rFonts w:ascii="Arial" w:hAnsi="Arial"/>
          <w:color w:val="000000"/>
          <w:sz w:val="20"/>
        </w:rPr>
      </w:pPr>
      <w:r>
        <w:rPr>
          <w:rFonts w:ascii="Arial" w:hAnsi="Arial"/>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240" w:after="283"/>
        <w:jc w:val="both"/>
        <w:rPr>
          <w:rFonts w:ascii="Arial" w:hAnsi="Arial"/>
          <w:b/>
          <w:i/>
          <w:color w:val="000000"/>
          <w:sz w:val="20"/>
        </w:rPr>
      </w:pPr>
      <w:r>
        <w:rPr>
          <w:rFonts w:ascii="Arial" w:hAnsi="Arial"/>
          <w:b/>
          <w:i/>
          <w:color w:val="000000"/>
          <w:sz w:val="20"/>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pStyle w:val="TextBody"/>
        <w:bidi w:val="0"/>
        <w:spacing w:before="240" w:after="283"/>
        <w:jc w:val="both"/>
        <w:rPr>
          <w:rFonts w:ascii="Arial" w:hAnsi="Arial"/>
          <w:color w:val="000000"/>
          <w:sz w:val="20"/>
        </w:rPr>
      </w:pPr>
      <w:r>
        <w:rPr>
          <w:rFonts w:ascii="Arial" w:hAnsi="Arial"/>
          <w:color w:val="000000"/>
          <w:sz w:val="20"/>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reduction or termination of production or deliveries by suppliers, or the raising of prices or renegotiation of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termination or nonrenewal of arrangements or agreements by our third-party contractors at a time that is costly or inconvenient for us;</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misappropriation of our proprietary information, including our trade secrets and know-how.</w:t>
      </w:r>
    </w:p>
    <w:p>
      <w:pPr>
        <w:pStyle w:val="TextBody"/>
        <w:bidi w:val="0"/>
        <w:spacing w:before="240" w:after="283"/>
        <w:jc w:val="both"/>
        <w:rPr>
          <w:rFonts w:ascii="Arial" w:hAnsi="Arial"/>
          <w:color w:val="000000"/>
          <w:sz w:val="20"/>
        </w:rPr>
      </w:pPr>
      <w:r>
        <w:rPr>
          <w:rFonts w:ascii="Arial" w:hAnsi="Arial"/>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pStyle w:val="TextBody"/>
        <w:bidi w:val="0"/>
        <w:spacing w:before="240" w:after="283"/>
        <w:jc w:val="both"/>
        <w:rPr>
          <w:rFonts w:ascii="Times New Roman" w:hAnsi="Times New Roman"/>
          <w:sz w:val="20"/>
        </w:rPr>
      </w:pPr>
      <w:r>
        <w:rPr>
          <w:rFonts w:ascii="Arial" w:hAnsi="Arial"/>
          <w:color w:val="000000"/>
          <w:sz w:val="20"/>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or may cause significant industry-wide supply delays or capacity limitations that could materially disrupt our operations, supply chain, and ability to produce, sell and distribute our drug candidates. Furthermore, the U.S. government has made and continues to make significant additional changes in U.S. trade policy and may continue to take future actions that could negatively impact U.S. trade. We cannot predict what actions may ultimately be taken with respect to trade relations between the United States and China or other countries, including countries which the U.S. government has identified as a foreign adversary that poses national security risks to the United States, and what products and services may be subject to such actions or what actions may be taken by the other countries in retaliation, any of which may materially and adversely affect our business, financial condition, results of operations, and 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seizures or recalls of products, operating restrictions and criminal prosecutions, any of which could damage our reputation and our business.</w:t>
      </w:r>
    </w:p>
    <w:p>
      <w:pPr>
        <w:pStyle w:val="TextBody"/>
        <w:bidi w:val="0"/>
        <w:spacing w:before="24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240" w:after="283"/>
        <w:jc w:val="both"/>
        <w:rPr>
          <w:rFonts w:ascii="Arial" w:hAnsi="Arial"/>
          <w:color w:val="000000"/>
          <w:sz w:val="20"/>
        </w:rPr>
      </w:pPr>
      <w:r>
        <w:rPr>
          <w:rFonts w:ascii="Arial" w:hAnsi="Arial"/>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both"/>
        <w:rPr>
          <w:rFonts w:ascii="Times New Roman" w:hAnsi="Times New Roman"/>
          <w:sz w:val="20"/>
        </w:rPr>
      </w:pPr>
      <w:r>
        <w:rPr>
          <w:rFonts w:ascii="Arial" w:hAnsi="Arial"/>
          <w:b/>
          <w:i/>
          <w:color w:val="000000"/>
          <w:sz w:val="20"/>
        </w:rPr>
        <w:t>We may use strategic collaborations, licensing arrangements or partnerships to accelerate the development and maximize the commercial potential of our programs,</w:t>
      </w:r>
      <w:r>
        <w:rPr>
          <w:rFonts w:ascii="Times New Roman" w:hAnsi="Times New Roman"/>
          <w:color w:val="000000"/>
          <w:sz w:val="20"/>
        </w:rPr>
        <w:t xml:space="preserve"> </w:t>
      </w:r>
      <w:r>
        <w:rPr>
          <w:rFonts w:ascii="Arial" w:hAnsi="Arial"/>
          <w:b/>
          <w:i/>
          <w:color w:val="000000"/>
          <w:sz w:val="20"/>
        </w:rPr>
        <w:t>and we may not realize the benefits of such collaborations, arrangements or partnerships.</w:t>
      </w:r>
    </w:p>
    <w:p>
      <w:pPr>
        <w:pStyle w:val="TextBody"/>
        <w:bidi w:val="0"/>
        <w:spacing w:before="240" w:after="283"/>
        <w:jc w:val="both"/>
        <w:rPr>
          <w:rFonts w:ascii="Arial" w:hAnsi="Arial"/>
          <w:color w:val="000000"/>
          <w:sz w:val="20"/>
        </w:rPr>
      </w:pPr>
      <w:r>
        <w:rPr>
          <w:rFonts w:ascii="Arial" w:hAnsi="Arial"/>
          <w:color w:val="000000"/>
          <w:sz w:val="20"/>
        </w:rPr>
        <w:t>We own or in-license worldwide intellectual property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jc w:val="both"/>
        <w:rPr>
          <w:rFonts w:ascii="Times New Roman" w:hAnsi="Times New Roman"/>
          <w:sz w:val="20"/>
        </w:rPr>
      </w:pPr>
      <w:r>
        <w:rPr>
          <w:rFonts w:ascii="Arial" w:hAnsi="Arial"/>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 In addition, the effects to our business and reputation discussed in “</w:t>
      </w:r>
      <w:r>
        <w:rPr>
          <w:rFonts w:ascii="Times New Roman" w:hAnsi="Times New Roman"/>
          <w:color w:val="000000"/>
          <w:sz w:val="20"/>
        </w:rPr>
        <w:t>—</w:t>
      </w:r>
      <w:r>
        <w:rPr>
          <w:rFonts w:ascii="Arial" w:hAnsi="Arial"/>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r>
        <w:rPr>
          <w:rFonts w:ascii="Arial" w:hAnsi="Arial"/>
          <w:color w:val="000000"/>
          <w:sz w:val="20"/>
        </w:rPr>
        <w:t>,” may discourage potential counterparties from entering into relationships with us.</w:t>
      </w:r>
    </w:p>
    <w:p>
      <w:pPr>
        <w:pStyle w:val="TextBody"/>
        <w:bidi w:val="0"/>
        <w:spacing w:before="240" w:after="283"/>
        <w:jc w:val="both"/>
        <w:rPr>
          <w:rFonts w:ascii="Arial" w:hAnsi="Arial"/>
          <w:color w:val="000000"/>
          <w:sz w:val="20"/>
        </w:rPr>
      </w:pPr>
      <w:r>
        <w:rPr>
          <w:rFonts w:ascii="Arial" w:hAnsi="Arial"/>
          <w:color w:val="000000"/>
          <w:sz w:val="20"/>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pStyle w:val="TextBody"/>
        <w:bidi w:val="0"/>
        <w:spacing w:before="240" w:after="283"/>
        <w:jc w:val="both"/>
        <w:rPr>
          <w:rFonts w:ascii="Arial" w:hAnsi="Arial"/>
          <w:color w:val="000000"/>
          <w:sz w:val="20"/>
        </w:rPr>
      </w:pPr>
      <w:r>
        <w:rPr>
          <w:rFonts w:ascii="Arial" w:hAnsi="Arial"/>
          <w:color w:val="000000"/>
          <w:sz w:val="20"/>
        </w:rPr>
        <w:t>Even if we are successful in entering into collaborations involving our drug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delay clinical trials, provide insufficient funding for a clinical trial, stop a clinical trial, abandon a drug candidate, repeat or conduct new clinical trials or require a new formulation of a drug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could independently develop, or develop with third parties, products that compete directly or indirectly with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collaborator with marketing and distribution rights to one or more drug products may not commit sufficient resources to their marketing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own or co-own intellectual property covering our drug products that results from our collaborating with them, and in such cases, we would not have the exclusive right to commercialize such intellectual property.</w:t>
      </w:r>
    </w:p>
    <w:p>
      <w:pPr>
        <w:pStyle w:val="TextBody"/>
        <w:bidi w:val="0"/>
        <w:spacing w:before="240" w:after="283"/>
        <w:jc w:val="both"/>
        <w:rPr>
          <w:rFonts w:ascii="Arial" w:hAnsi="Arial"/>
          <w:color w:val="000000"/>
          <w:sz w:val="20"/>
        </w:rPr>
      </w:pPr>
      <w:r>
        <w:rPr>
          <w:rFonts w:ascii="Arial" w:hAnsi="Arial"/>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pStyle w:val="TextBody"/>
        <w:bidi w:val="0"/>
        <w:spacing w:before="24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240" w:after="283"/>
        <w:jc w:val="both"/>
        <w:rPr>
          <w:rFonts w:ascii="Arial" w:hAnsi="Arial"/>
          <w:color w:val="000000"/>
          <w:sz w:val="20"/>
        </w:rPr>
      </w:pPr>
      <w:r>
        <w:rPr>
          <w:rFonts w:ascii="Arial" w:hAnsi="Arial"/>
          <w:color w:val="000000"/>
          <w:sz w:val="20"/>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Arial" w:hAnsi="Arial"/>
          <w:color w:val="000000"/>
          <w:sz w:val="20"/>
        </w:rPr>
      </w:pPr>
      <w:r>
        <w:rPr>
          <w:rFonts w:ascii="Arial" w:hAnsi="Arial"/>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Risks Relating to Our Ability to Commercialize our Drug Product</w:t>
      </w:r>
    </w:p>
    <w:p>
      <w:pPr>
        <w:pStyle w:val="TextBody"/>
        <w:bidi w:val="0"/>
        <w:spacing w:before="240" w:after="283"/>
        <w:jc w:val="both"/>
        <w:rPr>
          <w:rFonts w:ascii="Times New Roman" w:hAnsi="Times New Roman"/>
          <w:sz w:val="20"/>
        </w:rPr>
      </w:pPr>
      <w:r>
        <w:rPr>
          <w:rFonts w:ascii="Arial" w:hAnsi="Arial"/>
          <w:b/>
          <w:i/>
          <w:color w:val="000000"/>
          <w:sz w:val="20"/>
        </w:rPr>
        <w:t>Even if approved, our drug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of market introduction of the drug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clinical indications for which the drug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extent of physician acceptance of FDA-approved therapies for AD or other target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use of our drug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and perceived advantages of our drug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the approved drug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unfavorable publicity relating to our drug products or drug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of other new therapies for the same indications.</w:t>
      </w:r>
    </w:p>
    <w:p>
      <w:pPr>
        <w:pStyle w:val="TextBody"/>
        <w:bidi w:val="0"/>
        <w:spacing w:before="240" w:after="283"/>
        <w:jc w:val="both"/>
        <w:rPr>
          <w:rFonts w:ascii="Times New Roman" w:hAnsi="Times New Roman"/>
          <w:sz w:val="20"/>
        </w:rPr>
      </w:pPr>
      <w:r>
        <w:rPr>
          <w:rFonts w:ascii="Arial" w:hAnsi="Arial"/>
          <w:color w:val="000000"/>
          <w:sz w:val="20"/>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hAnsi="Arial"/>
          <w:color w:val="212529"/>
          <w:sz w:val="20"/>
        </w:rPr>
        <w:t xml:space="preserve">results </w:t>
      </w:r>
      <w:r>
        <w:rPr>
          <w:rFonts w:ascii="Arial" w:hAnsi="Arial"/>
          <w:color w:val="000000"/>
          <w:sz w:val="20"/>
        </w:rPr>
        <w:t>could be negatively impacted.</w:t>
      </w:r>
    </w:p>
    <w:p>
      <w:pPr>
        <w:pStyle w:val="TextBody"/>
        <w:bidi w:val="0"/>
        <w:spacing w:before="240" w:after="283"/>
        <w:jc w:val="both"/>
        <w:rPr>
          <w:rFonts w:ascii="Times New Roman" w:hAnsi="Times New Roman"/>
          <w:sz w:val="20"/>
        </w:rPr>
      </w:pPr>
      <w:r>
        <w:rPr>
          <w:rFonts w:ascii="Arial" w:hAnsi="Arial"/>
          <w:b/>
          <w:i/>
          <w:color w:val="000000"/>
          <w:sz w:val="20"/>
        </w:rPr>
        <w:t>We have never commercialized a drug candidate before and may lack the necessary expertise, personnel and resources to successfully commercialize any drug products on our own or together with suitable collaborators.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hAnsi="Arial"/>
          <w:color w:val="212529"/>
          <w:sz w:val="20"/>
        </w:rPr>
        <w:t>.</w:t>
      </w:r>
    </w:p>
    <w:p>
      <w:pPr>
        <w:pStyle w:val="TextBody"/>
        <w:bidi w:val="0"/>
        <w:spacing w:before="240" w:after="283"/>
        <w:jc w:val="both"/>
        <w:rPr>
          <w:rFonts w:ascii="Times New Roman" w:hAnsi="Times New Roman"/>
          <w:sz w:val="20"/>
        </w:rPr>
      </w:pPr>
      <w:r>
        <w:rPr>
          <w:rFonts w:ascii="Arial" w:hAnsi="Arial"/>
          <w:color w:val="212529"/>
          <w:sz w:val="20"/>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hAnsi="Arial"/>
          <w:color w:val="000000"/>
          <w:sz w:val="20"/>
        </w:rPr>
        <w:t>.</w:t>
      </w:r>
    </w:p>
    <w:p>
      <w:pPr>
        <w:pStyle w:val="TextBody"/>
        <w:bidi w:val="0"/>
        <w:spacing w:before="240" w:after="283"/>
        <w:jc w:val="both"/>
        <w:rPr>
          <w:rFonts w:ascii="Arial" w:hAnsi="Arial"/>
          <w:b/>
          <w:i/>
          <w:color w:val="000000"/>
          <w:sz w:val="20"/>
        </w:rPr>
      </w:pPr>
      <w:r>
        <w:rPr>
          <w:rFonts w:ascii="Arial" w:hAnsi="Arial"/>
          <w:b/>
          <w:i/>
          <w:color w:val="000000"/>
          <w:sz w:val="20"/>
        </w:rPr>
        <w:t>If the market opportunity for any drug candidate that we develop is smaller than we believe, our revenue may be adversely affected and our business may suffer.</w:t>
      </w:r>
    </w:p>
    <w:p>
      <w:pPr>
        <w:pStyle w:val="TextBody"/>
        <w:bidi w:val="0"/>
        <w:spacing w:before="240" w:after="283"/>
        <w:jc w:val="both"/>
        <w:rPr>
          <w:rFonts w:ascii="Times New Roman" w:hAnsi="Times New Roman"/>
          <w:sz w:val="20"/>
        </w:rPr>
      </w:pPr>
      <w:r>
        <w:rPr>
          <w:rFonts w:ascii="Arial" w:hAnsi="Arial"/>
          <w:color w:val="000000"/>
          <w:sz w:val="20"/>
        </w:rPr>
        <w:t>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surveys of clinics, patient foundations and market research, may prove to be incorrect. Further, new studies may change the estimated incidence or prevalence of these 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For example, pre-specified subgroup analysis based on topline data from our ACT-AD clinical trial identified a potential diminished effect of the combination of background AChEIs and fosgonimeton. If such hypothesis is supported by additional research, patients receiving AChEIs could be excluded from the addressable patient population for fosgonimeton.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pStyle w:val="TextBody"/>
        <w:bidi w:val="0"/>
        <w:spacing w:before="24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decreased demand for our drug candidates or drug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drug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inability to commercialize any drug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decline in our share price.</w:t>
      </w:r>
    </w:p>
    <w:p>
      <w:pPr>
        <w:pStyle w:val="TextBody"/>
        <w:bidi w:val="0"/>
        <w:spacing w:before="240" w:after="283"/>
        <w:jc w:val="both"/>
        <w:rPr>
          <w:rFonts w:ascii="Times New Roman" w:hAnsi="Times New Roman"/>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hAnsi="Arial"/>
          <w:color w:val="212529"/>
          <w:sz w:val="20"/>
        </w:rPr>
        <w:t>collaborators</w:t>
      </w:r>
      <w:r>
        <w:rPr>
          <w:rFonts w:ascii="Arial" w:hAnsi="Arial"/>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coverage and reimbursement for new or current drug products could limit our ability to market those drug products and decrease our ability to generate revenue.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pStyle w:val="TextBody"/>
        <w:bidi w:val="0"/>
        <w:spacing w:before="24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color w:val="212529"/>
          <w:sz w:val="20"/>
        </w:rPr>
        <w:t>prices</w:t>
      </w:r>
      <w:r>
        <w:rPr>
          <w:rFonts w:ascii="Times New Roman" w:hAnsi="Times New Roman"/>
          <w:color w:val="000000"/>
          <w:sz w:val="20"/>
        </w:rPr>
        <w:t xml:space="preserve"> </w:t>
      </w:r>
      <w:r>
        <w:rPr>
          <w:rFonts w:ascii="Arial" w:hAnsi="Arial"/>
          <w:color w:val="000000"/>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hAnsi="Arial"/>
          <w:color w:val="212529"/>
          <w:sz w:val="20"/>
        </w:rPr>
        <w:t>.</w:t>
      </w:r>
    </w:p>
    <w:p>
      <w:pPr>
        <w:pStyle w:val="TextBody"/>
        <w:bidi w:val="0"/>
        <w:spacing w:before="240" w:after="283"/>
        <w:jc w:val="both"/>
        <w:rPr>
          <w:rFonts w:ascii="Arial" w:hAnsi="Arial"/>
          <w:color w:val="212529"/>
          <w:sz w:val="20"/>
        </w:rPr>
      </w:pPr>
      <w:r>
        <w:rPr>
          <w:rFonts w:ascii="Arial" w:hAnsi="Arial"/>
          <w:color w:val="212529"/>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pStyle w:val="TextBody"/>
        <w:bidi w:val="0"/>
        <w:spacing w:before="240" w:after="283"/>
        <w:jc w:val="both"/>
        <w:rPr>
          <w:rFonts w:ascii="Times New Roman" w:hAnsi="Times New Roman"/>
          <w:sz w:val="20"/>
        </w:rPr>
      </w:pPr>
      <w:r>
        <w:rPr>
          <w:rFonts w:ascii="Arial" w:hAnsi="Arial"/>
          <w:color w:val="212529"/>
          <w:sz w:val="20"/>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r>
        <w:rPr>
          <w:rFonts w:ascii="Arial" w:hAnsi="Arial"/>
          <w:color w:val="000000"/>
          <w:sz w:val="20"/>
        </w:rPr>
        <w:t>.</w:t>
      </w:r>
    </w:p>
    <w:p>
      <w:pPr>
        <w:pStyle w:val="TextBody"/>
        <w:bidi w:val="0"/>
        <w:spacing w:before="240" w:after="283"/>
        <w:jc w:val="both"/>
        <w:rPr>
          <w:rFonts w:ascii="Times New Roman" w:hAnsi="Times New Roman"/>
          <w:sz w:val="20"/>
        </w:rPr>
      </w:pPr>
      <w:r>
        <w:rPr>
          <w:rFonts w:ascii="Arial" w:hAnsi="Arial"/>
          <w:b/>
          <w:i/>
          <w:color w:val="000000"/>
          <w:sz w:val="20"/>
        </w:rPr>
        <w:t>A variety of risks associated with marketing our drug candidates internationally may materially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We plan to eventually seek regulatory approval of our drug candidates outside of the United States and, accordingly, we </w:t>
      </w:r>
      <w:r>
        <w:rPr>
          <w:rFonts w:ascii="Arial" w:hAnsi="Arial"/>
          <w:color w:val="212529"/>
          <w:sz w:val="20"/>
        </w:rPr>
        <w:t xml:space="preserve">expect </w:t>
      </w:r>
      <w:r>
        <w:rPr>
          <w:rFonts w:ascii="Arial" w:hAnsi="Arial"/>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impact of health epidemics, including COVID-19, on our ability to produce our drug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tariffs,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color w:val="000000"/>
          <w:sz w:val="20"/>
        </w:rPr>
        <w:t xml:space="preserve">These and other risks associated with international operations may materially adversely affect our ability to attain or maintain </w:t>
      </w:r>
      <w:r>
        <w:rPr>
          <w:rFonts w:ascii="Arial" w:hAnsi="Arial"/>
          <w:color w:val="212529"/>
          <w:sz w:val="20"/>
        </w:rPr>
        <w:t xml:space="preserve">profitable </w:t>
      </w:r>
      <w:r>
        <w:rPr>
          <w:rFonts w:ascii="Arial" w:hAnsi="Arial"/>
          <w:color w:val="000000"/>
          <w:sz w:val="20"/>
        </w:rPr>
        <w:t>operations.</w:t>
      </w:r>
    </w:p>
    <w:p>
      <w:pPr>
        <w:pStyle w:val="TextBody"/>
        <w:bidi w:val="0"/>
        <w:spacing w:before="240" w:after="283"/>
        <w:jc w:val="both"/>
        <w:rPr>
          <w:rFonts w:ascii="Arial" w:hAnsi="Arial"/>
          <w:b/>
          <w:color w:val="000000"/>
          <w:sz w:val="20"/>
        </w:rPr>
      </w:pPr>
      <w:r>
        <w:rPr>
          <w:rFonts w:ascii="Arial" w:hAnsi="Arial"/>
          <w:b/>
          <w:color w:val="000000"/>
          <w:sz w:val="20"/>
        </w:rPr>
        <w:t>Risks Relating to Our Intellectual Property</w:t>
      </w:r>
    </w:p>
    <w:p>
      <w:pPr>
        <w:pStyle w:val="TextBody"/>
        <w:bidi w:val="0"/>
        <w:spacing w:before="24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patent laws in the United States or in other countries may limit the ability to obtain, defend or enforce patents, or may apply retroactively to affect the terms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color w:val="000000"/>
          <w:sz w:val="20"/>
        </w:rPr>
      </w:pPr>
      <w:r>
        <w:rPr>
          <w:rFonts w:ascii="Arial" w:hAnsi="Arial"/>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283"/>
        <w:jc w:val="both"/>
        <w:rPr>
          <w:rFonts w:ascii="Arial" w:hAnsi="Arial"/>
          <w:color w:val="000000"/>
          <w:sz w:val="20"/>
        </w:rPr>
      </w:pPr>
      <w:r>
        <w:rPr>
          <w:rFonts w:ascii="Arial" w:hAnsi="Arial"/>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both"/>
        <w:rPr>
          <w:rFonts w:ascii="Arial" w:hAnsi="Arial"/>
          <w:color w:val="000000"/>
          <w:sz w:val="20"/>
        </w:rPr>
      </w:pPr>
      <w:r>
        <w:rPr>
          <w:rFonts w:ascii="Arial" w:hAnsi="Arial"/>
          <w:color w:val="000000"/>
          <w:sz w:val="20"/>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240" w:after="283"/>
        <w:jc w:val="both"/>
        <w:rPr>
          <w:rFonts w:ascii="Times New Roman" w:hAnsi="Times New Roman"/>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pStyle w:val="TextBody"/>
        <w:bidi w:val="0"/>
        <w:spacing w:before="240" w:after="283"/>
        <w:jc w:val="both"/>
        <w:rPr>
          <w:rFonts w:ascii="Arial" w:hAnsi="Arial"/>
          <w:color w:val="000000"/>
          <w:sz w:val="20"/>
        </w:rPr>
      </w:pPr>
      <w:r>
        <w:rPr>
          <w:rFonts w:ascii="Arial" w:hAnsi="Arial"/>
          <w:color w:val="00000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hAnsi="Arial"/>
          <w:i/>
          <w:color w:val="000000"/>
          <w:sz w:val="20"/>
        </w:rPr>
        <w:t xml:space="preserve">inter partes </w:t>
      </w:r>
      <w:r>
        <w:rPr>
          <w:rFonts w:ascii="Arial" w:hAnsi="Arial"/>
          <w:color w:val="000000"/>
          <w:sz w:val="20"/>
        </w:rPr>
        <w:t>review, or IPR, or other similar proceedings challenging our patent rights. An adverse determination in any such submission, proceeding or litigation could reduce the scope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color w:val="000000"/>
          <w:sz w:val="20"/>
        </w:rPr>
        <w:t>For example, in view of the lawsuits disclosed elsewhere in this report including in this “Risk Factors” section under the heading “</w:t>
      </w:r>
      <w:r>
        <w:rPr>
          <w:rFonts w:ascii="Times New Roman" w:hAnsi="Times New Roman"/>
          <w:color w:val="000000"/>
          <w:sz w:val="20"/>
        </w:rPr>
        <w:t>—</w:t>
      </w:r>
      <w:r>
        <w:rPr>
          <w:rFonts w:ascii="Arial" w:hAnsi="Arial"/>
          <w:i/>
          <w:color w:val="000000"/>
          <w:sz w:val="20"/>
        </w:rPr>
        <w:t>We and certain of our directors and executive officers have been, and may in the future be, named as defendants in lawsuits that could result in substantial costs and divert management’s attention</w:t>
      </w:r>
      <w:r>
        <w:rPr>
          <w:rFonts w:ascii="Arial" w:hAnsi="Arial"/>
          <w:color w:val="000000"/>
          <w:sz w:val="20"/>
        </w:rPr>
        <w:t>,” and in “Part II, Item 1—Legal Proceedings,” third parties may challenge the validity or enforceability of our in-licensed patents and patent applications. The outcome following legal assertions of invalidity and unenforceability is unpredictable. Such challenges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may result in loss of patent rights, loss of exclusivity or in patent claims being narrowed, invalidated or held unenforceable, which could limit our ability to stop others from using or commercializing similar technology and drug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Even though we own patents and patent applications covering fosgonimeton and its use, our patents and any future patents we obtain may not effectively prevent others from developing or commercializing products similar to our drug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pStyle w:val="TextBody"/>
        <w:bidi w:val="0"/>
        <w:spacing w:before="240" w:after="283"/>
        <w:jc w:val="both"/>
        <w:rPr>
          <w:rFonts w:ascii="Arial" w:hAnsi="Arial"/>
          <w:color w:val="000000"/>
          <w:sz w:val="20"/>
        </w:rPr>
      </w:pPr>
      <w:r>
        <w:rPr>
          <w:rFonts w:ascii="Arial" w:hAnsi="Arial"/>
          <w:color w:val="000000"/>
          <w:sz w:val="20"/>
        </w:rPr>
        <w:t>We 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supplemental 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pStyle w:val="TextBody"/>
        <w:bidi w:val="0"/>
        <w:spacing w:before="24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be able to develop products that are similar to our drug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both"/>
        <w:rPr>
          <w:rFonts w:ascii="Arial" w:hAnsi="Arial"/>
          <w:color w:val="000000"/>
          <w:sz w:val="20"/>
        </w:rPr>
      </w:pPr>
      <w:r>
        <w:rPr>
          <w:rFonts w:ascii="Arial" w:hAnsi="Arial"/>
          <w:color w:val="000000"/>
          <w:sz w:val="20"/>
        </w:rPr>
        <w:t>Should any of these events occur, it could significantly harm our business,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240" w:after="283"/>
        <w:jc w:val="both"/>
        <w:rPr>
          <w:rFonts w:ascii="Arial" w:hAnsi="Arial"/>
          <w:color w:val="000000"/>
          <w:sz w:val="20"/>
        </w:rPr>
      </w:pPr>
      <w:r>
        <w:rPr>
          <w:rFonts w:ascii="Arial" w:hAnsi="Arial"/>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pStyle w:val="TextBody"/>
        <w:bidi w:val="0"/>
        <w:spacing w:before="240" w:after="283"/>
        <w:jc w:val="both"/>
        <w:rPr>
          <w:rFonts w:ascii="Arial" w:hAnsi="Arial"/>
          <w:color w:val="000000"/>
          <w:sz w:val="20"/>
        </w:rPr>
      </w:pPr>
      <w:r>
        <w:rPr>
          <w:rFonts w:ascii="Arial" w:hAnsi="Arial"/>
          <w:color w:val="000000"/>
          <w:sz w:val="20"/>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us from commercializing any of our drug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color w:val="000000"/>
          <w:sz w:val="20"/>
        </w:rPr>
      </w:pPr>
      <w:r>
        <w:rPr>
          <w:rFonts w:ascii="Arial" w:hAnsi="Arial"/>
          <w:color w:val="000000"/>
          <w:sz w:val="20"/>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obtaining or maintaining necessary rights to our drug candidates through acquisitions and in-licenses.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color w:val="000000"/>
          <w:sz w:val="20"/>
        </w:rPr>
      </w:pPr>
      <w:r>
        <w:rPr>
          <w:rFonts w:ascii="Arial" w:hAnsi="Arial"/>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pStyle w:val="TextBody"/>
        <w:bidi w:val="0"/>
        <w:spacing w:before="240" w:after="283"/>
        <w:jc w:val="both"/>
        <w:rPr>
          <w:rFonts w:ascii="Times New Roman" w:hAnsi="Times New Roman"/>
          <w:sz w:val="20"/>
        </w:rPr>
      </w:pPr>
      <w:r>
        <w:rPr>
          <w:rFonts w:ascii="Arial" w:hAnsi="Arial"/>
          <w:color w:val="000000"/>
          <w:sz w:val="20"/>
        </w:rPr>
        <w:t>If a third party were to prevail on a legal assertion of invalidity or unenforceability, we may lose at least part, and perhaps all, of the patent protection on such drug candidate. In addition, if the breadth or strength of protection provided by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pStyle w:val="TextBody"/>
        <w:bidi w:val="0"/>
        <w:spacing w:before="240" w:after="283"/>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both"/>
        <w:rPr>
          <w:rFonts w:ascii="Arial" w:hAnsi="Arial"/>
          <w:color w:val="000000"/>
          <w:sz w:val="20"/>
        </w:rPr>
      </w:pPr>
      <w:r>
        <w:rPr>
          <w:rFonts w:ascii="Arial" w:hAnsi="Arial"/>
          <w:color w:val="000000"/>
          <w:sz w:val="20"/>
        </w:rPr>
        <w:t>In addition, the issuance of a patent does not give us the right to practice the patented invention. Third parties may have blocking patents that could prevent us from marketing our own patented drug product and practicing our own patented technology.</w:t>
      </w:r>
    </w:p>
    <w:p>
      <w:pPr>
        <w:pStyle w:val="TextBody"/>
        <w:bidi w:val="0"/>
        <w:spacing w:before="24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240" w:after="283"/>
        <w:jc w:val="both"/>
        <w:rPr>
          <w:rFonts w:ascii="Arial" w:hAnsi="Arial"/>
          <w:color w:val="000000"/>
          <w:sz w:val="20"/>
        </w:rPr>
      </w:pPr>
      <w:r>
        <w:rPr>
          <w:rFonts w:ascii="Arial" w:hAnsi="Arial"/>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pStyle w:val="TextBody"/>
        <w:bidi w:val="0"/>
        <w:spacing w:before="24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pStyle w:val="TextBody"/>
        <w:bidi w:val="0"/>
        <w:spacing w:before="24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pStyle w:val="TextBody"/>
        <w:bidi w:val="0"/>
        <w:spacing w:before="240" w:after="283"/>
        <w:jc w:val="both"/>
        <w:rPr>
          <w:rFonts w:ascii="Arial" w:hAnsi="Arial"/>
          <w:color w:val="000000"/>
          <w:sz w:val="20"/>
        </w:rPr>
      </w:pPr>
      <w:r>
        <w:rPr>
          <w:rFonts w:ascii="Arial" w:hAnsi="Arial"/>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Arial" w:hAnsi="Arial"/>
          <w:color w:val="000000"/>
          <w:sz w:val="20"/>
        </w:rPr>
      </w:pPr>
      <w:r>
        <w:rPr>
          <w:rFonts w:ascii="Arial" w:hAnsi="Arial"/>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sz w:val="20"/>
        </w:rPr>
      </w:pPr>
      <w:r>
        <w:rPr>
          <w:rFonts w:ascii="Arial" w:hAnsi="Arial"/>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We currently have one European patent and four pending European applications. European patents granted on such applications or on applications we may file in the future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filed to opt out of the UPC with respect to our European patent, and we may decide to opt out of the UPC with respect to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successful in defending against such claims, litigation could result in substantial costs and distraction to management and other employees.</w:t>
      </w:r>
    </w:p>
    <w:p>
      <w:pPr>
        <w:pStyle w:val="TextBody"/>
        <w:bidi w:val="0"/>
        <w:spacing w:before="240" w:after="283"/>
        <w:jc w:val="both"/>
        <w:rPr>
          <w:rFonts w:ascii="Times New Roman" w:hAnsi="Times New Roman"/>
          <w:sz w:val="20"/>
        </w:rPr>
      </w:pPr>
      <w:r>
        <w:rPr>
          <w:rFonts w:ascii="Arial" w:hAnsi="Arial"/>
          <w:b/>
          <w:i/>
          <w:color w:val="000000"/>
          <w:sz w:val="20"/>
        </w:rPr>
        <w:t>Patent terms may be inadequate to protect our competitive position on our drug candidates for an adequate amount of time.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for our drug candidates, our business may be materially harmed.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pStyle w:val="TextBody"/>
        <w:bidi w:val="0"/>
        <w:spacing w:before="24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240" w:after="283"/>
        <w:jc w:val="both"/>
        <w:rPr>
          <w:rFonts w:ascii="Arial" w:hAnsi="Arial"/>
          <w:color w:val="000000"/>
          <w:sz w:val="20"/>
        </w:rPr>
      </w:pPr>
      <w:r>
        <w:rPr>
          <w:rFonts w:ascii="Arial" w:hAnsi="Arial"/>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24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Arial" w:hAnsi="Arial"/>
          <w:color w:val="000000"/>
          <w:sz w:val="20"/>
        </w:rPr>
      </w:pPr>
      <w:r>
        <w:rPr>
          <w:rFonts w:ascii="Arial" w:hAnsi="Arial"/>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Times New Roman" w:hAnsi="Times New Roman"/>
          <w:sz w:val="20"/>
        </w:rPr>
      </w:pPr>
      <w:r>
        <w:rPr>
          <w:rFonts w:ascii="Arial" w:hAnsi="Arial"/>
          <w:b/>
          <w:i/>
          <w:color w:val="000000"/>
          <w:sz w:val="20"/>
        </w:rPr>
        <w:t>Our rights to develop and commercialize our drug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both"/>
        <w:rPr>
          <w:rFonts w:ascii="Times New Roman" w:hAnsi="Times New Roman"/>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pStyle w:val="TextBody"/>
        <w:bidi w:val="0"/>
        <w:spacing w:before="240" w:after="283"/>
        <w:jc w:val="both"/>
        <w:rPr>
          <w:rFonts w:ascii="Arial" w:hAnsi="Arial"/>
          <w:color w:val="000000"/>
          <w:sz w:val="20"/>
        </w:rPr>
      </w:pPr>
      <w:r>
        <w:rPr>
          <w:rFonts w:ascii="Arial" w:hAnsi="Arial"/>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24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240" w:after="283"/>
        <w:jc w:val="both"/>
        <w:rPr>
          <w:rFonts w:ascii="Arial" w:hAnsi="Arial"/>
          <w:color w:val="000000"/>
          <w:sz w:val="20"/>
        </w:rPr>
      </w:pPr>
      <w:r>
        <w:rPr>
          <w:rFonts w:ascii="Arial" w:hAnsi="Arial"/>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and the extent to which our drug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both"/>
        <w:rPr>
          <w:rFonts w:ascii="Arial" w:hAnsi="Arial"/>
          <w:color w:val="000000"/>
          <w:sz w:val="20"/>
        </w:rPr>
      </w:pPr>
      <w:r>
        <w:rPr>
          <w:rFonts w:ascii="Arial" w:hAnsi="Arial"/>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products identical to ours.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The patent protection and patent prosecution for some of our drug candidates may be dependent on third parties.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24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entered an exclusive license agreement with WSU for certain licensed patents that include intellectual property that was generated through the use of U.S. government funding, and we received a grant from the NIA of the NIH to support our ACT-AD clinical trial. Pursuant to the Bayh-Dole Act of 1980, or the Bayh-Dole Act, the U.S. government may have certain rights in any invention developed or reduced to practice with government funding. In addition, in the future we may discover, develop, acquire, or license new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Act requirements were delayed for the patent family directed to methods of treating AD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Risks Relating to Cybersecurity</w:t>
      </w:r>
    </w:p>
    <w:p>
      <w:pPr>
        <w:pStyle w:val="TextBody"/>
        <w:bidi w:val="0"/>
        <w:spacing w:before="24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discussed in the section titled "Part 1, Item 1.C—Cybersecurity," in our Annual Report on Form 10-K filed with the SEC on February 22, 2024,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Arial" w:hAnsi="Arial"/>
          <w:color w:val="000000"/>
          <w:sz w:val="20"/>
        </w:rPr>
      </w:pPr>
      <w:r>
        <w:rPr>
          <w:rFonts w:ascii="Arial" w:hAnsi="Arial"/>
          <w:color w:val="000000"/>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color w:val="000000"/>
          <w:sz w:val="20"/>
        </w:rPr>
      </w:pPr>
      <w:r>
        <w:rPr>
          <w:rFonts w:ascii="Arial" w:hAnsi="Arial"/>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color w:val="000000"/>
          <w:sz w:val="20"/>
        </w:rPr>
      </w:pPr>
      <w:r>
        <w:rPr>
          <w:rFonts w:ascii="Arial" w:hAnsi="Arial"/>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color w:val="000000"/>
          <w:sz w:val="20"/>
        </w:rPr>
      </w:pPr>
      <w:r>
        <w:rPr>
          <w:rFonts w:ascii="Arial" w:hAnsi="Arial"/>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Arial" w:hAnsi="Arial"/>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240" w:after="283"/>
        <w:jc w:val="both"/>
        <w:rPr>
          <w:rFonts w:ascii="Arial" w:hAnsi="Arial"/>
          <w:b/>
          <w:color w:val="000000"/>
          <w:sz w:val="20"/>
        </w:rPr>
      </w:pPr>
      <w:r>
        <w:rPr>
          <w:rFonts w:ascii="Arial" w:hAnsi="Arial"/>
          <w:b/>
          <w:color w:val="000000"/>
          <w:sz w:val="20"/>
        </w:rPr>
        <w:t>Risks Relating to Ownership of Our Common Stock</w:t>
      </w:r>
    </w:p>
    <w:p>
      <w:pPr>
        <w:pStyle w:val="TextBody"/>
        <w:bidi w:val="0"/>
        <w:spacing w:before="240" w:after="283"/>
        <w:jc w:val="both"/>
        <w:rPr>
          <w:rFonts w:ascii="Times New Roman" w:hAnsi="Times New Roman"/>
          <w:sz w:val="20"/>
        </w:rPr>
      </w:pPr>
      <w:r>
        <w:rPr>
          <w:rFonts w:ascii="Arial" w:hAnsi="Arial"/>
          <w:b/>
          <w:i/>
          <w:color w:val="000000"/>
          <w:sz w:val="20"/>
        </w:rPr>
        <w:t>We and certain of our directors and executive officers have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described elsewhere in this report in “Part II, Item 1—Legal Proceedings,” we and certain of our executive officers and directors have been named as defendants in a class action lawsuit that generally alleges that we and certain of our officers and directors violated Sections 10(b) and 20(a) of the Exchange Act and Rule 10b-5 promulgated thereunder and Sections 11, 12, and 15 of the Securities Act by making allegedly false or misleading statements and omitting material adverse facts regarding our business. Certain of our executive officers and directors have also been named as defendants in derivative actions, which are based on similar allegations, and generally allege that defendants breached their fiduciary duties to us, among other things. We are named as a nominal defendant in these derivative proceedings. These complaints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seek unspecified compensatory and punitive damages, and reasonable costs and expenses, including attorneys’ fees, and other relief.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240" w:after="283"/>
        <w:jc w:val="both"/>
        <w:rPr>
          <w:rFonts w:ascii="Times New Roman" w:hAnsi="Times New Roman"/>
          <w:sz w:val="20"/>
        </w:rPr>
      </w:pPr>
      <w:r>
        <w:rPr>
          <w:rFonts w:ascii="Arial" w:hAnsi="Arial"/>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strive to maintain constructive communications with our stockholders and welcome their views and opinions with the goal of enhancing value for all stockholders. However, a proxy contest or other activist behaviors could have an adverse effect on us because: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may interfere with any efforts that we undertake in the future to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could cause significant fluctuations in our stock price based on temporary or speculative market perceptions or other factors that do not necessarily reflect the underlying fundamentals and prospects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individuals are elected to our board of directors with a specific agenda as a result of a proxy contest, it may adversely affect our ability to effectively implement our business strategy and to create additional value for our stockholders.</w:t>
      </w:r>
    </w:p>
    <w:p>
      <w:pPr>
        <w:pStyle w:val="TextBody"/>
        <w:bidi w:val="0"/>
        <w:spacing w:before="240" w:after="283"/>
        <w:jc w:val="left"/>
        <w:rPr>
          <w:rFonts w:ascii="Arial" w:hAnsi="Arial"/>
          <w:color w:val="000000"/>
          <w:sz w:val="20"/>
        </w:rPr>
      </w:pPr>
      <w:r>
        <w:rPr>
          <w:rFonts w:ascii="Arial" w:hAnsi="Arial"/>
          <w:color w:val="000000"/>
          <w:sz w:val="20"/>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24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market price of our common stock has been and may continue to be volatile, which could result in substantial losses for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and results of clinical trials for our current drug candidates and any future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commencement or termination of collaborations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or discontinuation of any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results of nonclinical studies, clinical trials or regulatory approvals of drug candidates of our competitors, or announcements about new research programs or drug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negative press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status of ongoing litigation and government investigations and potential commencement of additional litigation or investigations;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results of an investigation into our former CEO, Leen Kawas, by WSU;</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expenses related to any of our research programs,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results of our efforts to develop additional drug candidates or drug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impact of health epidemics, including COVID-19,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 or indirect impacts on our business, our suppliers and other third parties and our clinical sites as a result of geopolitical events, including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other factors described in this “Part II, Item 1A—Risk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directors, executive officers and significant stockholders own a substantial percentage of our common stock, which could limit your ability to affect the outcome of key transactions, including a change of control.</w:t>
      </w:r>
    </w:p>
    <w:p>
      <w:pPr>
        <w:pStyle w:val="TextBody"/>
        <w:bidi w:val="0"/>
        <w:spacing w:before="240" w:after="283"/>
        <w:jc w:val="both"/>
        <w:rPr>
          <w:rFonts w:ascii="Times New Roman" w:hAnsi="Times New Roman"/>
          <w:sz w:val="20"/>
        </w:rPr>
      </w:pPr>
      <w:r>
        <w:rPr>
          <w:rFonts w:ascii="Arial" w:hAnsi="Arial"/>
          <w:color w:val="000000"/>
          <w:sz w:val="20"/>
        </w:rPr>
        <w:t>Our directors, executive officers, significant holders of our outstanding common stock and their respective affiliates beneficially own a substantial amount of our outstanding common stock as of June 30, 2024.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the reduced disclosure requirements applicable to emerging growth companies may make our common stock less attractive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the Sarbanes-Oxley Act,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Times New Roman" w:hAnsi="Times New Roman"/>
          <w:sz w:val="20"/>
        </w:rPr>
      </w:pPr>
      <w:r>
        <w:rPr>
          <w:rFonts w:ascii="Arial" w:hAnsi="Arial"/>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Arial" w:hAnsi="Arial"/>
          <w:color w:val="000000"/>
          <w:sz w:val="20"/>
        </w:rPr>
      </w:pPr>
      <w:r>
        <w:rPr>
          <w:rFonts w:ascii="Arial" w:hAnsi="Arial"/>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24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both"/>
        <w:rPr>
          <w:rFonts w:ascii="Arial" w:hAnsi="Arial"/>
          <w:color w:val="000000"/>
          <w:sz w:val="20"/>
        </w:rPr>
      </w:pPr>
      <w:r>
        <w:rPr>
          <w:rFonts w:ascii="Arial" w:hAnsi="Arial"/>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Arial" w:hAnsi="Arial"/>
          <w:color w:val="000000"/>
          <w:sz w:val="20"/>
        </w:rPr>
      </w:pPr>
      <w:r>
        <w:rPr>
          <w:rFonts w:ascii="Arial" w:hAnsi="Arial"/>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bidi w:val="0"/>
        <w:spacing w:before="240" w:after="283"/>
        <w:jc w:val="both"/>
        <w:rPr>
          <w:rFonts w:ascii="Arial" w:hAnsi="Arial"/>
          <w:b/>
          <w:color w:val="000000"/>
          <w:sz w:val="20"/>
        </w:rPr>
      </w:pPr>
      <w:r>
        <w:rPr>
          <w:rFonts w:ascii="Arial" w:hAnsi="Arial"/>
          <w:b/>
          <w:color w:val="000000"/>
          <w:sz w:val="20"/>
        </w:rPr>
        <w:t>General Risk Factors</w:t>
      </w:r>
    </w:p>
    <w:p>
      <w:pPr>
        <w:pStyle w:val="TextBody"/>
        <w:bidi w:val="0"/>
        <w:spacing w:before="240" w:after="283"/>
        <w:jc w:val="both"/>
        <w:rPr>
          <w:rFonts w:ascii="Arial" w:hAnsi="Arial"/>
          <w:b/>
          <w:i/>
          <w:color w:val="212529"/>
          <w:sz w:val="20"/>
        </w:rPr>
      </w:pPr>
      <w:r>
        <w:rPr>
          <w:rFonts w:ascii="Arial" w:hAnsi="Arial"/>
          <w:b/>
          <w:i/>
          <w:color w:val="212529"/>
          <w:sz w:val="20"/>
        </w:rPr>
        <w:t>The loss of any of our key personnel could significantly harm our business, results of operations and competitive position.</w:t>
      </w:r>
    </w:p>
    <w:p>
      <w:pPr>
        <w:pStyle w:val="TextBody"/>
        <w:bidi w:val="0"/>
        <w:spacing w:before="240" w:after="283"/>
        <w:jc w:val="both"/>
        <w:rPr>
          <w:rFonts w:ascii="Arial" w:hAnsi="Arial"/>
          <w:color w:val="000000"/>
          <w:sz w:val="20"/>
        </w:rPr>
      </w:pPr>
      <w:r>
        <w:rPr>
          <w:rFonts w:ascii="Arial" w:hAnsi="Arial"/>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pStyle w:val="TextBody"/>
        <w:bidi w:val="0"/>
        <w:spacing w:before="24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240" w:after="283"/>
        <w:jc w:val="both"/>
        <w:rPr>
          <w:rFonts w:ascii="Times New Roman" w:hAnsi="Times New Roman"/>
          <w:sz w:val="20"/>
        </w:rPr>
      </w:pPr>
      <w:r>
        <w:rPr>
          <w:rFonts w:ascii="Arial" w:hAnsi="Arial"/>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color w:val="000000"/>
          <w:sz w:val="20"/>
        </w:rPr>
        <w:t>divergent</w:t>
      </w:r>
      <w:r>
        <w:rPr>
          <w:rFonts w:ascii="Times New Roman" w:hAnsi="Times New Roman"/>
          <w:color w:val="212529"/>
          <w:sz w:val="20"/>
        </w:rPr>
        <w:t xml:space="preserve"> </w:t>
      </w:r>
      <w:r>
        <w:rPr>
          <w:rFonts w:ascii="Arial" w:hAnsi="Arial"/>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24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Attention to ESG (environmental, social and governance) matters may cause us to incur additional costs or expose us to additional risks.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80" w:after="283"/>
        <w:jc w:val="both"/>
        <w:rPr>
          <w:rFonts w:ascii="Arial" w:hAnsi="Arial"/>
          <w:b/>
          <w:color w:val="000000"/>
          <w:sz w:val="20"/>
        </w:rPr>
      </w:pPr>
      <w:bookmarkStart w:id="16" w:name="item_2_unregistered_sales_equity_securit"/>
      <w:bookmarkEnd w:id="16"/>
      <w:r>
        <w:rPr>
          <w:rFonts w:ascii="Arial" w:hAnsi="Arial"/>
          <w:b/>
          <w:color w:val="000000"/>
          <w:sz w:val="20"/>
        </w:rPr>
        <w:t>Item 2. Unregistered Sales of Equity Securities and Use of Proceeds.</w:t>
      </w:r>
    </w:p>
    <w:p>
      <w:pPr>
        <w:pStyle w:val="TextBody"/>
        <w:bidi w:val="0"/>
        <w:spacing w:before="280" w:after="283"/>
        <w:jc w:val="both"/>
        <w:rPr>
          <w:rFonts w:ascii="Arial" w:hAnsi="Arial"/>
          <w:b/>
          <w:i/>
          <w:color w:val="000000"/>
          <w:sz w:val="20"/>
        </w:rPr>
      </w:pPr>
      <w:r>
        <w:rPr>
          <w:rFonts w:ascii="Arial" w:hAnsi="Arial"/>
          <w:b/>
          <w:i/>
          <w:color w:val="000000"/>
          <w:sz w:val="20"/>
        </w:rPr>
        <w:t>Recent Sales of Unregistered Equity Securities</w:t>
      </w:r>
    </w:p>
    <w:p>
      <w:pPr>
        <w:pStyle w:val="TextBody"/>
        <w:bidi w:val="0"/>
        <w:spacing w:before="280" w:after="283"/>
        <w:jc w:val="both"/>
        <w:rPr>
          <w:rFonts w:ascii="Arial" w:hAnsi="Arial"/>
          <w:color w:val="000000"/>
          <w:sz w:val="20"/>
        </w:rPr>
      </w:pPr>
      <w:r>
        <w:rPr>
          <w:rFonts w:ascii="Arial" w:hAnsi="Arial"/>
          <w:color w:val="000000"/>
          <w:sz w:val="20"/>
        </w:rPr>
        <w:t>None.</w:t>
      </w:r>
    </w:p>
    <w:p>
      <w:pPr>
        <w:pStyle w:val="TextBody"/>
        <w:bidi w:val="0"/>
        <w:spacing w:before="280" w:after="283"/>
        <w:jc w:val="both"/>
        <w:rPr>
          <w:rFonts w:ascii="Arial" w:hAnsi="Arial"/>
          <w:b/>
          <w:color w:val="000000"/>
          <w:sz w:val="20"/>
        </w:rPr>
      </w:pPr>
      <w:bookmarkStart w:id="17" w:name="item_3_defaults_upon_senior_securities"/>
      <w:bookmarkEnd w:id="17"/>
      <w:r>
        <w:rPr>
          <w:rFonts w:ascii="Arial" w:hAnsi="Arial"/>
          <w:b/>
          <w:color w:val="000000"/>
          <w:sz w:val="20"/>
        </w:rPr>
        <w:t>Item 3. Defaults Upon Senior Securities.</w:t>
      </w:r>
    </w:p>
    <w:p>
      <w:pPr>
        <w:pStyle w:val="TextBody"/>
        <w:bidi w:val="0"/>
        <w:spacing w:before="280" w:after="283"/>
        <w:jc w:val="both"/>
        <w:rPr>
          <w:rFonts w:ascii="Arial" w:hAnsi="Arial"/>
          <w:color w:val="000000"/>
          <w:sz w:val="20"/>
        </w:rPr>
      </w:pPr>
      <w:r>
        <w:rPr>
          <w:rFonts w:ascii="Arial" w:hAnsi="Arial"/>
          <w:color w:val="000000"/>
          <w:sz w:val="20"/>
        </w:rPr>
        <w:t>Not applicable.</w:t>
      </w:r>
    </w:p>
    <w:p>
      <w:pPr>
        <w:pStyle w:val="TextBody"/>
        <w:bidi w:val="0"/>
        <w:spacing w:before="280" w:after="283"/>
        <w:jc w:val="both"/>
        <w:rPr>
          <w:rFonts w:ascii="Arial" w:hAnsi="Arial"/>
          <w:b/>
          <w:color w:val="000000"/>
          <w:sz w:val="20"/>
        </w:rPr>
      </w:pPr>
      <w:bookmarkStart w:id="18" w:name="item_4_mine_safety_disclosures"/>
      <w:bookmarkEnd w:id="18"/>
      <w:r>
        <w:rPr>
          <w:rFonts w:ascii="Arial" w:hAnsi="Arial"/>
          <w:b/>
          <w:color w:val="000000"/>
          <w:sz w:val="20"/>
        </w:rPr>
        <w:t>Item 4. Mine Safety Disclosures.</w:t>
      </w:r>
    </w:p>
    <w:p>
      <w:pPr>
        <w:pStyle w:val="TextBody"/>
        <w:bidi w:val="0"/>
        <w:spacing w:before="280" w:after="283"/>
        <w:jc w:val="both"/>
        <w:rPr>
          <w:rFonts w:ascii="Arial" w:hAnsi="Arial"/>
          <w:color w:val="000000"/>
          <w:sz w:val="20"/>
        </w:rPr>
      </w:pPr>
      <w:r>
        <w:rPr>
          <w:rFonts w:ascii="Arial" w:hAnsi="Arial"/>
          <w:color w:val="000000"/>
          <w:sz w:val="20"/>
        </w:rPr>
        <w:t>Not applicable.</w:t>
      </w:r>
    </w:p>
    <w:p>
      <w:pPr>
        <w:pStyle w:val="TextBody"/>
        <w:bidi w:val="0"/>
        <w:spacing w:before="280" w:after="283"/>
        <w:jc w:val="both"/>
        <w:rPr>
          <w:rFonts w:ascii="Arial" w:hAnsi="Arial"/>
          <w:b/>
          <w:color w:val="000000"/>
          <w:sz w:val="20"/>
        </w:rPr>
      </w:pPr>
      <w:bookmarkStart w:id="19" w:name="item_5_or_information"/>
      <w:bookmarkEnd w:id="19"/>
      <w:r>
        <w:rPr>
          <w:rFonts w:ascii="Arial" w:hAnsi="Arial"/>
          <w:b/>
          <w:color w:val="000000"/>
          <w:sz w:val="20"/>
        </w:rPr>
        <w:t>Item 5. Other Information.</w:t>
      </w:r>
    </w:p>
    <w:p>
      <w:pPr>
        <w:pStyle w:val="TextBody"/>
        <w:bidi w:val="0"/>
        <w:spacing w:before="280" w:after="283"/>
        <w:jc w:val="both"/>
        <w:rPr>
          <w:rFonts w:ascii="Times New Roman" w:hAnsi="Times New Roman"/>
          <w:sz w:val="20"/>
        </w:rPr>
      </w:pPr>
      <w:r>
        <w:rPr>
          <w:rFonts w:ascii="Arial" w:hAnsi="Arial"/>
          <w:color w:val="000000"/>
          <w:sz w:val="20"/>
        </w:rPr>
        <w:t>During our last fiscal quarter, no director or officer, as defined in Rule 16a-1(f) of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any “non-Rule 10b5-1 trading arrangement,” each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6103"/>
        <w:gridCol w:w="526"/>
        <w:gridCol w:w="729"/>
        <w:gridCol w:w="661"/>
        <w:gridCol w:w="1250"/>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6"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790"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103"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72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250"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12, 2020</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to the Amended and Restated Certificate of Incorporation of the Company dated May 23,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29, 2024</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Amended and Restated Bylaws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18, 2022</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2.htm">
              <w:r>
                <w:rPr>
                  <w:rStyle w:val="InternetLink"/>
                  <w:rFonts w:ascii="Arial" w:hAnsi="Arial"/>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2.htm">
              <w:r>
                <w:rPr>
                  <w:rStyle w:val="InternetLink"/>
                  <w:rFonts w:ascii="Arial" w:hAnsi="Arial"/>
                  <w:color w:val="0000FF"/>
                  <w:sz w:val="20"/>
                  <w:u w:val="single"/>
                </w:rPr>
                <w:t>Certification of Principal Accounting and Financial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in Inline XBRL and included in Exhibit 101)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Arial" w:hAnsi="Arial"/>
          <w:color w:val="000000"/>
          <w:sz w:val="16"/>
        </w:rPr>
      </w:pPr>
      <w:r>
        <w:rPr>
          <w:rFonts w:ascii="Arial" w:hAnsi="Arial"/>
          <w:color w:val="000000"/>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72"/>
        <w:gridCol w:w="109"/>
        <w:gridCol w:w="401"/>
        <w:gridCol w:w="7823"/>
      </w:tblGrid>
      <w:tr>
        <w:trPr/>
        <w:tc>
          <w:tcPr>
            <w:tcW w:w="1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823" w:type="dxa"/>
            <w:tcBorders/>
            <w:vAlign w:val="center"/>
          </w:tcPr>
          <w:p>
            <w:pPr>
              <w:pStyle w:val="TableContents"/>
              <w:bidi w:val="0"/>
              <w:spacing w:before="0" w:after="283"/>
              <w:jc w:val="left"/>
              <w:rPr>
                <w:sz w:val="4"/>
                <w:szCs w:val="4"/>
              </w:rPr>
            </w:pPr>
            <w:r>
              <w:rPr>
                <w:sz w:val="4"/>
                <w:szCs w:val="4"/>
              </w:rPr>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Athira Pharma, Inc.</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8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Litton</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Litton</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0"/>
              </w:rPr>
              <w:t>President and Chief Executive Officer (</w:t>
            </w:r>
            <w:r>
              <w:rPr>
                <w:rFonts w:ascii="Arial" w:hAnsi="Arial"/>
                <w:i/>
                <w:color w:val="000000"/>
                <w:sz w:val="20"/>
              </w:rPr>
              <w:t>Principal Executive Officer</w:t>
            </w:r>
            <w:r>
              <w:rPr>
                <w:rFonts w:ascii="Arial" w:hAnsi="Arial"/>
                <w:color w:val="000000"/>
                <w:sz w:val="20"/>
              </w:rPr>
              <w:t>)</w:t>
            </w:r>
            <w:r>
              <w:rPr>
                <w:rFonts w:ascii="Times New Roman" w:hAnsi="Times New Roman"/>
                <w:color w:val="000000"/>
                <w:sz w:val="24"/>
              </w:rPr>
              <w:t xml:space="preserve"> </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8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Andrew Gengos</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Gengos</w:t>
            </w:r>
          </w:p>
        </w:tc>
      </w:tr>
      <w:tr>
        <w:trPr/>
        <w:tc>
          <w:tcPr>
            <w:tcW w:w="1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Chief Financial Officer and Chief Business Officer (</w:t>
            </w:r>
            <w:r>
              <w:rPr>
                <w:rFonts w:ascii="Arial" w:hAnsi="Arial"/>
                <w:i/>
                <w:color w:val="000000"/>
                <w:sz w:val="20"/>
              </w:rPr>
              <w:t>Principal Financial and Accounting Officer</w:t>
            </w: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bookmarkStart w:id="22" w:name="atha-ex31_1.htm"/>
      <w:bookmarkStart w:id="23" w:name="ksatha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EXECUTIVE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Litton,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Date: August 1, 2024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atha-ex31_2.htm"/>
      <w:bookmarkStart w:id="25" w:name="ksatha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FINANCIAL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Gengos,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Date: August 1, 2024</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Andrew Gengos</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Andrew Gengos</w:t>
            </w:r>
          </w:p>
        </w:tc>
        <w:tc>
          <w:tcPr>
            <w:tcW w:w="191" w:type="dxa"/>
            <w:tcBorders/>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Financial Officer and Chief Business Officer</w:t>
            </w:r>
          </w:p>
        </w:tc>
        <w:tc>
          <w:tcPr>
            <w:tcW w:w="191" w:type="dxa"/>
            <w:tcBorders/>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atha-ex32_1.htm"/>
      <w:bookmarkStart w:id="27" w:name="ksatha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June 30, 2024, as filed with the Securities and Exchange Commission on the date hereof (the “Report”), I, Mark Litton, President and Chief Executive Officer </w:t>
      </w:r>
      <w:r>
        <w:rPr>
          <w:rFonts w:ascii="Times New Roman" w:hAnsi="Times New Roman"/>
          <w:i/>
          <w:color w:val="000000"/>
          <w:sz w:val="20"/>
        </w:rPr>
        <w:t>(Principal Executive Officer)</w:t>
      </w:r>
      <w:r>
        <w:rPr>
          <w:rFonts w:ascii="Times New Roman" w:hAnsi="Times New Roman"/>
          <w:color w:val="000000"/>
          <w:sz w:val="20"/>
        </w:rPr>
        <w:t xml:space="preserve"> of the Company, certify, pursuant to 18 U.S.C. Section 1350, as adopted pursuant to Section 906 of the Sarbanes-Oxley Act of 2002, that, to my knowledge: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Date: August 1, 2024</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tha-ex32_2.htm"/>
      <w:bookmarkStart w:id="29" w:name="ksatha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June 30, 2024, as filed with the Securities and Exchange Commission on the date hereof (the “Report”), I, Andrew Gengos, Chief Financial Officer and Chief Business Officer </w:t>
      </w:r>
      <w:r>
        <w:rPr>
          <w:rFonts w:ascii="Times New Roman" w:hAnsi="Times New Roman"/>
          <w:i/>
          <w:color w:val="000000"/>
          <w:sz w:val="20"/>
        </w:rPr>
        <w:t xml:space="preserve">(Principal Financial and Accounting Officer) </w:t>
      </w:r>
      <w:r>
        <w:rPr>
          <w:rFonts w:ascii="Times New Roman" w:hAnsi="Times New Roman"/>
          <w:color w:val="000000"/>
          <w:sz w:val="20"/>
        </w:rPr>
        <w:t xml:space="preserve">of the Company, certify, pursuant to 18 U.S.C. Section 1350, as adopted pursuant to Section 906 of the Sarbanes-Oxley Act of 2002, that, to my knowledge: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Date: August 1, 2024</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Andrew Gengos</w:t>
            </w:r>
          </w:p>
        </w:tc>
      </w:tr>
      <w:tr>
        <w:trPr/>
        <w:tc>
          <w:tcPr>
            <w:tcW w:w="430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Andrew Gengos</w:t>
            </w:r>
          </w:p>
        </w:tc>
      </w:tr>
      <w:tr>
        <w:trPr/>
        <w:tc>
          <w:tcPr>
            <w:tcW w:w="43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Financial Officer and Chief Business Officer</w:t>
            </w:r>
          </w:p>
        </w:tc>
      </w:tr>
      <w:tr>
        <w:trPr/>
        <w:tc>
          <w:tcPr>
            <w:tcW w:w="43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ix?doc=/Archives/edgar/data/1620463/000095017024065914/atha-20240523.htm" TargetMode="External"/><Relationship Id="rId5" Type="http://schemas.openxmlformats.org/officeDocument/2006/relationships/hyperlink" Target="https://www.sec.gov/Archives/edgar/data/1620463/000095017022025442/atha-ex3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67365</Words>
  <Characters>376062</Characters>
  <CharactersWithSpaces>443350</CharactersWithSpaces>
  <Paragraphs>5411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