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As filed with the Securities and Exchange Commission on March 23, 2023</w:t>
      </w:r>
    </w:p>
    <w:p>
      <w:pPr>
        <w:spacing w:after="0" w:line="26" w:lineRule="exact"/>
        <w:rPr>
          <w:sz w:val="24"/>
          <w:szCs w:val="24"/>
          <w:color w:val="auto"/>
        </w:rPr>
      </w:pPr>
    </w:p>
    <w:p>
      <w:pPr>
        <w:ind w:left="92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368"/>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Arial" w:cs="Arial" w:eastAsia="Arial" w:hAnsi="Arial"/>
                <w:sz w:val="22"/>
                <w:szCs w:val="22"/>
                <w:b w:val="1"/>
                <w:bCs w:val="1"/>
                <w:color w:val="auto"/>
                <w:w w:val="88"/>
              </w:rPr>
              <w:t>Washington, D.C. 20549</w:t>
            </w:r>
          </w:p>
        </w:tc>
      </w:tr>
      <w:tr>
        <w:trPr>
          <w:trHeight w:val="84"/>
        </w:trPr>
        <w:tc>
          <w:tcPr>
            <w:tcW w:w="20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r>
      <w:tr>
        <w:trPr>
          <w:trHeight w:val="398"/>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308"/>
              <w:spacing w:after="0" w:line="368" w:lineRule="exact"/>
              <w:rPr>
                <w:sz w:val="20"/>
                <w:szCs w:val="20"/>
                <w:color w:val="auto"/>
              </w:rPr>
            </w:pPr>
            <w:r>
              <w:rPr>
                <w:rFonts w:ascii="Arial" w:cs="Arial" w:eastAsia="Arial" w:hAnsi="Arial"/>
                <w:sz w:val="32"/>
                <w:szCs w:val="32"/>
                <w:b w:val="1"/>
                <w:bCs w:val="1"/>
                <w:color w:val="auto"/>
                <w:w w:val="99"/>
              </w:rPr>
              <w:t>FORM S</w:t>
            </w:r>
            <w:r>
              <w:rPr>
                <w:rFonts w:ascii="MS PGothic" w:cs="MS PGothic" w:eastAsia="MS PGothic" w:hAnsi="MS PGothic"/>
                <w:sz w:val="32"/>
                <w:szCs w:val="32"/>
                <w:b w:val="1"/>
                <w:bCs w:val="1"/>
                <w:color w:val="auto"/>
                <w:w w:val="99"/>
              </w:rPr>
              <w:t>‑</w:t>
            </w:r>
            <w:r>
              <w:rPr>
                <w:rFonts w:ascii="Arial" w:cs="Arial" w:eastAsia="Arial" w:hAnsi="Arial"/>
                <w:sz w:val="32"/>
                <w:szCs w:val="32"/>
                <w:b w:val="1"/>
                <w:bCs w:val="1"/>
                <w:color w:val="auto"/>
                <w:w w:val="99"/>
              </w:rPr>
              <w:t>8</w:t>
            </w:r>
          </w:p>
        </w:tc>
      </w:tr>
      <w:tr>
        <w:trPr>
          <w:trHeight w:val="378"/>
        </w:trPr>
        <w:tc>
          <w:tcPr>
            <w:tcW w:w="2000" w:type="dxa"/>
            <w:vAlign w:val="bottom"/>
          </w:tcPr>
          <w:p>
            <w:pPr>
              <w:spacing w:after="0"/>
              <w:rPr>
                <w:sz w:val="24"/>
                <w:szCs w:val="24"/>
                <w:color w:val="auto"/>
              </w:rPr>
            </w:pPr>
          </w:p>
        </w:tc>
        <w:tc>
          <w:tcPr>
            <w:tcW w:w="7100" w:type="dxa"/>
            <w:vAlign w:val="bottom"/>
            <w:gridSpan w:val="3"/>
          </w:tcPr>
          <w:p>
            <w:pPr>
              <w:jc w:val="center"/>
              <w:spacing w:after="0"/>
              <w:rPr>
                <w:sz w:val="20"/>
                <w:szCs w:val="20"/>
                <w:color w:val="auto"/>
              </w:rPr>
            </w:pPr>
            <w:r>
              <w:rPr>
                <w:rFonts w:ascii="Arial" w:cs="Arial" w:eastAsia="Arial" w:hAnsi="Arial"/>
                <w:sz w:val="32"/>
                <w:szCs w:val="32"/>
                <w:b w:val="1"/>
                <w:bCs w:val="1"/>
                <w:color w:val="auto"/>
              </w:rPr>
              <w:t>REGISTRATION STATEMENT</w:t>
            </w: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43" w:lineRule="exact"/>
              <w:rPr>
                <w:sz w:val="20"/>
                <w:szCs w:val="20"/>
                <w:color w:val="auto"/>
              </w:rPr>
            </w:pPr>
            <w:r>
              <w:rPr>
                <w:rFonts w:ascii="Arial" w:cs="Arial" w:eastAsia="Arial" w:hAnsi="Arial"/>
                <w:sz w:val="22"/>
                <w:szCs w:val="22"/>
                <w:b w:val="1"/>
                <w:bCs w:val="1"/>
                <w:color w:val="auto"/>
                <w:w w:val="91"/>
              </w:rPr>
              <w:t>Under</w:t>
            </w:r>
          </w:p>
        </w:tc>
      </w:tr>
      <w:tr>
        <w:trPr>
          <w:trHeight w:val="280"/>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22"/>
                <w:szCs w:val="22"/>
                <w:b w:val="1"/>
                <w:bCs w:val="1"/>
                <w:color w:val="auto"/>
                <w:w w:val="88"/>
              </w:rPr>
              <w:t>The Securities Act of 1933</w:t>
            </w:r>
          </w:p>
        </w:tc>
      </w:tr>
      <w:tr>
        <w:trPr>
          <w:trHeight w:val="98"/>
        </w:trPr>
        <w:tc>
          <w:tcPr>
            <w:tcW w:w="2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r>
      <w:tr>
        <w:trPr>
          <w:trHeight w:val="551"/>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43"/>
                <w:szCs w:val="43"/>
                <w:b w:val="1"/>
                <w:bCs w:val="1"/>
                <w:color w:val="auto"/>
              </w:rPr>
              <w:t>ATHIRA PHARMA, INC.</w:t>
            </w:r>
          </w:p>
        </w:tc>
      </w:tr>
      <w:tr>
        <w:trPr>
          <w:trHeight w:val="186"/>
        </w:trPr>
        <w:tc>
          <w:tcPr>
            <w:tcW w:w="2000" w:type="dxa"/>
            <w:vAlign w:val="bottom"/>
          </w:tcPr>
          <w:p>
            <w:pPr>
              <w:spacing w:after="0"/>
              <w:rPr>
                <w:sz w:val="16"/>
                <w:szCs w:val="16"/>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80"/>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r>
      <w:tr>
        <w:trPr>
          <w:trHeight w:val="304"/>
        </w:trPr>
        <w:tc>
          <w:tcPr>
            <w:tcW w:w="20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7100" w:type="dxa"/>
            <w:vAlign w:val="bottom"/>
            <w:gridSpan w:val="3"/>
          </w:tcPr>
          <w:p>
            <w:pPr>
              <w:ind w:left="5500"/>
              <w:spacing w:after="0"/>
              <w:rPr>
                <w:sz w:val="20"/>
                <w:szCs w:val="20"/>
                <w:color w:val="auto"/>
              </w:rPr>
            </w:pPr>
            <w:r>
              <w:rPr>
                <w:rFonts w:ascii="Arial" w:cs="Arial" w:eastAsia="Arial" w:hAnsi="Arial"/>
                <w:sz w:val="18"/>
                <w:szCs w:val="18"/>
                <w:b w:val="1"/>
                <w:bCs w:val="1"/>
                <w:color w:val="auto"/>
              </w:rPr>
              <w:t>45-3368487</w:t>
            </w:r>
          </w:p>
        </w:tc>
      </w:tr>
      <w:tr>
        <w:trPr>
          <w:trHeight w:val="153"/>
        </w:trPr>
        <w:tc>
          <w:tcPr>
            <w:tcW w:w="2000" w:type="dxa"/>
            <w:vAlign w:val="bottom"/>
          </w:tcPr>
          <w:p>
            <w:pPr>
              <w:spacing w:after="0" w:line="153" w:lineRule="exact"/>
              <w:rPr>
                <w:sz w:val="20"/>
                <w:szCs w:val="20"/>
                <w:color w:val="auto"/>
              </w:rPr>
            </w:pPr>
            <w:r>
              <w:rPr>
                <w:rFonts w:ascii="Arial" w:cs="Arial" w:eastAsia="Arial" w:hAnsi="Arial"/>
                <w:sz w:val="14"/>
                <w:szCs w:val="14"/>
                <w:b w:val="1"/>
                <w:bCs w:val="1"/>
                <w:color w:val="auto"/>
              </w:rPr>
              <w:t>(State or other jurisdiction of</w:t>
            </w:r>
          </w:p>
        </w:tc>
        <w:tc>
          <w:tcPr>
            <w:tcW w:w="2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80" w:type="dxa"/>
            <w:vAlign w:val="bottom"/>
          </w:tcPr>
          <w:p>
            <w:pPr>
              <w:ind w:left="780"/>
              <w:spacing w:after="0" w:line="153"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2000" w:type="dxa"/>
            <w:vAlign w:val="bottom"/>
          </w:tcPr>
          <w:p>
            <w:pPr>
              <w:spacing w:after="0"/>
              <w:rPr>
                <w:sz w:val="20"/>
                <w:szCs w:val="20"/>
                <w:color w:val="auto"/>
              </w:rPr>
            </w:pPr>
            <w:r>
              <w:rPr>
                <w:rFonts w:ascii="Arial" w:cs="Arial" w:eastAsia="Arial" w:hAnsi="Arial"/>
                <w:sz w:val="14"/>
                <w:szCs w:val="14"/>
                <w:b w:val="1"/>
                <w:bCs w:val="1"/>
                <w:color w:val="auto"/>
                <w:w w:val="99"/>
              </w:rPr>
              <w:t>incorporation or organization)</w:t>
            </w:r>
          </w:p>
        </w:tc>
        <w:tc>
          <w:tcPr>
            <w:tcW w:w="2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ind w:left="780"/>
              <w:spacing w:after="0"/>
              <w:rPr>
                <w:sz w:val="20"/>
                <w:szCs w:val="20"/>
                <w:color w:val="auto"/>
              </w:rPr>
            </w:pPr>
            <w:r>
              <w:rPr>
                <w:rFonts w:ascii="Arial" w:cs="Arial" w:eastAsia="Arial" w:hAnsi="Arial"/>
                <w:sz w:val="14"/>
                <w:szCs w:val="14"/>
                <w:b w:val="1"/>
                <w:bCs w:val="1"/>
                <w:color w:val="auto"/>
              </w:rPr>
              <w:t>Identification Number)</w:t>
            </w:r>
          </w:p>
        </w:tc>
      </w:tr>
      <w:tr>
        <w:trPr>
          <w:trHeight w:val="93"/>
        </w:trPr>
        <w:tc>
          <w:tcPr>
            <w:tcW w:w="2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r>
      <w:tr>
        <w:trPr>
          <w:trHeight w:val="290"/>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22"/>
                <w:szCs w:val="22"/>
                <w:b w:val="1"/>
                <w:bCs w:val="1"/>
                <w:color w:val="auto"/>
                <w:w w:val="90"/>
              </w:rPr>
              <w:t>18706 North Creek Parkway, Suite 104</w:t>
            </w:r>
          </w:p>
        </w:tc>
      </w:tr>
      <w:tr>
        <w:trPr>
          <w:trHeight w:val="252"/>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51" w:lineRule="exact"/>
              <w:rPr>
                <w:sz w:val="20"/>
                <w:szCs w:val="20"/>
                <w:color w:val="auto"/>
              </w:rPr>
            </w:pPr>
            <w:r>
              <w:rPr>
                <w:rFonts w:ascii="Arial" w:cs="Arial" w:eastAsia="Arial" w:hAnsi="Arial"/>
                <w:sz w:val="22"/>
                <w:szCs w:val="22"/>
                <w:b w:val="1"/>
                <w:bCs w:val="1"/>
                <w:color w:val="auto"/>
                <w:w w:val="89"/>
              </w:rPr>
              <w:t>Bothell, WA 98011</w:t>
            </w:r>
          </w:p>
        </w:tc>
      </w:tr>
      <w:tr>
        <w:trPr>
          <w:trHeight w:val="182"/>
        </w:trPr>
        <w:tc>
          <w:tcPr>
            <w:tcW w:w="2000" w:type="dxa"/>
            <w:vAlign w:val="bottom"/>
          </w:tcPr>
          <w:p>
            <w:pPr>
              <w:spacing w:after="0"/>
              <w:rPr>
                <w:sz w:val="15"/>
                <w:szCs w:val="15"/>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93"/>
        </w:trPr>
        <w:tc>
          <w:tcPr>
            <w:tcW w:w="2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r>
      <w:tr>
        <w:trPr>
          <w:trHeight w:val="290"/>
        </w:trPr>
        <w:tc>
          <w:tcPr>
            <w:tcW w:w="2000" w:type="dxa"/>
            <w:vAlign w:val="bottom"/>
          </w:tcPr>
          <w:p>
            <w:pPr>
              <w:spacing w:after="0"/>
              <w:rPr>
                <w:sz w:val="24"/>
                <w:szCs w:val="24"/>
                <w:color w:val="auto"/>
              </w:rPr>
            </w:pPr>
          </w:p>
        </w:tc>
        <w:tc>
          <w:tcPr>
            <w:tcW w:w="71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2020 Equity Incentive Plan</w:t>
            </w:r>
          </w:p>
        </w:tc>
      </w:tr>
      <w:tr>
        <w:trPr>
          <w:trHeight w:val="280"/>
        </w:trPr>
        <w:tc>
          <w:tcPr>
            <w:tcW w:w="2000" w:type="dxa"/>
            <w:vAlign w:val="bottom"/>
          </w:tcPr>
          <w:p>
            <w:pPr>
              <w:spacing w:after="0"/>
              <w:rPr>
                <w:sz w:val="24"/>
                <w:szCs w:val="24"/>
                <w:color w:val="auto"/>
              </w:rPr>
            </w:pPr>
          </w:p>
        </w:tc>
        <w:tc>
          <w:tcPr>
            <w:tcW w:w="7100" w:type="dxa"/>
            <w:vAlign w:val="bottom"/>
            <w:gridSpan w:val="3"/>
          </w:tcPr>
          <w:p>
            <w:pPr>
              <w:jc w:val="center"/>
              <w:ind w:left="4"/>
              <w:spacing w:after="0"/>
              <w:rPr>
                <w:sz w:val="20"/>
                <w:szCs w:val="20"/>
                <w:color w:val="auto"/>
              </w:rPr>
            </w:pPr>
            <w:r>
              <w:rPr>
                <w:rFonts w:ascii="Arial" w:cs="Arial" w:eastAsia="Arial" w:hAnsi="Arial"/>
                <w:sz w:val="22"/>
                <w:szCs w:val="22"/>
                <w:b w:val="1"/>
                <w:bCs w:val="1"/>
                <w:color w:val="auto"/>
                <w:w w:val="87"/>
              </w:rPr>
              <w:t>2020 Employee Stock Purchase Plan</w:t>
            </w:r>
          </w:p>
        </w:tc>
      </w:tr>
      <w:tr>
        <w:trPr>
          <w:trHeight w:val="397"/>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Arial" w:cs="Arial" w:eastAsia="Arial" w:hAnsi="Arial"/>
                <w:sz w:val="14"/>
                <w:szCs w:val="14"/>
                <w:color w:val="auto"/>
                <w:w w:val="97"/>
              </w:rPr>
              <w:t>(Full title of the plans)</w:t>
            </w:r>
          </w:p>
        </w:tc>
      </w:tr>
      <w:tr>
        <w:trPr>
          <w:trHeight w:val="79"/>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r>
      <w:tr>
        <w:trPr>
          <w:trHeight w:val="290"/>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Arial" w:cs="Arial" w:eastAsia="Arial" w:hAnsi="Arial"/>
                <w:sz w:val="22"/>
                <w:szCs w:val="22"/>
                <w:b w:val="1"/>
                <w:bCs w:val="1"/>
                <w:color w:val="auto"/>
                <w:w w:val="95"/>
              </w:rPr>
              <w:t>Mark Litton, Ph.D.</w:t>
            </w: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ind w:left="4"/>
              <w:spacing w:after="0" w:line="243" w:lineRule="exact"/>
              <w:rPr>
                <w:sz w:val="20"/>
                <w:szCs w:val="20"/>
                <w:color w:val="auto"/>
              </w:rPr>
            </w:pPr>
            <w:r>
              <w:rPr>
                <w:rFonts w:ascii="Arial" w:cs="Arial" w:eastAsia="Arial" w:hAnsi="Arial"/>
                <w:sz w:val="22"/>
                <w:szCs w:val="22"/>
                <w:b w:val="1"/>
                <w:bCs w:val="1"/>
                <w:color w:val="auto"/>
                <w:w w:val="89"/>
              </w:rPr>
              <w:t>President and Chief Executive Officer</w:t>
            </w: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3" w:lineRule="exact"/>
              <w:rPr>
                <w:sz w:val="20"/>
                <w:szCs w:val="20"/>
                <w:color w:val="auto"/>
              </w:rPr>
            </w:pPr>
            <w:r>
              <w:rPr>
                <w:rFonts w:ascii="Arial" w:cs="Arial" w:eastAsia="Arial" w:hAnsi="Arial"/>
                <w:sz w:val="22"/>
                <w:szCs w:val="22"/>
                <w:b w:val="1"/>
                <w:bCs w:val="1"/>
                <w:color w:val="auto"/>
                <w:w w:val="93"/>
              </w:rPr>
              <w:t>Athira Pharma, Inc.</w:t>
            </w: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ind w:left="4"/>
              <w:spacing w:after="0" w:line="243" w:lineRule="exact"/>
              <w:rPr>
                <w:sz w:val="20"/>
                <w:szCs w:val="20"/>
                <w:color w:val="auto"/>
              </w:rPr>
            </w:pPr>
            <w:r>
              <w:rPr>
                <w:rFonts w:ascii="Arial" w:cs="Arial" w:eastAsia="Arial" w:hAnsi="Arial"/>
                <w:sz w:val="22"/>
                <w:szCs w:val="22"/>
                <w:b w:val="1"/>
                <w:bCs w:val="1"/>
                <w:color w:val="auto"/>
                <w:w w:val="90"/>
              </w:rPr>
              <w:t>18706 North Creek Parkway, Suite 104</w:t>
            </w: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43" w:lineRule="exact"/>
              <w:rPr>
                <w:sz w:val="20"/>
                <w:szCs w:val="20"/>
                <w:color w:val="auto"/>
              </w:rPr>
            </w:pPr>
            <w:r>
              <w:rPr>
                <w:rFonts w:ascii="Arial" w:cs="Arial" w:eastAsia="Arial" w:hAnsi="Arial"/>
                <w:sz w:val="22"/>
                <w:szCs w:val="22"/>
                <w:b w:val="1"/>
                <w:bCs w:val="1"/>
                <w:color w:val="auto"/>
                <w:w w:val="89"/>
              </w:rPr>
              <w:t>Bothell, WA 98011</w:t>
            </w:r>
          </w:p>
        </w:tc>
      </w:tr>
      <w:tr>
        <w:trPr>
          <w:trHeight w:val="252"/>
        </w:trPr>
        <w:tc>
          <w:tcPr>
            <w:tcW w:w="2000" w:type="dxa"/>
            <w:vAlign w:val="bottom"/>
          </w:tcPr>
          <w:p>
            <w:pPr>
              <w:spacing w:after="0"/>
              <w:rPr>
                <w:sz w:val="21"/>
                <w:szCs w:val="21"/>
                <w:color w:val="auto"/>
              </w:rPr>
            </w:pPr>
          </w:p>
        </w:tc>
        <w:tc>
          <w:tcPr>
            <w:tcW w:w="4720" w:type="dxa"/>
            <w:vAlign w:val="bottom"/>
            <w:gridSpan w:val="2"/>
          </w:tcPr>
          <w:p>
            <w:pPr>
              <w:jc w:val="center"/>
              <w:ind w:left="2364"/>
              <w:spacing w:after="0" w:line="251" w:lineRule="exact"/>
              <w:rPr>
                <w:sz w:val="20"/>
                <w:szCs w:val="20"/>
                <w:color w:val="auto"/>
              </w:rPr>
            </w:pPr>
            <w:r>
              <w:rPr>
                <w:rFonts w:ascii="Arial" w:cs="Arial" w:eastAsia="Arial" w:hAnsi="Arial"/>
                <w:sz w:val="22"/>
                <w:szCs w:val="22"/>
                <w:b w:val="1"/>
                <w:bCs w:val="1"/>
                <w:color w:val="auto"/>
                <w:w w:val="90"/>
              </w:rPr>
              <w:t>(425) 620-8501</w:t>
            </w:r>
          </w:p>
        </w:tc>
        <w:tc>
          <w:tcPr>
            <w:tcW w:w="2380" w:type="dxa"/>
            <w:vAlign w:val="bottom"/>
          </w:tcPr>
          <w:p>
            <w:pPr>
              <w:spacing w:after="0"/>
              <w:rPr>
                <w:sz w:val="21"/>
                <w:szCs w:val="21"/>
                <w:color w:val="auto"/>
              </w:rPr>
            </w:pPr>
          </w:p>
        </w:tc>
      </w:tr>
      <w:tr>
        <w:trPr>
          <w:trHeight w:val="182"/>
        </w:trPr>
        <w:tc>
          <w:tcPr>
            <w:tcW w:w="2000" w:type="dxa"/>
            <w:vAlign w:val="bottom"/>
          </w:tcPr>
          <w:p>
            <w:pPr>
              <w:spacing w:after="0"/>
              <w:rPr>
                <w:sz w:val="15"/>
                <w:szCs w:val="15"/>
                <w:color w:val="auto"/>
              </w:rPr>
            </w:pPr>
          </w:p>
        </w:tc>
        <w:tc>
          <w:tcPr>
            <w:tcW w:w="7100" w:type="dxa"/>
            <w:vAlign w:val="bottom"/>
            <w:gridSpan w:val="3"/>
          </w:tcPr>
          <w:p>
            <w:pPr>
              <w:jc w:val="center"/>
              <w:spacing w:after="0"/>
              <w:rPr>
                <w:sz w:val="20"/>
                <w:szCs w:val="20"/>
                <w:color w:val="auto"/>
              </w:rPr>
            </w:pPr>
            <w:r>
              <w:rPr>
                <w:rFonts w:ascii="Arial" w:cs="Arial" w:eastAsia="Arial" w:hAnsi="Arial"/>
                <w:sz w:val="14"/>
                <w:szCs w:val="14"/>
                <w:color w:val="auto"/>
                <w:w w:val="92"/>
              </w:rPr>
              <w:t>(Name, address and telephone number, including area code, of agent for service)</w:t>
            </w:r>
          </w:p>
        </w:tc>
      </w:tr>
      <w:tr>
        <w:trPr>
          <w:trHeight w:val="79"/>
        </w:trPr>
        <w:tc>
          <w:tcPr>
            <w:tcW w:w="2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r>
      <w:tr>
        <w:trPr>
          <w:trHeight w:val="328"/>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308"/>
              <w:spacing w:after="0"/>
              <w:rPr>
                <w:sz w:val="20"/>
                <w:szCs w:val="20"/>
                <w:color w:val="auto"/>
              </w:rPr>
            </w:pPr>
            <w:r>
              <w:rPr>
                <w:rFonts w:ascii="Arial" w:cs="Arial" w:eastAsia="Arial" w:hAnsi="Arial"/>
                <w:sz w:val="22"/>
                <w:szCs w:val="22"/>
                <w:b w:val="1"/>
                <w:bCs w:val="1"/>
                <w:color w:val="auto"/>
                <w:w w:val="85"/>
              </w:rPr>
              <w:t>Copies to:</w:t>
            </w:r>
          </w:p>
        </w:tc>
      </w:tr>
      <w:tr>
        <w:trPr>
          <w:trHeight w:val="287"/>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20" w:type="dxa"/>
            <w:vAlign w:val="bottom"/>
            <w:gridSpan w:val="2"/>
          </w:tcPr>
          <w:p>
            <w:pPr>
              <w:jc w:val="center"/>
              <w:ind w:right="2288"/>
              <w:spacing w:after="0"/>
              <w:rPr>
                <w:sz w:val="20"/>
                <w:szCs w:val="20"/>
                <w:color w:val="auto"/>
              </w:rPr>
            </w:pPr>
            <w:r>
              <w:rPr>
                <w:rFonts w:ascii="Arial" w:cs="Arial" w:eastAsia="Arial" w:hAnsi="Arial"/>
                <w:sz w:val="22"/>
                <w:szCs w:val="22"/>
                <w:b w:val="1"/>
                <w:bCs w:val="1"/>
                <w:color w:val="auto"/>
                <w:w w:val="91"/>
              </w:rPr>
              <w:t>Michael Nordtvedt</w:t>
            </w:r>
          </w:p>
        </w:tc>
      </w:tr>
      <w:tr>
        <w:trPr>
          <w:trHeight w:val="249"/>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9" w:lineRule="exact"/>
              <w:rPr>
                <w:sz w:val="20"/>
                <w:szCs w:val="20"/>
                <w:color w:val="auto"/>
              </w:rPr>
            </w:pPr>
            <w:r>
              <w:rPr>
                <w:rFonts w:ascii="Arial" w:cs="Arial" w:eastAsia="Arial" w:hAnsi="Arial"/>
                <w:sz w:val="22"/>
                <w:szCs w:val="22"/>
                <w:b w:val="1"/>
                <w:bCs w:val="1"/>
                <w:color w:val="auto"/>
                <w:w w:val="93"/>
              </w:rPr>
              <w:t>Bryan D. King</w:t>
            </w: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91"/>
              </w:rPr>
              <w:t>Wilson Sonsini Goodrich &amp; Rosati,</w:t>
            </w: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308"/>
              <w:spacing w:after="0" w:line="243" w:lineRule="exact"/>
              <w:rPr>
                <w:sz w:val="20"/>
                <w:szCs w:val="20"/>
                <w:color w:val="auto"/>
              </w:rPr>
            </w:pPr>
            <w:r>
              <w:rPr>
                <w:rFonts w:ascii="Arial" w:cs="Arial" w:eastAsia="Arial" w:hAnsi="Arial"/>
                <w:sz w:val="22"/>
                <w:szCs w:val="22"/>
                <w:color w:val="auto"/>
                <w:w w:val="89"/>
              </w:rPr>
              <w:t>Professional Corporation</w:t>
            </w:r>
          </w:p>
        </w:tc>
      </w:tr>
      <w:tr>
        <w:trPr>
          <w:trHeight w:val="243"/>
        </w:trPr>
        <w:tc>
          <w:tcPr>
            <w:tcW w:w="2000" w:type="dxa"/>
            <w:vAlign w:val="bottom"/>
          </w:tcPr>
          <w:p>
            <w:pPr>
              <w:spacing w:after="0"/>
              <w:rPr>
                <w:sz w:val="21"/>
                <w:szCs w:val="21"/>
                <w:color w:val="auto"/>
              </w:rPr>
            </w:pPr>
          </w:p>
        </w:tc>
        <w:tc>
          <w:tcPr>
            <w:tcW w:w="7100" w:type="dxa"/>
            <w:vAlign w:val="bottom"/>
            <w:gridSpan w:val="3"/>
          </w:tcPr>
          <w:p>
            <w:pPr>
              <w:jc w:val="center"/>
              <w:ind w:left="4"/>
              <w:spacing w:after="0" w:line="243" w:lineRule="exact"/>
              <w:rPr>
                <w:sz w:val="20"/>
                <w:szCs w:val="20"/>
                <w:color w:val="auto"/>
              </w:rPr>
            </w:pPr>
            <w:r>
              <w:rPr>
                <w:rFonts w:ascii="Arial" w:cs="Arial" w:eastAsia="Arial" w:hAnsi="Arial"/>
                <w:sz w:val="22"/>
                <w:szCs w:val="22"/>
                <w:color w:val="auto"/>
                <w:w w:val="89"/>
              </w:rPr>
              <w:t>701 Fifth Avenue, Suite 5100</w:t>
            </w:r>
          </w:p>
        </w:tc>
      </w:tr>
      <w:tr>
        <w:trPr>
          <w:trHeight w:val="243"/>
        </w:trPr>
        <w:tc>
          <w:tcPr>
            <w:tcW w:w="2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20" w:type="dxa"/>
            <w:vAlign w:val="bottom"/>
            <w:gridSpan w:val="2"/>
          </w:tcPr>
          <w:p>
            <w:pPr>
              <w:jc w:val="center"/>
              <w:ind w:right="2288"/>
              <w:spacing w:after="0" w:line="243" w:lineRule="exact"/>
              <w:rPr>
                <w:sz w:val="20"/>
                <w:szCs w:val="20"/>
                <w:color w:val="auto"/>
              </w:rPr>
            </w:pPr>
            <w:r>
              <w:rPr>
                <w:rFonts w:ascii="Arial" w:cs="Arial" w:eastAsia="Arial" w:hAnsi="Arial"/>
                <w:sz w:val="22"/>
                <w:szCs w:val="22"/>
                <w:color w:val="auto"/>
                <w:w w:val="88"/>
              </w:rPr>
              <w:t>Seattle, WA 98104</w:t>
            </w:r>
          </w:p>
        </w:tc>
      </w:tr>
      <w:tr>
        <w:trPr>
          <w:trHeight w:val="274"/>
        </w:trPr>
        <w:tc>
          <w:tcPr>
            <w:tcW w:w="2000" w:type="dxa"/>
            <w:vAlign w:val="bottom"/>
          </w:tcPr>
          <w:p>
            <w:pPr>
              <w:spacing w:after="0"/>
              <w:rPr>
                <w:sz w:val="23"/>
                <w:szCs w:val="23"/>
                <w:color w:val="auto"/>
              </w:rPr>
            </w:pPr>
          </w:p>
        </w:tc>
        <w:tc>
          <w:tcPr>
            <w:tcW w:w="4720" w:type="dxa"/>
            <w:vAlign w:val="bottom"/>
            <w:gridSpan w:val="2"/>
          </w:tcPr>
          <w:p>
            <w:pPr>
              <w:jc w:val="center"/>
              <w:ind w:left="2364"/>
              <w:spacing w:after="0"/>
              <w:rPr>
                <w:sz w:val="20"/>
                <w:szCs w:val="20"/>
                <w:color w:val="auto"/>
              </w:rPr>
            </w:pPr>
            <w:r>
              <w:rPr>
                <w:rFonts w:ascii="Arial" w:cs="Arial" w:eastAsia="Arial" w:hAnsi="Arial"/>
                <w:sz w:val="22"/>
                <w:szCs w:val="22"/>
                <w:color w:val="auto"/>
                <w:w w:val="90"/>
              </w:rPr>
              <w:t>(206) 883-2500</w:t>
            </w:r>
          </w:p>
        </w:tc>
        <w:tc>
          <w:tcPr>
            <w:tcW w:w="23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5"/>
                <w:szCs w:val="15"/>
                <w:color w:val="auto"/>
                <w:w w:val="94"/>
              </w:rPr>
              <w:t>Large accelerated filer</w:t>
            </w:r>
          </w:p>
        </w:tc>
        <w:tc>
          <w:tcPr>
            <w:tcW w:w="404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60"/>
              <w:spacing w:after="0"/>
              <w:rPr>
                <w:sz w:val="20"/>
                <w:szCs w:val="20"/>
                <w:color w:val="auto"/>
              </w:rPr>
            </w:pPr>
            <w:r>
              <w:rPr>
                <w:rFonts w:ascii="Arial" w:cs="Arial" w:eastAsia="Arial" w:hAnsi="Arial"/>
                <w:sz w:val="15"/>
                <w:szCs w:val="15"/>
                <w:color w:val="auto"/>
              </w:rPr>
              <w:t>Accelerated filer</w:t>
            </w:r>
          </w:p>
        </w:tc>
        <w:tc>
          <w:tcPr>
            <w:tcW w:w="160" w:type="dxa"/>
            <w:vAlign w:val="bottom"/>
          </w:tcPr>
          <w:p>
            <w:pPr>
              <w:jc w:val="right"/>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16"/>
        </w:trPr>
        <w:tc>
          <w:tcPr>
            <w:tcW w:w="1420" w:type="dxa"/>
            <w:vAlign w:val="bottom"/>
          </w:tcPr>
          <w:p>
            <w:pPr>
              <w:spacing w:after="0"/>
              <w:rPr>
                <w:sz w:val="20"/>
                <w:szCs w:val="20"/>
                <w:color w:val="auto"/>
              </w:rPr>
            </w:pPr>
            <w:r>
              <w:rPr>
                <w:rFonts w:ascii="Arial" w:cs="Arial" w:eastAsia="Arial" w:hAnsi="Arial"/>
                <w:sz w:val="15"/>
                <w:szCs w:val="15"/>
                <w:color w:val="auto"/>
              </w:rPr>
              <w:t>Non-accelerated filer</w:t>
            </w:r>
          </w:p>
        </w:tc>
        <w:tc>
          <w:tcPr>
            <w:tcW w:w="404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5580" w:type="dxa"/>
            <w:vAlign w:val="bottom"/>
          </w:tcPr>
          <w:p>
            <w:pPr>
              <w:ind w:left="3860"/>
              <w:spacing w:after="0"/>
              <w:rPr>
                <w:sz w:val="20"/>
                <w:szCs w:val="20"/>
                <w:color w:val="auto"/>
              </w:rPr>
            </w:pPr>
            <w:r>
              <w:rPr>
                <w:rFonts w:ascii="Arial" w:cs="Arial" w:eastAsia="Arial" w:hAnsi="Arial"/>
                <w:sz w:val="15"/>
                <w:szCs w:val="15"/>
                <w:color w:val="auto"/>
                <w:w w:val="94"/>
              </w:rPr>
              <w:t>Smaller reporting company</w:t>
            </w:r>
          </w:p>
        </w:tc>
        <w:tc>
          <w:tcPr>
            <w:tcW w:w="160" w:type="dxa"/>
            <w:vAlign w:val="bottom"/>
          </w:tcPr>
          <w:p>
            <w:pPr>
              <w:jc w:val="right"/>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40"/>
        </w:trPr>
        <w:tc>
          <w:tcPr>
            <w:tcW w:w="14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740" w:type="dxa"/>
            <w:vAlign w:val="bottom"/>
            <w:gridSpan w:val="2"/>
          </w:tcPr>
          <w:p>
            <w:pPr>
              <w:jc w:val="right"/>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tc>
      </w:tr>
    </w:tbl>
    <w:p>
      <w:pPr>
        <w:spacing w:after="0" w:line="60" w:lineRule="exact"/>
        <w:rPr>
          <w:sz w:val="24"/>
          <w:szCs w:val="24"/>
          <w:color w:val="auto"/>
        </w:rPr>
      </w:pPr>
    </w:p>
    <w:p>
      <w:pPr>
        <w:ind w:right="600"/>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Item 3. Incorporation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Item 8.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Registration Statement on Form S-8 (this “Registration Statement”) is being filed by Athira Pharma, Inc. (the “Registrant”) for the purpose of registering 1,893,869 shares of common stock of the Registrant under the Athira Pharma, Inc. 2020 Equity Incentive Plan (the “2020 Plan”) and 378,774 shares of common stock of the Registrant under the Athira Pharma, Inc. 2020 Employee Stock Purchase Plan (the “2020 ESPP”). Accordingly, contents of</w:t>
      </w:r>
    </w:p>
    <w:p>
      <w:pPr>
        <w:spacing w:after="0" w:line="2" w:lineRule="exact"/>
        <w:rPr>
          <w:sz w:val="20"/>
          <w:szCs w:val="20"/>
          <w:color w:val="auto"/>
        </w:rPr>
      </w:pPr>
    </w:p>
    <w:p>
      <w:pPr>
        <w:ind w:right="60" w:firstLine="8"/>
        <w:spacing w:after="0" w:line="270" w:lineRule="auto"/>
        <w:tabs>
          <w:tab w:leader="none" w:pos="21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previous Registration Statement on Form S-8 filed by the Registrant with the Securities and Exchange Commission (the “Commission”) on September 18, 2020 (File No. 333-248910), (ii) the previous Registration Statement on Form S-8 filed by the Registrant with the Commission on March 26, 2021 (File No. 333-254735) and (iii) the previous Registration Statement on Form S-8 filed by the Registrant with the Commission on March 28, 2022 (File No. 333-263907) (together, the “Previous Forms S-8”), including the information incorporated by reference therein and the periodic reports filed after the Previous Forms S-8 to maintain current information about the Registrant, are incorporated by reference into this Registration Statement pursuant to General Instruction E of Form S-8 (the “Registration Statement”).</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Commission:</w:t>
      </w:r>
    </w:p>
    <w:p>
      <w:pPr>
        <w:spacing w:after="0" w:line="237" w:lineRule="exact"/>
        <w:rPr>
          <w:sz w:val="20"/>
          <w:szCs w:val="20"/>
          <w:color w:val="auto"/>
        </w:rPr>
      </w:pPr>
    </w:p>
    <w:p>
      <w:pPr>
        <w:ind w:right="10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2022, filed with the Commission on </w:t>
      </w:r>
      <w:hyperlink r:id="rId14">
        <w:r>
          <w:rPr>
            <w:rFonts w:ascii="Arial" w:cs="Arial" w:eastAsia="Arial" w:hAnsi="Arial"/>
            <w:sz w:val="18"/>
            <w:szCs w:val="18"/>
            <w:u w:val="single" w:color="auto"/>
            <w:color w:val="0000FF"/>
          </w:rPr>
          <w:t>March 23,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pursuant to Section 13(a) under the Securities Exchange Act of 1934, as amended (the “Exchange Act”);</w:t>
      </w:r>
    </w:p>
    <w:p>
      <w:pPr>
        <w:spacing w:after="0" w:line="170" w:lineRule="exact"/>
        <w:rPr>
          <w:rFonts w:ascii="Arial" w:cs="Arial" w:eastAsia="Arial" w:hAnsi="Arial"/>
          <w:sz w:val="18"/>
          <w:szCs w:val="18"/>
          <w:color w:val="auto"/>
        </w:rPr>
      </w:pPr>
    </w:p>
    <w:p>
      <w:pPr>
        <w:ind w:right="100" w:firstLine="8"/>
        <w:spacing w:after="0" w:line="342"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w:t>
      </w:r>
    </w:p>
    <w:p>
      <w:pPr>
        <w:spacing w:after="0" w:line="123" w:lineRule="exact"/>
        <w:rPr>
          <w:rFonts w:ascii="Arial" w:cs="Arial" w:eastAsia="Arial" w:hAnsi="Arial"/>
          <w:sz w:val="16"/>
          <w:szCs w:val="16"/>
          <w:color w:val="auto"/>
        </w:rPr>
      </w:pPr>
    </w:p>
    <w:p>
      <w:pPr>
        <w:ind w:firstLine="8"/>
        <w:spacing w:after="0" w:line="26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Form 8-A (File No. 001-39503) filed with the Commission on </w:t>
      </w:r>
      <w:hyperlink r:id="rId15">
        <w:r>
          <w:rPr>
            <w:rFonts w:ascii="Arial" w:cs="Arial" w:eastAsia="Arial" w:hAnsi="Arial"/>
            <w:sz w:val="18"/>
            <w:szCs w:val="18"/>
            <w:u w:val="single" w:color="auto"/>
            <w:color w:val="0563C1"/>
          </w:rPr>
          <w:t>September 9, 2020</w:t>
        </w:r>
      </w:hyperlink>
      <w:r>
        <w:rPr>
          <w:rFonts w:ascii="Arial" w:cs="Arial" w:eastAsia="Arial" w:hAnsi="Arial"/>
          <w:sz w:val="18"/>
          <w:szCs w:val="18"/>
          <w:color w:val="auto"/>
        </w:rPr>
        <w:t>, pursuant to Section 12(b) of the Exchange Act, including any amendment or report filed for the purpose of updating such description.</w:t>
      </w:r>
    </w:p>
    <w:p>
      <w:pPr>
        <w:spacing w:after="0" w:line="184" w:lineRule="exact"/>
        <w:rPr>
          <w:rFonts w:ascii="Arial" w:cs="Arial" w:eastAsia="Arial" w:hAnsi="Arial"/>
          <w:sz w:val="18"/>
          <w:szCs w:val="18"/>
          <w:color w:val="auto"/>
        </w:rPr>
      </w:pPr>
    </w:p>
    <w:p>
      <w:pPr>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220" w:type="dxa"/>
            <w:vAlign w:val="bottom"/>
            <w:gridSpan w:val="16"/>
          </w:tcPr>
          <w:p>
            <w:pPr>
              <w:ind w:left="8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gridSpan w:val="11"/>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24"/>
                <w:szCs w:val="24"/>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24"/>
                <w:szCs w:val="24"/>
                <w:color w:val="auto"/>
              </w:rPr>
            </w:pPr>
          </w:p>
        </w:tc>
        <w:tc>
          <w:tcPr>
            <w:tcW w:w="1840" w:type="dxa"/>
            <w:vAlign w:val="bottom"/>
          </w:tcPr>
          <w:p>
            <w:pPr>
              <w:jc w:val="center"/>
              <w:ind w:left="764"/>
              <w:spacing w:after="0"/>
              <w:rPr>
                <w:sz w:val="20"/>
                <w:szCs w:val="20"/>
                <w:color w:val="auto"/>
              </w:rPr>
            </w:pPr>
            <w:r>
              <w:rPr>
                <w:rFonts w:ascii="Arial" w:cs="Arial" w:eastAsia="Arial" w:hAnsi="Arial"/>
                <w:sz w:val="14"/>
                <w:szCs w:val="14"/>
                <w:b w:val="1"/>
                <w:bCs w:val="1"/>
                <w:color w:val="auto"/>
                <w:w w:val="94"/>
              </w:rPr>
              <w:t>Incorporated by</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1"/>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center"/>
              <w:ind w:left="764"/>
              <w:spacing w:after="0"/>
              <w:rPr>
                <w:sz w:val="20"/>
                <w:szCs w:val="20"/>
                <w:color w:val="auto"/>
              </w:rPr>
            </w:pPr>
            <w:r>
              <w:rPr>
                <w:rFonts w:ascii="Arial" w:cs="Arial" w:eastAsia="Arial" w:hAnsi="Arial"/>
                <w:sz w:val="14"/>
                <w:szCs w:val="14"/>
                <w:b w:val="1"/>
                <w:bCs w:val="1"/>
                <w:color w:val="auto"/>
                <w:w w:val="88"/>
              </w:rPr>
              <w:t>Reference</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2"/>
                <w:szCs w:val="12"/>
                <w:color w:val="auto"/>
              </w:rPr>
            </w:pPr>
          </w:p>
        </w:tc>
        <w:tc>
          <w:tcPr>
            <w:tcW w:w="3880" w:type="dxa"/>
            <w:vAlign w:val="bottom"/>
            <w:gridSpan w:val="14"/>
            <w:vMerge w:val="restart"/>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Specimen common stock certificate of the Registrant</w:t>
              </w:r>
            </w:hyperlink>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12"/>
                <w:szCs w:val="12"/>
                <w:color w:val="auto"/>
              </w:rPr>
            </w:pPr>
          </w:p>
        </w:tc>
        <w:tc>
          <w:tcPr>
            <w:tcW w:w="184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2460" w:type="dxa"/>
            <w:vAlign w:val="bottom"/>
            <w:vMerge w:val="restart"/>
          </w:tcPr>
          <w:p>
            <w:pPr>
              <w:ind w:left="120"/>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188"/>
        </w:trPr>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880" w:type="dxa"/>
            <w:vAlign w:val="bottom"/>
            <w:tcBorders>
              <w:bottom w:val="single" w:sz="8" w:color="0000FF"/>
            </w:tcBorders>
            <w:gridSpan w:val="1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ind w:left="120"/>
              <w:spacing w:after="0" w:line="182" w:lineRule="exact"/>
              <w:rPr>
                <w:sz w:val="20"/>
                <w:szCs w:val="20"/>
                <w:color w:val="auto"/>
              </w:rPr>
            </w:pPr>
            <w:r>
              <w:rPr>
                <w:rFonts w:ascii="Arial" w:cs="Arial" w:eastAsia="Arial" w:hAnsi="Arial"/>
                <w:sz w:val="18"/>
                <w:szCs w:val="18"/>
                <w:color w:val="auto"/>
              </w:rPr>
              <w:t>333-248428</w:t>
            </w:r>
          </w:p>
        </w:tc>
        <w:tc>
          <w:tcPr>
            <w:tcW w:w="220" w:type="dxa"/>
            <w:vAlign w:val="bottom"/>
          </w:tcPr>
          <w:p>
            <w:pPr>
              <w:spacing w:after="0"/>
              <w:rPr>
                <w:sz w:val="15"/>
                <w:szCs w:val="15"/>
                <w:color w:val="auto"/>
              </w:rPr>
            </w:pPr>
          </w:p>
        </w:tc>
        <w:tc>
          <w:tcPr>
            <w:tcW w:w="620" w:type="dxa"/>
            <w:vAlign w:val="bottom"/>
          </w:tcPr>
          <w:p>
            <w:pPr>
              <w:ind w:left="120"/>
              <w:spacing w:after="0" w:line="18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2020" w:type="dxa"/>
            <w:vAlign w:val="bottom"/>
            <w:tcBorders>
              <w:bottom w:val="single" w:sz="8" w:color="0000FF"/>
            </w:tcBorders>
            <w:gridSpan w:val="7"/>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2020 Equity Incentive Plan</w:t>
              </w:r>
            </w:hyperlink>
          </w:p>
        </w:tc>
        <w:tc>
          <w:tcPr>
            <w:tcW w:w="19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97"/>
              </w:rPr>
              <w:t>S-1/A</w:t>
            </w:r>
          </w:p>
        </w:tc>
        <w:tc>
          <w:tcPr>
            <w:tcW w:w="2060" w:type="dxa"/>
            <w:vAlign w:val="bottom"/>
            <w:gridSpan w:val="2"/>
          </w:tcPr>
          <w:p>
            <w:pPr>
              <w:ind w:left="34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2460" w:type="dxa"/>
            <w:vAlign w:val="bottom"/>
          </w:tcPr>
          <w:p>
            <w:pPr>
              <w:ind w:left="120"/>
              <w:spacing w:after="0"/>
              <w:rPr>
                <w:sz w:val="20"/>
                <w:szCs w:val="20"/>
                <w:color w:val="auto"/>
              </w:rPr>
            </w:pPr>
            <w:r>
              <w:rPr>
                <w:rFonts w:ascii="Arial" w:cs="Arial" w:eastAsia="Arial" w:hAnsi="Arial"/>
                <w:sz w:val="18"/>
                <w:szCs w:val="18"/>
                <w:color w:val="auto"/>
              </w:rPr>
              <w:t>September 8, 2020</w:t>
            </w: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Form of Stock Option Agreement under the 2020</w:t>
              </w:r>
            </w:hyperlink>
          </w:p>
        </w:tc>
        <w:tc>
          <w:tcPr>
            <w:tcW w:w="3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Equity Incentive Plan</w:t>
              </w:r>
            </w:hyperlink>
          </w:p>
        </w:tc>
        <w:tc>
          <w:tcPr>
            <w:tcW w:w="232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line="196" w:lineRule="exact"/>
              <w:rPr>
                <w:sz w:val="20"/>
                <w:szCs w:val="20"/>
                <w:color w:val="auto"/>
              </w:rPr>
            </w:pPr>
            <w:r>
              <w:rPr>
                <w:rFonts w:ascii="Arial" w:cs="Arial" w:eastAsia="Arial" w:hAnsi="Arial"/>
                <w:sz w:val="18"/>
                <w:szCs w:val="18"/>
                <w:color w:val="auto"/>
                <w:w w:val="97"/>
              </w:rPr>
              <w:t>S-1/A</w:t>
            </w:r>
          </w:p>
        </w:tc>
        <w:tc>
          <w:tcPr>
            <w:tcW w:w="2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333-248428</w:t>
            </w:r>
          </w:p>
        </w:tc>
        <w:tc>
          <w:tcPr>
            <w:tcW w:w="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2460" w:type="dxa"/>
            <w:vAlign w:val="bottom"/>
          </w:tcPr>
          <w:p>
            <w:pPr>
              <w:ind w:left="120"/>
              <w:spacing w:after="0" w:line="196" w:lineRule="exact"/>
              <w:rPr>
                <w:sz w:val="20"/>
                <w:szCs w:val="20"/>
                <w:color w:val="auto"/>
              </w:rPr>
            </w:pPr>
            <w:r>
              <w:rPr>
                <w:rFonts w:ascii="Arial" w:cs="Arial" w:eastAsia="Arial" w:hAnsi="Arial"/>
                <w:sz w:val="18"/>
                <w:szCs w:val="18"/>
                <w:color w:val="auto"/>
              </w:rPr>
              <w:t>September 8, 2020</w:t>
            </w: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3940" w:type="dxa"/>
            <w:vAlign w:val="bottom"/>
            <w:tcBorders>
              <w:bottom w:val="single" w:sz="8" w:color="0000FF"/>
            </w:tcBorders>
            <w:gridSpan w:val="15"/>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Form of Restricted Stock Award Agreement under the</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2020 Equity Incentive Plan</w:t>
              </w:r>
            </w:hyperlink>
          </w:p>
        </w:tc>
        <w:tc>
          <w:tcPr>
            <w:tcW w:w="19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line="196" w:lineRule="exact"/>
              <w:rPr>
                <w:sz w:val="20"/>
                <w:szCs w:val="20"/>
                <w:color w:val="auto"/>
              </w:rPr>
            </w:pPr>
            <w:r>
              <w:rPr>
                <w:rFonts w:ascii="Arial" w:cs="Arial" w:eastAsia="Arial" w:hAnsi="Arial"/>
                <w:sz w:val="18"/>
                <w:szCs w:val="18"/>
                <w:color w:val="auto"/>
                <w:w w:val="97"/>
              </w:rPr>
              <w:t>S-1/A</w:t>
            </w:r>
          </w:p>
        </w:tc>
        <w:tc>
          <w:tcPr>
            <w:tcW w:w="2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333-248428</w:t>
            </w:r>
          </w:p>
        </w:tc>
        <w:tc>
          <w:tcPr>
            <w:tcW w:w="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2460" w:type="dxa"/>
            <w:vAlign w:val="bottom"/>
          </w:tcPr>
          <w:p>
            <w:pPr>
              <w:ind w:left="120"/>
              <w:spacing w:after="0" w:line="196" w:lineRule="exact"/>
              <w:rPr>
                <w:sz w:val="20"/>
                <w:szCs w:val="20"/>
                <w:color w:val="auto"/>
              </w:rPr>
            </w:pPr>
            <w:r>
              <w:rPr>
                <w:rFonts w:ascii="Arial" w:cs="Arial" w:eastAsia="Arial" w:hAnsi="Arial"/>
                <w:sz w:val="18"/>
                <w:szCs w:val="18"/>
                <w:color w:val="auto"/>
              </w:rPr>
              <w:t>September 8, 2020</w:t>
            </w: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3540" w:type="dxa"/>
            <w:vAlign w:val="bottom"/>
            <w:tcBorders>
              <w:bottom w:val="single" w:sz="8" w:color="0000FF"/>
            </w:tcBorders>
            <w:gridSpan w:val="11"/>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Form of RSU Agreement under the 2020 Equity</w:t>
              </w:r>
            </w:hyperlink>
          </w:p>
        </w:tc>
        <w:tc>
          <w:tcPr>
            <w:tcW w:w="4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gridSpan w:val="15"/>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Incentive Plan</w:t>
              </w:r>
            </w:hyperlink>
          </w:p>
        </w:tc>
        <w:tc>
          <w:tcPr>
            <w:tcW w:w="120" w:type="dxa"/>
            <w:vAlign w:val="bottom"/>
          </w:tcPr>
          <w:p>
            <w:pPr>
              <w:spacing w:after="0"/>
              <w:rPr>
                <w:sz w:val="17"/>
                <w:szCs w:val="17"/>
                <w:color w:val="auto"/>
              </w:rPr>
            </w:pPr>
          </w:p>
        </w:tc>
        <w:tc>
          <w:tcPr>
            <w:tcW w:w="600" w:type="dxa"/>
            <w:vAlign w:val="bottom"/>
          </w:tcPr>
          <w:p>
            <w:pPr>
              <w:ind w:left="140"/>
              <w:spacing w:after="0" w:line="196" w:lineRule="exact"/>
              <w:rPr>
                <w:sz w:val="20"/>
                <w:szCs w:val="20"/>
                <w:color w:val="auto"/>
              </w:rPr>
            </w:pPr>
            <w:r>
              <w:rPr>
                <w:rFonts w:ascii="Arial" w:cs="Arial" w:eastAsia="Arial" w:hAnsi="Arial"/>
                <w:sz w:val="18"/>
                <w:szCs w:val="18"/>
                <w:color w:val="auto"/>
                <w:w w:val="97"/>
              </w:rPr>
              <w:t>S-1/A</w:t>
            </w:r>
          </w:p>
        </w:tc>
        <w:tc>
          <w:tcPr>
            <w:tcW w:w="2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333-248428</w:t>
            </w:r>
          </w:p>
        </w:tc>
        <w:tc>
          <w:tcPr>
            <w:tcW w:w="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2460" w:type="dxa"/>
            <w:vAlign w:val="bottom"/>
          </w:tcPr>
          <w:p>
            <w:pPr>
              <w:ind w:left="120"/>
              <w:spacing w:after="0" w:line="196" w:lineRule="exact"/>
              <w:rPr>
                <w:sz w:val="20"/>
                <w:szCs w:val="20"/>
                <w:color w:val="auto"/>
              </w:rPr>
            </w:pPr>
            <w:r>
              <w:rPr>
                <w:rFonts w:ascii="Arial" w:cs="Arial" w:eastAsia="Arial" w:hAnsi="Arial"/>
                <w:sz w:val="18"/>
                <w:szCs w:val="18"/>
                <w:color w:val="auto"/>
              </w:rPr>
              <w:t>September 8, 2020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3940" w:type="dxa"/>
            <w:vAlign w:val="bottom"/>
            <w:tcBorders>
              <w:bottom w:val="single" w:sz="8" w:color="0000FF"/>
            </w:tcBorders>
            <w:gridSpan w:val="15"/>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2020 Employee Stock Purchase Plan, as amended and</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gridSpan w:val="1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Form of Subscription Agreement thereunder</w:t>
              </w:r>
            </w:hyperlink>
          </w:p>
        </w:tc>
        <w:tc>
          <w:tcPr>
            <w:tcW w:w="120" w:type="dxa"/>
            <w:vAlign w:val="bottom"/>
          </w:tcPr>
          <w:p>
            <w:pPr>
              <w:spacing w:after="0"/>
              <w:rPr>
                <w:sz w:val="17"/>
                <w:szCs w:val="17"/>
                <w:color w:val="auto"/>
              </w:rPr>
            </w:pPr>
          </w:p>
        </w:tc>
        <w:tc>
          <w:tcPr>
            <w:tcW w:w="600" w:type="dxa"/>
            <w:vAlign w:val="bottom"/>
          </w:tcPr>
          <w:p>
            <w:pPr>
              <w:ind w:left="140"/>
              <w:spacing w:after="0" w:line="196" w:lineRule="exact"/>
              <w:rPr>
                <w:sz w:val="20"/>
                <w:szCs w:val="20"/>
                <w:color w:val="auto"/>
              </w:rPr>
            </w:pPr>
            <w:r>
              <w:rPr>
                <w:rFonts w:ascii="Arial" w:cs="Arial" w:eastAsia="Arial" w:hAnsi="Arial"/>
                <w:sz w:val="18"/>
                <w:szCs w:val="18"/>
                <w:color w:val="auto"/>
              </w:rPr>
              <w:t>10-K</w:t>
            </w:r>
          </w:p>
        </w:tc>
        <w:tc>
          <w:tcPr>
            <w:tcW w:w="2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001-39503</w:t>
            </w:r>
          </w:p>
        </w:tc>
        <w:tc>
          <w:tcPr>
            <w:tcW w:w="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2460" w:type="dxa"/>
            <w:vAlign w:val="bottom"/>
          </w:tcPr>
          <w:p>
            <w:pPr>
              <w:ind w:left="120"/>
              <w:spacing w:after="0" w:line="196" w:lineRule="exact"/>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4"/>
              </w:rPr>
              <w:t>Opinion of Wilson Sonsini Goodrich &amp; Rosati,</w:t>
            </w:r>
          </w:p>
        </w:tc>
        <w:tc>
          <w:tcPr>
            <w:tcW w:w="50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Professional Corporation</w:t>
            </w:r>
          </w:p>
        </w:tc>
        <w:tc>
          <w:tcPr>
            <w:tcW w:w="212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39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Consent of Independent Registered Public Accounting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Firm</w:t>
            </w:r>
          </w:p>
        </w:tc>
        <w:tc>
          <w:tcPr>
            <w:tcW w:w="354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3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Consent of Wilson Sonsini Goodrich &amp; Rosati,</w:t>
            </w:r>
          </w:p>
        </w:tc>
        <w:tc>
          <w:tcPr>
            <w:tcW w:w="50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3"/>
              </w:rPr>
              <w:t>Professional Corporation (contained in Exhibit 5.1</w:t>
            </w:r>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7"/>
              </w:rPr>
              <w:t>hereto)</w:t>
            </w:r>
          </w:p>
        </w:tc>
        <w:tc>
          <w:tcPr>
            <w:tcW w:w="342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35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Power of Attorney (contained on signature page</w:t>
            </w:r>
          </w:p>
        </w:tc>
        <w:tc>
          <w:tcPr>
            <w:tcW w:w="4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4"/>
              </w:rPr>
              <w:t>hereto)</w:t>
            </w:r>
          </w:p>
        </w:tc>
        <w:tc>
          <w:tcPr>
            <w:tcW w:w="3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hanging="90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March 23, 2023.</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Mark Litton, Ph.D.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Mark Litton and Glenna Mileson,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or necessary to be done in connection therewith, as fully for all intents and purposes as he might or could do in person, hereby ratifying and confirming all the said attorney-in-fact, proxy and agent, or his substitute, may lawfully do or cause to be done by virtue hereof.</w:t>
      </w:r>
    </w:p>
    <w:p>
      <w:pPr>
        <w:spacing w:after="0" w:line="1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82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Litton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98"/>
              </w:rPr>
              <w:t>Mark Litton</w:t>
            </w:r>
          </w:p>
        </w:tc>
        <w:tc>
          <w:tcPr>
            <w:tcW w:w="1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Glenna Mileson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92"/>
              </w:rPr>
              <w:t>Glenna Mileson</w:t>
            </w:r>
          </w:p>
        </w:tc>
        <w:tc>
          <w:tcPr>
            <w:tcW w:w="1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Kelly A. Romano</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Chair of the Board of Directors</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95"/>
              </w:rPr>
              <w:t>Kelly A. Romano</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Edelman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87"/>
              </w:rPr>
              <w:t>Joseph Edelman</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M. Fluke, Jr.</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90"/>
              </w:rPr>
              <w:t>John M. Fluke, Jr.</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A. Johnson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87"/>
              </w:rPr>
              <w:t>James A. Johnson</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Barbara Kosacz</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88"/>
              </w:rPr>
              <w:t>Barbara Kosacz</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Panzara</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89"/>
              </w:rPr>
              <w:t>Michael Panzara</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7"/>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Grant Pickering</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4160" w:type="dxa"/>
            <w:vAlign w:val="bottom"/>
          </w:tcPr>
          <w:p>
            <w:pPr>
              <w:jc w:val="center"/>
              <w:spacing w:after="0"/>
              <w:rPr>
                <w:sz w:val="20"/>
                <w:szCs w:val="20"/>
                <w:color w:val="auto"/>
              </w:rPr>
            </w:pPr>
            <w:r>
              <w:rPr>
                <w:rFonts w:ascii="Arial" w:cs="Arial" w:eastAsia="Arial" w:hAnsi="Arial"/>
                <w:sz w:val="18"/>
                <w:szCs w:val="18"/>
                <w:color w:val="auto"/>
                <w:w w:val="91"/>
              </w:rPr>
              <w:t>Grant Pickering</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30"/>
        </w:trPr>
        <w:tc>
          <w:tcPr>
            <w:tcW w:w="4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4"/>
          <w:szCs w:val="4"/>
          <w:color w:val="003D4C"/>
        </w:rPr>
        <w:t>\</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125" w:lineRule="exact"/>
        <w:rPr>
          <w:sz w:val="20"/>
          <w:szCs w:val="20"/>
          <w:color w:val="auto"/>
        </w:rPr>
      </w:pPr>
    </w:p>
    <w:p>
      <w:pPr>
        <w:ind w:left="802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0972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4"/>
          <w:szCs w:val="14"/>
          <w:color w:val="003D4C"/>
        </w:rPr>
        <w:t>Professional Corporation</w:t>
      </w:r>
    </w:p>
    <w:p>
      <w:pPr>
        <w:spacing w:after="0" w:line="83" w:lineRule="exact"/>
        <w:rPr>
          <w:sz w:val="20"/>
          <w:szCs w:val="20"/>
          <w:color w:val="auto"/>
        </w:rPr>
      </w:pPr>
    </w:p>
    <w:p>
      <w:pPr>
        <w:ind w:left="8040"/>
        <w:spacing w:after="0"/>
        <w:rPr>
          <w:sz w:val="20"/>
          <w:szCs w:val="20"/>
          <w:color w:val="auto"/>
        </w:rPr>
      </w:pPr>
      <w:r>
        <w:rPr>
          <w:rFonts w:ascii="Arial" w:cs="Arial" w:eastAsia="Arial" w:hAnsi="Arial"/>
          <w:sz w:val="14"/>
          <w:szCs w:val="14"/>
          <w:color w:val="003D4C"/>
        </w:rPr>
        <w:t>701 Fifth Avenue</w:t>
      </w:r>
    </w:p>
    <w:p>
      <w:pPr>
        <w:ind w:left="8040"/>
        <w:spacing w:after="0" w:line="221" w:lineRule="auto"/>
        <w:rPr>
          <w:sz w:val="20"/>
          <w:szCs w:val="20"/>
          <w:color w:val="auto"/>
        </w:rPr>
      </w:pPr>
      <w:r>
        <w:rPr>
          <w:rFonts w:ascii="Arial" w:cs="Arial" w:eastAsia="Arial" w:hAnsi="Arial"/>
          <w:sz w:val="14"/>
          <w:szCs w:val="14"/>
          <w:color w:val="003D4C"/>
        </w:rPr>
        <w:t>Suite 5100</w:t>
      </w:r>
    </w:p>
    <w:p>
      <w:pPr>
        <w:ind w:left="8040"/>
        <w:spacing w:after="0"/>
        <w:rPr>
          <w:sz w:val="20"/>
          <w:szCs w:val="20"/>
          <w:color w:val="auto"/>
        </w:rPr>
      </w:pPr>
      <w:r>
        <w:rPr>
          <w:rFonts w:ascii="Arial" w:cs="Arial" w:eastAsia="Arial" w:hAnsi="Arial"/>
          <w:sz w:val="14"/>
          <w:szCs w:val="14"/>
          <w:color w:val="003D4C"/>
        </w:rPr>
        <w:t>Seattle, Washington 98104-7036</w:t>
      </w:r>
    </w:p>
    <w:p>
      <w:pPr>
        <w:spacing w:after="0" w:line="83" w:lineRule="exact"/>
        <w:rPr>
          <w:sz w:val="20"/>
          <w:szCs w:val="20"/>
          <w:color w:val="auto"/>
        </w:rPr>
      </w:pPr>
    </w:p>
    <w:p>
      <w:pPr>
        <w:ind w:left="8020"/>
        <w:spacing w:after="0"/>
        <w:rPr>
          <w:sz w:val="20"/>
          <w:szCs w:val="20"/>
          <w:color w:val="auto"/>
        </w:rPr>
      </w:pPr>
      <w:r>
        <w:rPr>
          <w:rFonts w:ascii="Arial" w:cs="Arial" w:eastAsia="Arial" w:hAnsi="Arial"/>
          <w:sz w:val="9"/>
          <w:szCs w:val="9"/>
          <w:color w:val="003D4C"/>
        </w:rPr>
        <w:t>o</w:t>
      </w:r>
      <w:r>
        <w:rPr>
          <w:rFonts w:ascii="Arial" w:cs="Arial" w:eastAsia="Arial" w:hAnsi="Arial"/>
          <w:sz w:val="14"/>
          <w:szCs w:val="14"/>
          <w:color w:val="003D4C"/>
        </w:rPr>
        <w:t>: 206.883.2500</w:t>
      </w:r>
    </w:p>
    <w:p>
      <w:pPr>
        <w:ind w:left="8020"/>
        <w:spacing w:after="0"/>
        <w:rPr>
          <w:sz w:val="20"/>
          <w:szCs w:val="20"/>
          <w:color w:val="auto"/>
        </w:rPr>
      </w:pPr>
      <w:r>
        <w:rPr>
          <w:rFonts w:ascii="Arial" w:cs="Arial" w:eastAsia="Arial" w:hAnsi="Arial"/>
          <w:sz w:val="9"/>
          <w:szCs w:val="9"/>
          <w:color w:val="003D4C"/>
        </w:rPr>
        <w:t>f</w:t>
      </w:r>
      <w:r>
        <w:rPr>
          <w:rFonts w:ascii="Arial" w:cs="Arial" w:eastAsia="Arial" w:hAnsi="Arial"/>
          <w:sz w:val="14"/>
          <w:szCs w:val="14"/>
          <w:color w:val="003D4C"/>
        </w:rPr>
        <w:t>: 866.974.7329</w:t>
      </w:r>
    </w:p>
    <w:p>
      <w:pPr>
        <w:spacing w:after="0" w:line="36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Athira Pharma,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18706 North Creek Parkway, Suite 104</w:t>
      </w:r>
    </w:p>
    <w:p>
      <w:pPr>
        <w:spacing w:after="0"/>
        <w:rPr>
          <w:sz w:val="20"/>
          <w:szCs w:val="20"/>
          <w:color w:val="auto"/>
        </w:rPr>
      </w:pPr>
      <w:r>
        <w:rPr>
          <w:rFonts w:ascii="Arial" w:cs="Arial" w:eastAsia="Arial" w:hAnsi="Arial"/>
          <w:sz w:val="20"/>
          <w:szCs w:val="20"/>
          <w:color w:val="auto"/>
        </w:rPr>
        <w:t>Bothell, WA 98011</w:t>
      </w:r>
    </w:p>
    <w:p>
      <w:pP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20"/>
          <w:szCs w:val="20"/>
          <w:b w:val="1"/>
          <w:bCs w:val="1"/>
          <w:u w:val="single" w:color="auto"/>
          <w:color w:val="auto"/>
        </w:rPr>
        <w:t>Registration Statement on Form S-8</w:t>
      </w:r>
    </w:p>
    <w:p>
      <w:pPr>
        <w:spacing w:after="0"/>
        <w:rPr>
          <w:sz w:val="20"/>
          <w:szCs w:val="20"/>
          <w:color w:val="auto"/>
        </w:rPr>
      </w:pPr>
      <w:r>
        <w:rPr>
          <w:rFonts w:ascii="Arial" w:cs="Arial" w:eastAsia="Arial" w:hAnsi="Arial"/>
          <w:sz w:val="20"/>
          <w:szCs w:val="20"/>
          <w:color w:val="auto"/>
        </w:rPr>
        <w:t>Ladies and Gentlemen:</w:t>
      </w:r>
    </w:p>
    <w:p>
      <w:pPr>
        <w:spacing w:after="0" w:line="200" w:lineRule="exact"/>
        <w:rPr>
          <w:sz w:val="20"/>
          <w:szCs w:val="20"/>
          <w:color w:val="auto"/>
        </w:rPr>
      </w:pPr>
    </w:p>
    <w:p>
      <w:pPr>
        <w:ind w:right="60" w:firstLine="749"/>
        <w:spacing w:after="0" w:line="257" w:lineRule="auto"/>
        <w:rPr>
          <w:sz w:val="20"/>
          <w:szCs w:val="20"/>
          <w:color w:val="auto"/>
        </w:rPr>
      </w:pPr>
      <w:r>
        <w:rPr>
          <w:rFonts w:ascii="Arial" w:cs="Arial" w:eastAsia="Arial" w:hAnsi="Arial"/>
          <w:sz w:val="19"/>
          <w:szCs w:val="19"/>
          <w:color w:val="auto"/>
        </w:rPr>
        <w:t>We have examined the Registration Statement on Form S-8 (the “Registration Statement”) to be filed by Athira Pharma, Inc., a Delaware corporation, with the Securities and Exchange Commission on or about the date hereof, in connection with the registration under the Securities Act of 1933, as amended, of an aggregate of 2,272,643 shares of your common stock, par value $0.0001 per share (the “Shares”), consisting of: (i) 1,893,869 shares of common stock to be issued under the 2020 Equity Incentive Plan (the “2020 Plan”) and (ii) 378,774 shares of common stock to be issued under the 2020 Employee Stock Purchase Plan (the “2020 ESPP,” and together with the 2020 Plan, the “Plans”). As your legal counsel, we have reviewed the actions proposed to be taken by you in connection with the issuance and sale of the Shares to be issued under the Plans.</w:t>
      </w:r>
    </w:p>
    <w:p>
      <w:pPr>
        <w:spacing w:after="0" w:line="185" w:lineRule="exact"/>
        <w:rPr>
          <w:sz w:val="20"/>
          <w:szCs w:val="20"/>
          <w:color w:val="auto"/>
        </w:rPr>
      </w:pPr>
    </w:p>
    <w:p>
      <w:pPr>
        <w:ind w:right="360" w:firstLine="749"/>
        <w:spacing w:after="0" w:line="260" w:lineRule="auto"/>
        <w:rPr>
          <w:sz w:val="20"/>
          <w:szCs w:val="20"/>
          <w:color w:val="auto"/>
        </w:rPr>
      </w:pPr>
      <w:r>
        <w:rPr>
          <w:rFonts w:ascii="Arial" w:cs="Arial" w:eastAsia="Arial" w:hAnsi="Arial"/>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177" w:lineRule="exact"/>
        <w:rPr>
          <w:sz w:val="20"/>
          <w:szCs w:val="20"/>
          <w:color w:val="auto"/>
        </w:rPr>
      </w:pPr>
    </w:p>
    <w:p>
      <w:pPr>
        <w:ind w:right="720" w:firstLine="749"/>
        <w:spacing w:after="0" w:line="247"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Arial" w:cs="Arial" w:eastAsia="Arial" w:hAnsi="Arial"/>
                <w:sz w:val="13"/>
                <w:szCs w:val="13"/>
                <w:color w:val="003D4C"/>
                <w:w w:val="94"/>
              </w:rPr>
              <w:t>AUSTINBEIJING</w:t>
            </w:r>
          </w:p>
        </w:tc>
        <w:tc>
          <w:tcPr>
            <w:tcW w:w="1420" w:type="dxa"/>
            <w:vAlign w:val="bottom"/>
          </w:tcPr>
          <w:p>
            <w:pPr>
              <w:ind w:left="40"/>
              <w:spacing w:after="0"/>
              <w:rPr>
                <w:sz w:val="20"/>
                <w:szCs w:val="20"/>
                <w:color w:val="auto"/>
              </w:rPr>
            </w:pPr>
            <w:r>
              <w:rPr>
                <w:rFonts w:ascii="Arial" w:cs="Arial" w:eastAsia="Arial" w:hAnsi="Arial"/>
                <w:sz w:val="13"/>
                <w:szCs w:val="13"/>
                <w:color w:val="003D4C"/>
                <w:w w:val="89"/>
              </w:rPr>
              <w:t>BOSTONBRUSSELS</w:t>
            </w:r>
          </w:p>
        </w:tc>
        <w:tc>
          <w:tcPr>
            <w:tcW w:w="2960" w:type="dxa"/>
            <w:vAlign w:val="bottom"/>
          </w:tcPr>
          <w:p>
            <w:pPr>
              <w:ind w:left="260"/>
              <w:spacing w:after="0"/>
              <w:rPr>
                <w:sz w:val="20"/>
                <w:szCs w:val="20"/>
                <w:color w:val="auto"/>
              </w:rPr>
            </w:pPr>
            <w:r>
              <w:rPr>
                <w:rFonts w:ascii="Arial" w:cs="Arial" w:eastAsia="Arial" w:hAnsi="Arial"/>
                <w:sz w:val="13"/>
                <w:szCs w:val="13"/>
                <w:color w:val="003D4C"/>
                <w:w w:val="94"/>
              </w:rPr>
              <w:t>HONG KONGLONDONLOS ANGELES</w:t>
            </w:r>
          </w:p>
        </w:tc>
        <w:tc>
          <w:tcPr>
            <w:tcW w:w="3620" w:type="dxa"/>
            <w:vAlign w:val="bottom"/>
          </w:tcPr>
          <w:p>
            <w:pPr>
              <w:ind w:left="180"/>
              <w:spacing w:after="0"/>
              <w:rPr>
                <w:sz w:val="20"/>
                <w:szCs w:val="20"/>
                <w:color w:val="auto"/>
              </w:rPr>
            </w:pPr>
            <w:r>
              <w:rPr>
                <w:rFonts w:ascii="Arial" w:cs="Arial" w:eastAsia="Arial" w:hAnsi="Arial"/>
                <w:sz w:val="13"/>
                <w:szCs w:val="13"/>
                <w:color w:val="003D4C"/>
                <w:w w:val="91"/>
              </w:rPr>
              <w:t>NEW YORKPALO ALTO</w:t>
            </w:r>
          </w:p>
        </w:tc>
      </w:tr>
      <w:tr>
        <w:trPr>
          <w:trHeight w:val="160"/>
        </w:trPr>
        <w:tc>
          <w:tcPr>
            <w:tcW w:w="3240" w:type="dxa"/>
            <w:vAlign w:val="bottom"/>
          </w:tcPr>
          <w:p>
            <w:pPr>
              <w:ind w:left="2500"/>
              <w:spacing w:after="0"/>
              <w:rPr>
                <w:sz w:val="20"/>
                <w:szCs w:val="20"/>
                <w:color w:val="auto"/>
              </w:rPr>
            </w:pPr>
            <w:r>
              <w:rPr>
                <w:rFonts w:ascii="Arial" w:cs="Arial" w:eastAsia="Arial" w:hAnsi="Arial"/>
                <w:sz w:val="13"/>
                <w:szCs w:val="13"/>
                <w:color w:val="003D4C"/>
                <w:w w:val="99"/>
              </w:rPr>
              <w:t>SAN DIEGO</w:t>
            </w:r>
          </w:p>
        </w:tc>
        <w:tc>
          <w:tcPr>
            <w:tcW w:w="1420" w:type="dxa"/>
            <w:vAlign w:val="bottom"/>
          </w:tcPr>
          <w:p>
            <w:pPr>
              <w:ind w:left="180"/>
              <w:spacing w:after="0"/>
              <w:rPr>
                <w:sz w:val="20"/>
                <w:szCs w:val="20"/>
                <w:color w:val="auto"/>
              </w:rPr>
            </w:pPr>
            <w:r>
              <w:rPr>
                <w:rFonts w:ascii="Arial" w:cs="Arial" w:eastAsia="Arial" w:hAnsi="Arial"/>
                <w:sz w:val="13"/>
                <w:szCs w:val="13"/>
                <w:color w:val="003D4C"/>
              </w:rPr>
              <w:t>SAN FRANCISCO</w:t>
            </w:r>
          </w:p>
        </w:tc>
        <w:tc>
          <w:tcPr>
            <w:tcW w:w="2960" w:type="dxa"/>
            <w:vAlign w:val="bottom"/>
          </w:tcPr>
          <w:p>
            <w:pPr>
              <w:spacing w:after="0"/>
              <w:rPr>
                <w:sz w:val="20"/>
                <w:szCs w:val="20"/>
                <w:color w:val="auto"/>
              </w:rPr>
            </w:pPr>
            <w:r>
              <w:rPr>
                <w:rFonts w:ascii="Arial" w:cs="Arial" w:eastAsia="Arial" w:hAnsi="Arial"/>
                <w:sz w:val="13"/>
                <w:szCs w:val="13"/>
                <w:color w:val="003D4C"/>
                <w:w w:val="93"/>
              </w:rPr>
              <w:t>SEATTLESHANGHAIWASHINGTON, DC</w:t>
            </w:r>
          </w:p>
        </w:tc>
        <w:tc>
          <w:tcPr>
            <w:tcW w:w="3620" w:type="dxa"/>
            <w:vAlign w:val="bottom"/>
          </w:tcPr>
          <w:p>
            <w:pPr>
              <w:ind w:left="60"/>
              <w:spacing w:after="0"/>
              <w:rPr>
                <w:sz w:val="20"/>
                <w:szCs w:val="20"/>
                <w:color w:val="auto"/>
              </w:rPr>
            </w:pPr>
            <w:r>
              <w:rPr>
                <w:rFonts w:ascii="Arial" w:cs="Arial" w:eastAsia="Arial" w:hAnsi="Arial"/>
                <w:sz w:val="13"/>
                <w:szCs w:val="13"/>
                <w:color w:val="003D4C"/>
              </w:rPr>
              <w:t>WILMINGTON, DE</w:t>
            </w:r>
          </w:p>
        </w:tc>
      </w:tr>
      <w:tr>
        <w:trPr>
          <w:trHeight w:val="306"/>
        </w:trPr>
        <w:tc>
          <w:tcPr>
            <w:tcW w:w="3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March 23, 2023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/s/ Wilson Sonsini Goodrich &amp; Rosati, P.C.</w:t>
      </w: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WILSON SONSINI GOODRICH &amp; ROSATI</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3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23.1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8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 (Form S-8) pertaining to the 2020 Equity Incentive Plan and 2020 Employee Stock Purchase Plan of Athira Pharma, Inc. of our report dated March 23, 2023, with respect to the consolidated financial statements of Athira Pharma, Inc. included in its Annual Report (Form 10-K) for the year ended December 31, 2022, filed with the Securities and Exchange Commission.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Seattle, Washington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Calculation of Filing Fee Table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S-8</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Type)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1: Newly Registered Securities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ind w:left="280"/>
              <w:spacing w:after="0"/>
              <w:rPr>
                <w:sz w:val="20"/>
                <w:szCs w:val="20"/>
                <w:color w:val="auto"/>
              </w:rPr>
            </w:pPr>
            <w:r>
              <w:rPr>
                <w:rFonts w:ascii="Arial" w:cs="Arial" w:eastAsia="Arial" w:hAnsi="Arial"/>
                <w:sz w:val="16"/>
                <w:szCs w:val="16"/>
                <w:b w:val="1"/>
                <w:bCs w:val="1"/>
                <w:color w:val="auto"/>
              </w:rPr>
              <w:t>Fee</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Proposed</w:t>
            </w: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49"/>
              <w:spacing w:after="0"/>
              <w:rPr>
                <w:sz w:val="20"/>
                <w:szCs w:val="20"/>
                <w:color w:val="auto"/>
              </w:rPr>
            </w:pPr>
            <w:r>
              <w:rPr>
                <w:rFonts w:ascii="Arial" w:cs="Arial" w:eastAsia="Arial" w:hAnsi="Arial"/>
                <w:sz w:val="16"/>
                <w:szCs w:val="16"/>
                <w:b w:val="1"/>
                <w:bCs w:val="1"/>
                <w:color w:val="auto"/>
              </w:rPr>
              <w:t>Amount</w:t>
            </w: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7"/>
              </w:rPr>
              <w:t>Maximum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Calculatio</w:t>
            </w:r>
          </w:p>
        </w:tc>
        <w:tc>
          <w:tcPr>
            <w:tcW w:w="12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Offering</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176"/>
        </w:trPr>
        <w:tc>
          <w:tcPr>
            <w:tcW w:w="104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b w:val="1"/>
                <w:bCs w:val="1"/>
                <w:color w:val="auto"/>
              </w:rPr>
              <w:t>Security</w:t>
            </w:r>
          </w:p>
        </w:tc>
        <w:tc>
          <w:tcPr>
            <w:tcW w:w="3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
              <w:spacing w:after="0" w:line="176" w:lineRule="exact"/>
              <w:rPr>
                <w:sz w:val="20"/>
                <w:szCs w:val="20"/>
                <w:color w:val="auto"/>
              </w:rPr>
            </w:pPr>
            <w:r>
              <w:rPr>
                <w:rFonts w:ascii="Arial" w:cs="Arial" w:eastAsia="Arial" w:hAnsi="Arial"/>
                <w:sz w:val="15"/>
                <w:szCs w:val="15"/>
                <w:b w:val="1"/>
                <w:bCs w:val="1"/>
                <w:color w:val="auto"/>
                <w:w w:val="96"/>
              </w:rPr>
              <w:t xml:space="preserve">Registered </w:t>
            </w:r>
            <w:r>
              <w:rPr>
                <w:rFonts w:ascii="Arial" w:cs="Arial" w:eastAsia="Arial" w:hAnsi="Arial"/>
                <w:sz w:val="20"/>
                <w:szCs w:val="20"/>
                <w:b w:val="1"/>
                <w:bCs w:val="1"/>
                <w:color w:val="auto"/>
                <w:w w:val="96"/>
                <w:vertAlign w:val="superscript"/>
              </w:rPr>
              <w:t>(1)(2)</w:t>
            </w:r>
          </w:p>
        </w:tc>
        <w:tc>
          <w:tcPr>
            <w:tcW w:w="120" w:type="dxa"/>
            <w:vAlign w:val="bottom"/>
            <w:shd w:val="clear" w:color="auto" w:fill="CCEEFF"/>
          </w:tcPr>
          <w:p>
            <w:pPr>
              <w:spacing w:after="0"/>
              <w:rPr>
                <w:sz w:val="15"/>
                <w:szCs w:val="15"/>
                <w:color w:val="auto"/>
              </w:rPr>
            </w:pPr>
          </w:p>
        </w:tc>
        <w:tc>
          <w:tcPr>
            <w:tcW w:w="1160" w:type="dxa"/>
            <w:vAlign w:val="bottom"/>
            <w:gridSpan w:val="3"/>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gridSpan w:val="2"/>
            <w:vMerge w:val="continue"/>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89"/>
              </w:rPr>
              <w:t>n Rule</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500"/>
              <w:spacing w:after="0" w:line="161" w:lineRule="exact"/>
              <w:rPr>
                <w:sz w:val="20"/>
                <w:szCs w:val="20"/>
                <w:color w:val="auto"/>
              </w:rPr>
            </w:pPr>
            <w:r>
              <w:rPr>
                <w:rFonts w:ascii="Arial" w:cs="Arial" w:eastAsia="Arial" w:hAnsi="Arial"/>
                <w:sz w:val="16"/>
                <w:szCs w:val="16"/>
                <w:b w:val="1"/>
                <w:bCs w:val="1"/>
                <w:color w:val="auto"/>
                <w:w w:val="91"/>
              </w:rPr>
              <w:t>Price</w:t>
            </w:r>
          </w:p>
        </w:tc>
        <w:tc>
          <w:tcPr>
            <w:tcW w:w="102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3"/>
              </w:rPr>
              <w:t>Offering</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Type</w:t>
            </w:r>
          </w:p>
        </w:tc>
        <w:tc>
          <w:tcPr>
            <w:tcW w:w="3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b w:val="1"/>
                <w:bCs w:val="1"/>
                <w:color w:val="auto"/>
              </w:rPr>
              <w:t>Security Class Title</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7"/>
              </w:rPr>
              <w:t>Per Unit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Price</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Fee Rate</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center"/>
              <w:ind w:right="339"/>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w w:val="94"/>
              </w:rPr>
              <w:t>Common Stock, $0.0001 par value per share,</w:t>
            </w:r>
          </w:p>
        </w:tc>
        <w:tc>
          <w:tcPr>
            <w:tcW w:w="140" w:type="dxa"/>
            <w:vAlign w:val="bottom"/>
          </w:tcPr>
          <w:p>
            <w:pPr>
              <w:spacing w:after="0"/>
              <w:rPr>
                <w:sz w:val="20"/>
                <w:szCs w:val="2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7"/>
              </w:rPr>
              <w:t xml:space="preserve">Other </w:t>
            </w:r>
            <w:r>
              <w:rPr>
                <w:rFonts w:ascii="Arial" w:cs="Arial" w:eastAsia="Arial" w:hAnsi="Arial"/>
                <w:sz w:val="21"/>
                <w:szCs w:val="21"/>
                <w:b w:val="1"/>
                <w:bCs w:val="1"/>
                <w:color w:val="auto"/>
                <w:w w:val="87"/>
                <w:vertAlign w:val="superscript"/>
              </w:rPr>
              <w:t>(4)</w:t>
            </w:r>
          </w:p>
        </w:tc>
        <w:tc>
          <w:tcPr>
            <w:tcW w:w="120" w:type="dxa"/>
            <w:vAlign w:val="bottom"/>
            <w:vMerge w:val="restart"/>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21"/>
                <w:szCs w:val="21"/>
                <w:b w:val="1"/>
                <w:bCs w:val="1"/>
                <w:color w:val="auto"/>
                <w:vertAlign w:val="superscript"/>
              </w:rPr>
              <w:t>(4)</w:t>
            </w:r>
          </w:p>
        </w:tc>
        <w:tc>
          <w:tcPr>
            <w:tcW w:w="1020" w:type="dxa"/>
            <w:vAlign w:val="bottom"/>
          </w:tcPr>
          <w:p>
            <w:pPr>
              <w:spacing w:after="0"/>
              <w:rPr>
                <w:sz w:val="20"/>
                <w:szCs w:val="20"/>
                <w:color w:val="auto"/>
              </w:rPr>
            </w:pPr>
          </w:p>
        </w:tc>
        <w:tc>
          <w:tcPr>
            <w:tcW w:w="122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040" w:type="dxa"/>
            <w:vAlign w:val="bottom"/>
            <w:gridSpan w:val="2"/>
            <w:vMerge w:val="restart"/>
          </w:tcPr>
          <w:p>
            <w:pPr>
              <w:ind w:left="60"/>
              <w:spacing w:after="0"/>
              <w:rPr>
                <w:sz w:val="20"/>
                <w:szCs w:val="20"/>
                <w:color w:val="auto"/>
              </w:rPr>
            </w:pPr>
            <w:r>
              <w:rPr>
                <w:rFonts w:ascii="Arial" w:cs="Arial" w:eastAsia="Arial" w:hAnsi="Arial"/>
                <w:sz w:val="16"/>
                <w:szCs w:val="16"/>
                <w:color w:val="auto"/>
              </w:rPr>
              <w:t>Equity</w:t>
            </w:r>
          </w:p>
        </w:tc>
        <w:tc>
          <w:tcPr>
            <w:tcW w:w="3100" w:type="dxa"/>
            <w:vAlign w:val="bottom"/>
            <w:vMerge w:val="restart"/>
          </w:tcPr>
          <w:p>
            <w:pPr>
              <w:ind w:left="40"/>
              <w:spacing w:after="0"/>
              <w:rPr>
                <w:sz w:val="20"/>
                <w:szCs w:val="20"/>
                <w:color w:val="auto"/>
              </w:rPr>
            </w:pPr>
            <w:r>
              <w:rPr>
                <w:rFonts w:ascii="Arial" w:cs="Arial" w:eastAsia="Arial" w:hAnsi="Arial"/>
                <w:sz w:val="16"/>
                <w:szCs w:val="16"/>
                <w:color w:val="auto"/>
                <w:w w:val="99"/>
              </w:rPr>
              <w:t>reserved for issuance pursuant to the 2020</w:t>
            </w:r>
          </w:p>
        </w:tc>
        <w:tc>
          <w:tcPr>
            <w:tcW w:w="1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vMerge w:val="continue"/>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$ 859,611.50</w:t>
            </w: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   94.73</w:t>
            </w:r>
          </w:p>
        </w:tc>
        <w:tc>
          <w:tcPr>
            <w:tcW w:w="0" w:type="dxa"/>
            <w:vAlign w:val="bottom"/>
          </w:tcPr>
          <w:p>
            <w:pPr>
              <w:spacing w:after="0"/>
              <w:rPr>
                <w:sz w:val="1"/>
                <w:szCs w:val="1"/>
                <w:color w:val="auto"/>
              </w:rPr>
            </w:pPr>
          </w:p>
        </w:tc>
      </w:tr>
      <w:tr>
        <w:trPr>
          <w:trHeight w:val="152"/>
        </w:trPr>
        <w:tc>
          <w:tcPr>
            <w:tcW w:w="1040" w:type="dxa"/>
            <w:vAlign w:val="bottom"/>
            <w:gridSpan w:val="2"/>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320" w:type="dxa"/>
            <w:vAlign w:val="bottom"/>
            <w:gridSpan w:val="2"/>
          </w:tcPr>
          <w:p>
            <w:pPr>
              <w:jc w:val="right"/>
              <w:ind w:right="49"/>
              <w:spacing w:after="0" w:line="152" w:lineRule="exact"/>
              <w:rPr>
                <w:sz w:val="20"/>
                <w:szCs w:val="20"/>
                <w:color w:val="auto"/>
              </w:rPr>
            </w:pPr>
            <w:r>
              <w:rPr>
                <w:rFonts w:ascii="Arial" w:cs="Arial" w:eastAsia="Arial" w:hAnsi="Arial"/>
                <w:sz w:val="16"/>
                <w:szCs w:val="16"/>
                <w:color w:val="auto"/>
              </w:rPr>
              <w:t xml:space="preserve">378,774 </w:t>
            </w:r>
            <w:r>
              <w:rPr>
                <w:rFonts w:ascii="Arial" w:cs="Arial" w:eastAsia="Arial" w:hAnsi="Arial"/>
                <w:sz w:val="10"/>
                <w:szCs w:val="10"/>
                <w:b w:val="1"/>
                <w:bCs w:val="1"/>
                <w:color w:val="auto"/>
              </w:rPr>
              <w:t>)</w:t>
            </w:r>
          </w:p>
        </w:tc>
        <w:tc>
          <w:tcPr>
            <w:tcW w:w="3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0.00011020</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Employee Stock Purchase Plan</w:t>
            </w: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Common Stock, $0.0001 par value per share,</w:t>
            </w:r>
          </w:p>
        </w:tc>
        <w:tc>
          <w:tcPr>
            <w:tcW w:w="140" w:type="dxa"/>
            <w:vAlign w:val="bottom"/>
            <w:shd w:val="clear" w:color="auto" w:fill="CCEEFF"/>
          </w:tcPr>
          <w:p>
            <w:pPr>
              <w:spacing w:after="0"/>
              <w:rPr>
                <w:sz w:val="21"/>
                <w:szCs w:val="2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4"/>
              </w:rPr>
              <w:t xml:space="preserve">Other </w:t>
            </w:r>
            <w:r>
              <w:rPr>
                <w:rFonts w:ascii="Arial" w:cs="Arial" w:eastAsia="Arial" w:hAnsi="Arial"/>
                <w:sz w:val="21"/>
                <w:szCs w:val="21"/>
                <w:b w:val="1"/>
                <w:bCs w:val="1"/>
                <w:color w:val="auto"/>
                <w:w w:val="84"/>
                <w:vertAlign w:val="superscript"/>
              </w:rPr>
              <w:t>(6)</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 xml:space="preserve">2.67 </w:t>
            </w:r>
            <w:r>
              <w:rPr>
                <w:rFonts w:ascii="Arial" w:cs="Arial" w:eastAsia="Arial" w:hAnsi="Arial"/>
                <w:sz w:val="21"/>
                <w:szCs w:val="21"/>
                <w:b w:val="1"/>
                <w:bCs w:val="1"/>
                <w:color w:val="auto"/>
                <w:vertAlign w:val="superscript"/>
              </w:rPr>
              <w:t>(6)</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$5,056,535.5</w:t>
            </w:r>
          </w:p>
        </w:tc>
        <w:tc>
          <w:tcPr>
            <w:tcW w:w="1220" w:type="dxa"/>
            <w:vAlign w:val="bottom"/>
            <w:gridSpan w:val="2"/>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Equity</w:t>
            </w:r>
          </w:p>
        </w:tc>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9"/>
              </w:rPr>
              <w:t>reserved for issuance pursuant to the 2020</w:t>
            </w:r>
          </w:p>
        </w:tc>
        <w:tc>
          <w:tcPr>
            <w:tcW w:w="140" w:type="dxa"/>
            <w:vAlign w:val="bottom"/>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320" w:type="dxa"/>
            <w:vAlign w:val="bottom"/>
            <w:gridSpan w:val="2"/>
            <w:vMerge w:val="continue"/>
            <w:shd w:val="clear" w:color="auto" w:fill="CCEEFF"/>
          </w:tcPr>
          <w:p>
            <w:pPr>
              <w:spacing w:after="0"/>
              <w:rPr>
                <w:sz w:val="4"/>
                <w:szCs w:val="4"/>
                <w:color w:val="auto"/>
              </w:rPr>
            </w:pPr>
          </w:p>
        </w:tc>
        <w:tc>
          <w:tcPr>
            <w:tcW w:w="340" w:type="dxa"/>
            <w:vAlign w:val="bottom"/>
            <w:gridSpan w:val="2"/>
            <w:vMerge w:val="restart"/>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557.23</w:t>
            </w:r>
          </w:p>
        </w:tc>
        <w:tc>
          <w:tcPr>
            <w:tcW w:w="0" w:type="dxa"/>
            <w:vAlign w:val="bottom"/>
          </w:tcPr>
          <w:p>
            <w:pPr>
              <w:spacing w:after="0"/>
              <w:rPr>
                <w:sz w:val="1"/>
                <w:szCs w:val="1"/>
                <w:color w:val="auto"/>
              </w:rPr>
            </w:pPr>
          </w:p>
        </w:tc>
      </w:tr>
      <w:tr>
        <w:trPr>
          <w:trHeight w:val="152"/>
        </w:trPr>
        <w:tc>
          <w:tcPr>
            <w:tcW w:w="1040" w:type="dxa"/>
            <w:vAlign w:val="bottom"/>
            <w:gridSpan w:val="2"/>
            <w:vMerge w:val="continue"/>
            <w:shd w:val="clear" w:color="auto" w:fill="CCEEFF"/>
          </w:tcPr>
          <w:p>
            <w:pPr>
              <w:spacing w:after="0"/>
              <w:rPr>
                <w:sz w:val="13"/>
                <w:szCs w:val="13"/>
                <w:color w:val="auto"/>
              </w:rPr>
            </w:pPr>
          </w:p>
        </w:tc>
        <w:tc>
          <w:tcPr>
            <w:tcW w:w="31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320" w:type="dxa"/>
            <w:vAlign w:val="bottom"/>
            <w:gridSpan w:val="2"/>
            <w:shd w:val="clear" w:color="auto" w:fill="CCEEFF"/>
          </w:tcPr>
          <w:p>
            <w:pPr>
              <w:jc w:val="right"/>
              <w:ind w:right="49"/>
              <w:spacing w:after="0" w:line="152" w:lineRule="exact"/>
              <w:rPr>
                <w:sz w:val="20"/>
                <w:szCs w:val="20"/>
                <w:color w:val="auto"/>
              </w:rPr>
            </w:pPr>
            <w:r>
              <w:rPr>
                <w:rFonts w:ascii="Arial" w:cs="Arial" w:eastAsia="Arial" w:hAnsi="Arial"/>
                <w:sz w:val="16"/>
                <w:szCs w:val="16"/>
                <w:color w:val="auto"/>
              </w:rPr>
              <w:t xml:space="preserve">1,893,869 </w:t>
            </w:r>
            <w:r>
              <w:rPr>
                <w:rFonts w:ascii="Arial" w:cs="Arial" w:eastAsia="Arial" w:hAnsi="Arial"/>
                <w:sz w:val="10"/>
                <w:szCs w:val="10"/>
                <w:b w:val="1"/>
                <w:bCs w:val="1"/>
                <w:color w:val="auto"/>
              </w:rPr>
              <w:t>)</w:t>
            </w:r>
          </w:p>
        </w:tc>
        <w:tc>
          <w:tcPr>
            <w:tcW w:w="3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0.00011020</w:t>
            </w:r>
          </w:p>
        </w:tc>
        <w:tc>
          <w:tcPr>
            <w:tcW w:w="5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Equity Incentive Plan</w:t>
            </w: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1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3"/>
                <w:szCs w:val="23"/>
                <w:color w:val="auto"/>
              </w:rPr>
            </w:pPr>
          </w:p>
        </w:tc>
        <w:tc>
          <w:tcPr>
            <w:tcW w:w="3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04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3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b w:val="1"/>
                <w:bCs w:val="1"/>
                <w:color w:val="auto"/>
              </w:rPr>
              <w:t>2,272,643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$ 5,916,147.04</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651.96</w:t>
            </w:r>
          </w:p>
        </w:tc>
        <w:tc>
          <w:tcPr>
            <w:tcW w:w="0" w:type="dxa"/>
            <w:vAlign w:val="bottom"/>
          </w:tcPr>
          <w:p>
            <w:pPr>
              <w:spacing w:after="0"/>
              <w:rPr>
                <w:sz w:val="1"/>
                <w:szCs w:val="1"/>
                <w:color w:val="auto"/>
              </w:rPr>
            </w:pPr>
          </w:p>
        </w:tc>
      </w:tr>
      <w:tr>
        <w:trPr>
          <w:trHeight w:val="264"/>
        </w:trPr>
        <w:tc>
          <w:tcPr>
            <w:tcW w:w="414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 Fee Offsets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6"/>
        </w:trPr>
        <w:tc>
          <w:tcPr>
            <w:tcW w:w="1040" w:type="dxa"/>
            <w:vAlign w:val="bottom"/>
            <w:gridSpan w:val="2"/>
          </w:tcPr>
          <w:p>
            <w:pPr>
              <w:spacing w:after="0"/>
              <w:rPr>
                <w:sz w:val="4"/>
                <w:szCs w:val="4"/>
                <w:color w:val="auto"/>
              </w:rPr>
            </w:pPr>
          </w:p>
        </w:tc>
        <w:tc>
          <w:tcPr>
            <w:tcW w:w="3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Fee Due</w:t>
            </w:r>
          </w:p>
        </w:tc>
        <w:tc>
          <w:tcPr>
            <w:tcW w:w="3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-1708150</wp:posOffset>
            </wp:positionV>
            <wp:extent cx="17145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71450" cy="1143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-1708150</wp:posOffset>
            </wp:positionV>
            <wp:extent cx="93980" cy="465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3980" cy="4654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-1708150</wp:posOffset>
            </wp:positionV>
            <wp:extent cx="93980" cy="465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3980" cy="4654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-1708150</wp:posOffset>
            </wp:positionV>
            <wp:extent cx="85725" cy="465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85725" cy="4654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-1708150</wp:posOffset>
            </wp:positionV>
            <wp:extent cx="77470" cy="465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7470" cy="4654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-1708150</wp:posOffset>
            </wp:positionV>
            <wp:extent cx="111760" cy="465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1760" cy="4654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-1708150</wp:posOffset>
            </wp:positionV>
            <wp:extent cx="111760" cy="465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1760" cy="465455"/>
                    </a:xfrm>
                    <a:prstGeom prst="rect">
                      <a:avLst/>
                    </a:prstGeom>
                    <a:noFill/>
                  </pic:spPr>
                </pic:pic>
              </a:graphicData>
            </a:graphic>
          </wp:anchor>
        </w:drawing>
      </w:r>
    </w:p>
    <w:p>
      <w:pPr>
        <w:spacing w:after="0" w:line="227" w:lineRule="exact"/>
        <w:rPr>
          <w:sz w:val="20"/>
          <w:szCs w:val="20"/>
          <w:color w:val="auto"/>
        </w:rPr>
      </w:pPr>
    </w:p>
    <w:p>
      <w:pPr>
        <w:ind w:left="480" w:right="60" w:hanging="472"/>
        <w:spacing w:after="0" w:line="31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shares of common stock, par value $0.0001 per share (“Common Stock”) of Athira Pharma, Inc. (the “Registrant”) available for issuance pursuant to awards granted pursuant to the Registrant’s 2020 Employee Stock Purchase Plan (the “2020 ESPP”) and 2020 Equity Incentive Plan (the “2020 Plan”). In addition, pursuant to Rule 416(a) under the Securities Act of 1933, as amended (the “Securities Act”), this Registration Statement shall also cover any additional shares of the Registrant’s Common Stock that become issuable under the 2020 ESPP or 2020 Plan by reason of an event such as any stock split, stock dividend, recapitalization or similar transaction effected without receipt of consideration that increases the number of the Registrant’s outstanding shares of Common Stock.</w:t>
      </w:r>
    </w:p>
    <w:p>
      <w:pPr>
        <w:spacing w:after="0" w:line="53" w:lineRule="exact"/>
        <w:rPr>
          <w:rFonts w:ascii="Arial" w:cs="Arial" w:eastAsia="Arial" w:hAnsi="Arial"/>
          <w:sz w:val="14"/>
          <w:szCs w:val="14"/>
          <w:color w:val="auto"/>
        </w:rPr>
      </w:pPr>
    </w:p>
    <w:p>
      <w:pPr>
        <w:ind w:left="480" w:hanging="472"/>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the sole purpose of calculating the registration fee, the amount to be registered under this Registration Statement has been broken down into two subtotals.</w:t>
      </w:r>
    </w:p>
    <w:p>
      <w:pPr>
        <w:spacing w:after="0" w:line="138" w:lineRule="exact"/>
        <w:rPr>
          <w:rFonts w:ascii="Arial" w:cs="Arial" w:eastAsia="Arial" w:hAnsi="Arial"/>
          <w:sz w:val="15"/>
          <w:szCs w:val="15"/>
          <w:color w:val="auto"/>
        </w:rPr>
      </w:pPr>
    </w:p>
    <w:p>
      <w:pPr>
        <w:ind w:left="480" w:right="40" w:hanging="472"/>
        <w:spacing w:after="0" w:line="318"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an automatic annual increase on January 1, 2023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472" w:right="20" w:hanging="472"/>
        <w:spacing w:after="0" w:line="297" w:lineRule="auto"/>
        <w:tabs>
          <w:tab w:leader="none" w:pos="472" w:val="left"/>
        </w:tabs>
        <w:numPr>
          <w:ilvl w:val="0"/>
          <w:numId w:val="5"/>
        </w:numPr>
        <w:rPr>
          <w:rFonts w:ascii="Arial" w:cs="Arial" w:eastAsia="Arial" w:hAnsi="Arial"/>
          <w:sz w:val="15"/>
          <w:szCs w:val="15"/>
          <w:color w:val="auto"/>
        </w:rPr>
      </w:pPr>
      <w:r>
        <w:rPr>
          <w:rFonts w:ascii="Arial" w:cs="Arial" w:eastAsia="Arial" w:hAnsi="Arial"/>
          <w:sz w:val="15"/>
          <w:szCs w:val="15"/>
          <w:color w:val="auto"/>
        </w:rPr>
        <w:t>Estimated in accordance with Rules (c) and (h) of Rule 457 under the Securities Act solely for the purposes of calculating the registration fee on the basis of 85% of $2.67 per share, which represents the average of the high and low price per share of the Registrant’s Common Stock on March 21, 2023, as reported on The Nasdaq Global Market. Pursuant to the 2020 ESPP, the purchase price of the shares of the Registrant’s Common Stock reserved for issuance thereunder will be 85% of the lower of the fair market value of the Common Stock on the first trading day of the offering period or on the last day of the offering period.</w:t>
      </w:r>
    </w:p>
    <w:p>
      <w:pPr>
        <w:spacing w:after="0" w:line="56" w:lineRule="exact"/>
        <w:rPr>
          <w:rFonts w:ascii="Arial" w:cs="Arial" w:eastAsia="Arial" w:hAnsi="Arial"/>
          <w:sz w:val="15"/>
          <w:szCs w:val="15"/>
          <w:color w:val="auto"/>
        </w:rPr>
      </w:pPr>
    </w:p>
    <w:p>
      <w:pPr>
        <w:ind w:left="472" w:hanging="472"/>
        <w:spacing w:after="0" w:line="253" w:lineRule="auto"/>
        <w:tabs>
          <w:tab w:leader="none" w:pos="472" w:val="left"/>
        </w:tabs>
        <w:numPr>
          <w:ilvl w:val="0"/>
          <w:numId w:val="5"/>
        </w:numPr>
        <w:rPr>
          <w:rFonts w:ascii="Arial" w:cs="Arial" w:eastAsia="Arial" w:hAnsi="Arial"/>
          <w:sz w:val="16"/>
          <w:szCs w:val="16"/>
          <w:color w:val="auto"/>
        </w:rPr>
      </w:pPr>
      <w:r>
        <w:rPr>
          <w:rFonts w:ascii="Arial" w:cs="Arial" w:eastAsia="Arial" w:hAnsi="Arial"/>
          <w:sz w:val="17"/>
          <w:szCs w:val="17"/>
          <w:color w:val="auto"/>
        </w:rPr>
        <w:t>Represents an automatic annual increase on January 1, 2023 to the number of shares of the Registrant’s common stock reserved for issuance under the 2020 Plan pursuant to an “evergreen” provision contained in the 2020 Plan. Pursuant to such provision, the number of shares of the Registrant’s common stock available for grant and issuance under the 2020 Plan is subject to an annual increase on the first day of each fiscal year by an amount equal to the least of (i) 3,230,000 shares of common stock, (ii) five percent (5%) of the outstanding shares of all classes of the Registrant’s common stock as of the last day of the immediately preceding fiscal year or (iii) such number of shares as the Registrant’s board of directors may determine no later than the last day of the Registrant’s immediately preceding fiscal year</w:t>
      </w:r>
      <w:r>
        <w:rPr>
          <w:rFonts w:ascii="Arial" w:cs="Arial" w:eastAsia="Arial" w:hAnsi="Arial"/>
          <w:sz w:val="16"/>
          <w:szCs w:val="16"/>
          <w:color w:val="auto"/>
        </w:rPr>
        <w:t>.</w:t>
      </w:r>
    </w:p>
    <w:p>
      <w:pPr>
        <w:spacing w:after="0" w:line="94" w:lineRule="exact"/>
        <w:rPr>
          <w:rFonts w:ascii="Arial" w:cs="Arial" w:eastAsia="Arial" w:hAnsi="Arial"/>
          <w:sz w:val="16"/>
          <w:szCs w:val="16"/>
          <w:color w:val="auto"/>
        </w:rPr>
      </w:pPr>
    </w:p>
    <w:p>
      <w:pPr>
        <w:ind w:left="472" w:right="60" w:hanging="472"/>
        <w:spacing w:after="0" w:line="328" w:lineRule="auto"/>
        <w:tabs>
          <w:tab w:leader="none" w:pos="472" w:val="left"/>
        </w:tabs>
        <w:numPr>
          <w:ilvl w:val="0"/>
          <w:numId w:val="5"/>
        </w:numPr>
        <w:rPr>
          <w:rFonts w:ascii="Arial" w:cs="Arial" w:eastAsia="Arial" w:hAnsi="Arial"/>
          <w:sz w:val="15"/>
          <w:szCs w:val="15"/>
          <w:color w:val="auto"/>
        </w:rPr>
      </w:pPr>
      <w:r>
        <w:rPr>
          <w:rFonts w:ascii="Arial" w:cs="Arial" w:eastAsia="Arial" w:hAnsi="Arial"/>
          <w:sz w:val="15"/>
          <w:szCs w:val="15"/>
          <w:color w:val="auto"/>
        </w:rPr>
        <w:t>Estimated in accordance with Rules 457(c) and (h) of the Securities Act solely for purposes of calculating the registration fee on the basis of $2.67 per share, which represents the average of the high and low prices of the Registrant’s Common Stock on March 21, 2023,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722630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373" w:right="4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07"/>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14" Type="http://schemas.openxmlformats.org/officeDocument/2006/relationships/hyperlink" Target="https://www.sec.gov/ix?doc=/Archives/edgar/data/0001620463/000095017023009498/atha-20221231.htm" TargetMode="External"/><Relationship Id="rId15" Type="http://schemas.openxmlformats.org/officeDocument/2006/relationships/hyperlink" Target="https://www.sec.gov/Archives/edgar/data/1620463/000095012320009608/atha-8a12b.htm" TargetMode="External"/><Relationship Id="rId17" Type="http://schemas.openxmlformats.org/officeDocument/2006/relationships/hyperlink" Target="https://www.sec.gov/Archives/edgar/data/1620463/000156459020043324/atha-ex41_478.htm" TargetMode="External"/><Relationship Id="rId18" Type="http://schemas.openxmlformats.org/officeDocument/2006/relationships/hyperlink" Target="https://www.sec.gov/Archives/edgar/data/1620463/000156459020042848/atha-ex105_89.htm" TargetMode="External"/><Relationship Id="rId19" Type="http://schemas.openxmlformats.org/officeDocument/2006/relationships/hyperlink" Target="https://www.sec.gov/Archives/edgar/data/1620463/000156459020042848/atha-ex106_88.htm" TargetMode="External"/><Relationship Id="rId20" Type="http://schemas.openxmlformats.org/officeDocument/2006/relationships/hyperlink" Target="https://www.sec.gov/Archives/edgar/data/1620463/000156459020042848/atha-ex107_87.htm" TargetMode="External"/><Relationship Id="rId21" Type="http://schemas.openxmlformats.org/officeDocument/2006/relationships/hyperlink" Target="https://www.sec.gov/Archives/edgar/data/1620463/000156459020042848/atha-ex108_86.htm" TargetMode="External"/><Relationship Id="rId22" Type="http://schemas.openxmlformats.org/officeDocument/2006/relationships/hyperlink" Target="https://www.sec.gov/Archives/edgar/data/1620463/000095017023009498/atha-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2023-03-23T18:50:08Z</dcterms:created>
  <dcterms:modified xsi:type="dcterms:W3CDTF">2023-03-23T18:50:08Z</dcterms:modified>
</cp:coreProperties>
</file>