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3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-228600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96520</wp:posOffset>
            </wp:positionV>
            <wp:extent cx="2383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8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64770</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9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43"/>
          <w:szCs w:val="43"/>
          <w:b w:val="1"/>
          <w:bCs w:val="1"/>
          <w:color w:val="auto"/>
        </w:rPr>
        <w:t>Athira Pharma, Inc.</w:t>
      </w:r>
    </w:p>
    <w:p>
      <w:pPr>
        <w:spacing w:after="0" w:line="5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56515</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35" w:lineRule="exact"/>
        <w:rPr>
          <w:sz w:val="24"/>
          <w:szCs w:val="24"/>
          <w:color w:val="auto"/>
        </w:rPr>
      </w:pPr>
    </w:p>
    <w:tbl>
      <w:tblPr>
        <w:tblLayout w:type="fixed"/>
        <w:tblInd w:w="1060" w:type="dxa"/>
        <w:tblCellMar>
          <w:top w:w="0" w:type="dxa"/>
          <w:left w:w="0" w:type="dxa"/>
          <w:bottom w:w="0" w:type="dxa"/>
          <w:right w:w="0" w:type="dxa"/>
        </w:tblCellMar>
      </w:tblPr>
      <w:tr>
        <w:trPr>
          <w:trHeight w:val="238"/>
        </w:trPr>
        <w:tc>
          <w:tcPr>
            <w:tcW w:w="2160" w:type="dxa"/>
            <w:vAlign w:val="bottom"/>
          </w:tcPr>
          <w:p>
            <w:pPr>
              <w:jc w:val="center"/>
              <w:ind w:right="4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001-39503</w:t>
            </w:r>
          </w:p>
        </w:tc>
        <w:tc>
          <w:tcPr>
            <w:tcW w:w="1780" w:type="dxa"/>
            <w:vAlign w:val="bottom"/>
          </w:tcPr>
          <w:p>
            <w:pPr>
              <w:jc w:val="center"/>
              <w:ind w:left="562"/>
              <w:spacing w:after="0"/>
              <w:rPr>
                <w:sz w:val="20"/>
                <w:szCs w:val="20"/>
                <w:color w:val="auto"/>
              </w:rPr>
            </w:pPr>
            <w:r>
              <w:rPr>
                <w:rFonts w:ascii="Times New Roman" w:cs="Times New Roman" w:eastAsia="Times New Roman" w:hAnsi="Times New Roman"/>
                <w:sz w:val="18"/>
                <w:szCs w:val="18"/>
                <w:b w:val="1"/>
                <w:bCs w:val="1"/>
                <w:color w:val="auto"/>
                <w:w w:val="98"/>
              </w:rPr>
              <w:t>45-3368487</w:t>
            </w:r>
          </w:p>
        </w:tc>
      </w:tr>
      <w:tr>
        <w:trPr>
          <w:trHeight w:val="218"/>
        </w:trPr>
        <w:tc>
          <w:tcPr>
            <w:tcW w:w="216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780" w:type="dxa"/>
            <w:vAlign w:val="bottom"/>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60" w:type="dxa"/>
            <w:vAlign w:val="bottom"/>
          </w:tcPr>
          <w:p>
            <w:pPr>
              <w:jc w:val="center"/>
              <w:ind w:right="4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80" w:type="dxa"/>
            <w:vAlign w:val="bottom"/>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2160" w:type="dxa"/>
            <w:vAlign w:val="bottom"/>
          </w:tcPr>
          <w:p>
            <w:pPr>
              <w:spacing w:after="0"/>
              <w:rPr>
                <w:sz w:val="24"/>
                <w:szCs w:val="24"/>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18706 North Creek Parkway, Suite 104</w:t>
            </w:r>
          </w:p>
        </w:tc>
        <w:tc>
          <w:tcPr>
            <w:tcW w:w="1780" w:type="dxa"/>
            <w:vAlign w:val="bottom"/>
          </w:tcPr>
          <w:p>
            <w:pPr>
              <w:spacing w:after="0"/>
              <w:rPr>
                <w:sz w:val="24"/>
                <w:szCs w:val="24"/>
                <w:color w:val="auto"/>
              </w:rPr>
            </w:pPr>
          </w:p>
        </w:tc>
      </w:tr>
      <w:tr>
        <w:trPr>
          <w:trHeight w:val="214"/>
        </w:trPr>
        <w:tc>
          <w:tcPr>
            <w:tcW w:w="2160" w:type="dxa"/>
            <w:vAlign w:val="bottom"/>
          </w:tcPr>
          <w:p>
            <w:pPr>
              <w:spacing w:after="0"/>
              <w:rPr>
                <w:sz w:val="18"/>
                <w:szCs w:val="18"/>
                <w:color w:val="auto"/>
              </w:rPr>
            </w:pP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Bothell, WA 98011</w:t>
            </w:r>
          </w:p>
        </w:tc>
        <w:tc>
          <w:tcPr>
            <w:tcW w:w="1780" w:type="dxa"/>
            <w:vAlign w:val="bottom"/>
          </w:tcPr>
          <w:p>
            <w:pPr>
              <w:spacing w:after="0"/>
              <w:rPr>
                <w:sz w:val="18"/>
                <w:szCs w:val="18"/>
                <w:color w:val="auto"/>
              </w:rPr>
            </w:pPr>
          </w:p>
        </w:tc>
      </w:tr>
      <w:tr>
        <w:trPr>
          <w:trHeight w:val="190"/>
        </w:trPr>
        <w:tc>
          <w:tcPr>
            <w:tcW w:w="2160" w:type="dxa"/>
            <w:vAlign w:val="bottom"/>
          </w:tcPr>
          <w:p>
            <w:pPr>
              <w:spacing w:after="0"/>
              <w:rPr>
                <w:sz w:val="16"/>
                <w:szCs w:val="16"/>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780" w:type="dxa"/>
            <w:vAlign w:val="bottom"/>
          </w:tcPr>
          <w:p>
            <w:pPr>
              <w:spacing w:after="0"/>
              <w:rPr>
                <w:sz w:val="16"/>
                <w:szCs w:val="16"/>
                <w:color w:val="auto"/>
              </w:rPr>
            </w:pPr>
          </w:p>
        </w:tc>
      </w:tr>
      <w:tr>
        <w:trPr>
          <w:trHeight w:val="296"/>
        </w:trPr>
        <w:tc>
          <w:tcPr>
            <w:tcW w:w="2160" w:type="dxa"/>
            <w:vAlign w:val="bottom"/>
          </w:tcPr>
          <w:p>
            <w:pPr>
              <w:spacing w:after="0"/>
              <w:rPr>
                <w:sz w:val="24"/>
                <w:szCs w:val="24"/>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(425) 620-8501</w:t>
            </w:r>
          </w:p>
        </w:tc>
        <w:tc>
          <w:tcPr>
            <w:tcW w:w="1780" w:type="dxa"/>
            <w:vAlign w:val="bottom"/>
          </w:tcPr>
          <w:p>
            <w:pPr>
              <w:spacing w:after="0"/>
              <w:rPr>
                <w:sz w:val="24"/>
                <w:szCs w:val="24"/>
                <w:color w:val="auto"/>
              </w:rPr>
            </w:pPr>
          </w:p>
        </w:tc>
      </w:tr>
      <w:tr>
        <w:trPr>
          <w:trHeight w:val="190"/>
        </w:trPr>
        <w:tc>
          <w:tcPr>
            <w:tcW w:w="2160" w:type="dxa"/>
            <w:vAlign w:val="bottom"/>
          </w:tcPr>
          <w:p>
            <w:pPr>
              <w:spacing w:after="0"/>
              <w:rPr>
                <w:sz w:val="16"/>
                <w:szCs w:val="16"/>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80" w:type="dxa"/>
            <w:vAlign w:val="bottom"/>
          </w:tcPr>
          <w:p>
            <w:pPr>
              <w:spacing w:after="0"/>
              <w:rPr>
                <w:sz w:val="16"/>
                <w:szCs w:val="16"/>
                <w:color w:val="auto"/>
              </w:rPr>
            </w:pPr>
          </w:p>
        </w:tc>
      </w:tr>
      <w:tr>
        <w:trPr>
          <w:trHeight w:val="229"/>
        </w:trPr>
        <w:tc>
          <w:tcPr>
            <w:tcW w:w="2160" w:type="dxa"/>
            <w:vAlign w:val="bottom"/>
          </w:tcPr>
          <w:p>
            <w:pPr>
              <w:spacing w:after="0"/>
              <w:rPr>
                <w:sz w:val="19"/>
                <w:szCs w:val="19"/>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8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57785</wp:posOffset>
            </wp:positionV>
            <wp:extent cx="2383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74"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81" w:lineRule="exact"/>
        <w:rPr>
          <w:sz w:val="24"/>
          <w:szCs w:val="24"/>
          <w:color w:val="auto"/>
        </w:rPr>
      </w:pPr>
    </w:p>
    <w:p>
      <w:pPr>
        <w:ind w:left="460" w:hanging="39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7" w:lineRule="exact"/>
        <w:rPr>
          <w:rFonts w:ascii="MS PGothic" w:cs="MS PGothic" w:eastAsia="MS PGothic" w:hAnsi="MS PGothic"/>
          <w:sz w:val="18"/>
          <w:szCs w:val="18"/>
          <w:color w:val="auto"/>
        </w:rPr>
      </w:pPr>
    </w:p>
    <w:p>
      <w:pPr>
        <w:ind w:left="460" w:hanging="39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6" w:lineRule="exact"/>
        <w:rPr>
          <w:rFonts w:ascii="MS PGothic" w:cs="MS PGothic" w:eastAsia="MS PGothic" w:hAnsi="MS PGothic"/>
          <w:sz w:val="18"/>
          <w:szCs w:val="18"/>
          <w:color w:val="auto"/>
        </w:rPr>
      </w:pPr>
    </w:p>
    <w:p>
      <w:pPr>
        <w:ind w:left="460" w:hanging="39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6" w:lineRule="exact"/>
        <w:rPr>
          <w:rFonts w:ascii="MS PGothic" w:cs="MS PGothic" w:eastAsia="MS PGothic" w:hAnsi="MS PGothic"/>
          <w:sz w:val="18"/>
          <w:szCs w:val="18"/>
          <w:color w:val="auto"/>
        </w:rPr>
      </w:pPr>
    </w:p>
    <w:p>
      <w:pPr>
        <w:ind w:left="460" w:hanging="39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080"/>
          </w:cols>
          <w:pgMar w:left="320" w:top="592" w:right="499" w:bottom="1440" w:gutter="0" w:footer="0" w:header="0"/>
        </w:sectPr>
      </w:pPr>
    </w:p>
    <w:p>
      <w:pPr>
        <w:spacing w:after="0" w:line="124"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29" w:lineRule="exact"/>
        <w:rPr>
          <w:sz w:val="24"/>
          <w:szCs w:val="24"/>
          <w:color w:val="auto"/>
        </w:rPr>
      </w:pPr>
    </w:p>
    <w:p>
      <w:pPr>
        <w:sectPr>
          <w:pgSz w:w="11900" w:h="16838" w:orient="portrait"/>
          <w:cols w:equalWidth="0" w:num="3">
            <w:col w:w="4340" w:space="720"/>
            <w:col w:w="2160" w:space="720"/>
            <w:col w:w="3140"/>
          </w:cols>
          <w:pgMar w:left="320" w:top="592" w:right="49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6"/>
          <w:szCs w:val="16"/>
          <w:color w:val="auto"/>
        </w:rPr>
        <w:t>Common Stock, $0.0001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ATHA</w:t>
      </w:r>
    </w:p>
    <w:p>
      <w:pPr>
        <w:spacing w:after="0" w:line="20" w:lineRule="exact"/>
        <w:rPr>
          <w:sz w:val="24"/>
          <w:szCs w:val="24"/>
          <w:color w:val="auto"/>
        </w:rPr>
      </w:pPr>
      <w:r>
        <w:rPr>
          <w:sz w:val="24"/>
          <w:szCs w:val="24"/>
          <w:color w:val="auto"/>
        </w:rPr>
        <w:br w:type="column"/>
      </w:r>
    </w:p>
    <w:p>
      <w:pPr>
        <w:ind w:left="120"/>
        <w:spacing w:after="0"/>
        <w:rPr>
          <w:sz w:val="20"/>
          <w:szCs w:val="20"/>
          <w:color w:val="auto"/>
        </w:rPr>
      </w:pPr>
      <w:r>
        <w:rPr>
          <w:rFonts w:ascii="Times New Roman" w:cs="Times New Roman" w:eastAsia="Times New Roman" w:hAnsi="Times New Roman"/>
          <w:sz w:val="16"/>
          <w:szCs w:val="16"/>
          <w:color w:val="auto"/>
        </w:rPr>
        <w:t>The Nasdaq Stock Market LLC</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Nasdaq Global Select Market)</w:t>
      </w:r>
    </w:p>
    <w:p>
      <w:pPr>
        <w:spacing w:after="0" w:line="101" w:lineRule="exact"/>
        <w:rPr>
          <w:sz w:val="24"/>
          <w:szCs w:val="24"/>
          <w:color w:val="auto"/>
        </w:rPr>
      </w:pPr>
    </w:p>
    <w:p>
      <w:pPr>
        <w:sectPr>
          <w:pgSz w:w="11900" w:h="16838" w:orient="portrait"/>
          <w:cols w:equalWidth="0" w:num="3">
            <w:col w:w="4700" w:space="720"/>
            <w:col w:w="1980" w:space="720"/>
            <w:col w:w="2960"/>
          </w:cols>
          <w:pgMar w:left="320" w:top="592" w:right="499" w:bottom="1440" w:gutter="0" w:footer="0" w:header="0"/>
          <w:type w:val="continuous"/>
        </w:sect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8" w:lineRule="exact"/>
        <w:rPr>
          <w:sz w:val="24"/>
          <w:szCs w:val="24"/>
          <w:color w:val="auto"/>
        </w:rPr>
      </w:pPr>
    </w:p>
    <w:p>
      <w:pPr>
        <w:ind w:left="60"/>
        <w:spacing w:after="0" w:line="207" w:lineRule="exact"/>
        <w:tabs>
          <w:tab w:leader="none" w:pos="28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highlight w:val="black"/>
        </w:rPr>
        <w:t>☒</w:t>
      </w:r>
    </w:p>
    <w:p>
      <w:pPr>
        <w:spacing w:after="0" w:line="159"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541020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592"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On March 23, 2023, Athira Pharma, Inc. (the “Company”) issued a press release reporting its financial results for the year ended December 31, 2022. A copy of the press release is furnished herewith as Exhibit 99.1.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b w:val="1"/>
          <w:bCs w:val="1"/>
          <w:color w:val="auto"/>
        </w:rPr>
        <w:t>tem 7.01 Regulation FD Disclosure.</w:t>
      </w:r>
    </w:p>
    <w:p>
      <w:pPr>
        <w:spacing w:after="0" w:line="121"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The Company announces material information to the public through a variety of means, including filings with the Securities and Exchange Commission, press releases, public conference calls, the Company’s website (www.athira.com), its investor relations website (investors.athira.com), and its news site (investors.athira.com/news-and-events/press-releases). The Company uses these channels, as well as social media, including its Twitter account (@athirapharma), LinkedIn account (www.linkedin.com/company/athirapharma), and Facebook page (www.facebook.com/athirapharmainc), to communicate with investors and the public about the Company, its product candidates, and other matters. Therefore, the Company encourages investors, the media, and others interested in the Company to review the information it makes public in these locations, as such information could be deemed to be material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83"/>
        </w:trPr>
        <w:tc>
          <w:tcPr>
            <w:tcW w:w="1020" w:type="dxa"/>
            <w:vAlign w:val="bottom"/>
          </w:tcPr>
          <w:p>
            <w:pPr>
              <w:ind w:left="6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Athira Pharma, Inc. press release dated March 23, 2023</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000" w:type="dxa"/>
            <w:vAlign w:val="bottom"/>
            <w:tcBorders>
              <w:right w:val="single" w:sz="8" w:color="0000EE"/>
            </w:tcBorders>
            <w:shd w:val="clear" w:color="auto" w:fill="0000FF"/>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r>
      <w:tr>
        <w:trPr>
          <w:trHeight w:val="412"/>
        </w:trPr>
        <w:tc>
          <w:tcPr>
            <w:tcW w:w="1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bl>
    <w:p>
      <w:pPr>
        <w:spacing w:after="0" w:line="252" w:lineRule="exact"/>
        <w:rPr>
          <w:sz w:val="20"/>
          <w:szCs w:val="20"/>
          <w:color w:val="auto"/>
        </w:rPr>
      </w:pPr>
    </w:p>
    <w:p>
      <w:pPr>
        <w:ind w:right="400" w:firstLine="749"/>
        <w:spacing w:after="0" w:line="266" w:lineRule="auto"/>
        <w:rPr>
          <w:sz w:val="20"/>
          <w:szCs w:val="20"/>
          <w:color w:val="auto"/>
        </w:rPr>
      </w:pPr>
      <w:r>
        <w:rPr>
          <w:rFonts w:ascii="Times New Roman" w:cs="Times New Roman" w:eastAsia="Times New Roman" w:hAnsi="Times New Roman"/>
          <w:sz w:val="18"/>
          <w:szCs w:val="18"/>
          <w:color w:val="auto"/>
        </w:rPr>
        <w:t>The information furnished in this Current Report under Items 2.02 and 7.01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b w:val="1"/>
          <w:bCs w:val="1"/>
          <w:color w:val="auto"/>
        </w:rPr>
        <w:t>Athira Pharma, Inc.</w:t>
      </w:r>
    </w:p>
    <w:p>
      <w:pPr>
        <w:spacing w:after="0" w:line="283" w:lineRule="exact"/>
        <w:rPr>
          <w:sz w:val="20"/>
          <w:szCs w:val="20"/>
          <w:color w:val="auto"/>
        </w:rPr>
      </w:pPr>
    </w:p>
    <w:p>
      <w:pPr>
        <w:ind w:left="140"/>
        <w:spacing w:after="0"/>
        <w:tabs>
          <w:tab w:leader="none" w:pos="5680" w:val="left"/>
          <w:tab w:leader="none" w:pos="6220" w:val="left"/>
        </w:tabs>
        <w:rPr>
          <w:sz w:val="20"/>
          <w:szCs w:val="20"/>
          <w:color w:val="auto"/>
        </w:rPr>
      </w:pPr>
      <w:r>
        <w:rPr>
          <w:rFonts w:ascii="Times New Roman" w:cs="Times New Roman" w:eastAsia="Times New Roman" w:hAnsi="Times New Roman"/>
          <w:sz w:val="18"/>
          <w:szCs w:val="18"/>
          <w:color w:val="auto"/>
        </w:rPr>
        <w:t>Date: March 23,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Mark Litton</w:t>
      </w:r>
    </w:p>
    <w:p>
      <w:pPr>
        <w:spacing w:after="0" w:line="3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33" w:right="539" w:bottom="1440" w:gutter="0" w:footer="0" w:header="0"/>
        </w:sectPr>
      </w:pPr>
    </w:p>
    <w:bookmarkStart w:id="3" w:name="page4"/>
    <w:bookmarkEnd w:id="3"/>
    <w:p>
      <w:pPr>
        <w:ind w:left="10260"/>
        <w:spacing w:after="0"/>
        <w:rPr>
          <w:sz w:val="20"/>
          <w:szCs w:val="20"/>
          <w:color w:val="auto"/>
        </w:rPr>
      </w:pPr>
      <w:r>
        <w:rPr>
          <w:rFonts w:ascii="Calibri" w:cs="Calibri" w:eastAsia="Calibri" w:hAnsi="Calibri"/>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20955</wp:posOffset>
            </wp:positionV>
            <wp:extent cx="1491615" cy="737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9161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25"/>
          <w:szCs w:val="25"/>
          <w:b w:val="1"/>
          <w:bCs w:val="1"/>
          <w:color w:val="auto"/>
        </w:rPr>
        <w:t>Athira Pharma Reports Full Year 2022 Financial Results and Recent Pipeline and Business Updates</w:t>
      </w:r>
    </w:p>
    <w:p>
      <w:pPr>
        <w:spacing w:after="0" w:line="319" w:lineRule="exact"/>
        <w:rPr>
          <w:sz w:val="20"/>
          <w:szCs w:val="20"/>
          <w:color w:val="auto"/>
        </w:rPr>
      </w:pPr>
    </w:p>
    <w:p>
      <w:pPr>
        <w:jc w:val="center"/>
        <w:ind w:right="40"/>
        <w:spacing w:after="0" w:line="234" w:lineRule="auto"/>
        <w:rPr>
          <w:sz w:val="20"/>
          <w:szCs w:val="20"/>
          <w:color w:val="auto"/>
        </w:rPr>
      </w:pPr>
      <w:r>
        <w:rPr>
          <w:rFonts w:ascii="Calibri" w:cs="Calibri" w:eastAsia="Calibri" w:hAnsi="Calibri"/>
          <w:sz w:val="20"/>
          <w:szCs w:val="20"/>
          <w:i w:val="1"/>
          <w:iCs w:val="1"/>
          <w:color w:val="auto"/>
        </w:rPr>
        <w:t>On track to complete enrollment in Phase 2/3 LIFT-AD trial of fosgonimeton for mild-to-moderate Alzheimer’s disease in mid-2023 with topline data in early 2024</w:t>
      </w:r>
    </w:p>
    <w:p>
      <w:pPr>
        <w:spacing w:after="0" w:line="243" w:lineRule="exact"/>
        <w:rPr>
          <w:sz w:val="20"/>
          <w:szCs w:val="20"/>
          <w:color w:val="auto"/>
        </w:rPr>
      </w:pPr>
    </w:p>
    <w:p>
      <w:pPr>
        <w:jc w:val="center"/>
        <w:spacing w:after="0"/>
        <w:rPr>
          <w:sz w:val="20"/>
          <w:szCs w:val="20"/>
          <w:color w:val="auto"/>
        </w:rPr>
      </w:pPr>
      <w:r>
        <w:rPr>
          <w:rFonts w:ascii="Calibri" w:cs="Calibri" w:eastAsia="Calibri" w:hAnsi="Calibri"/>
          <w:sz w:val="20"/>
          <w:szCs w:val="20"/>
          <w:i w:val="1"/>
          <w:iCs w:val="1"/>
          <w:color w:val="auto"/>
        </w:rPr>
        <w:t>Contnuing to advance development of ATH-1105 as a potental clinical candidate for amyotrophic lateral sclerosis</w:t>
      </w:r>
    </w:p>
    <w:p>
      <w:pPr>
        <w:spacing w:after="0" w:line="252" w:lineRule="exact"/>
        <w:rPr>
          <w:sz w:val="20"/>
          <w:szCs w:val="20"/>
          <w:color w:val="auto"/>
        </w:rPr>
      </w:pPr>
    </w:p>
    <w:p>
      <w:pPr>
        <w:jc w:val="center"/>
        <w:ind w:left="1020" w:right="140"/>
        <w:spacing w:after="0" w:line="234" w:lineRule="auto"/>
        <w:rPr>
          <w:sz w:val="20"/>
          <w:szCs w:val="20"/>
          <w:color w:val="auto"/>
        </w:rPr>
      </w:pPr>
      <w:r>
        <w:rPr>
          <w:rFonts w:ascii="Calibri" w:cs="Calibri" w:eastAsia="Calibri" w:hAnsi="Calibri"/>
          <w:sz w:val="20"/>
          <w:szCs w:val="20"/>
          <w:i w:val="1"/>
          <w:iCs w:val="1"/>
          <w:color w:val="auto"/>
        </w:rPr>
        <w:t>Strong balance sheet to support innovatve clinical development pipeline in neurodegeneratve diseases through key infecton points</w:t>
      </w:r>
    </w:p>
    <w:p>
      <w:pPr>
        <w:spacing w:after="0" w:line="253" w:lineRule="exact"/>
        <w:rPr>
          <w:sz w:val="20"/>
          <w:szCs w:val="20"/>
          <w:color w:val="auto"/>
        </w:rPr>
      </w:pPr>
    </w:p>
    <w:p>
      <w:pPr>
        <w:jc w:val="both"/>
        <w:ind w:right="260"/>
        <w:spacing w:after="0" w:line="236" w:lineRule="auto"/>
        <w:rPr>
          <w:sz w:val="20"/>
          <w:szCs w:val="20"/>
          <w:color w:val="auto"/>
        </w:rPr>
      </w:pPr>
      <w:r>
        <w:rPr>
          <w:rFonts w:ascii="Calibri" w:cs="Calibri" w:eastAsia="Calibri" w:hAnsi="Calibri"/>
          <w:sz w:val="20"/>
          <w:szCs w:val="20"/>
          <w:b w:val="1"/>
          <w:bCs w:val="1"/>
          <w:color w:val="auto"/>
        </w:rPr>
        <w:t xml:space="preserve">BOTHELL, Wash., March 23, 2023 – Athira Pharma, Inc. </w:t>
      </w:r>
      <w:r>
        <w:rPr>
          <w:rFonts w:ascii="Calibri" w:cs="Calibri" w:eastAsia="Calibri" w:hAnsi="Calibri"/>
          <w:sz w:val="20"/>
          <w:szCs w:val="20"/>
          <w:color w:val="auto"/>
        </w:rPr>
        <w:t>(NASDAQ: ATHA), a late clinical-stage biopharmaceutcal company focused on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developing small molecules to restore neuronal health and slow neurodegeneraton, today announced the company’s fnancial results for the year ended December 31, 2022, and reviewed recent pipeline and business updates.</w:t>
      </w:r>
    </w:p>
    <w:p>
      <w:pPr>
        <w:spacing w:after="0" w:line="252" w:lineRule="exact"/>
        <w:rPr>
          <w:sz w:val="20"/>
          <w:szCs w:val="20"/>
          <w:color w:val="auto"/>
        </w:rPr>
      </w:pPr>
    </w:p>
    <w:p>
      <w:pPr>
        <w:ind w:right="240"/>
        <w:spacing w:after="0" w:line="237" w:lineRule="auto"/>
        <w:rPr>
          <w:sz w:val="20"/>
          <w:szCs w:val="20"/>
          <w:color w:val="auto"/>
        </w:rPr>
      </w:pPr>
      <w:r>
        <w:rPr>
          <w:rFonts w:ascii="Calibri" w:cs="Calibri" w:eastAsia="Calibri" w:hAnsi="Calibri"/>
          <w:sz w:val="20"/>
          <w:szCs w:val="20"/>
          <w:color w:val="auto"/>
        </w:rPr>
        <w:t>“The progress we made throughout 2022 and in recent months contnues to support our strategy to advance our small molecule therapeutc candidates, such as fosgonimeton, to impact neurodegeneratve diseases, as both clinical and preclinical data suggest potental neuroprotectve, neurotrophic, ant-infammatory, procognitve and disease-modifying efects,” stated Mark Liton, Ph.D., President and Chief Executve Ofcer of Athira. “Furthermore, recent and upcoming presentatons at medical and scientfc meetngs provide the opportunity to highlight our diverse and robust clinical and preclinical data supportng the therapeutc potental of enhancing the HGF/MET system in a variety of neurodegeneratve diseases including Alzheimer’s disease, Parkinson’s disease and ALS.</w:t>
      </w:r>
    </w:p>
    <w:p>
      <w:pPr>
        <w:spacing w:after="0" w:line="255"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“We believe the independent, unblinded interim efcacy and futlity analysis of the Phase 2/3 LIFT-AD trial reported in October 2022 mitgates fosgonimeton program risk, supports the potental clinical benefts of fosgonimeton treatment, and underscores the ratonale for contnued development of this promising potental new therapy for mild-to-moderate Alzheimer’s disease. We are targetng to complete enrollment of the LIFT-AD trial in mid-2023 and to have topline data in early 2024. Additonally, we contnue to advance IND-enabling studies with ATH-1105 and expect to initate a Phase 1 study in 2024 to evaluate its potental as a treatment for ALS.</w:t>
      </w:r>
    </w:p>
    <w:p>
      <w:pPr>
        <w:spacing w:after="0" w:line="253" w:lineRule="exact"/>
        <w:rPr>
          <w:sz w:val="20"/>
          <w:szCs w:val="20"/>
          <w:color w:val="auto"/>
        </w:rPr>
      </w:pPr>
    </w:p>
    <w:p>
      <w:pPr>
        <w:ind w:right="100"/>
        <w:spacing w:after="0" w:line="236" w:lineRule="auto"/>
        <w:rPr>
          <w:sz w:val="20"/>
          <w:szCs w:val="20"/>
          <w:color w:val="auto"/>
        </w:rPr>
      </w:pPr>
      <w:r>
        <w:rPr>
          <w:rFonts w:ascii="Calibri" w:cs="Calibri" w:eastAsia="Calibri" w:hAnsi="Calibri"/>
          <w:sz w:val="20"/>
          <w:szCs w:val="20"/>
          <w:color w:val="auto"/>
        </w:rPr>
        <w:t>“We ended 2022 with a strong balance sheet that enables us to contnue to explore the potental of fosgonimeton in Alzheimer’s and to advance our other pipeline candidates in neurodegeneratve diseases, such as ATH-1105 in ALS, through key infecton points,” concluded Dr. Liton.</w:t>
      </w:r>
    </w:p>
    <w:p>
      <w:pPr>
        <w:spacing w:after="0" w:line="25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Recent Highlights</w:t>
      </w:r>
    </w:p>
    <w:p>
      <w:pPr>
        <w:spacing w:after="0" w:line="16" w:lineRule="exact"/>
        <w:rPr>
          <w:sz w:val="20"/>
          <w:szCs w:val="20"/>
          <w:color w:val="auto"/>
        </w:rPr>
      </w:pPr>
    </w:p>
    <w:p>
      <w:pPr>
        <w:ind w:left="760" w:right="120" w:hanging="378"/>
        <w:spacing w:after="0" w:line="234" w:lineRule="auto"/>
        <w:tabs>
          <w:tab w:leader="none" w:pos="760" w:val="left"/>
        </w:tabs>
        <w:numPr>
          <w:ilvl w:val="0"/>
          <w:numId w:val="2"/>
        </w:numPr>
        <w:rPr>
          <w:rFonts w:ascii="Times New Roman" w:cs="Times New Roman" w:eastAsia="Times New Roman" w:hAnsi="Times New Roman"/>
          <w:sz w:val="20"/>
          <w:szCs w:val="20"/>
          <w:color w:val="auto"/>
        </w:rPr>
      </w:pPr>
      <w:r>
        <w:rPr>
          <w:rFonts w:ascii="Calibri" w:cs="Calibri" w:eastAsia="Calibri" w:hAnsi="Calibri"/>
          <w:sz w:val="20"/>
          <w:szCs w:val="20"/>
          <w:color w:val="auto"/>
        </w:rPr>
        <w:t>Presented multple preclinical datasets that contnue to support the therapeutc potental of enhancing the hepatocyte growth factor (HGF) and its receptor, MET, or the HGF/MET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231775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4" w:name="page5"/>
    <w:bookmarkEnd w:id="4"/>
    <w:p>
      <w:pPr>
        <w:ind w:left="760" w:right="280"/>
        <w:spacing w:after="0" w:line="234" w:lineRule="auto"/>
        <w:rPr>
          <w:sz w:val="20"/>
          <w:szCs w:val="20"/>
          <w:color w:val="auto"/>
        </w:rPr>
      </w:pPr>
      <w:r>
        <w:rPr>
          <w:rFonts w:ascii="Calibri" w:cs="Calibri" w:eastAsia="Calibri" w:hAnsi="Calibri"/>
          <w:sz w:val="20"/>
          <w:szCs w:val="20"/>
          <w:color w:val="auto"/>
        </w:rPr>
        <w:t>in a variety of neurodegeneratve disease models at the American Society for Experimental Neurotherapeutcs (ASENT) 2023 Annual Meetng;</w:t>
      </w:r>
    </w:p>
    <w:p>
      <w:pPr>
        <w:spacing w:after="0" w:line="23" w:lineRule="exact"/>
        <w:rPr>
          <w:sz w:val="20"/>
          <w:szCs w:val="20"/>
          <w:color w:val="auto"/>
        </w:rPr>
      </w:pPr>
    </w:p>
    <w:p>
      <w:pPr>
        <w:jc w:val="both"/>
        <w:ind w:left="760" w:right="520" w:hanging="378"/>
        <w:spacing w:after="0" w:line="236" w:lineRule="auto"/>
        <w:tabs>
          <w:tab w:leader="none" w:pos="760" w:val="left"/>
        </w:tabs>
        <w:numPr>
          <w:ilvl w:val="0"/>
          <w:numId w:val="3"/>
        </w:numPr>
        <w:rPr>
          <w:rFonts w:ascii="Times New Roman" w:cs="Times New Roman" w:eastAsia="Times New Roman" w:hAnsi="Times New Roman"/>
          <w:sz w:val="20"/>
          <w:szCs w:val="20"/>
          <w:color w:val="auto"/>
        </w:rPr>
      </w:pPr>
      <w:r>
        <w:rPr>
          <w:rFonts w:ascii="Calibri" w:cs="Calibri" w:eastAsia="Calibri" w:hAnsi="Calibri"/>
          <w:sz w:val="20"/>
          <w:szCs w:val="20"/>
          <w:color w:val="auto"/>
        </w:rPr>
        <w:t>Promoted Kevin Church, Ph.D. to Chief Scientfc Ofcer in recogniton of his leadership directng the Company’s eforts to elucidate and evaluate the promise of enhancing the HGF/MET system and its potental applicatons for the treatment of neurodegeneratve diseases;</w:t>
      </w:r>
    </w:p>
    <w:p>
      <w:pPr>
        <w:spacing w:after="0" w:line="22" w:lineRule="exact"/>
        <w:rPr>
          <w:rFonts w:ascii="Times New Roman" w:cs="Times New Roman" w:eastAsia="Times New Roman" w:hAnsi="Times New Roman"/>
          <w:sz w:val="20"/>
          <w:szCs w:val="20"/>
          <w:color w:val="auto"/>
        </w:rPr>
      </w:pPr>
    </w:p>
    <w:p>
      <w:pPr>
        <w:ind w:left="760" w:hanging="378"/>
        <w:spacing w:after="0" w:line="236" w:lineRule="auto"/>
        <w:tabs>
          <w:tab w:leader="none" w:pos="760" w:val="left"/>
        </w:tabs>
        <w:numPr>
          <w:ilvl w:val="0"/>
          <w:numId w:val="3"/>
        </w:numPr>
        <w:rPr>
          <w:rFonts w:ascii="Times New Roman" w:cs="Times New Roman" w:eastAsia="Times New Roman" w:hAnsi="Times New Roman"/>
          <w:sz w:val="20"/>
          <w:szCs w:val="20"/>
          <w:color w:val="auto"/>
        </w:rPr>
      </w:pPr>
      <w:r>
        <w:rPr>
          <w:rFonts w:ascii="Calibri" w:cs="Calibri" w:eastAsia="Calibri" w:hAnsi="Calibri"/>
          <w:sz w:val="20"/>
          <w:szCs w:val="20"/>
          <w:color w:val="auto"/>
        </w:rPr>
        <w:t xml:space="preserve">Published a review paper highlightng the need for novel treatment approaches to address Alzheimer’s disease and the therapeutc potental of fosgonimeton, one of the Company’s novel small molecule positve modulators of the HGF/MET system in </w:t>
      </w:r>
      <w:r>
        <w:rPr>
          <w:rFonts w:ascii="Calibri" w:cs="Calibri" w:eastAsia="Calibri" w:hAnsi="Calibri"/>
          <w:sz w:val="20"/>
          <w:szCs w:val="20"/>
          <w:i w:val="1"/>
          <w:iCs w:val="1"/>
          <w:color w:val="auto"/>
        </w:rPr>
        <w:t>the Journal of Alzheimer’s Disease</w:t>
      </w:r>
      <w:r>
        <w:rPr>
          <w:rFonts w:ascii="Calibri" w:cs="Calibri" w:eastAsia="Calibri" w:hAnsi="Calibri"/>
          <w:sz w:val="20"/>
          <w:szCs w:val="20"/>
          <w:color w:val="auto"/>
        </w:rPr>
        <w:t>; and</w:t>
      </w:r>
    </w:p>
    <w:p>
      <w:pPr>
        <w:spacing w:after="0" w:line="22" w:lineRule="exact"/>
        <w:rPr>
          <w:rFonts w:ascii="Times New Roman" w:cs="Times New Roman" w:eastAsia="Times New Roman" w:hAnsi="Times New Roman"/>
          <w:sz w:val="20"/>
          <w:szCs w:val="20"/>
          <w:color w:val="auto"/>
        </w:rPr>
      </w:pPr>
    </w:p>
    <w:p>
      <w:pPr>
        <w:ind w:left="760" w:hanging="378"/>
        <w:spacing w:after="0" w:line="234" w:lineRule="auto"/>
        <w:tabs>
          <w:tab w:leader="none" w:pos="760" w:val="left"/>
        </w:tabs>
        <w:numPr>
          <w:ilvl w:val="0"/>
          <w:numId w:val="3"/>
        </w:numPr>
        <w:rPr>
          <w:rFonts w:ascii="Times New Roman" w:cs="Times New Roman" w:eastAsia="Times New Roman" w:hAnsi="Times New Roman"/>
          <w:sz w:val="20"/>
          <w:szCs w:val="20"/>
          <w:color w:val="auto"/>
        </w:rPr>
      </w:pPr>
      <w:r>
        <w:rPr>
          <w:rFonts w:ascii="Calibri" w:cs="Calibri" w:eastAsia="Calibri" w:hAnsi="Calibri"/>
          <w:sz w:val="20"/>
          <w:szCs w:val="20"/>
          <w:color w:val="auto"/>
        </w:rPr>
        <w:t xml:space="preserve">Published preclinical data demonstratng the neuroprotectve, neurotrophic and procognitve efects of fosgonimeton in models of dementa in the peer-reviewed journal </w:t>
      </w:r>
      <w:r>
        <w:rPr>
          <w:rFonts w:ascii="Calibri" w:cs="Calibri" w:eastAsia="Calibri" w:hAnsi="Calibri"/>
          <w:sz w:val="20"/>
          <w:szCs w:val="20"/>
          <w:i w:val="1"/>
          <w:iCs w:val="1"/>
          <w:color w:val="auto"/>
        </w:rPr>
        <w:t>Neurotherapeutcs</w:t>
      </w:r>
      <w:r>
        <w:rPr>
          <w:rFonts w:ascii="Calibri" w:cs="Calibri" w:eastAsia="Calibri" w:hAnsi="Calibri"/>
          <w:sz w:val="20"/>
          <w:szCs w:val="20"/>
          <w:color w:val="auto"/>
        </w:rPr>
        <w:t>.</w:t>
      </w:r>
    </w:p>
    <w:p>
      <w:pPr>
        <w:spacing w:after="0" w:line="25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Clinical Development &amp; Pipeline Programs</w:t>
      </w:r>
    </w:p>
    <w:p>
      <w:pPr>
        <w:spacing w:after="0" w:line="246" w:lineRule="exact"/>
        <w:rPr>
          <w:sz w:val="20"/>
          <w:szCs w:val="20"/>
          <w:color w:val="auto"/>
        </w:rPr>
      </w:pPr>
    </w:p>
    <w:p>
      <w:pPr>
        <w:ind w:right="200"/>
        <w:spacing w:after="0" w:line="234" w:lineRule="auto"/>
        <w:rPr>
          <w:sz w:val="20"/>
          <w:szCs w:val="20"/>
          <w:color w:val="auto"/>
        </w:rPr>
      </w:pPr>
      <w:r>
        <w:rPr>
          <w:rFonts w:ascii="Calibri" w:cs="Calibri" w:eastAsia="Calibri" w:hAnsi="Calibri"/>
          <w:sz w:val="20"/>
          <w:szCs w:val="20"/>
          <w:b w:val="1"/>
          <w:bCs w:val="1"/>
          <w:color w:val="auto"/>
        </w:rPr>
        <w:t xml:space="preserve">Fosgonimeton (ATH-1017) - </w:t>
      </w:r>
      <w:r>
        <w:rPr>
          <w:rFonts w:ascii="Calibri" w:cs="Calibri" w:eastAsia="Calibri" w:hAnsi="Calibri"/>
          <w:sz w:val="20"/>
          <w:szCs w:val="20"/>
          <w:color w:val="auto"/>
        </w:rPr>
        <w:t>Small molecule designed to enhance the actvity of the HGF/MET system with the potental to protect and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repair neuronal networks.</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LIFT-AD phase 2/3 trial in mild-to-moderate Alzheimer’s disease (NCT04488419)</w:t>
      </w:r>
    </w:p>
    <w:p>
      <w:pPr>
        <w:spacing w:after="0" w:line="9" w:lineRule="exact"/>
        <w:rPr>
          <w:sz w:val="20"/>
          <w:szCs w:val="20"/>
          <w:color w:val="auto"/>
        </w:rPr>
      </w:pPr>
    </w:p>
    <w:p>
      <w:pPr>
        <w:ind w:left="760" w:hanging="378"/>
        <w:spacing w:after="0" w:line="236" w:lineRule="auto"/>
        <w:tabs>
          <w:tab w:leader="none" w:pos="76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20"/>
          <w:szCs w:val="20"/>
          <w:color w:val="auto"/>
        </w:rPr>
        <w:t>Following results from the exploratory Phase 2 ACT-AD trial, Athira proactvely amended the entry criteria for the LIFT-AD trial in September 2022 to investgate the efects of fosgonimeton compared with placebo, without background acetylcholinesterase inhibitors (AChEIs).</w:t>
      </w:r>
    </w:p>
    <w:p>
      <w:pPr>
        <w:spacing w:after="0" w:line="8" w:lineRule="exact"/>
        <w:rPr>
          <w:rFonts w:ascii="Times New Roman" w:cs="Times New Roman" w:eastAsia="Times New Roman" w:hAnsi="Times New Roman"/>
          <w:sz w:val="18"/>
          <w:szCs w:val="18"/>
          <w:color w:val="auto"/>
        </w:rPr>
      </w:pPr>
    </w:p>
    <w:p>
      <w:pPr>
        <w:ind w:left="760" w:right="520" w:hanging="378"/>
        <w:spacing w:after="0" w:line="234" w:lineRule="auto"/>
        <w:tabs>
          <w:tab w:leader="none" w:pos="76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20"/>
          <w:szCs w:val="20"/>
          <w:color w:val="auto"/>
        </w:rPr>
        <w:t>In October 2022, following an unblinded interim efcacy and futlity analysis, an independent data monitoring commitee recommended contnuaton of the LIFT-AD trial in partcipants with mild-to-moderate AD.</w:t>
      </w:r>
    </w:p>
    <w:p>
      <w:pPr>
        <w:spacing w:after="0" w:line="9" w:lineRule="exact"/>
        <w:rPr>
          <w:rFonts w:ascii="Times New Roman" w:cs="Times New Roman" w:eastAsia="Times New Roman" w:hAnsi="Times New Roman"/>
          <w:sz w:val="18"/>
          <w:szCs w:val="18"/>
          <w:color w:val="auto"/>
        </w:rPr>
      </w:pPr>
    </w:p>
    <w:p>
      <w:pPr>
        <w:ind w:left="760" w:right="300" w:hanging="378"/>
        <w:spacing w:after="0" w:line="236" w:lineRule="auto"/>
        <w:tabs>
          <w:tab w:leader="none" w:pos="76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20"/>
          <w:szCs w:val="20"/>
          <w:color w:val="auto"/>
        </w:rPr>
        <w:t>The commitee also determined that, with the additonal enrollment of fewer than 150 partcipants for a total enrollment of less than 300 partcipants without background AChEIs, the trial would be well powered for the primary endpoint given the preliminary efect size observed.</w:t>
      </w:r>
    </w:p>
    <w:p>
      <w:pPr>
        <w:ind w:left="760" w:hanging="378"/>
        <w:spacing w:after="0" w:line="238" w:lineRule="auto"/>
        <w:tabs>
          <w:tab w:leader="none" w:pos="76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20"/>
          <w:szCs w:val="20"/>
          <w:color w:val="auto"/>
        </w:rPr>
        <w:t>The Company is targetng to complete enrollment of the LIFT-AD trial in mid-2023 and to report topline data in early 2024.</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Open Label Extension (OLEX) trial (NCT04886063)</w:t>
      </w:r>
    </w:p>
    <w:p>
      <w:pPr>
        <w:spacing w:after="0" w:line="9" w:lineRule="exact"/>
        <w:rPr>
          <w:sz w:val="20"/>
          <w:szCs w:val="20"/>
          <w:color w:val="auto"/>
        </w:rPr>
      </w:pPr>
    </w:p>
    <w:p>
      <w:pPr>
        <w:ind w:left="760" w:right="160" w:hanging="378"/>
        <w:spacing w:after="0" w:line="236" w:lineRule="auto"/>
        <w:tabs>
          <w:tab w:leader="none" w:pos="760" w:val="left"/>
        </w:tabs>
        <w:numPr>
          <w:ilvl w:val="0"/>
          <w:numId w:val="5"/>
        </w:numPr>
        <w:rPr>
          <w:rFonts w:ascii="Times New Roman" w:cs="Times New Roman" w:eastAsia="Times New Roman" w:hAnsi="Times New Roman"/>
          <w:sz w:val="18"/>
          <w:szCs w:val="18"/>
          <w:color w:val="auto"/>
        </w:rPr>
      </w:pPr>
      <w:r>
        <w:rPr>
          <w:rFonts w:ascii="Calibri" w:cs="Calibri" w:eastAsia="Calibri" w:hAnsi="Calibri"/>
          <w:sz w:val="20"/>
          <w:szCs w:val="20"/>
          <w:color w:val="auto"/>
        </w:rPr>
        <w:t>The Open Label Extension (OLEX) for the ACT-AD and LIFT-AD trials contnue, with more than 200 partcipants currently enrolled. As of year-end 2022, greater than 85% of partcipants who have completed either study have elected to enroll in the OLEX trial.</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SHAPE phase 2 trial in mild-to-moderate Parkinson’s disease dementa and dementa with Lewy bodies (NCT04831281)</w:t>
      </w:r>
    </w:p>
    <w:p>
      <w:pPr>
        <w:spacing w:after="0" w:line="9" w:lineRule="exact"/>
        <w:rPr>
          <w:sz w:val="20"/>
          <w:szCs w:val="20"/>
          <w:color w:val="auto"/>
        </w:rPr>
      </w:pPr>
    </w:p>
    <w:p>
      <w:pPr>
        <w:ind w:left="760" w:right="580" w:hanging="378"/>
        <w:spacing w:after="0" w:line="234" w:lineRule="auto"/>
        <w:tabs>
          <w:tab w:leader="none" w:pos="760"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20"/>
          <w:szCs w:val="20"/>
          <w:color w:val="auto"/>
        </w:rPr>
        <w:t>Athira enrolled 28 partcipants in the exploratory Phase 2 SHAPE trial of fosgonimeton in people with Parkinson’s disease dementa or dementa with Lewy bodies.</w:t>
      </w:r>
    </w:p>
    <w:p>
      <w:pPr>
        <w:spacing w:after="0" w:line="9" w:lineRule="exact"/>
        <w:rPr>
          <w:rFonts w:ascii="Times New Roman" w:cs="Times New Roman" w:eastAsia="Times New Roman" w:hAnsi="Times New Roman"/>
          <w:sz w:val="18"/>
          <w:szCs w:val="18"/>
          <w:color w:val="auto"/>
        </w:rPr>
      </w:pPr>
    </w:p>
    <w:p>
      <w:pPr>
        <w:ind w:left="760" w:right="280" w:hanging="378"/>
        <w:spacing w:after="0" w:line="234" w:lineRule="auto"/>
        <w:tabs>
          <w:tab w:leader="none" w:pos="760"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20"/>
          <w:szCs w:val="20"/>
          <w:color w:val="auto"/>
        </w:rPr>
        <w:t>The Company expects to complete the trial with 28 partcipants and to evaluate the learnings from trial results to determine next steps for this program.</w:t>
      </w:r>
    </w:p>
    <w:p>
      <w:pPr>
        <w:spacing w:after="0" w:line="9" w:lineRule="exact"/>
        <w:rPr>
          <w:rFonts w:ascii="Times New Roman" w:cs="Times New Roman" w:eastAsia="Times New Roman" w:hAnsi="Times New Roman"/>
          <w:sz w:val="18"/>
          <w:szCs w:val="18"/>
          <w:color w:val="auto"/>
        </w:rPr>
      </w:pPr>
    </w:p>
    <w:p>
      <w:pPr>
        <w:jc w:val="both"/>
        <w:ind w:left="760" w:right="80" w:hanging="378"/>
        <w:spacing w:after="0" w:line="236" w:lineRule="auto"/>
        <w:tabs>
          <w:tab w:leader="none" w:pos="760"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20"/>
          <w:szCs w:val="20"/>
          <w:color w:val="auto"/>
        </w:rPr>
        <w:t>With the compelling preclinical data recently presented at the Society for Neuroscience Annual Conference in November 2022 on the broader potental of fosgonimeton to improve motor functon in Parkinson’s disease, the Company will seek to evaluate study designs to further explore its potental in this complex disease.</w:t>
      </w:r>
    </w:p>
    <w:p>
      <w:pPr>
        <w:spacing w:after="0" w:line="252" w:lineRule="exact"/>
        <w:rPr>
          <w:sz w:val="20"/>
          <w:szCs w:val="20"/>
          <w:color w:val="auto"/>
        </w:rPr>
      </w:pPr>
    </w:p>
    <w:p>
      <w:pPr>
        <w:ind w:right="640"/>
        <w:spacing w:after="0" w:line="234" w:lineRule="auto"/>
        <w:rPr>
          <w:sz w:val="20"/>
          <w:szCs w:val="20"/>
          <w:color w:val="auto"/>
        </w:rPr>
      </w:pPr>
      <w:r>
        <w:rPr>
          <w:rFonts w:ascii="Calibri" w:cs="Calibri" w:eastAsia="Calibri" w:hAnsi="Calibri"/>
          <w:sz w:val="20"/>
          <w:szCs w:val="20"/>
          <w:b w:val="1"/>
          <w:bCs w:val="1"/>
          <w:color w:val="auto"/>
        </w:rPr>
        <w:t xml:space="preserve">ATH-1020 - </w:t>
      </w:r>
      <w:r>
        <w:rPr>
          <w:rFonts w:ascii="Calibri" w:cs="Calibri" w:eastAsia="Calibri" w:hAnsi="Calibri"/>
          <w:sz w:val="20"/>
          <w:szCs w:val="20"/>
          <w:color w:val="auto"/>
        </w:rPr>
        <w:t>Orally available, novel small molecule compound designed to enhance the HGF/MET system, as a potental treatment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candidate for neuropathic pain or other neurodegeneratve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231775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6" w:right="359" w:bottom="1440" w:gutter="0" w:footer="0" w:header="0"/>
        </w:sectPr>
      </w:pPr>
    </w:p>
    <w:bookmarkStart w:id="5" w:name="page6"/>
    <w:bookmarkEnd w:id="5"/>
    <w:p>
      <w:pPr>
        <w:spacing w:after="0"/>
        <w:rPr>
          <w:sz w:val="20"/>
          <w:szCs w:val="20"/>
          <w:color w:val="auto"/>
        </w:rPr>
      </w:pPr>
      <w:r>
        <w:rPr>
          <w:rFonts w:ascii="Calibri" w:cs="Calibri" w:eastAsia="Calibri" w:hAnsi="Calibri"/>
          <w:sz w:val="20"/>
          <w:szCs w:val="20"/>
          <w:i w:val="1"/>
          <w:iCs w:val="1"/>
          <w:color w:val="auto"/>
        </w:rPr>
        <w:t>Phase 1 trial in healthy volunteers (NCT05169671)</w:t>
      </w:r>
    </w:p>
    <w:p>
      <w:pPr>
        <w:ind w:left="760" w:hanging="378"/>
        <w:spacing w:after="0" w:line="238" w:lineRule="auto"/>
        <w:tabs>
          <w:tab w:leader="none" w:pos="76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20"/>
          <w:szCs w:val="20"/>
          <w:color w:val="auto"/>
        </w:rPr>
        <w:t>The Company completed the Phase 1, single-ascending, dose escalaton study of ATH-1020.</w:t>
      </w:r>
    </w:p>
    <w:p>
      <w:pPr>
        <w:spacing w:after="0" w:line="6" w:lineRule="exact"/>
        <w:rPr>
          <w:rFonts w:ascii="Times New Roman" w:cs="Times New Roman" w:eastAsia="Times New Roman" w:hAnsi="Times New Roman"/>
          <w:sz w:val="18"/>
          <w:szCs w:val="18"/>
          <w:color w:val="auto"/>
        </w:rPr>
      </w:pPr>
    </w:p>
    <w:p>
      <w:pPr>
        <w:ind w:left="760" w:hanging="378"/>
        <w:spacing w:after="0" w:line="232" w:lineRule="auto"/>
        <w:tabs>
          <w:tab w:leader="none" w:pos="76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20"/>
          <w:szCs w:val="20"/>
          <w:color w:val="auto"/>
        </w:rPr>
        <w:t>ATH-1020 demonstrated a favorable safety profle and was well tolerated in healthy volunteers.</w:t>
      </w:r>
    </w:p>
    <w:p>
      <w:pPr>
        <w:spacing w:after="0" w:line="9" w:lineRule="exact"/>
        <w:rPr>
          <w:rFonts w:ascii="Times New Roman" w:cs="Times New Roman" w:eastAsia="Times New Roman" w:hAnsi="Times New Roman"/>
          <w:sz w:val="18"/>
          <w:szCs w:val="18"/>
          <w:color w:val="auto"/>
        </w:rPr>
      </w:pPr>
    </w:p>
    <w:p>
      <w:pPr>
        <w:ind w:left="760" w:right="860" w:hanging="378"/>
        <w:spacing w:after="0" w:line="234" w:lineRule="auto"/>
        <w:tabs>
          <w:tab w:leader="none" w:pos="76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20"/>
          <w:szCs w:val="20"/>
          <w:color w:val="auto"/>
        </w:rPr>
        <w:t>The Company plans to evaluate its optons with this compound and will consider its advancement in relaton to other opportunites and resources.</w:t>
      </w:r>
    </w:p>
    <w:p>
      <w:pPr>
        <w:spacing w:after="0" w:line="253" w:lineRule="exact"/>
        <w:rPr>
          <w:sz w:val="20"/>
          <w:szCs w:val="20"/>
          <w:color w:val="auto"/>
        </w:rPr>
      </w:pPr>
    </w:p>
    <w:p>
      <w:pPr>
        <w:ind w:right="360"/>
        <w:spacing w:after="0" w:line="234" w:lineRule="auto"/>
        <w:rPr>
          <w:sz w:val="20"/>
          <w:szCs w:val="20"/>
          <w:color w:val="auto"/>
        </w:rPr>
      </w:pPr>
      <w:r>
        <w:rPr>
          <w:rFonts w:ascii="Calibri" w:cs="Calibri" w:eastAsia="Calibri" w:hAnsi="Calibri"/>
          <w:sz w:val="20"/>
          <w:szCs w:val="20"/>
          <w:b w:val="1"/>
          <w:bCs w:val="1"/>
          <w:color w:val="auto"/>
        </w:rPr>
        <w:t xml:space="preserve">ATH-1105 – </w:t>
      </w:r>
      <w:r>
        <w:rPr>
          <w:rFonts w:ascii="Calibri" w:cs="Calibri" w:eastAsia="Calibri" w:hAnsi="Calibri"/>
          <w:sz w:val="20"/>
          <w:szCs w:val="20"/>
          <w:color w:val="auto"/>
        </w:rPr>
        <w:t>A novel small molecule compound designed to be a positve modulator of the HGF/MET system as a potental treatment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candidate for amyotrophic lateral sclerosis (ALS).</w:t>
      </w: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20"/>
          <w:szCs w:val="20"/>
          <w:color w:val="auto"/>
        </w:rPr>
        <w:t>The Company presented preclinical data in December 2022.</w:t>
      </w:r>
    </w:p>
    <w:p>
      <w:pPr>
        <w:spacing w:after="0" w:line="8" w:lineRule="exact"/>
        <w:rPr>
          <w:rFonts w:ascii="Times New Roman" w:cs="Times New Roman" w:eastAsia="Times New Roman" w:hAnsi="Times New Roman"/>
          <w:sz w:val="18"/>
          <w:szCs w:val="18"/>
          <w:color w:val="auto"/>
        </w:rPr>
      </w:pPr>
    </w:p>
    <w:p>
      <w:pPr>
        <w:ind w:left="760" w:right="80" w:hanging="378"/>
        <w:spacing w:after="0" w:line="234" w:lineRule="auto"/>
        <w:tabs>
          <w:tab w:leader="none" w:pos="76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20"/>
          <w:szCs w:val="20"/>
          <w:color w:val="auto"/>
        </w:rPr>
        <w:t>ATH-1105 demonstrated consistent improvements across measures of motor functon, nerve functon, and neurodegeneraton in a TDP-43 mouse model of ALS, among other measures.</w:t>
      </w:r>
    </w:p>
    <w:p>
      <w:pPr>
        <w:spacing w:after="0" w:line="9" w:lineRule="exact"/>
        <w:rPr>
          <w:rFonts w:ascii="Times New Roman" w:cs="Times New Roman" w:eastAsia="Times New Roman" w:hAnsi="Times New Roman"/>
          <w:sz w:val="18"/>
          <w:szCs w:val="18"/>
          <w:color w:val="auto"/>
        </w:rPr>
      </w:pPr>
    </w:p>
    <w:p>
      <w:pPr>
        <w:ind w:left="760" w:right="400" w:hanging="378"/>
        <w:spacing w:after="0" w:line="234" w:lineRule="auto"/>
        <w:tabs>
          <w:tab w:leader="none" w:pos="76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20"/>
          <w:szCs w:val="20"/>
          <w:color w:val="auto"/>
        </w:rPr>
        <w:t>The Company is completng IND-enabling work in 2023 in order to initate frst-in-human studies to evaluate this promising product candidate as a treatment for ALS.</w:t>
      </w:r>
    </w:p>
    <w:p>
      <w:pPr>
        <w:spacing w:after="0" w:line="25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Financial Results</w:t>
      </w:r>
    </w:p>
    <w:p>
      <w:pPr>
        <w:spacing w:after="0" w:line="3" w:lineRule="exact"/>
        <w:rPr>
          <w:sz w:val="20"/>
          <w:szCs w:val="20"/>
          <w:color w:val="auto"/>
        </w:rPr>
      </w:pPr>
    </w:p>
    <w:p>
      <w:pPr>
        <w:ind w:left="760" w:right="120" w:hanging="378"/>
        <w:spacing w:after="0" w:line="236" w:lineRule="auto"/>
        <w:tabs>
          <w:tab w:leader="none" w:pos="76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20"/>
          <w:szCs w:val="20"/>
          <w:b w:val="1"/>
          <w:bCs w:val="1"/>
          <w:color w:val="auto"/>
        </w:rPr>
        <w:t>Cash Positon</w:t>
      </w:r>
      <w:r>
        <w:rPr>
          <w:rFonts w:ascii="Calibri" w:cs="Calibri" w:eastAsia="Calibri" w:hAnsi="Calibri"/>
          <w:sz w:val="20"/>
          <w:szCs w:val="20"/>
          <w:color w:val="auto"/>
        </w:rPr>
        <w:t>. Cash, cash equivalents and investments were $245.2 million as of December 31, 2022, compared with $319.7</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million as of December 31, 2021. Cash used in operatons was $72.5 million for the year ended December 31, 2022, compared with $43.1 million for the year ended December 31, 2021.</w:t>
      </w:r>
    </w:p>
    <w:p>
      <w:pPr>
        <w:spacing w:after="0" w:line="251" w:lineRule="exact"/>
        <w:rPr>
          <w:rFonts w:ascii="Times New Roman" w:cs="Times New Roman" w:eastAsia="Times New Roman" w:hAnsi="Times New Roman"/>
          <w:sz w:val="18"/>
          <w:szCs w:val="18"/>
          <w:color w:val="auto"/>
        </w:rPr>
      </w:pPr>
    </w:p>
    <w:p>
      <w:pPr>
        <w:ind w:left="760" w:right="460" w:hanging="378"/>
        <w:spacing w:after="0" w:line="236" w:lineRule="auto"/>
        <w:tabs>
          <w:tab w:leader="none" w:pos="76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20"/>
          <w:szCs w:val="20"/>
          <w:b w:val="1"/>
          <w:bCs w:val="1"/>
          <w:color w:val="auto"/>
        </w:rPr>
        <w:t>Research and Development (R&amp;D) Expenses</w:t>
      </w:r>
      <w:r>
        <w:rPr>
          <w:rFonts w:ascii="Calibri" w:cs="Calibri" w:eastAsia="Calibri" w:hAnsi="Calibri"/>
          <w:sz w:val="20"/>
          <w:szCs w:val="20"/>
          <w:color w:val="auto"/>
        </w:rPr>
        <w:t>. R&amp;D expenses were $61.5 million for the year ended December 31, 2022,</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compared with $42.8 million for the year ended December 31, 2021. The increase was driven primarily by costs related to increased clinical trial actvites, expanded personnel, and increased preclinical research and development expenses.</w:t>
      </w:r>
    </w:p>
    <w:p>
      <w:pPr>
        <w:spacing w:after="0" w:line="251" w:lineRule="exact"/>
        <w:rPr>
          <w:rFonts w:ascii="Times New Roman" w:cs="Times New Roman" w:eastAsia="Times New Roman" w:hAnsi="Times New Roman"/>
          <w:sz w:val="18"/>
          <w:szCs w:val="18"/>
          <w:color w:val="auto"/>
        </w:rPr>
      </w:pPr>
    </w:p>
    <w:p>
      <w:pPr>
        <w:ind w:left="760" w:right="380" w:hanging="378"/>
        <w:spacing w:after="0" w:line="237" w:lineRule="auto"/>
        <w:tabs>
          <w:tab w:leader="none" w:pos="76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20"/>
          <w:szCs w:val="20"/>
          <w:b w:val="1"/>
          <w:bCs w:val="1"/>
          <w:color w:val="auto"/>
        </w:rPr>
        <w:t>General and Administratve (G&amp;A) Expenses</w:t>
      </w:r>
      <w:r>
        <w:rPr>
          <w:rFonts w:ascii="Calibri" w:cs="Calibri" w:eastAsia="Calibri" w:hAnsi="Calibri"/>
          <w:sz w:val="20"/>
          <w:szCs w:val="20"/>
          <w:color w:val="auto"/>
        </w:rPr>
        <w:t>. G&amp;A expenses were $32.6 million for the year ended December 31, 2022,</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compared with $21.2 million for the year ended December 31, 2021, primarily due to increased personnel expenses as the Company’s headcount expanded to support its contnued growth. In additon, increases to G&amp;A expenses in 2022 were the result of increases related to legal, business development, facilites, insurance, professional services, and other general corporate costs.</w:t>
      </w:r>
    </w:p>
    <w:p>
      <w:pPr>
        <w:spacing w:after="0" w:line="252" w:lineRule="exact"/>
        <w:rPr>
          <w:rFonts w:ascii="Times New Roman" w:cs="Times New Roman" w:eastAsia="Times New Roman" w:hAnsi="Times New Roman"/>
          <w:sz w:val="18"/>
          <w:szCs w:val="18"/>
          <w:color w:val="auto"/>
        </w:rPr>
      </w:pPr>
    </w:p>
    <w:p>
      <w:pPr>
        <w:ind w:left="760" w:right="20" w:hanging="378"/>
        <w:spacing w:after="0" w:line="237" w:lineRule="auto"/>
        <w:tabs>
          <w:tab w:leader="none" w:pos="76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20"/>
          <w:szCs w:val="20"/>
          <w:b w:val="1"/>
          <w:bCs w:val="1"/>
          <w:color w:val="auto"/>
        </w:rPr>
        <w:t xml:space="preserve">Legal Setlement Expense. </w:t>
      </w:r>
      <w:r>
        <w:rPr>
          <w:rFonts w:ascii="Calibri" w:cs="Calibri" w:eastAsia="Calibri" w:hAnsi="Calibri"/>
          <w:sz w:val="20"/>
          <w:szCs w:val="20"/>
          <w:color w:val="auto"/>
        </w:rPr>
        <w:t>In February 2023, the Company reached an agreement in principle to resolve all claims in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Company’s securites class acton lawsuit. Under the proposed setlement, we have agreed to make a one-tme payment of $10.0 million, and we have recorded a legal setlement expense of $10.0 million for the year ended December 31, 2022. The proposed setlement is subject to the partes fnalizing a stpulaton of setlement and preliminary and fnal approval of the U.S. District Court for the Western District of Washington.</w:t>
      </w:r>
    </w:p>
    <w:p>
      <w:pPr>
        <w:spacing w:after="0" w:line="252" w:lineRule="exact"/>
        <w:rPr>
          <w:rFonts w:ascii="Times New Roman" w:cs="Times New Roman" w:eastAsia="Times New Roman" w:hAnsi="Times New Roman"/>
          <w:sz w:val="18"/>
          <w:szCs w:val="18"/>
          <w:color w:val="auto"/>
        </w:rPr>
      </w:pPr>
    </w:p>
    <w:p>
      <w:pPr>
        <w:ind w:left="760" w:right="260" w:hanging="378"/>
        <w:spacing w:after="0" w:line="234" w:lineRule="auto"/>
        <w:tabs>
          <w:tab w:leader="none" w:pos="76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20"/>
          <w:szCs w:val="20"/>
          <w:b w:val="1"/>
          <w:bCs w:val="1"/>
          <w:color w:val="auto"/>
        </w:rPr>
        <w:t>Net Loss</w:t>
      </w:r>
      <w:r>
        <w:rPr>
          <w:rFonts w:ascii="Calibri" w:cs="Calibri" w:eastAsia="Calibri" w:hAnsi="Calibri"/>
          <w:sz w:val="20"/>
          <w:szCs w:val="20"/>
          <w:color w:val="auto"/>
        </w:rPr>
        <w:t>. Net loss was $95.6 million, or $2.53 per share, for the year ended December 31, 2022, compared with a net loss of</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$54.9 million, or $1.49 per share, for the year ended December 31, 2021.</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Athira Pharma, Inc.</w:t>
      </w:r>
    </w:p>
    <w:p>
      <w:pPr>
        <w:spacing w:after="0" w:line="9" w:lineRule="exact"/>
        <w:rPr>
          <w:sz w:val="20"/>
          <w:szCs w:val="20"/>
          <w:color w:val="auto"/>
        </w:rPr>
      </w:pPr>
    </w:p>
    <w:p>
      <w:pPr>
        <w:spacing w:after="0" w:line="236" w:lineRule="auto"/>
        <w:rPr>
          <w:sz w:val="20"/>
          <w:szCs w:val="20"/>
          <w:color w:val="auto"/>
        </w:rPr>
      </w:pPr>
      <w:r>
        <w:rPr>
          <w:rFonts w:ascii="Calibri" w:cs="Calibri" w:eastAsia="Calibri" w:hAnsi="Calibri"/>
          <w:sz w:val="20"/>
          <w:szCs w:val="20"/>
          <w:color w:val="auto"/>
        </w:rPr>
        <w:t>Athira Pharma, Inc., headquartered in the Seatle, Washington area, is a late clinical-stage biopharmaceutcal company focused on developing small molecules to restore neuronal health and slow neurodegeneraton. Athira aims to provide rapid cognitve improvement and alter the course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9" w:right="379" w:bottom="1440" w:gutter="0" w:footer="0" w:header="0"/>
        </w:sectPr>
      </w:pPr>
    </w:p>
    <w:bookmarkStart w:id="6" w:name="page7"/>
    <w:bookmarkEnd w:id="6"/>
    <w:p>
      <w:pPr>
        <w:jc w:val="both"/>
        <w:ind w:right="80"/>
        <w:spacing w:after="0" w:line="236" w:lineRule="auto"/>
        <w:rPr>
          <w:sz w:val="20"/>
          <w:szCs w:val="20"/>
          <w:color w:val="auto"/>
        </w:rPr>
      </w:pPr>
      <w:r>
        <w:rPr>
          <w:rFonts w:ascii="Calibri" w:cs="Calibri" w:eastAsia="Calibri" w:hAnsi="Calibri"/>
          <w:sz w:val="20"/>
          <w:szCs w:val="20"/>
          <w:color w:val="auto"/>
        </w:rPr>
        <w:t>neurological diseases with its novel mechanism of acton. Athira is currently advancing its pipeline therapeutc candidates targetng the HGF/MET neurotrophic system for Alzheimer’s and Parkinson’s disease, Dementa with Lewy bodies and ALS. For more informaton, visit www.athira.com. You can also follow Athira on Facebook, LinkedIn</w:t>
      </w:r>
      <w:r>
        <w:rPr>
          <w:rFonts w:ascii="Calibri" w:cs="Calibri" w:eastAsia="Calibri" w:hAnsi="Calibri"/>
          <w:sz w:val="20"/>
          <w:szCs w:val="20"/>
          <w:u w:val="single" w:color="auto"/>
          <w:color w:val="auto"/>
        </w:rPr>
        <w:t>,</w:t>
      </w:r>
      <w:r>
        <w:rPr>
          <w:rFonts w:ascii="Calibri" w:cs="Calibri" w:eastAsia="Calibri" w:hAnsi="Calibri"/>
          <w:sz w:val="20"/>
          <w:szCs w:val="20"/>
          <w:color w:val="auto"/>
        </w:rPr>
        <w:t xml:space="preserve"> Twiter and @athirapharma on Instagram.</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Forward-Looking Statements</w:t>
      </w:r>
    </w:p>
    <w:p>
      <w:pPr>
        <w:spacing w:after="0" w:line="9" w:lineRule="exact"/>
        <w:rPr>
          <w:sz w:val="20"/>
          <w:szCs w:val="20"/>
          <w:color w:val="auto"/>
        </w:rPr>
      </w:pPr>
    </w:p>
    <w:p>
      <w:pPr>
        <w:ind w:right="60"/>
        <w:spacing w:after="0" w:line="236" w:lineRule="auto"/>
        <w:rPr>
          <w:sz w:val="20"/>
          <w:szCs w:val="20"/>
          <w:color w:val="auto"/>
        </w:rPr>
      </w:pPr>
      <w:r>
        <w:rPr>
          <w:rFonts w:ascii="Calibri" w:cs="Calibri" w:eastAsia="Calibri" w:hAnsi="Calibri"/>
          <w:sz w:val="20"/>
          <w:szCs w:val="20"/>
          <w:color w:val="auto"/>
        </w:rPr>
        <w:t>This communicaton contains “forward-looking statements” within the meaning of Secton 27A of the Securites Act of 1933, Secton 21E of the Securites Exchange Act of 1934 and the Private Securites Litgaton Reform Act of 1995. These forward-looking statements are not based on historical fact and</w:t>
      </w:r>
    </w:p>
    <w:p>
      <w:pPr>
        <w:spacing w:after="0" w:line="9" w:lineRule="exact"/>
        <w:rPr>
          <w:sz w:val="20"/>
          <w:szCs w:val="20"/>
          <w:color w:val="auto"/>
        </w:rPr>
      </w:pPr>
    </w:p>
    <w:p>
      <w:pPr>
        <w:ind w:right="80"/>
        <w:spacing w:after="0" w:line="237" w:lineRule="auto"/>
        <w:rPr>
          <w:sz w:val="20"/>
          <w:szCs w:val="20"/>
          <w:color w:val="auto"/>
        </w:rPr>
      </w:pPr>
      <w:r>
        <w:rPr>
          <w:rFonts w:ascii="Calibri" w:cs="Calibri" w:eastAsia="Calibri" w:hAnsi="Calibri"/>
          <w:sz w:val="20"/>
          <w:szCs w:val="20"/>
          <w:color w:val="auto"/>
        </w:rPr>
        <w:t>include statements regarding: product candidates as a potental treatment for Alzheimer’s disease, Parkinson’s disease dementa, Dementa with Lewy bodies, neuropsychiatric diseases, and other neurodegeneratve diseases, such as amyotrophic lateral sclerosis; Athira’s platorm technology and potental therapies; future development plans; clinical and regulatory objectves and the tming thereof; expectatons regarding the potental efcacy and commercial potental of Athira’s product candidates; the antcipated reportng of data; the potental learnings from the LIFT-AD</w:t>
      </w:r>
    </w:p>
    <w:p>
      <w:pPr>
        <w:spacing w:after="0"/>
        <w:rPr>
          <w:sz w:val="20"/>
          <w:szCs w:val="20"/>
          <w:color w:val="auto"/>
        </w:rPr>
      </w:pPr>
      <w:r>
        <w:rPr>
          <w:rFonts w:ascii="Calibri" w:cs="Calibri" w:eastAsia="Calibri" w:hAnsi="Calibri"/>
          <w:sz w:val="20"/>
          <w:szCs w:val="20"/>
          <w:color w:val="auto"/>
        </w:rPr>
        <w:t>unblinded interim efcacy and futlity analysis and their ability to inform and improve future clinical</w:t>
      </w:r>
    </w:p>
    <w:p>
      <w:pPr>
        <w:spacing w:after="0" w:line="8" w:lineRule="exact"/>
        <w:rPr>
          <w:sz w:val="20"/>
          <w:szCs w:val="20"/>
          <w:color w:val="auto"/>
        </w:rPr>
      </w:pPr>
    </w:p>
    <w:p>
      <w:pPr>
        <w:ind w:right="20"/>
        <w:spacing w:after="0" w:line="237" w:lineRule="auto"/>
        <w:rPr>
          <w:sz w:val="20"/>
          <w:szCs w:val="20"/>
          <w:color w:val="auto"/>
        </w:rPr>
      </w:pPr>
      <w:r>
        <w:rPr>
          <w:rFonts w:ascii="Calibri" w:cs="Calibri" w:eastAsia="Calibri" w:hAnsi="Calibri"/>
          <w:sz w:val="20"/>
          <w:szCs w:val="20"/>
          <w:color w:val="auto"/>
        </w:rPr>
        <w:t>development plans; and Athira’s ability to advance its product candidates into later stages of development. Forward-looking statements generally include statements that are predictve in nature and depend upon or refer to future events or conditons, and include words such as “may,” “will,” “should,” “on track,” “would,” “expect,” “plan,” “believe,” “intend,” “pursue,” “contnue,” “suggest,” “potental,” and other similar expressions, among others. Any forward-looking statements are based on management’s current expectatons of future events and are subject to a number of risks and uncertaintes that could cause actual results to difer materially and adversely from those set forth in or implied by such forward-looking statements. These risks and uncertaintes include, but are not limited to, the data for our product candidates from our preclinical and clinical trials not supportng the safety, efcacy and tolerability of our product candidates; cessaton or delay of Athira’s development of product candidates may occur; regulatory authorites could object to protocols, amendments and other</w:t>
      </w:r>
    </w:p>
    <w:p>
      <w:pPr>
        <w:spacing w:after="0" w:line="17" w:lineRule="exact"/>
        <w:rPr>
          <w:sz w:val="20"/>
          <w:szCs w:val="20"/>
          <w:color w:val="auto"/>
        </w:rPr>
      </w:pPr>
    </w:p>
    <w:p>
      <w:pPr>
        <w:spacing w:after="0"/>
        <w:rPr>
          <w:sz w:val="20"/>
          <w:szCs w:val="20"/>
          <w:color w:val="auto"/>
        </w:rPr>
      </w:pPr>
      <w:r>
        <w:rPr>
          <w:rFonts w:ascii="Calibri" w:cs="Calibri" w:eastAsia="Calibri" w:hAnsi="Calibri"/>
          <w:sz w:val="20"/>
          <w:szCs w:val="20"/>
          <w:color w:val="auto"/>
        </w:rPr>
        <w:t>submissions; future potental regulatory milestones for product candidates, including those related to current and planned clinical studies, may be insufcient to support regulatory submissions or approval; the impact of the COVID-19 pandemic on Athira’s business, research and clinical development plans and tmelines, and the regulatory process for Athira product candidates; Athira may not be able to recruit sufcient patents for its clinical trials; the outcome of legal proceedings that have been or may in the future be insttuted against us and certain of our directors and ofcers; clinical trials may not demonstrate safety and efcacy of any of Athira’s product candidates; possible negatve interactons of Athira's product candidates with other treatments; Athira’s assumptons regarding the sufciency of its cash, cash equivalents and investments to fund its planned operatons may be incorrect; adverse conditons in the general domestc and global economic markets; the impact of competton; regulatory agencies may be delayed in reviewing, commentng on or approving any of Athira’s clinical development plans as a result of the COVID-19 pandemic, which could further delay development tmelines; the impact of expanded product development and clinical actvites on operatng expenses; the impact of new or changing laws and regulatons; as well as the other risks detailed in Athira’s flings with the Securites and Exchange Commission. These forward-looking statements speak only as of the date hereof and Athira undertakes no obligaton to update forward-looking statements. Athira may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371475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6" w:right="339" w:bottom="1440" w:gutter="0" w:footer="0" w:header="0"/>
        </w:sectPr>
      </w:pPr>
    </w:p>
    <w:bookmarkStart w:id="7" w:name="page8"/>
    <w:bookmarkEnd w:id="7"/>
    <w:p>
      <w:pPr>
        <w:spacing w:after="0" w:line="234" w:lineRule="auto"/>
        <w:rPr>
          <w:sz w:val="20"/>
          <w:szCs w:val="20"/>
          <w:color w:val="auto"/>
        </w:rPr>
      </w:pPr>
      <w:r>
        <w:rPr>
          <w:rFonts w:ascii="Calibri" w:cs="Calibri" w:eastAsia="Calibri" w:hAnsi="Calibri"/>
          <w:sz w:val="20"/>
          <w:szCs w:val="20"/>
          <w:color w:val="auto"/>
        </w:rPr>
        <w:t>actually achieve the plans, intentons, or expectatons disclosed in its forward-looking statements, and you should not place undue reliance on the forward-looking statements.</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Investor &amp; Media Contact</w:t>
      </w:r>
    </w:p>
    <w:p>
      <w:pPr>
        <w:spacing w:after="0" w:line="238" w:lineRule="auto"/>
        <w:rPr>
          <w:sz w:val="20"/>
          <w:szCs w:val="20"/>
          <w:color w:val="auto"/>
        </w:rPr>
      </w:pPr>
      <w:r>
        <w:rPr>
          <w:rFonts w:ascii="Calibri" w:cs="Calibri" w:eastAsia="Calibri" w:hAnsi="Calibri"/>
          <w:sz w:val="20"/>
          <w:szCs w:val="20"/>
          <w:color w:val="auto"/>
        </w:rPr>
        <w:t>Julie Rathbun</w:t>
      </w:r>
    </w:p>
    <w:p>
      <w:pPr>
        <w:spacing w:after="0"/>
        <w:rPr>
          <w:sz w:val="20"/>
          <w:szCs w:val="20"/>
          <w:color w:val="auto"/>
        </w:rPr>
      </w:pPr>
      <w:r>
        <w:rPr>
          <w:rFonts w:ascii="Calibri" w:cs="Calibri" w:eastAsia="Calibri" w:hAnsi="Calibri"/>
          <w:sz w:val="20"/>
          <w:szCs w:val="20"/>
          <w:color w:val="auto"/>
        </w:rPr>
        <w:t>Athira Pharma</w:t>
      </w:r>
    </w:p>
    <w:p>
      <w:pPr>
        <w:spacing w:after="0" w:line="238" w:lineRule="auto"/>
        <w:rPr>
          <w:sz w:val="20"/>
          <w:szCs w:val="20"/>
          <w:color w:val="auto"/>
        </w:rPr>
      </w:pPr>
      <w:r>
        <w:rPr>
          <w:rFonts w:ascii="Calibri" w:cs="Calibri" w:eastAsia="Calibri" w:hAnsi="Calibri"/>
          <w:sz w:val="20"/>
          <w:szCs w:val="20"/>
          <w:color w:val="auto"/>
        </w:rPr>
        <w:t>Julie.rathbun@athira.com</w:t>
      </w:r>
    </w:p>
    <w:p>
      <w:pPr>
        <w:spacing w:after="0"/>
        <w:rPr>
          <w:sz w:val="20"/>
          <w:szCs w:val="20"/>
          <w:color w:val="auto"/>
        </w:rPr>
      </w:pPr>
      <w:r>
        <w:rPr>
          <w:rFonts w:ascii="Calibri" w:cs="Calibri" w:eastAsia="Calibri" w:hAnsi="Calibri"/>
          <w:sz w:val="20"/>
          <w:szCs w:val="20"/>
          <w:color w:val="auto"/>
        </w:rPr>
        <w:t>206-769-9219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522605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426" w:right="8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color w:val="auto"/>
        </w:rPr>
        <w:t>(Amounts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53"/>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153"/>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6"/>
        </w:trPr>
        <w:tc>
          <w:tcPr>
            <w:tcW w:w="5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80" w:type="dxa"/>
            <w:vAlign w:val="bottom"/>
          </w:tcPr>
          <w:p>
            <w:pPr>
              <w:spacing w:after="0"/>
              <w:rPr>
                <w:sz w:val="20"/>
                <w:szCs w:val="20"/>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580" w:type="dxa"/>
            <w:vAlign w:val="bottom"/>
          </w:tcPr>
          <w:p>
            <w:pPr>
              <w:spacing w:after="0"/>
              <w:rPr>
                <w:sz w:val="14"/>
                <w:szCs w:val="14"/>
                <w:color w:val="auto"/>
              </w:rPr>
            </w:pPr>
          </w:p>
        </w:tc>
        <w:tc>
          <w:tcPr>
            <w:tcW w:w="7080" w:type="dxa"/>
            <w:vAlign w:val="bottom"/>
            <w:gridSpan w:val="2"/>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5"/>
                <w:szCs w:val="15"/>
                <w:color w:val="auto"/>
              </w:rPr>
            </w:pPr>
          </w:p>
        </w:tc>
        <w:tc>
          <w:tcPr>
            <w:tcW w:w="7080" w:type="dxa"/>
            <w:vAlign w:val="bottom"/>
            <w:gridSpan w:val="2"/>
          </w:tcPr>
          <w:p>
            <w:pPr>
              <w:ind w:left="100"/>
              <w:spacing w:after="0" w:line="183" w:lineRule="exact"/>
              <w:rPr>
                <w:sz w:val="20"/>
                <w:szCs w:val="20"/>
                <w:color w:val="auto"/>
              </w:rPr>
            </w:pPr>
            <w:r>
              <w:rPr>
                <w:rFonts w:ascii="Arial" w:cs="Arial" w:eastAsia="Arial" w:hAnsi="Arial"/>
                <w:sz w:val="18"/>
                <w:szCs w:val="18"/>
                <w:color w:val="auto"/>
              </w:rPr>
              <w:t>Cash and cash equivalents</w:t>
            </w: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580" w:type="dxa"/>
            <w:vAlign w:val="bottom"/>
          </w:tcPr>
          <w:p>
            <w:pPr>
              <w:spacing w:after="0"/>
              <w:rPr>
                <w:sz w:val="20"/>
                <w:szCs w:val="20"/>
                <w:color w:val="auto"/>
              </w:rPr>
            </w:pPr>
          </w:p>
        </w:tc>
        <w:tc>
          <w:tcPr>
            <w:tcW w:w="7080" w:type="dxa"/>
            <w:vAlign w:val="bottom"/>
            <w:gridSpan w:val="2"/>
          </w:tcPr>
          <w:p>
            <w:pPr>
              <w:ind w:left="69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95,966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110,537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708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Short-term investments</w:t>
            </w: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104,378</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143,222</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69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6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7080" w:type="dxa"/>
            <w:vAlign w:val="bottom"/>
            <w:gridSpan w:val="2"/>
          </w:tcPr>
          <w:p>
            <w:pPr>
              <w:ind w:left="100"/>
              <w:spacing w:after="0"/>
              <w:rPr>
                <w:sz w:val="20"/>
                <w:szCs w:val="20"/>
                <w:color w:val="auto"/>
              </w:rPr>
            </w:pPr>
            <w:r>
              <w:rPr>
                <w:rFonts w:ascii="Arial" w:cs="Arial" w:eastAsia="Arial" w:hAnsi="Arial"/>
                <w:sz w:val="18"/>
                <w:szCs w:val="18"/>
                <w:color w:val="auto"/>
              </w:rPr>
              <w:t>Other short-term assets</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7,189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7,040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708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Long-term investments</w:t>
            </w: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44,829</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65,936</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69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6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7080" w:type="dxa"/>
            <w:vAlign w:val="bottom"/>
            <w:gridSpan w:val="2"/>
          </w:tcPr>
          <w:p>
            <w:pPr>
              <w:ind w:left="100"/>
              <w:spacing w:after="0"/>
              <w:rPr>
                <w:sz w:val="20"/>
                <w:szCs w:val="20"/>
                <w:color w:val="auto"/>
              </w:rPr>
            </w:pPr>
            <w:r>
              <w:rPr>
                <w:rFonts w:ascii="Arial" w:cs="Arial" w:eastAsia="Arial" w:hAnsi="Arial"/>
                <w:sz w:val="18"/>
                <w:szCs w:val="18"/>
                <w:color w:val="auto"/>
              </w:rPr>
              <w:t>Other long-term assets</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5,791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5,273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80" w:type="dxa"/>
            <w:vAlign w:val="bottom"/>
          </w:tcPr>
          <w:p>
            <w:pPr>
              <w:spacing w:after="0"/>
              <w:rPr>
                <w:sz w:val="15"/>
                <w:szCs w:val="15"/>
                <w:color w:val="auto"/>
              </w:rPr>
            </w:pPr>
          </w:p>
        </w:tc>
        <w:tc>
          <w:tcPr>
            <w:tcW w:w="6900" w:type="dxa"/>
            <w:vAlign w:val="bottom"/>
            <w:shd w:val="clear" w:color="auto" w:fill="CFF0FC"/>
          </w:tcPr>
          <w:p>
            <w:pPr>
              <w:spacing w:after="0" w:line="177" w:lineRule="exact"/>
              <w:rPr>
                <w:sz w:val="20"/>
                <w:szCs w:val="20"/>
                <w:color w:val="auto"/>
              </w:rPr>
            </w:pPr>
            <w:r>
              <w:rPr>
                <w:rFonts w:ascii="Arial" w:cs="Arial" w:eastAsia="Arial" w:hAnsi="Arial"/>
                <w:sz w:val="18"/>
                <w:szCs w:val="18"/>
                <w:color w:val="auto"/>
              </w:rPr>
              <w:t>Total assets</w:t>
            </w:r>
          </w:p>
        </w:tc>
        <w:tc>
          <w:tcPr>
            <w:tcW w:w="18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5"/>
        </w:trPr>
        <w:tc>
          <w:tcPr>
            <w:tcW w:w="580" w:type="dxa"/>
            <w:vAlign w:val="bottom"/>
          </w:tcPr>
          <w:p>
            <w:pPr>
              <w:spacing w:after="0"/>
              <w:rPr>
                <w:sz w:val="23"/>
                <w:szCs w:val="23"/>
                <w:color w:val="auto"/>
              </w:rPr>
            </w:pPr>
          </w:p>
        </w:tc>
        <w:tc>
          <w:tcPr>
            <w:tcW w:w="69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258,153</w:t>
            </w:r>
          </w:p>
        </w:tc>
        <w:tc>
          <w:tcPr>
            <w:tcW w:w="24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332,008</w:t>
            </w:r>
          </w:p>
        </w:tc>
        <w:tc>
          <w:tcPr>
            <w:tcW w:w="100" w:type="dxa"/>
            <w:vAlign w:val="bottom"/>
            <w:tcBorders>
              <w:bottom w:val="single" w:sz="8" w:color="CFF0FC"/>
            </w:tcBorders>
            <w:shd w:val="clear" w:color="auto" w:fill="CFF0FC"/>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580" w:type="dxa"/>
            <w:vAlign w:val="bottom"/>
          </w:tcPr>
          <w:p>
            <w:pPr>
              <w:spacing w:after="0"/>
              <w:rPr>
                <w:sz w:val="14"/>
                <w:szCs w:val="14"/>
                <w:color w:val="auto"/>
              </w:rPr>
            </w:pPr>
          </w:p>
        </w:tc>
        <w:tc>
          <w:tcPr>
            <w:tcW w:w="7080" w:type="dxa"/>
            <w:vAlign w:val="bottom"/>
            <w:gridSpan w:val="2"/>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5"/>
                <w:szCs w:val="15"/>
                <w:color w:val="auto"/>
              </w:rPr>
            </w:pPr>
          </w:p>
        </w:tc>
        <w:tc>
          <w:tcPr>
            <w:tcW w:w="7080" w:type="dxa"/>
            <w:vAlign w:val="bottom"/>
            <w:gridSpan w:val="2"/>
            <w:shd w:val="clear" w:color="auto" w:fill="CFF0FC"/>
          </w:tcPr>
          <w:p>
            <w:pPr>
              <w:ind w:left="100"/>
              <w:spacing w:after="0" w:line="183" w:lineRule="exact"/>
              <w:rPr>
                <w:sz w:val="20"/>
                <w:szCs w:val="20"/>
                <w:color w:val="auto"/>
              </w:rPr>
            </w:pPr>
            <w:r>
              <w:rPr>
                <w:rFonts w:ascii="Arial" w:cs="Arial" w:eastAsia="Arial" w:hAnsi="Arial"/>
                <w:sz w:val="18"/>
                <w:szCs w:val="18"/>
                <w:color w:val="auto"/>
              </w:rPr>
              <w:t>Current liabilities</w:t>
            </w:r>
          </w:p>
        </w:tc>
        <w:tc>
          <w:tcPr>
            <w:tcW w:w="1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580" w:type="dxa"/>
            <w:vAlign w:val="bottom"/>
          </w:tcPr>
          <w:p>
            <w:pPr>
              <w:spacing w:after="0"/>
              <w:rPr>
                <w:sz w:val="20"/>
                <w:szCs w:val="20"/>
                <w:color w:val="auto"/>
              </w:rPr>
            </w:pPr>
          </w:p>
        </w:tc>
        <w:tc>
          <w:tcPr>
            <w:tcW w:w="7080" w:type="dxa"/>
            <w:vAlign w:val="bottom"/>
            <w:gridSpan w:val="2"/>
            <w:shd w:val="clear" w:color="auto" w:fill="CFF0FC"/>
          </w:tcPr>
          <w:p>
            <w:pPr>
              <w:ind w:left="69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21,431</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9,292</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7080" w:type="dxa"/>
            <w:vAlign w:val="bottom"/>
            <w:gridSpan w:val="2"/>
          </w:tcPr>
          <w:p>
            <w:pPr>
              <w:ind w:left="100"/>
              <w:spacing w:after="0"/>
              <w:rPr>
                <w:sz w:val="20"/>
                <w:szCs w:val="20"/>
                <w:color w:val="auto"/>
              </w:rPr>
            </w:pPr>
            <w:r>
              <w:rPr>
                <w:rFonts w:ascii="Arial" w:cs="Arial" w:eastAsia="Arial" w:hAnsi="Arial"/>
                <w:sz w:val="18"/>
                <w:szCs w:val="18"/>
                <w:color w:val="auto"/>
              </w:rPr>
              <w:t>Long-term liabilities</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1,585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1,632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7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23,016</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10,924</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69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6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235,137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321,084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80" w:type="dxa"/>
            <w:vAlign w:val="bottom"/>
          </w:tcPr>
          <w:p>
            <w:pPr>
              <w:spacing w:after="0"/>
              <w:rPr>
                <w:sz w:val="15"/>
                <w:szCs w:val="15"/>
                <w:color w:val="auto"/>
              </w:rPr>
            </w:pPr>
          </w:p>
        </w:tc>
        <w:tc>
          <w:tcPr>
            <w:tcW w:w="6900" w:type="dxa"/>
            <w:vAlign w:val="bottom"/>
            <w:shd w:val="clear" w:color="auto" w:fill="CFF0FC"/>
          </w:tcPr>
          <w:p>
            <w:pPr>
              <w:spacing w:after="0" w:line="177" w:lineRule="exact"/>
              <w:rPr>
                <w:sz w:val="20"/>
                <w:szCs w:val="20"/>
                <w:color w:val="auto"/>
              </w:rPr>
            </w:pPr>
            <w:r>
              <w:rPr>
                <w:rFonts w:ascii="Arial" w:cs="Arial" w:eastAsia="Arial" w:hAnsi="Arial"/>
                <w:sz w:val="18"/>
                <w:szCs w:val="18"/>
                <w:color w:val="auto"/>
              </w:rPr>
              <w:t>Total liabilities and stockholders' equity</w:t>
            </w:r>
          </w:p>
        </w:tc>
        <w:tc>
          <w:tcPr>
            <w:tcW w:w="18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5"/>
        </w:trPr>
        <w:tc>
          <w:tcPr>
            <w:tcW w:w="580" w:type="dxa"/>
            <w:vAlign w:val="bottom"/>
          </w:tcPr>
          <w:p>
            <w:pPr>
              <w:spacing w:after="0"/>
              <w:rPr>
                <w:sz w:val="23"/>
                <w:szCs w:val="23"/>
                <w:color w:val="auto"/>
              </w:rPr>
            </w:pPr>
          </w:p>
        </w:tc>
        <w:tc>
          <w:tcPr>
            <w:tcW w:w="7080" w:type="dxa"/>
            <w:vAlign w:val="bottom"/>
            <w:gridSpan w:val="2"/>
            <w:shd w:val="clear" w:color="auto" w:fill="CFF0FC"/>
          </w:tcPr>
          <w:p>
            <w:pPr>
              <w:ind w:left="69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258,153</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332,008</w:t>
            </w:r>
          </w:p>
        </w:tc>
        <w:tc>
          <w:tcPr>
            <w:tcW w:w="100" w:type="dxa"/>
            <w:vAlign w:val="bottom"/>
            <w:shd w:val="clear" w:color="auto" w:fill="CFF0FC"/>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70"/>
        </w:trPr>
        <w:tc>
          <w:tcPr>
            <w:tcW w:w="580" w:type="dxa"/>
            <w:vAlign w:val="bottom"/>
            <w:tcBorders>
              <w:bottom w:val="single" w:sz="8" w:color="9A9A9A"/>
            </w:tcBorders>
          </w:tcPr>
          <w:p>
            <w:pPr>
              <w:spacing w:after="0"/>
              <w:rPr>
                <w:sz w:val="24"/>
                <w:szCs w:val="24"/>
                <w:color w:val="auto"/>
              </w:rPr>
            </w:pPr>
          </w:p>
        </w:tc>
        <w:tc>
          <w:tcPr>
            <w:tcW w:w="6900" w:type="dxa"/>
            <w:vAlign w:val="bottom"/>
            <w:tcBorders>
              <w:top w:val="single" w:sz="8" w:color="CFF0FC"/>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1260" w:type="dxa"/>
            <w:vAlign w:val="bottom"/>
            <w:tcBorders>
              <w:top w:val="single" w:sz="8" w:color="auto"/>
              <w:bottom w:val="single" w:sz="8" w:color="9A9A9A"/>
            </w:tcBorders>
          </w:tcPr>
          <w:p>
            <w:pPr>
              <w:spacing w:after="0"/>
              <w:rPr>
                <w:sz w:val="24"/>
                <w:szCs w:val="24"/>
                <w:color w:val="auto"/>
              </w:rPr>
            </w:pPr>
          </w:p>
        </w:tc>
        <w:tc>
          <w:tcPr>
            <w:tcW w:w="240" w:type="dxa"/>
            <w:vAlign w:val="bottom"/>
            <w:tcBorders>
              <w:top w:val="single" w:sz="8" w:color="CFF0FC"/>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124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-2167890</wp:posOffset>
            </wp:positionV>
            <wp:extent cx="1114425" cy="291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4425" cy="29146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-539115</wp:posOffset>
            </wp:positionV>
            <wp:extent cx="596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-522605</wp:posOffset>
            </wp:positionV>
            <wp:extent cx="596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-539115</wp:posOffset>
            </wp:positionV>
            <wp:extent cx="603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-522605</wp:posOffset>
            </wp:positionV>
            <wp:extent cx="603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spacing w:after="0"/>
        <w:rPr>
          <w:sz w:val="20"/>
          <w:szCs w:val="20"/>
          <w:color w:val="auto"/>
        </w:rPr>
      </w:pPr>
      <w:r>
        <w:rPr>
          <w:rFonts w:ascii="Arial" w:cs="Arial" w:eastAsia="Arial" w:hAnsi="Arial"/>
          <w:sz w:val="18"/>
          <w:szCs w:val="18"/>
          <w:color w:val="auto"/>
        </w:rPr>
        <w:t>(Amounts in thousands, except share and per share amounts)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6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5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580" w:type="dxa"/>
            <w:vAlign w:val="bottom"/>
          </w:tcPr>
          <w:p>
            <w:pPr>
              <w:spacing w:after="0"/>
              <w:rPr>
                <w:sz w:val="20"/>
                <w:szCs w:val="20"/>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69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69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61,464</w:t>
            </w:r>
          </w:p>
        </w:tc>
        <w:tc>
          <w:tcPr>
            <w:tcW w:w="220" w:type="dxa"/>
            <w:vAlign w:val="bottom"/>
          </w:tcPr>
          <w:p>
            <w:pPr>
              <w:spacing w:after="0"/>
              <w:rPr>
                <w:sz w:val="20"/>
                <w:szCs w:val="20"/>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42,794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FF0FC"/>
          </w:tcPr>
          <w:p>
            <w:pPr>
              <w:spacing w:after="0"/>
              <w:rPr>
                <w:sz w:val="20"/>
                <w:szCs w:val="20"/>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32,552</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21,228</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69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6900" w:type="dxa"/>
            <w:vAlign w:val="bottom"/>
          </w:tcPr>
          <w:p>
            <w:pPr>
              <w:ind w:left="260"/>
              <w:spacing w:after="0"/>
              <w:rPr>
                <w:sz w:val="20"/>
                <w:szCs w:val="20"/>
                <w:color w:val="auto"/>
              </w:rPr>
            </w:pPr>
            <w:r>
              <w:rPr>
                <w:rFonts w:ascii="Arial" w:cs="Arial" w:eastAsia="Arial" w:hAnsi="Arial"/>
                <w:sz w:val="18"/>
                <w:szCs w:val="18"/>
                <w:color w:val="auto"/>
              </w:rPr>
              <w:t>Legal settlement</w:t>
            </w:r>
          </w:p>
        </w:tc>
        <w:tc>
          <w:tcPr>
            <w:tcW w:w="320" w:type="dxa"/>
            <w:vAlign w:val="bottom"/>
          </w:tcPr>
          <w:p>
            <w:pPr>
              <w:spacing w:after="0"/>
              <w:rPr>
                <w:sz w:val="20"/>
                <w:szCs w:val="20"/>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580" w:type="dxa"/>
            <w:vAlign w:val="bottom"/>
          </w:tcPr>
          <w:p>
            <w:pPr>
              <w:spacing w:after="0"/>
              <w:rPr>
                <w:sz w:val="20"/>
                <w:szCs w:val="20"/>
                <w:color w:val="auto"/>
              </w:rPr>
            </w:pPr>
          </w:p>
        </w:tc>
        <w:tc>
          <w:tcPr>
            <w:tcW w:w="6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104,016</w:t>
            </w:r>
          </w:p>
        </w:tc>
        <w:tc>
          <w:tcPr>
            <w:tcW w:w="22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64,022</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690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vMerge w:val="continue"/>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580" w:type="dxa"/>
            <w:vAlign w:val="bottom"/>
          </w:tcPr>
          <w:p>
            <w:pPr>
              <w:spacing w:after="0"/>
              <w:rPr>
                <w:sz w:val="20"/>
                <w:szCs w:val="20"/>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20"/>
                <w:szCs w:val="20"/>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(104,016 )</w:t>
            </w:r>
          </w:p>
        </w:tc>
        <w:tc>
          <w:tcPr>
            <w:tcW w:w="300" w:type="dxa"/>
            <w:vAlign w:val="bottom"/>
          </w:tcPr>
          <w:p>
            <w:pPr>
              <w:spacing w:after="0"/>
              <w:rPr>
                <w:sz w:val="20"/>
                <w:szCs w:val="20"/>
                <w:color w:val="auto"/>
              </w:rPr>
            </w:pPr>
          </w:p>
        </w:tc>
        <w:tc>
          <w:tcPr>
            <w:tcW w:w="12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(64,022 )</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Grant income</w:t>
            </w:r>
          </w:p>
        </w:tc>
        <w:tc>
          <w:tcPr>
            <w:tcW w:w="320" w:type="dxa"/>
            <w:vAlign w:val="bottom"/>
            <w:shd w:val="clear" w:color="auto" w:fill="CFF0FC"/>
          </w:tcPr>
          <w:p>
            <w:pPr>
              <w:spacing w:after="0"/>
              <w:rPr>
                <w:sz w:val="20"/>
                <w:szCs w:val="20"/>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5,161</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8,835</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69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Other income, net</w:t>
            </w:r>
          </w:p>
        </w:tc>
        <w:tc>
          <w:tcPr>
            <w:tcW w:w="320" w:type="dxa"/>
            <w:vAlign w:val="bottom"/>
          </w:tcPr>
          <w:p>
            <w:pPr>
              <w:spacing w:after="0"/>
              <w:rPr>
                <w:sz w:val="20"/>
                <w:szCs w:val="20"/>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3,216</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580" w:type="dxa"/>
            <w:vAlign w:val="bottom"/>
          </w:tcPr>
          <w:p>
            <w:pPr>
              <w:spacing w:after="0"/>
              <w:rPr>
                <w:sz w:val="20"/>
                <w:szCs w:val="20"/>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32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(95,639 )</w:t>
            </w:r>
          </w:p>
        </w:tc>
        <w:tc>
          <w:tcPr>
            <w:tcW w:w="300" w:type="dxa"/>
            <w:vAlign w:val="bottom"/>
            <w:vMerge w:val="restart"/>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(54,853 )</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580" w:type="dxa"/>
            <w:vAlign w:val="bottom"/>
          </w:tcPr>
          <w:p>
            <w:pPr>
              <w:spacing w:after="0"/>
              <w:rPr>
                <w:sz w:val="13"/>
                <w:szCs w:val="13"/>
                <w:color w:val="auto"/>
              </w:rPr>
            </w:pPr>
          </w:p>
        </w:tc>
        <w:tc>
          <w:tcPr>
            <w:tcW w:w="6900" w:type="dxa"/>
            <w:vAlign w:val="bottom"/>
            <w:shd w:val="clear" w:color="auto" w:fill="CFF0FC"/>
          </w:tcPr>
          <w:p>
            <w:pPr>
              <w:spacing w:after="0"/>
              <w:rPr>
                <w:sz w:val="13"/>
                <w:szCs w:val="13"/>
                <w:color w:val="auto"/>
              </w:rPr>
            </w:pPr>
          </w:p>
        </w:tc>
        <w:tc>
          <w:tcPr>
            <w:tcW w:w="320" w:type="dxa"/>
            <w:vAlign w:val="bottom"/>
            <w:vMerge w:val="continue"/>
            <w:shd w:val="clear" w:color="auto" w:fill="CFF0FC"/>
          </w:tcPr>
          <w:p>
            <w:pPr>
              <w:spacing w:after="0"/>
              <w:rPr>
                <w:sz w:val="13"/>
                <w:szCs w:val="13"/>
                <w:color w:val="auto"/>
              </w:rPr>
            </w:pPr>
          </w:p>
        </w:tc>
        <w:tc>
          <w:tcPr>
            <w:tcW w:w="1360" w:type="dxa"/>
            <w:vAlign w:val="bottom"/>
            <w:gridSpan w:val="2"/>
            <w:vMerge w:val="continue"/>
            <w:shd w:val="clear" w:color="auto" w:fill="CFF0FC"/>
          </w:tcPr>
          <w:p>
            <w:pPr>
              <w:spacing w:after="0"/>
              <w:rPr>
                <w:sz w:val="13"/>
                <w:szCs w:val="13"/>
                <w:color w:val="auto"/>
              </w:rPr>
            </w:pPr>
          </w:p>
        </w:tc>
        <w:tc>
          <w:tcPr>
            <w:tcW w:w="300" w:type="dxa"/>
            <w:vAlign w:val="bottom"/>
            <w:vMerge w:val="continue"/>
            <w:shd w:val="clear" w:color="auto" w:fill="CFF0FC"/>
          </w:tcPr>
          <w:p>
            <w:pPr>
              <w:spacing w:after="0"/>
              <w:rPr>
                <w:sz w:val="13"/>
                <w:szCs w:val="13"/>
                <w:color w:val="auto"/>
              </w:rPr>
            </w:pPr>
          </w:p>
        </w:tc>
        <w:tc>
          <w:tcPr>
            <w:tcW w:w="1220" w:type="dxa"/>
            <w:vAlign w:val="bottom"/>
            <w:gridSpan w:val="2"/>
            <w:vMerge w:val="continue"/>
            <w:shd w:val="clear" w:color="auto" w:fill="CFF0FC"/>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9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580" w:type="dxa"/>
            <w:vAlign w:val="bottom"/>
          </w:tcPr>
          <w:p>
            <w:pPr>
              <w:spacing w:after="0"/>
              <w:rPr>
                <w:sz w:val="24"/>
                <w:szCs w:val="24"/>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Unrealized loss on available-for-sale securities</w:t>
            </w:r>
          </w:p>
        </w:tc>
        <w:tc>
          <w:tcPr>
            <w:tcW w:w="320" w:type="dxa"/>
            <w:vAlign w:val="bottom"/>
          </w:tcPr>
          <w:p>
            <w:pPr>
              <w:spacing w:after="0"/>
              <w:rPr>
                <w:sz w:val="24"/>
                <w:szCs w:val="24"/>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(1,568 )</w:t>
            </w:r>
          </w:p>
        </w:tc>
        <w:tc>
          <w:tcPr>
            <w:tcW w:w="300" w:type="dxa"/>
            <w:vAlign w:val="bottom"/>
          </w:tcPr>
          <w:p>
            <w:pPr>
              <w:spacing w:after="0"/>
              <w:rPr>
                <w:sz w:val="24"/>
                <w:szCs w:val="24"/>
                <w:color w:val="auto"/>
              </w:rPr>
            </w:pPr>
          </w:p>
        </w:tc>
        <w:tc>
          <w:tcPr>
            <w:tcW w:w="12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(421 )</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580" w:type="dxa"/>
            <w:vAlign w:val="bottom"/>
          </w:tcPr>
          <w:p>
            <w:pPr>
              <w:spacing w:after="0"/>
              <w:rPr>
                <w:sz w:val="7"/>
                <w:szCs w:val="7"/>
                <w:color w:val="auto"/>
              </w:rPr>
            </w:pPr>
          </w:p>
        </w:tc>
        <w:tc>
          <w:tcPr>
            <w:tcW w:w="69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580" w:type="dxa"/>
            <w:vAlign w:val="bottom"/>
          </w:tcPr>
          <w:p>
            <w:pPr>
              <w:spacing w:after="0"/>
              <w:rPr>
                <w:sz w:val="24"/>
                <w:szCs w:val="24"/>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Comprehensive loss attributable to common stockholders</w:t>
            </w:r>
          </w:p>
        </w:tc>
        <w:tc>
          <w:tcPr>
            <w:tcW w:w="32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(97,207 )</w:t>
            </w:r>
          </w:p>
        </w:tc>
        <w:tc>
          <w:tcPr>
            <w:tcW w:w="300" w:type="dxa"/>
            <w:vAlign w:val="bottom"/>
            <w:vMerge w:val="restart"/>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(55,274 )</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580" w:type="dxa"/>
            <w:vAlign w:val="bottom"/>
          </w:tcPr>
          <w:p>
            <w:pPr>
              <w:spacing w:after="0"/>
              <w:rPr>
                <w:sz w:val="7"/>
                <w:szCs w:val="7"/>
                <w:color w:val="auto"/>
              </w:rPr>
            </w:pPr>
          </w:p>
        </w:tc>
        <w:tc>
          <w:tcPr>
            <w:tcW w:w="6900" w:type="dxa"/>
            <w:vAlign w:val="bottom"/>
            <w:shd w:val="clear" w:color="auto" w:fill="CFF0FC"/>
          </w:tcPr>
          <w:p>
            <w:pPr>
              <w:spacing w:after="0"/>
              <w:rPr>
                <w:sz w:val="7"/>
                <w:szCs w:val="7"/>
                <w:color w:val="auto"/>
              </w:rPr>
            </w:pPr>
          </w:p>
        </w:tc>
        <w:tc>
          <w:tcPr>
            <w:tcW w:w="320" w:type="dxa"/>
            <w:vAlign w:val="bottom"/>
            <w:vMerge w:val="continue"/>
            <w:shd w:val="clear" w:color="auto" w:fill="CFF0FC"/>
          </w:tcPr>
          <w:p>
            <w:pPr>
              <w:spacing w:after="0"/>
              <w:rPr>
                <w:sz w:val="7"/>
                <w:szCs w:val="7"/>
                <w:color w:val="auto"/>
              </w:rPr>
            </w:pPr>
          </w:p>
        </w:tc>
        <w:tc>
          <w:tcPr>
            <w:tcW w:w="1360" w:type="dxa"/>
            <w:vAlign w:val="bottom"/>
            <w:gridSpan w:val="2"/>
            <w:vMerge w:val="continue"/>
            <w:shd w:val="clear" w:color="auto" w:fill="CFF0FC"/>
          </w:tcPr>
          <w:p>
            <w:pPr>
              <w:spacing w:after="0"/>
              <w:rPr>
                <w:sz w:val="7"/>
                <w:szCs w:val="7"/>
                <w:color w:val="auto"/>
              </w:rPr>
            </w:pPr>
          </w:p>
        </w:tc>
        <w:tc>
          <w:tcPr>
            <w:tcW w:w="300" w:type="dxa"/>
            <w:vAlign w:val="bottom"/>
            <w:vMerge w:val="continue"/>
            <w:shd w:val="clear" w:color="auto" w:fill="CFF0FC"/>
          </w:tcPr>
          <w:p>
            <w:pPr>
              <w:spacing w:after="0"/>
              <w:rPr>
                <w:sz w:val="7"/>
                <w:szCs w:val="7"/>
                <w:color w:val="auto"/>
              </w:rPr>
            </w:pPr>
          </w:p>
        </w:tc>
        <w:tc>
          <w:tcPr>
            <w:tcW w:w="1220" w:type="dxa"/>
            <w:vAlign w:val="bottom"/>
            <w:gridSpan w:val="2"/>
            <w:vMerge w:val="continue"/>
            <w:shd w:val="clear" w:color="auto" w:fill="CFF0FC"/>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9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80" w:type="dxa"/>
            <w:vAlign w:val="bottom"/>
          </w:tcPr>
          <w:p>
            <w:pPr>
              <w:spacing w:after="0"/>
              <w:rPr>
                <w:sz w:val="14"/>
                <w:szCs w:val="14"/>
                <w:color w:val="auto"/>
              </w:rPr>
            </w:pPr>
          </w:p>
        </w:tc>
        <w:tc>
          <w:tcPr>
            <w:tcW w:w="6900" w:type="dxa"/>
            <w:vAlign w:val="bottom"/>
          </w:tcPr>
          <w:p>
            <w:pPr>
              <w:spacing w:after="0" w:line="164" w:lineRule="exact"/>
              <w:rPr>
                <w:sz w:val="20"/>
                <w:szCs w:val="20"/>
                <w:color w:val="auto"/>
              </w:rPr>
            </w:pPr>
            <w:r>
              <w:rPr>
                <w:rFonts w:ascii="Arial" w:cs="Arial" w:eastAsia="Arial" w:hAnsi="Arial"/>
                <w:sz w:val="18"/>
                <w:szCs w:val="18"/>
                <w:color w:val="auto"/>
              </w:rPr>
              <w:t>Net loss per share attributable to common stockholders,</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(2.53 )</w:t>
            </w: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(1.49 )</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6900" w:type="dxa"/>
            <w:vAlign w:val="bottom"/>
          </w:tcPr>
          <w:p>
            <w:pPr>
              <w:ind w:left="160"/>
              <w:spacing w:after="0" w:line="195" w:lineRule="exact"/>
              <w:rPr>
                <w:sz w:val="20"/>
                <w:szCs w:val="20"/>
                <w:color w:val="auto"/>
              </w:rPr>
            </w:pPr>
            <w:r>
              <w:rPr>
                <w:rFonts w:ascii="Arial" w:cs="Arial" w:eastAsia="Arial" w:hAnsi="Arial"/>
                <w:sz w:val="18"/>
                <w:szCs w:val="18"/>
                <w:color w:val="auto"/>
              </w:rPr>
              <w:t>basic and diluted</w:t>
            </w:r>
          </w:p>
        </w:tc>
        <w:tc>
          <w:tcPr>
            <w:tcW w:w="320" w:type="dxa"/>
            <w:vAlign w:val="bottom"/>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80" w:type="dxa"/>
            <w:vAlign w:val="bottom"/>
          </w:tcPr>
          <w:p>
            <w:pPr>
              <w:spacing w:after="0"/>
              <w:rPr>
                <w:sz w:val="14"/>
                <w:szCs w:val="14"/>
                <w:color w:val="auto"/>
              </w:rPr>
            </w:pPr>
          </w:p>
        </w:tc>
        <w:tc>
          <w:tcPr>
            <w:tcW w:w="6900" w:type="dxa"/>
            <w:vAlign w:val="bottom"/>
            <w:shd w:val="clear" w:color="auto" w:fill="CFF0FC"/>
          </w:tcPr>
          <w:p>
            <w:pPr>
              <w:spacing w:after="0" w:line="164" w:lineRule="exact"/>
              <w:rPr>
                <w:sz w:val="20"/>
                <w:szCs w:val="20"/>
                <w:color w:val="auto"/>
              </w:rPr>
            </w:pPr>
            <w:r>
              <w:rPr>
                <w:rFonts w:ascii="Arial" w:cs="Arial" w:eastAsia="Arial" w:hAnsi="Arial"/>
                <w:sz w:val="18"/>
                <w:szCs w:val="18"/>
                <w:color w:val="auto"/>
              </w:rPr>
              <w:t>Weighted-average shares used in computing net loss per</w:t>
            </w: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9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share attributable to common stockholders, basic</w:t>
            </w:r>
          </w:p>
        </w:tc>
        <w:tc>
          <w:tcPr>
            <w:tcW w:w="320" w:type="dxa"/>
            <w:vAlign w:val="bottom"/>
            <w:shd w:val="clear" w:color="auto" w:fill="CFF0FC"/>
          </w:tcPr>
          <w:p>
            <w:pPr>
              <w:spacing w:after="0"/>
              <w:rPr>
                <w:sz w:val="17"/>
                <w:szCs w:val="17"/>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37,733,240</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36,921,172</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6900" w:type="dxa"/>
            <w:vAlign w:val="bottom"/>
            <w:tcBorders>
              <w:bottom w:val="single" w:sz="8" w:color="CFF0FC"/>
            </w:tcBorders>
            <w:shd w:val="clear" w:color="auto" w:fill="CFF0FC"/>
          </w:tcPr>
          <w:p>
            <w:pPr>
              <w:ind w:left="160"/>
              <w:spacing w:after="0" w:line="195" w:lineRule="exact"/>
              <w:rPr>
                <w:sz w:val="20"/>
                <w:szCs w:val="20"/>
                <w:color w:val="auto"/>
              </w:rPr>
            </w:pPr>
            <w:r>
              <w:rPr>
                <w:rFonts w:ascii="Arial" w:cs="Arial" w:eastAsia="Arial" w:hAnsi="Arial"/>
                <w:sz w:val="18"/>
                <w:szCs w:val="18"/>
                <w:color w:val="auto"/>
              </w:rPr>
              <w:t>and diluted</w:t>
            </w:r>
          </w:p>
        </w:tc>
        <w:tc>
          <w:tcPr>
            <w:tcW w:w="3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5"/>
        </w:trPr>
        <w:tc>
          <w:tcPr>
            <w:tcW w:w="58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-2648585</wp:posOffset>
            </wp:positionV>
            <wp:extent cx="68580" cy="274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-2648585</wp:posOffset>
            </wp:positionV>
            <wp:extent cx="60325" cy="274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27432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-1593850</wp:posOffset>
            </wp:positionV>
            <wp:extent cx="1106170" cy="291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06170" cy="29146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-1062355</wp:posOffset>
            </wp:positionV>
            <wp:extent cx="1106170" cy="291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06170" cy="29146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-402590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-385445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-402590</wp:posOffset>
            </wp:positionV>
            <wp:extent cx="60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-385445</wp:posOffset>
            </wp:positionV>
            <wp:extent cx="603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2023-03-23T16:27:06Z</dcterms:created>
  <dcterms:modified xsi:type="dcterms:W3CDTF">2023-03-23T16:27:06Z</dcterms:modified>
</cp:coreProperties>
</file>