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31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1304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58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CHURCH KEVIN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06/30/2025</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58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3"/>
              </w:rPr>
              <w:t>05/19/2025</w:t>
            </w:r>
            <w:r>
              <w:rPr>
                <w:rFonts w:ascii="Times New Roman" w:cs="Times New Roman" w:eastAsia="Times New Roman" w:hAnsi="Times New Roman"/>
                <w:sz w:val="21"/>
                <w:szCs w:val="21"/>
                <w:color w:val="008000"/>
                <w:w w:val="93"/>
                <w:vertAlign w:val="superscript"/>
              </w:rPr>
              <w:t>(2)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8"/>
              </w:rPr>
              <w:t>10,000</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0.2312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140,761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06/30/2025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Pr>
          <w:p>
            <w:pPr>
              <w:spacing w:after="0"/>
              <w:rPr>
                <w:sz w:val="22"/>
                <w:szCs w:val="22"/>
                <w:color w:val="auto"/>
              </w:rPr>
            </w:pP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0000FF"/>
                <w:w w:val="98"/>
              </w:rPr>
              <w:t>36,666</w:t>
            </w:r>
          </w:p>
        </w:tc>
        <w:tc>
          <w:tcPr>
            <w:tcW w:w="6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177,427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07/01/2025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8,526</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0.2935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168,901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36,666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06/30/2025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36,666</w:t>
            </w:r>
          </w:p>
        </w:tc>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300" w:type="dxa"/>
            <w:vAlign w:val="bottom"/>
          </w:tcPr>
          <w:p>
            <w:pPr>
              <w:spacing w:after="0"/>
              <w:rPr>
                <w:sz w:val="12"/>
                <w:szCs w:val="1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36,667</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(6)</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("ESPP"),for the ESPP Purchase Period (as defined in the ESPP) of November 18, 2024 through May 19, 2025. This transaction is exempt under Rule 16b-3(c).</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March 19, 2025 and is the Purchase Period comprising the Offering Period (as defined in the ESPP) that began November 18, 2024.</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19, 2025.</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$0.2854 to $0.3031,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110,000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07/02/2025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Kevin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00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249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2025-07-02T15:37:39Z</dcterms:created>
  <dcterms:modified xsi:type="dcterms:W3CDTF">2025-07-02T15:37:39Z</dcterms:modified>
</cp:coreProperties>
</file>