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5</w:t>
            </w: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280" w:type="dxa"/>
            <w:vAlign w:val="bottom"/>
            <w:gridSpan w:val="17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2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2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Estimated average burden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hours per response: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  <w:vMerge w:val="restart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Romano Kelly A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Athira Pharma,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ATHA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1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1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 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30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7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7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31.7431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29.41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12/10/2030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27,742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6927850</wp:posOffset>
            </wp:positionH>
            <wp:positionV relativeFrom="paragraph">
              <wp:posOffset>-5819140</wp:posOffset>
            </wp:positionV>
            <wp:extent cx="8255" cy="6127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-5828030</wp:posOffset>
            </wp:positionV>
            <wp:extent cx="8255" cy="6210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5643880</wp:posOffset>
            </wp:positionH>
            <wp:positionV relativeFrom="paragraph">
              <wp:posOffset>-5802630</wp:posOffset>
            </wp:positionV>
            <wp:extent cx="1267460" cy="5715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-5620385</wp:posOffset>
            </wp:positionV>
            <wp:extent cx="7033260" cy="5782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578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-5620385</wp:posOffset>
            </wp:positionV>
            <wp:extent cx="7033260" cy="5782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578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340" w:firstLine="4"/>
        <w:spacing w:after="0" w:line="254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acquisition of these derivative securities was previously reported on the Reporting Person's Form 4 filed on December 14, 2020. This holding is included solely to reconfirm the number of derivative securities of this class beneficially owned by the Reporting Person.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One-thirty-sixth of the shares subject to the option will vest on January 11, 2021 and thereafter one-thirty-sixth of the shares subject to the option will vest each month thereafter.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Glenna Mileson, Attorney in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fact for Kelly A. Romano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722055" TargetMode="External"/><Relationship Id="rId9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2021-01-08T20:51:19Z</dcterms:created>
  <dcterms:modified xsi:type="dcterms:W3CDTF">2021-01-08T20:51:19Z</dcterms:modified>
</cp:coreProperties>
</file>