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left="1280"/>
        <w:spacing w:after="0"/>
        <w:rPr>
          <w:sz w:val="20"/>
          <w:szCs w:val="20"/>
          <w:color w:val="auto"/>
        </w:rPr>
      </w:pPr>
      <w:r>
        <w:rPr>
          <w:rFonts w:ascii="Arial" w:cs="Arial" w:eastAsia="Arial" w:hAnsi="Arial"/>
          <w:sz w:val="22"/>
          <w:szCs w:val="22"/>
          <w:b w:val="1"/>
          <w:bCs w:val="1"/>
          <w:color w:val="auto"/>
        </w:rPr>
        <w:t>INFORMATION TO BE INCLUDED IN STATEMENTS PURSUANT TO RULES 13d-</w:t>
      </w:r>
    </w:p>
    <w:p>
      <w:pPr>
        <w:spacing w:after="0" w:line="4" w:lineRule="exact"/>
        <w:rPr>
          <w:sz w:val="24"/>
          <w:szCs w:val="24"/>
          <w:color w:val="auto"/>
        </w:rPr>
      </w:pPr>
    </w:p>
    <w:p>
      <w:pPr>
        <w:jc w:val="center"/>
        <w:ind w:left="1280"/>
        <w:spacing w:after="0"/>
        <w:rPr>
          <w:sz w:val="20"/>
          <w:szCs w:val="20"/>
          <w:color w:val="auto"/>
        </w:rPr>
      </w:pPr>
      <w:r>
        <w:rPr>
          <w:rFonts w:ascii="Arial" w:cs="Arial" w:eastAsia="Arial" w:hAnsi="Arial"/>
          <w:sz w:val="22"/>
          <w:szCs w:val="22"/>
          <w:b w:val="1"/>
          <w:bCs w:val="1"/>
          <w:color w:val="auto"/>
        </w:rPr>
        <w:t>1(b),(c) AND (d) AND AMENDMENTS THERETO FILED PURSUANT TO 13d-2</w:t>
      </w:r>
    </w:p>
    <w:p>
      <w:pPr>
        <w:ind w:left="35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2)</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43"/>
          <w:szCs w:val="43"/>
          <w:u w:val="single" w:color="auto"/>
          <w:color w:val="auto"/>
        </w:rPr>
        <w:t>Athira Pharma, Inc.</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Common stock, $0.0001 par value per share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04746L104</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1" w:lineRule="exact"/>
        <w:rPr>
          <w:rFonts w:ascii="MS PGothic" w:cs="MS PGothic" w:eastAsia="MS PGothic" w:hAnsi="MS PGothic"/>
          <w:sz w:val="22"/>
          <w:szCs w:val="22"/>
          <w:color w:val="auto"/>
        </w:rPr>
      </w:pPr>
    </w:p>
    <w:p>
      <w:pPr>
        <w:ind w:left="5140" w:hanging="240"/>
        <w:spacing w:after="0"/>
        <w:tabs>
          <w:tab w:leader="none" w:pos="5140" w:val="left"/>
        </w:tabs>
        <w:numPr>
          <w:ilvl w:val="2"/>
          <w:numId w:val="1"/>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3" w:lineRule="exact"/>
        <w:rPr>
          <w:rFonts w:ascii="MS PGothic" w:cs="MS PGothic" w:eastAsia="MS PGothic" w:hAnsi="MS PGothic"/>
          <w:sz w:val="22"/>
          <w:szCs w:val="22"/>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15" w:lineRule="exact"/>
        <w:rPr>
          <w:rFonts w:ascii="MS PGothic" w:cs="MS PGothic" w:eastAsia="MS PGothic" w:hAnsi="MS PGothic"/>
          <w:sz w:val="22"/>
          <w:szCs w:val="22"/>
          <w:color w:val="auto"/>
        </w:rPr>
      </w:pPr>
    </w:p>
    <w:p>
      <w:pPr>
        <w:jc w:val="both"/>
        <w:spacing w:after="0"/>
        <w:rPr>
          <w:rFonts w:ascii="MS PGothic" w:cs="MS PGothic" w:eastAsia="MS PGothic" w:hAnsi="MS PGothic"/>
          <w:sz w:val="22"/>
          <w:szCs w:val="22"/>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ind w:right="40"/>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2"/>
          <w:szCs w:val="22"/>
          <w:i w:val="1"/>
          <w:iCs w:val="1"/>
          <w:color w:val="auto"/>
        </w:rPr>
        <w:t>see</w:t>
      </w:r>
      <w:r>
        <w:rPr>
          <w:rFonts w:ascii="Arial" w:cs="Arial" w:eastAsia="Arial" w:hAnsi="Arial"/>
          <w:sz w:val="22"/>
          <w:szCs w:val="22"/>
          <w:color w:val="auto"/>
        </w:rPr>
        <w:t xml:space="preserv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4300" w:type="dxa"/>
            <w:vAlign w:val="bottom"/>
            <w:gridSpan w:val="4"/>
          </w:tcPr>
          <w:p>
            <w:pPr>
              <w:ind w:left="420"/>
              <w:spacing w:after="0"/>
              <w:rPr>
                <w:sz w:val="20"/>
                <w:szCs w:val="20"/>
                <w:color w:val="auto"/>
              </w:rPr>
            </w:pPr>
            <w:r>
              <w:rPr>
                <w:rFonts w:ascii="Arial" w:cs="Arial" w:eastAsia="Arial" w:hAnsi="Arial"/>
                <w:sz w:val="18"/>
                <w:szCs w:val="18"/>
                <w:b w:val="1"/>
                <w:bCs w:val="1"/>
                <w:color w:val="auto"/>
              </w:rPr>
              <w:t>CUSIP No. 04746L104</w:t>
            </w:r>
          </w:p>
        </w:tc>
        <w:tc>
          <w:tcPr>
            <w:tcW w:w="2720" w:type="dxa"/>
            <w:vAlign w:val="bottom"/>
          </w:tcPr>
          <w:p>
            <w:pPr>
              <w:ind w:left="280"/>
              <w:spacing w:after="0"/>
              <w:rPr>
                <w:sz w:val="20"/>
                <w:szCs w:val="20"/>
                <w:color w:val="auto"/>
              </w:rPr>
            </w:pPr>
            <w:r>
              <w:rPr>
                <w:rFonts w:ascii="Arial" w:cs="Arial" w:eastAsia="Arial" w:hAnsi="Arial"/>
                <w:sz w:val="18"/>
                <w:szCs w:val="18"/>
                <w:b w:val="1"/>
                <w:bCs w:val="1"/>
                <w:color w:val="auto"/>
              </w:rPr>
              <w:t>13G/A</w:t>
            </w:r>
          </w:p>
        </w:tc>
        <w:tc>
          <w:tcPr>
            <w:tcW w:w="2820" w:type="dxa"/>
            <w:vAlign w:val="bottom"/>
          </w:tcPr>
          <w:p>
            <w:pPr>
              <w:ind w:left="60"/>
              <w:spacing w:after="0"/>
              <w:rPr>
                <w:sz w:val="20"/>
                <w:szCs w:val="20"/>
                <w:color w:val="auto"/>
              </w:rPr>
            </w:pPr>
            <w:r>
              <w:rPr>
                <w:rFonts w:ascii="Arial" w:cs="Arial" w:eastAsia="Arial" w:hAnsi="Arial"/>
                <w:sz w:val="18"/>
                <w:szCs w:val="18"/>
                <w:b w:val="1"/>
                <w:bCs w:val="1"/>
                <w:color w:val="auto"/>
              </w:rPr>
              <w:t>Page 2 of 16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gridSpan w:val="4"/>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430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4300" w:type="dxa"/>
            <w:vAlign w:val="bottom"/>
            <w:gridSpan w:val="4"/>
          </w:tcPr>
          <w:p>
            <w:pPr>
              <w:ind w:left="40"/>
              <w:spacing w:after="0"/>
              <w:rPr>
                <w:sz w:val="20"/>
                <w:szCs w:val="20"/>
                <w:color w:val="auto"/>
              </w:rPr>
            </w:pPr>
            <w:r>
              <w:rPr>
                <w:rFonts w:ascii="Arial" w:cs="Arial" w:eastAsia="Arial" w:hAnsi="Arial"/>
                <w:sz w:val="18"/>
                <w:szCs w:val="18"/>
                <w:color w:val="auto"/>
              </w:rPr>
              <w:t>Viking Global Investors LP</w:t>
            </w: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020" w:type="dxa"/>
            <w:vAlign w:val="bottom"/>
            <w:tcBorders>
              <w:bottom w:val="single" w:sz="8" w:color="auto"/>
            </w:tcBorders>
            <w:gridSpan w:val="5"/>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0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2980" w:type="dxa"/>
            <w:vAlign w:val="bottom"/>
            <w:shd w:val="clear" w:color="auto" w:fill="BFBFBF"/>
          </w:tcPr>
          <w:p>
            <w:pPr>
              <w:spacing w:after="0"/>
              <w:rPr>
                <w:sz w:val="20"/>
                <w:szCs w:val="20"/>
                <w:color w:val="auto"/>
              </w:rPr>
            </w:pPr>
          </w:p>
        </w:tc>
        <w:tc>
          <w:tcPr>
            <w:tcW w:w="2720" w:type="dxa"/>
            <w:vAlign w:val="bottom"/>
            <w:shd w:val="clear" w:color="auto" w:fill="BFBFBF"/>
          </w:tcPr>
          <w:p>
            <w:pPr>
              <w:spacing w:after="0"/>
              <w:rPr>
                <w:sz w:val="20"/>
                <w:szCs w:val="20"/>
                <w:color w:val="auto"/>
              </w:rPr>
            </w:pPr>
          </w:p>
        </w:tc>
        <w:tc>
          <w:tcPr>
            <w:tcW w:w="28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2980" w:type="dxa"/>
            <w:vAlign w:val="bottom"/>
            <w:shd w:val="clear" w:color="auto" w:fill="BFBFBF"/>
          </w:tcPr>
          <w:p>
            <w:pPr>
              <w:spacing w:after="0"/>
              <w:rPr>
                <w:sz w:val="24"/>
                <w:szCs w:val="24"/>
                <w:color w:val="auto"/>
              </w:rPr>
            </w:pPr>
          </w:p>
        </w:tc>
        <w:tc>
          <w:tcPr>
            <w:tcW w:w="2720" w:type="dxa"/>
            <w:vAlign w:val="bottom"/>
            <w:shd w:val="clear" w:color="auto" w:fill="BFBFBF"/>
          </w:tcPr>
          <w:p>
            <w:pPr>
              <w:spacing w:after="0"/>
              <w:rPr>
                <w:sz w:val="24"/>
                <w:szCs w:val="24"/>
                <w:color w:val="auto"/>
              </w:rPr>
            </w:pPr>
          </w:p>
        </w:tc>
        <w:tc>
          <w:tcPr>
            <w:tcW w:w="28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4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BFBFBF"/>
            </w:tcBorders>
            <w:shd w:val="clear" w:color="auto" w:fill="BFBFBF"/>
          </w:tcPr>
          <w:p>
            <w:pPr>
              <w:spacing w:after="0"/>
              <w:rPr>
                <w:sz w:val="23"/>
                <w:szCs w:val="23"/>
                <w:color w:val="auto"/>
              </w:rPr>
            </w:pPr>
          </w:p>
        </w:tc>
        <w:tc>
          <w:tcPr>
            <w:tcW w:w="2980" w:type="dxa"/>
            <w:vAlign w:val="bottom"/>
            <w:tcBorders>
              <w:bottom w:val="single" w:sz="8" w:color="auto"/>
            </w:tcBorders>
            <w:shd w:val="clear" w:color="auto" w:fill="BFBFBF"/>
          </w:tcPr>
          <w:p>
            <w:pPr>
              <w:spacing w:after="0"/>
              <w:rPr>
                <w:sz w:val="23"/>
                <w:szCs w:val="23"/>
                <w:color w:val="auto"/>
              </w:rPr>
            </w:pPr>
          </w:p>
        </w:tc>
        <w:tc>
          <w:tcPr>
            <w:tcW w:w="2720" w:type="dxa"/>
            <w:vAlign w:val="bottom"/>
            <w:tcBorders>
              <w:bottom w:val="single" w:sz="8" w:color="auto"/>
            </w:tcBorders>
            <w:shd w:val="clear" w:color="auto" w:fill="BFBFBF"/>
          </w:tcPr>
          <w:p>
            <w:pPr>
              <w:spacing w:after="0"/>
              <w:rPr>
                <w:sz w:val="23"/>
                <w:szCs w:val="23"/>
                <w:color w:val="auto"/>
              </w:rPr>
            </w:pPr>
          </w:p>
        </w:tc>
        <w:tc>
          <w:tcPr>
            <w:tcW w:w="28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30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7"/>
              </w:rPr>
              <w:t>Delaware</w:t>
            </w: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98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2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720" w:type="dxa"/>
            <w:vAlign w:val="bottom"/>
          </w:tcPr>
          <w:p>
            <w:pPr>
              <w:spacing w:after="0"/>
              <w:rPr>
                <w:sz w:val="6"/>
                <w:szCs w:val="6"/>
                <w:color w:val="auto"/>
              </w:rPr>
            </w:pPr>
          </w:p>
        </w:tc>
        <w:tc>
          <w:tcPr>
            <w:tcW w:w="2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98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2720" w:type="dxa"/>
            <w:vAlign w:val="bottom"/>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29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0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2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5700" w:type="dxa"/>
            <w:vAlign w:val="bottom"/>
            <w:tcBorders>
              <w:bottom w:val="single" w:sz="8" w:color="auto"/>
            </w:tcBorders>
            <w:gridSpan w:val="2"/>
          </w:tcPr>
          <w:p>
            <w:pPr>
              <w:spacing w:after="0"/>
              <w:rPr>
                <w:sz w:val="12"/>
                <w:szCs w:val="12"/>
                <w:color w:val="auto"/>
              </w:rPr>
            </w:pPr>
          </w:p>
        </w:tc>
        <w:tc>
          <w:tcPr>
            <w:tcW w:w="2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0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0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4300" w:type="dxa"/>
            <w:vAlign w:val="bottom"/>
            <w:gridSpan w:val="4"/>
          </w:tcPr>
          <w:p>
            <w:pPr>
              <w:ind w:left="420"/>
              <w:spacing w:after="0"/>
              <w:rPr>
                <w:sz w:val="20"/>
                <w:szCs w:val="20"/>
                <w:color w:val="auto"/>
              </w:rPr>
            </w:pPr>
            <w:r>
              <w:rPr>
                <w:rFonts w:ascii="Arial" w:cs="Arial" w:eastAsia="Arial" w:hAnsi="Arial"/>
                <w:sz w:val="18"/>
                <w:szCs w:val="18"/>
                <w:b w:val="1"/>
                <w:bCs w:val="1"/>
                <w:color w:val="auto"/>
              </w:rPr>
              <w:t>CUSIP No. 04746L104</w:t>
            </w:r>
          </w:p>
        </w:tc>
        <w:tc>
          <w:tcPr>
            <w:tcW w:w="2720" w:type="dxa"/>
            <w:vAlign w:val="bottom"/>
          </w:tcPr>
          <w:p>
            <w:pPr>
              <w:ind w:left="280"/>
              <w:spacing w:after="0"/>
              <w:rPr>
                <w:sz w:val="20"/>
                <w:szCs w:val="20"/>
                <w:color w:val="auto"/>
              </w:rPr>
            </w:pPr>
            <w:r>
              <w:rPr>
                <w:rFonts w:ascii="Arial" w:cs="Arial" w:eastAsia="Arial" w:hAnsi="Arial"/>
                <w:sz w:val="18"/>
                <w:szCs w:val="18"/>
                <w:b w:val="1"/>
                <w:bCs w:val="1"/>
                <w:color w:val="auto"/>
              </w:rPr>
              <w:t>13G/A</w:t>
            </w:r>
          </w:p>
        </w:tc>
        <w:tc>
          <w:tcPr>
            <w:tcW w:w="2820" w:type="dxa"/>
            <w:vAlign w:val="bottom"/>
          </w:tcPr>
          <w:p>
            <w:pPr>
              <w:ind w:left="60"/>
              <w:spacing w:after="0"/>
              <w:rPr>
                <w:sz w:val="20"/>
                <w:szCs w:val="20"/>
                <w:color w:val="auto"/>
              </w:rPr>
            </w:pPr>
            <w:r>
              <w:rPr>
                <w:rFonts w:ascii="Arial" w:cs="Arial" w:eastAsia="Arial" w:hAnsi="Arial"/>
                <w:sz w:val="18"/>
                <w:szCs w:val="18"/>
                <w:b w:val="1"/>
                <w:bCs w:val="1"/>
                <w:color w:val="auto"/>
              </w:rPr>
              <w:t>Page 3 of 16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gridSpan w:val="4"/>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430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4300" w:type="dxa"/>
            <w:vAlign w:val="bottom"/>
            <w:gridSpan w:val="4"/>
          </w:tcPr>
          <w:p>
            <w:pPr>
              <w:ind w:left="40"/>
              <w:spacing w:after="0"/>
              <w:rPr>
                <w:sz w:val="20"/>
                <w:szCs w:val="20"/>
                <w:color w:val="auto"/>
              </w:rPr>
            </w:pPr>
            <w:r>
              <w:rPr>
                <w:rFonts w:ascii="Arial" w:cs="Arial" w:eastAsia="Arial" w:hAnsi="Arial"/>
                <w:sz w:val="18"/>
                <w:szCs w:val="18"/>
                <w:color w:val="auto"/>
              </w:rPr>
              <w:t>Viking Global Opportunities Parent GP LLC</w:t>
            </w: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020" w:type="dxa"/>
            <w:vAlign w:val="bottom"/>
            <w:tcBorders>
              <w:bottom w:val="single" w:sz="8" w:color="auto"/>
            </w:tcBorders>
            <w:gridSpan w:val="5"/>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0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2980" w:type="dxa"/>
            <w:vAlign w:val="bottom"/>
            <w:shd w:val="clear" w:color="auto" w:fill="BFBFBF"/>
          </w:tcPr>
          <w:p>
            <w:pPr>
              <w:spacing w:after="0"/>
              <w:rPr>
                <w:sz w:val="20"/>
                <w:szCs w:val="20"/>
                <w:color w:val="auto"/>
              </w:rPr>
            </w:pPr>
          </w:p>
        </w:tc>
        <w:tc>
          <w:tcPr>
            <w:tcW w:w="2720" w:type="dxa"/>
            <w:vAlign w:val="bottom"/>
            <w:shd w:val="clear" w:color="auto" w:fill="BFBFBF"/>
          </w:tcPr>
          <w:p>
            <w:pPr>
              <w:spacing w:after="0"/>
              <w:rPr>
                <w:sz w:val="20"/>
                <w:szCs w:val="20"/>
                <w:color w:val="auto"/>
              </w:rPr>
            </w:pPr>
          </w:p>
        </w:tc>
        <w:tc>
          <w:tcPr>
            <w:tcW w:w="28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2980" w:type="dxa"/>
            <w:vAlign w:val="bottom"/>
            <w:shd w:val="clear" w:color="auto" w:fill="BFBFBF"/>
          </w:tcPr>
          <w:p>
            <w:pPr>
              <w:spacing w:after="0"/>
              <w:rPr>
                <w:sz w:val="24"/>
                <w:szCs w:val="24"/>
                <w:color w:val="auto"/>
              </w:rPr>
            </w:pPr>
          </w:p>
        </w:tc>
        <w:tc>
          <w:tcPr>
            <w:tcW w:w="2720" w:type="dxa"/>
            <w:vAlign w:val="bottom"/>
            <w:shd w:val="clear" w:color="auto" w:fill="BFBFBF"/>
          </w:tcPr>
          <w:p>
            <w:pPr>
              <w:spacing w:after="0"/>
              <w:rPr>
                <w:sz w:val="24"/>
                <w:szCs w:val="24"/>
                <w:color w:val="auto"/>
              </w:rPr>
            </w:pPr>
          </w:p>
        </w:tc>
        <w:tc>
          <w:tcPr>
            <w:tcW w:w="28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4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BFBFBF"/>
            </w:tcBorders>
            <w:shd w:val="clear" w:color="auto" w:fill="BFBFBF"/>
          </w:tcPr>
          <w:p>
            <w:pPr>
              <w:spacing w:after="0"/>
              <w:rPr>
                <w:sz w:val="23"/>
                <w:szCs w:val="23"/>
                <w:color w:val="auto"/>
              </w:rPr>
            </w:pPr>
          </w:p>
        </w:tc>
        <w:tc>
          <w:tcPr>
            <w:tcW w:w="2980" w:type="dxa"/>
            <w:vAlign w:val="bottom"/>
            <w:tcBorders>
              <w:bottom w:val="single" w:sz="8" w:color="auto"/>
            </w:tcBorders>
            <w:shd w:val="clear" w:color="auto" w:fill="BFBFBF"/>
          </w:tcPr>
          <w:p>
            <w:pPr>
              <w:spacing w:after="0"/>
              <w:rPr>
                <w:sz w:val="23"/>
                <w:szCs w:val="23"/>
                <w:color w:val="auto"/>
              </w:rPr>
            </w:pPr>
          </w:p>
        </w:tc>
        <w:tc>
          <w:tcPr>
            <w:tcW w:w="2720" w:type="dxa"/>
            <w:vAlign w:val="bottom"/>
            <w:tcBorders>
              <w:bottom w:val="single" w:sz="8" w:color="auto"/>
            </w:tcBorders>
            <w:shd w:val="clear" w:color="auto" w:fill="BFBFBF"/>
          </w:tcPr>
          <w:p>
            <w:pPr>
              <w:spacing w:after="0"/>
              <w:rPr>
                <w:sz w:val="23"/>
                <w:szCs w:val="23"/>
                <w:color w:val="auto"/>
              </w:rPr>
            </w:pPr>
          </w:p>
        </w:tc>
        <w:tc>
          <w:tcPr>
            <w:tcW w:w="28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30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7"/>
              </w:rPr>
              <w:t>Delaware</w:t>
            </w: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98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2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720" w:type="dxa"/>
            <w:vAlign w:val="bottom"/>
          </w:tcPr>
          <w:p>
            <w:pPr>
              <w:spacing w:after="0"/>
              <w:rPr>
                <w:sz w:val="6"/>
                <w:szCs w:val="6"/>
                <w:color w:val="auto"/>
              </w:rPr>
            </w:pPr>
          </w:p>
        </w:tc>
        <w:tc>
          <w:tcPr>
            <w:tcW w:w="2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98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2720" w:type="dxa"/>
            <w:vAlign w:val="bottom"/>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29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0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2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5700" w:type="dxa"/>
            <w:vAlign w:val="bottom"/>
            <w:tcBorders>
              <w:bottom w:val="single" w:sz="8" w:color="auto"/>
            </w:tcBorders>
            <w:gridSpan w:val="2"/>
          </w:tcPr>
          <w:p>
            <w:pPr>
              <w:spacing w:after="0"/>
              <w:rPr>
                <w:sz w:val="12"/>
                <w:szCs w:val="12"/>
                <w:color w:val="auto"/>
              </w:rPr>
            </w:pPr>
          </w:p>
        </w:tc>
        <w:tc>
          <w:tcPr>
            <w:tcW w:w="2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0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0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4300" w:type="dxa"/>
            <w:vAlign w:val="bottom"/>
            <w:gridSpan w:val="4"/>
          </w:tcPr>
          <w:p>
            <w:pPr>
              <w:ind w:left="420"/>
              <w:spacing w:after="0"/>
              <w:rPr>
                <w:sz w:val="20"/>
                <w:szCs w:val="20"/>
                <w:color w:val="auto"/>
              </w:rPr>
            </w:pPr>
            <w:r>
              <w:rPr>
                <w:rFonts w:ascii="Arial" w:cs="Arial" w:eastAsia="Arial" w:hAnsi="Arial"/>
                <w:sz w:val="18"/>
                <w:szCs w:val="18"/>
                <w:b w:val="1"/>
                <w:bCs w:val="1"/>
                <w:color w:val="auto"/>
              </w:rPr>
              <w:t>CUSIP No. 04746L104</w:t>
            </w:r>
          </w:p>
        </w:tc>
        <w:tc>
          <w:tcPr>
            <w:tcW w:w="2720" w:type="dxa"/>
            <w:vAlign w:val="bottom"/>
          </w:tcPr>
          <w:p>
            <w:pPr>
              <w:ind w:left="280"/>
              <w:spacing w:after="0"/>
              <w:rPr>
                <w:sz w:val="20"/>
                <w:szCs w:val="20"/>
                <w:color w:val="auto"/>
              </w:rPr>
            </w:pPr>
            <w:r>
              <w:rPr>
                <w:rFonts w:ascii="Arial" w:cs="Arial" w:eastAsia="Arial" w:hAnsi="Arial"/>
                <w:sz w:val="18"/>
                <w:szCs w:val="18"/>
                <w:b w:val="1"/>
                <w:bCs w:val="1"/>
                <w:color w:val="auto"/>
              </w:rPr>
              <w:t>13G/A</w:t>
            </w:r>
          </w:p>
        </w:tc>
        <w:tc>
          <w:tcPr>
            <w:tcW w:w="2820" w:type="dxa"/>
            <w:vAlign w:val="bottom"/>
          </w:tcPr>
          <w:p>
            <w:pPr>
              <w:ind w:left="60"/>
              <w:spacing w:after="0"/>
              <w:rPr>
                <w:sz w:val="20"/>
                <w:szCs w:val="20"/>
                <w:color w:val="auto"/>
              </w:rPr>
            </w:pPr>
            <w:r>
              <w:rPr>
                <w:rFonts w:ascii="Arial" w:cs="Arial" w:eastAsia="Arial" w:hAnsi="Arial"/>
                <w:sz w:val="18"/>
                <w:szCs w:val="18"/>
                <w:b w:val="1"/>
                <w:bCs w:val="1"/>
                <w:color w:val="auto"/>
              </w:rPr>
              <w:t>Page 4 of 16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gridSpan w:val="4"/>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430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4300" w:type="dxa"/>
            <w:vAlign w:val="bottom"/>
            <w:gridSpan w:val="4"/>
          </w:tcPr>
          <w:p>
            <w:pPr>
              <w:ind w:left="40"/>
              <w:spacing w:after="0"/>
              <w:rPr>
                <w:sz w:val="20"/>
                <w:szCs w:val="20"/>
                <w:color w:val="auto"/>
              </w:rPr>
            </w:pPr>
            <w:r>
              <w:rPr>
                <w:rFonts w:ascii="Arial" w:cs="Arial" w:eastAsia="Arial" w:hAnsi="Arial"/>
                <w:sz w:val="18"/>
                <w:szCs w:val="18"/>
                <w:color w:val="auto"/>
              </w:rPr>
              <w:t>Viking Global Opportunities GP LLC</w:t>
            </w: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020" w:type="dxa"/>
            <w:vAlign w:val="bottom"/>
            <w:tcBorders>
              <w:bottom w:val="single" w:sz="8" w:color="auto"/>
            </w:tcBorders>
            <w:gridSpan w:val="5"/>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0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2980" w:type="dxa"/>
            <w:vAlign w:val="bottom"/>
            <w:shd w:val="clear" w:color="auto" w:fill="BFBFBF"/>
          </w:tcPr>
          <w:p>
            <w:pPr>
              <w:spacing w:after="0"/>
              <w:rPr>
                <w:sz w:val="20"/>
                <w:szCs w:val="20"/>
                <w:color w:val="auto"/>
              </w:rPr>
            </w:pPr>
          </w:p>
        </w:tc>
        <w:tc>
          <w:tcPr>
            <w:tcW w:w="2720" w:type="dxa"/>
            <w:vAlign w:val="bottom"/>
            <w:shd w:val="clear" w:color="auto" w:fill="BFBFBF"/>
          </w:tcPr>
          <w:p>
            <w:pPr>
              <w:spacing w:after="0"/>
              <w:rPr>
                <w:sz w:val="20"/>
                <w:szCs w:val="20"/>
                <w:color w:val="auto"/>
              </w:rPr>
            </w:pPr>
          </w:p>
        </w:tc>
        <w:tc>
          <w:tcPr>
            <w:tcW w:w="28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2980" w:type="dxa"/>
            <w:vAlign w:val="bottom"/>
            <w:shd w:val="clear" w:color="auto" w:fill="BFBFBF"/>
          </w:tcPr>
          <w:p>
            <w:pPr>
              <w:spacing w:after="0"/>
              <w:rPr>
                <w:sz w:val="24"/>
                <w:szCs w:val="24"/>
                <w:color w:val="auto"/>
              </w:rPr>
            </w:pPr>
          </w:p>
        </w:tc>
        <w:tc>
          <w:tcPr>
            <w:tcW w:w="2720" w:type="dxa"/>
            <w:vAlign w:val="bottom"/>
            <w:shd w:val="clear" w:color="auto" w:fill="BFBFBF"/>
          </w:tcPr>
          <w:p>
            <w:pPr>
              <w:spacing w:after="0"/>
              <w:rPr>
                <w:sz w:val="24"/>
                <w:szCs w:val="24"/>
                <w:color w:val="auto"/>
              </w:rPr>
            </w:pPr>
          </w:p>
        </w:tc>
        <w:tc>
          <w:tcPr>
            <w:tcW w:w="28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4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BFBFBF"/>
            </w:tcBorders>
            <w:shd w:val="clear" w:color="auto" w:fill="BFBFBF"/>
          </w:tcPr>
          <w:p>
            <w:pPr>
              <w:spacing w:after="0"/>
              <w:rPr>
                <w:sz w:val="23"/>
                <w:szCs w:val="23"/>
                <w:color w:val="auto"/>
              </w:rPr>
            </w:pPr>
          </w:p>
        </w:tc>
        <w:tc>
          <w:tcPr>
            <w:tcW w:w="2980" w:type="dxa"/>
            <w:vAlign w:val="bottom"/>
            <w:tcBorders>
              <w:bottom w:val="single" w:sz="8" w:color="auto"/>
            </w:tcBorders>
            <w:shd w:val="clear" w:color="auto" w:fill="BFBFBF"/>
          </w:tcPr>
          <w:p>
            <w:pPr>
              <w:spacing w:after="0"/>
              <w:rPr>
                <w:sz w:val="23"/>
                <w:szCs w:val="23"/>
                <w:color w:val="auto"/>
              </w:rPr>
            </w:pPr>
          </w:p>
        </w:tc>
        <w:tc>
          <w:tcPr>
            <w:tcW w:w="2720" w:type="dxa"/>
            <w:vAlign w:val="bottom"/>
            <w:tcBorders>
              <w:bottom w:val="single" w:sz="8" w:color="auto"/>
            </w:tcBorders>
            <w:shd w:val="clear" w:color="auto" w:fill="BFBFBF"/>
          </w:tcPr>
          <w:p>
            <w:pPr>
              <w:spacing w:after="0"/>
              <w:rPr>
                <w:sz w:val="23"/>
                <w:szCs w:val="23"/>
                <w:color w:val="auto"/>
              </w:rPr>
            </w:pPr>
          </w:p>
        </w:tc>
        <w:tc>
          <w:tcPr>
            <w:tcW w:w="28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30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7"/>
              </w:rPr>
              <w:t>Delaware</w:t>
            </w: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98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2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720" w:type="dxa"/>
            <w:vAlign w:val="bottom"/>
          </w:tcPr>
          <w:p>
            <w:pPr>
              <w:spacing w:after="0"/>
              <w:rPr>
                <w:sz w:val="6"/>
                <w:szCs w:val="6"/>
                <w:color w:val="auto"/>
              </w:rPr>
            </w:pPr>
          </w:p>
        </w:tc>
        <w:tc>
          <w:tcPr>
            <w:tcW w:w="2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98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2720" w:type="dxa"/>
            <w:vAlign w:val="bottom"/>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29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0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2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5700" w:type="dxa"/>
            <w:vAlign w:val="bottom"/>
            <w:tcBorders>
              <w:bottom w:val="single" w:sz="8" w:color="auto"/>
            </w:tcBorders>
            <w:gridSpan w:val="2"/>
          </w:tcPr>
          <w:p>
            <w:pPr>
              <w:spacing w:after="0"/>
              <w:rPr>
                <w:sz w:val="12"/>
                <w:szCs w:val="12"/>
                <w:color w:val="auto"/>
              </w:rPr>
            </w:pPr>
          </w:p>
        </w:tc>
        <w:tc>
          <w:tcPr>
            <w:tcW w:w="2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0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0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4300" w:type="dxa"/>
            <w:vAlign w:val="bottom"/>
            <w:gridSpan w:val="4"/>
          </w:tcPr>
          <w:p>
            <w:pPr>
              <w:ind w:left="420"/>
              <w:spacing w:after="0"/>
              <w:rPr>
                <w:sz w:val="20"/>
                <w:szCs w:val="20"/>
                <w:color w:val="auto"/>
              </w:rPr>
            </w:pPr>
            <w:r>
              <w:rPr>
                <w:rFonts w:ascii="Arial" w:cs="Arial" w:eastAsia="Arial" w:hAnsi="Arial"/>
                <w:sz w:val="18"/>
                <w:szCs w:val="18"/>
                <w:b w:val="1"/>
                <w:bCs w:val="1"/>
                <w:color w:val="auto"/>
              </w:rPr>
              <w:t>CUSIP No. 04746L104</w:t>
            </w:r>
          </w:p>
        </w:tc>
        <w:tc>
          <w:tcPr>
            <w:tcW w:w="2720" w:type="dxa"/>
            <w:vAlign w:val="bottom"/>
          </w:tcPr>
          <w:p>
            <w:pPr>
              <w:ind w:left="280"/>
              <w:spacing w:after="0"/>
              <w:rPr>
                <w:sz w:val="20"/>
                <w:szCs w:val="20"/>
                <w:color w:val="auto"/>
              </w:rPr>
            </w:pPr>
            <w:r>
              <w:rPr>
                <w:rFonts w:ascii="Arial" w:cs="Arial" w:eastAsia="Arial" w:hAnsi="Arial"/>
                <w:sz w:val="18"/>
                <w:szCs w:val="18"/>
                <w:b w:val="1"/>
                <w:bCs w:val="1"/>
                <w:color w:val="auto"/>
              </w:rPr>
              <w:t>13G/A</w:t>
            </w:r>
          </w:p>
        </w:tc>
        <w:tc>
          <w:tcPr>
            <w:tcW w:w="2820" w:type="dxa"/>
            <w:vAlign w:val="bottom"/>
          </w:tcPr>
          <w:p>
            <w:pPr>
              <w:ind w:left="60"/>
              <w:spacing w:after="0"/>
              <w:rPr>
                <w:sz w:val="20"/>
                <w:szCs w:val="20"/>
                <w:color w:val="auto"/>
              </w:rPr>
            </w:pPr>
            <w:r>
              <w:rPr>
                <w:rFonts w:ascii="Arial" w:cs="Arial" w:eastAsia="Arial" w:hAnsi="Arial"/>
                <w:sz w:val="18"/>
                <w:szCs w:val="18"/>
                <w:b w:val="1"/>
                <w:bCs w:val="1"/>
                <w:color w:val="auto"/>
              </w:rPr>
              <w:t>Page 5 of 16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gridSpan w:val="4"/>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430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4300" w:type="dxa"/>
            <w:vAlign w:val="bottom"/>
            <w:gridSpan w:val="4"/>
          </w:tcPr>
          <w:p>
            <w:pPr>
              <w:ind w:left="40"/>
              <w:spacing w:after="0"/>
              <w:rPr>
                <w:sz w:val="20"/>
                <w:szCs w:val="20"/>
                <w:color w:val="auto"/>
              </w:rPr>
            </w:pPr>
            <w:r>
              <w:rPr>
                <w:rFonts w:ascii="Arial" w:cs="Arial" w:eastAsia="Arial" w:hAnsi="Arial"/>
                <w:sz w:val="18"/>
                <w:szCs w:val="18"/>
                <w:color w:val="auto"/>
              </w:rPr>
              <w:t>Viking Global Opportunities Portfolio GP LLC</w:t>
            </w: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020" w:type="dxa"/>
            <w:vAlign w:val="bottom"/>
            <w:tcBorders>
              <w:bottom w:val="single" w:sz="8" w:color="auto"/>
            </w:tcBorders>
            <w:gridSpan w:val="5"/>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0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2980" w:type="dxa"/>
            <w:vAlign w:val="bottom"/>
            <w:shd w:val="clear" w:color="auto" w:fill="BFBFBF"/>
          </w:tcPr>
          <w:p>
            <w:pPr>
              <w:spacing w:after="0"/>
              <w:rPr>
                <w:sz w:val="20"/>
                <w:szCs w:val="20"/>
                <w:color w:val="auto"/>
              </w:rPr>
            </w:pPr>
          </w:p>
        </w:tc>
        <w:tc>
          <w:tcPr>
            <w:tcW w:w="2720" w:type="dxa"/>
            <w:vAlign w:val="bottom"/>
            <w:shd w:val="clear" w:color="auto" w:fill="BFBFBF"/>
          </w:tcPr>
          <w:p>
            <w:pPr>
              <w:spacing w:after="0"/>
              <w:rPr>
                <w:sz w:val="20"/>
                <w:szCs w:val="20"/>
                <w:color w:val="auto"/>
              </w:rPr>
            </w:pPr>
          </w:p>
        </w:tc>
        <w:tc>
          <w:tcPr>
            <w:tcW w:w="28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2980" w:type="dxa"/>
            <w:vAlign w:val="bottom"/>
            <w:shd w:val="clear" w:color="auto" w:fill="BFBFBF"/>
          </w:tcPr>
          <w:p>
            <w:pPr>
              <w:spacing w:after="0"/>
              <w:rPr>
                <w:sz w:val="24"/>
                <w:szCs w:val="24"/>
                <w:color w:val="auto"/>
              </w:rPr>
            </w:pPr>
          </w:p>
        </w:tc>
        <w:tc>
          <w:tcPr>
            <w:tcW w:w="2720" w:type="dxa"/>
            <w:vAlign w:val="bottom"/>
            <w:shd w:val="clear" w:color="auto" w:fill="BFBFBF"/>
          </w:tcPr>
          <w:p>
            <w:pPr>
              <w:spacing w:after="0"/>
              <w:rPr>
                <w:sz w:val="24"/>
                <w:szCs w:val="24"/>
                <w:color w:val="auto"/>
              </w:rPr>
            </w:pPr>
          </w:p>
        </w:tc>
        <w:tc>
          <w:tcPr>
            <w:tcW w:w="28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4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BFBFBF"/>
            </w:tcBorders>
            <w:shd w:val="clear" w:color="auto" w:fill="BFBFBF"/>
          </w:tcPr>
          <w:p>
            <w:pPr>
              <w:spacing w:after="0"/>
              <w:rPr>
                <w:sz w:val="23"/>
                <w:szCs w:val="23"/>
                <w:color w:val="auto"/>
              </w:rPr>
            </w:pPr>
          </w:p>
        </w:tc>
        <w:tc>
          <w:tcPr>
            <w:tcW w:w="2980" w:type="dxa"/>
            <w:vAlign w:val="bottom"/>
            <w:tcBorders>
              <w:bottom w:val="single" w:sz="8" w:color="auto"/>
            </w:tcBorders>
            <w:shd w:val="clear" w:color="auto" w:fill="BFBFBF"/>
          </w:tcPr>
          <w:p>
            <w:pPr>
              <w:spacing w:after="0"/>
              <w:rPr>
                <w:sz w:val="23"/>
                <w:szCs w:val="23"/>
                <w:color w:val="auto"/>
              </w:rPr>
            </w:pPr>
          </w:p>
        </w:tc>
        <w:tc>
          <w:tcPr>
            <w:tcW w:w="2720" w:type="dxa"/>
            <w:vAlign w:val="bottom"/>
            <w:tcBorders>
              <w:bottom w:val="single" w:sz="8" w:color="auto"/>
            </w:tcBorders>
            <w:shd w:val="clear" w:color="auto" w:fill="BFBFBF"/>
          </w:tcPr>
          <w:p>
            <w:pPr>
              <w:spacing w:after="0"/>
              <w:rPr>
                <w:sz w:val="23"/>
                <w:szCs w:val="23"/>
                <w:color w:val="auto"/>
              </w:rPr>
            </w:pPr>
          </w:p>
        </w:tc>
        <w:tc>
          <w:tcPr>
            <w:tcW w:w="28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30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7"/>
              </w:rPr>
              <w:t>Delaware</w:t>
            </w: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98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2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720" w:type="dxa"/>
            <w:vAlign w:val="bottom"/>
          </w:tcPr>
          <w:p>
            <w:pPr>
              <w:spacing w:after="0"/>
              <w:rPr>
                <w:sz w:val="6"/>
                <w:szCs w:val="6"/>
                <w:color w:val="auto"/>
              </w:rPr>
            </w:pPr>
          </w:p>
        </w:tc>
        <w:tc>
          <w:tcPr>
            <w:tcW w:w="2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98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2720" w:type="dxa"/>
            <w:vAlign w:val="bottom"/>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29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0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2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5700" w:type="dxa"/>
            <w:vAlign w:val="bottom"/>
            <w:tcBorders>
              <w:bottom w:val="single" w:sz="8" w:color="auto"/>
            </w:tcBorders>
            <w:gridSpan w:val="2"/>
          </w:tcPr>
          <w:p>
            <w:pPr>
              <w:spacing w:after="0"/>
              <w:rPr>
                <w:sz w:val="12"/>
                <w:szCs w:val="12"/>
                <w:color w:val="auto"/>
              </w:rPr>
            </w:pPr>
          </w:p>
        </w:tc>
        <w:tc>
          <w:tcPr>
            <w:tcW w:w="2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0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0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4520" w:type="dxa"/>
            <w:vAlign w:val="bottom"/>
            <w:gridSpan w:val="3"/>
          </w:tcPr>
          <w:p>
            <w:pPr>
              <w:ind w:left="420"/>
              <w:spacing w:after="0"/>
              <w:rPr>
                <w:sz w:val="20"/>
                <w:szCs w:val="20"/>
                <w:color w:val="auto"/>
              </w:rPr>
            </w:pPr>
            <w:r>
              <w:rPr>
                <w:rFonts w:ascii="Arial" w:cs="Arial" w:eastAsia="Arial" w:hAnsi="Arial"/>
                <w:sz w:val="18"/>
                <w:szCs w:val="18"/>
                <w:b w:val="1"/>
                <w:bCs w:val="1"/>
                <w:color w:val="auto"/>
              </w:rPr>
              <w:t>CUSIP No. 04746L104</w:t>
            </w:r>
          </w:p>
        </w:tc>
        <w:tc>
          <w:tcPr>
            <w:tcW w:w="2500" w:type="dxa"/>
            <w:vAlign w:val="bottom"/>
          </w:tcPr>
          <w:p>
            <w:pPr>
              <w:ind w:left="60"/>
              <w:spacing w:after="0"/>
              <w:rPr>
                <w:sz w:val="20"/>
                <w:szCs w:val="20"/>
                <w:color w:val="auto"/>
              </w:rPr>
            </w:pPr>
            <w:r>
              <w:rPr>
                <w:rFonts w:ascii="Arial" w:cs="Arial" w:eastAsia="Arial" w:hAnsi="Arial"/>
                <w:sz w:val="18"/>
                <w:szCs w:val="18"/>
                <w:b w:val="1"/>
                <w:bCs w:val="1"/>
                <w:color w:val="auto"/>
              </w:rPr>
              <w:t>13G/A</w:t>
            </w:r>
          </w:p>
        </w:tc>
        <w:tc>
          <w:tcPr>
            <w:tcW w:w="2820" w:type="dxa"/>
            <w:vAlign w:val="bottom"/>
          </w:tcPr>
          <w:p>
            <w:pPr>
              <w:ind w:left="60"/>
              <w:spacing w:after="0"/>
              <w:rPr>
                <w:sz w:val="20"/>
                <w:szCs w:val="20"/>
                <w:color w:val="auto"/>
              </w:rPr>
            </w:pPr>
            <w:r>
              <w:rPr>
                <w:rFonts w:ascii="Arial" w:cs="Arial" w:eastAsia="Arial" w:hAnsi="Arial"/>
                <w:sz w:val="18"/>
                <w:szCs w:val="18"/>
                <w:b w:val="1"/>
                <w:bCs w:val="1"/>
                <w:color w:val="auto"/>
              </w:rPr>
              <w:t>Page 6 of 16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gridSpan w:val="3"/>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452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50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4520" w:type="dxa"/>
            <w:vAlign w:val="bottom"/>
            <w:gridSpan w:val="3"/>
          </w:tcPr>
          <w:p>
            <w:pPr>
              <w:ind w:left="40"/>
              <w:spacing w:after="0"/>
              <w:rPr>
                <w:sz w:val="20"/>
                <w:szCs w:val="20"/>
                <w:color w:val="auto"/>
              </w:rPr>
            </w:pPr>
            <w:r>
              <w:rPr>
                <w:rFonts w:ascii="Arial" w:cs="Arial" w:eastAsia="Arial" w:hAnsi="Arial"/>
                <w:sz w:val="18"/>
                <w:szCs w:val="18"/>
                <w:color w:val="auto"/>
                <w:w w:val="95"/>
              </w:rPr>
              <w:t>Viking Global Opportunities Liquid Portfolio Sub-Master LP</w:t>
            </w:r>
          </w:p>
        </w:tc>
        <w:tc>
          <w:tcPr>
            <w:tcW w:w="250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020" w:type="dxa"/>
            <w:vAlign w:val="bottom"/>
            <w:tcBorders>
              <w:bottom w:val="single" w:sz="8" w:color="auto"/>
            </w:tcBorders>
            <w:gridSpan w:val="4"/>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0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3200" w:type="dxa"/>
            <w:vAlign w:val="bottom"/>
            <w:shd w:val="clear" w:color="auto" w:fill="BFBFBF"/>
          </w:tcPr>
          <w:p>
            <w:pPr>
              <w:spacing w:after="0"/>
              <w:rPr>
                <w:sz w:val="20"/>
                <w:szCs w:val="20"/>
                <w:color w:val="auto"/>
              </w:rPr>
            </w:pPr>
          </w:p>
        </w:tc>
        <w:tc>
          <w:tcPr>
            <w:tcW w:w="2500" w:type="dxa"/>
            <w:vAlign w:val="bottom"/>
            <w:shd w:val="clear" w:color="auto" w:fill="BFBFBF"/>
          </w:tcPr>
          <w:p>
            <w:pPr>
              <w:spacing w:after="0"/>
              <w:rPr>
                <w:sz w:val="20"/>
                <w:szCs w:val="20"/>
                <w:color w:val="auto"/>
              </w:rPr>
            </w:pPr>
          </w:p>
        </w:tc>
        <w:tc>
          <w:tcPr>
            <w:tcW w:w="28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3200" w:type="dxa"/>
            <w:vAlign w:val="bottom"/>
            <w:shd w:val="clear" w:color="auto" w:fill="BFBFBF"/>
          </w:tcPr>
          <w:p>
            <w:pPr>
              <w:spacing w:after="0"/>
              <w:rPr>
                <w:sz w:val="24"/>
                <w:szCs w:val="24"/>
                <w:color w:val="auto"/>
              </w:rPr>
            </w:pPr>
          </w:p>
        </w:tc>
        <w:tc>
          <w:tcPr>
            <w:tcW w:w="2500" w:type="dxa"/>
            <w:vAlign w:val="bottom"/>
            <w:shd w:val="clear" w:color="auto" w:fill="BFBFBF"/>
          </w:tcPr>
          <w:p>
            <w:pPr>
              <w:spacing w:after="0"/>
              <w:rPr>
                <w:sz w:val="24"/>
                <w:szCs w:val="24"/>
                <w:color w:val="auto"/>
              </w:rPr>
            </w:pPr>
          </w:p>
        </w:tc>
        <w:tc>
          <w:tcPr>
            <w:tcW w:w="28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3200" w:type="dxa"/>
            <w:vAlign w:val="bottom"/>
            <w:tcBorders>
              <w:bottom w:val="single" w:sz="8" w:color="auto"/>
            </w:tcBorders>
            <w:shd w:val="clear" w:color="auto" w:fill="BFBFBF"/>
          </w:tcPr>
          <w:p>
            <w:pPr>
              <w:spacing w:after="0"/>
              <w:rPr>
                <w:sz w:val="23"/>
                <w:szCs w:val="23"/>
                <w:color w:val="auto"/>
              </w:rPr>
            </w:pPr>
          </w:p>
        </w:tc>
        <w:tc>
          <w:tcPr>
            <w:tcW w:w="2500" w:type="dxa"/>
            <w:vAlign w:val="bottom"/>
            <w:tcBorders>
              <w:bottom w:val="single" w:sz="8" w:color="auto"/>
            </w:tcBorders>
            <w:shd w:val="clear" w:color="auto" w:fill="BFBFBF"/>
          </w:tcPr>
          <w:p>
            <w:pPr>
              <w:spacing w:after="0"/>
              <w:rPr>
                <w:sz w:val="23"/>
                <w:szCs w:val="23"/>
                <w:color w:val="auto"/>
              </w:rPr>
            </w:pPr>
          </w:p>
        </w:tc>
        <w:tc>
          <w:tcPr>
            <w:tcW w:w="28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52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50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w w:val="96"/>
              </w:rPr>
              <w:t>Cayman Islands</w:t>
            </w:r>
          </w:p>
        </w:tc>
        <w:tc>
          <w:tcPr>
            <w:tcW w:w="3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50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0</w:t>
            </w:r>
          </w:p>
        </w:tc>
        <w:tc>
          <w:tcPr>
            <w:tcW w:w="250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32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50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19"/>
                <w:szCs w:val="19"/>
                <w:color w:val="auto"/>
              </w:rPr>
            </w:pPr>
          </w:p>
        </w:tc>
        <w:tc>
          <w:tcPr>
            <w:tcW w:w="32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5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320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2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3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500" w:type="dxa"/>
            <w:vAlign w:val="bottom"/>
          </w:tcPr>
          <w:p>
            <w:pPr>
              <w:spacing w:after="0"/>
              <w:rPr>
                <w:sz w:val="6"/>
                <w:szCs w:val="6"/>
                <w:color w:val="auto"/>
              </w:rPr>
            </w:pPr>
          </w:p>
        </w:tc>
        <w:tc>
          <w:tcPr>
            <w:tcW w:w="2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3200" w:type="dxa"/>
            <w:vAlign w:val="bottom"/>
            <w:vMerge w:val="continue"/>
          </w:tcPr>
          <w:p>
            <w:pPr>
              <w:spacing w:after="0"/>
              <w:rPr>
                <w:sz w:val="14"/>
                <w:szCs w:val="14"/>
                <w:color w:val="auto"/>
              </w:rPr>
            </w:pPr>
          </w:p>
        </w:tc>
        <w:tc>
          <w:tcPr>
            <w:tcW w:w="250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32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500" w:type="dxa"/>
            <w:vAlign w:val="bottom"/>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3200" w:type="dxa"/>
            <w:vAlign w:val="bottom"/>
            <w:vMerge w:val="continue"/>
          </w:tcPr>
          <w:p>
            <w:pPr>
              <w:spacing w:after="0"/>
              <w:rPr>
                <w:sz w:val="15"/>
                <w:szCs w:val="15"/>
                <w:color w:val="auto"/>
              </w:rPr>
            </w:pPr>
          </w:p>
        </w:tc>
        <w:tc>
          <w:tcPr>
            <w:tcW w:w="2500" w:type="dxa"/>
            <w:vAlign w:val="bottom"/>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32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50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0</w:t>
            </w:r>
          </w:p>
        </w:tc>
        <w:tc>
          <w:tcPr>
            <w:tcW w:w="250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0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3200" w:type="dxa"/>
            <w:vAlign w:val="bottom"/>
          </w:tcPr>
          <w:p>
            <w:pPr>
              <w:spacing w:after="0"/>
              <w:rPr>
                <w:sz w:val="6"/>
                <w:szCs w:val="6"/>
                <w:color w:val="auto"/>
              </w:rPr>
            </w:pPr>
          </w:p>
        </w:tc>
        <w:tc>
          <w:tcPr>
            <w:tcW w:w="2500" w:type="dxa"/>
            <w:vAlign w:val="bottom"/>
          </w:tcPr>
          <w:p>
            <w:pPr>
              <w:spacing w:after="0"/>
              <w:rPr>
                <w:sz w:val="6"/>
                <w:szCs w:val="6"/>
                <w:color w:val="auto"/>
              </w:rPr>
            </w:pPr>
          </w:p>
        </w:tc>
        <w:tc>
          <w:tcPr>
            <w:tcW w:w="2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700" w:type="dxa"/>
            <w:vAlign w:val="bottom"/>
            <w:tcBorders>
              <w:bottom w:val="single" w:sz="8" w:color="auto"/>
            </w:tcBorders>
            <w:gridSpan w:val="2"/>
          </w:tcPr>
          <w:p>
            <w:pPr>
              <w:spacing w:after="0"/>
              <w:rPr>
                <w:sz w:val="12"/>
                <w:szCs w:val="12"/>
                <w:color w:val="auto"/>
              </w:rPr>
            </w:pPr>
          </w:p>
        </w:tc>
        <w:tc>
          <w:tcPr>
            <w:tcW w:w="2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0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0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PN</w:t>
            </w:r>
          </w:p>
        </w:tc>
        <w:tc>
          <w:tcPr>
            <w:tcW w:w="6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4300" w:type="dxa"/>
            <w:vAlign w:val="bottom"/>
            <w:gridSpan w:val="3"/>
          </w:tcPr>
          <w:p>
            <w:pPr>
              <w:ind w:left="420"/>
              <w:spacing w:after="0"/>
              <w:rPr>
                <w:sz w:val="20"/>
                <w:szCs w:val="20"/>
                <w:color w:val="auto"/>
              </w:rPr>
            </w:pPr>
            <w:r>
              <w:rPr>
                <w:rFonts w:ascii="Arial" w:cs="Arial" w:eastAsia="Arial" w:hAnsi="Arial"/>
                <w:sz w:val="18"/>
                <w:szCs w:val="18"/>
                <w:b w:val="1"/>
                <w:bCs w:val="1"/>
                <w:color w:val="auto"/>
              </w:rPr>
              <w:t>CUSIP No. 04746L104</w:t>
            </w:r>
          </w:p>
        </w:tc>
        <w:tc>
          <w:tcPr>
            <w:tcW w:w="2720" w:type="dxa"/>
            <w:vAlign w:val="bottom"/>
          </w:tcPr>
          <w:p>
            <w:pPr>
              <w:ind w:left="280"/>
              <w:spacing w:after="0"/>
              <w:rPr>
                <w:sz w:val="20"/>
                <w:szCs w:val="20"/>
                <w:color w:val="auto"/>
              </w:rPr>
            </w:pPr>
            <w:r>
              <w:rPr>
                <w:rFonts w:ascii="Arial" w:cs="Arial" w:eastAsia="Arial" w:hAnsi="Arial"/>
                <w:sz w:val="18"/>
                <w:szCs w:val="18"/>
                <w:b w:val="1"/>
                <w:bCs w:val="1"/>
                <w:color w:val="auto"/>
              </w:rPr>
              <w:t>13G/A</w:t>
            </w:r>
          </w:p>
        </w:tc>
        <w:tc>
          <w:tcPr>
            <w:tcW w:w="2820" w:type="dxa"/>
            <w:vAlign w:val="bottom"/>
          </w:tcPr>
          <w:p>
            <w:pPr>
              <w:ind w:left="60"/>
              <w:spacing w:after="0"/>
              <w:rPr>
                <w:sz w:val="20"/>
                <w:szCs w:val="20"/>
                <w:color w:val="auto"/>
              </w:rPr>
            </w:pPr>
            <w:r>
              <w:rPr>
                <w:rFonts w:ascii="Arial" w:cs="Arial" w:eastAsia="Arial" w:hAnsi="Arial"/>
                <w:sz w:val="18"/>
                <w:szCs w:val="18"/>
                <w:b w:val="1"/>
                <w:bCs w:val="1"/>
                <w:color w:val="auto"/>
              </w:rPr>
              <w:t>Page 7 of 16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gridSpan w:val="3"/>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430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020" w:type="dxa"/>
            <w:vAlign w:val="bottom"/>
            <w:gridSpan w:val="4"/>
          </w:tcPr>
          <w:p>
            <w:pPr>
              <w:ind w:left="40"/>
              <w:spacing w:after="0"/>
              <w:rPr>
                <w:sz w:val="20"/>
                <w:szCs w:val="20"/>
                <w:color w:val="auto"/>
              </w:rPr>
            </w:pPr>
            <w:r>
              <w:rPr>
                <w:rFonts w:ascii="Arial" w:cs="Arial" w:eastAsia="Arial" w:hAnsi="Arial"/>
                <w:sz w:val="18"/>
                <w:szCs w:val="18"/>
                <w:color w:val="auto"/>
              </w:rPr>
              <w:t>Viking Global Opportunities Illiquid Investments Sub-Master LP</w:t>
            </w: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020" w:type="dxa"/>
            <w:vAlign w:val="bottom"/>
            <w:tcBorders>
              <w:bottom w:val="single" w:sz="8" w:color="auto"/>
            </w:tcBorders>
            <w:gridSpan w:val="4"/>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0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2980" w:type="dxa"/>
            <w:vAlign w:val="bottom"/>
            <w:shd w:val="clear" w:color="auto" w:fill="BFBFBF"/>
          </w:tcPr>
          <w:p>
            <w:pPr>
              <w:spacing w:after="0"/>
              <w:rPr>
                <w:sz w:val="20"/>
                <w:szCs w:val="20"/>
                <w:color w:val="auto"/>
              </w:rPr>
            </w:pPr>
          </w:p>
        </w:tc>
        <w:tc>
          <w:tcPr>
            <w:tcW w:w="2720" w:type="dxa"/>
            <w:vAlign w:val="bottom"/>
            <w:shd w:val="clear" w:color="auto" w:fill="BFBFBF"/>
          </w:tcPr>
          <w:p>
            <w:pPr>
              <w:spacing w:after="0"/>
              <w:rPr>
                <w:sz w:val="20"/>
                <w:szCs w:val="20"/>
                <w:color w:val="auto"/>
              </w:rPr>
            </w:pPr>
          </w:p>
        </w:tc>
        <w:tc>
          <w:tcPr>
            <w:tcW w:w="28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980" w:type="dxa"/>
            <w:vAlign w:val="bottom"/>
            <w:shd w:val="clear" w:color="auto" w:fill="BFBFBF"/>
          </w:tcPr>
          <w:p>
            <w:pPr>
              <w:spacing w:after="0"/>
              <w:rPr>
                <w:sz w:val="24"/>
                <w:szCs w:val="24"/>
                <w:color w:val="auto"/>
              </w:rPr>
            </w:pPr>
          </w:p>
        </w:tc>
        <w:tc>
          <w:tcPr>
            <w:tcW w:w="2720" w:type="dxa"/>
            <w:vAlign w:val="bottom"/>
            <w:shd w:val="clear" w:color="auto" w:fill="BFBFBF"/>
          </w:tcPr>
          <w:p>
            <w:pPr>
              <w:spacing w:after="0"/>
              <w:rPr>
                <w:sz w:val="24"/>
                <w:szCs w:val="24"/>
                <w:color w:val="auto"/>
              </w:rPr>
            </w:pPr>
          </w:p>
        </w:tc>
        <w:tc>
          <w:tcPr>
            <w:tcW w:w="28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980" w:type="dxa"/>
            <w:vAlign w:val="bottom"/>
            <w:tcBorders>
              <w:bottom w:val="single" w:sz="8" w:color="auto"/>
            </w:tcBorders>
            <w:shd w:val="clear" w:color="auto" w:fill="BFBFBF"/>
          </w:tcPr>
          <w:p>
            <w:pPr>
              <w:spacing w:after="0"/>
              <w:rPr>
                <w:sz w:val="23"/>
                <w:szCs w:val="23"/>
                <w:color w:val="auto"/>
              </w:rPr>
            </w:pPr>
          </w:p>
        </w:tc>
        <w:tc>
          <w:tcPr>
            <w:tcW w:w="2720" w:type="dxa"/>
            <w:vAlign w:val="bottom"/>
            <w:tcBorders>
              <w:bottom w:val="single" w:sz="8" w:color="auto"/>
            </w:tcBorders>
            <w:shd w:val="clear" w:color="auto" w:fill="BFBFBF"/>
          </w:tcPr>
          <w:p>
            <w:pPr>
              <w:spacing w:after="0"/>
              <w:rPr>
                <w:sz w:val="23"/>
                <w:szCs w:val="23"/>
                <w:color w:val="auto"/>
              </w:rPr>
            </w:pPr>
          </w:p>
        </w:tc>
        <w:tc>
          <w:tcPr>
            <w:tcW w:w="28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30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w w:val="96"/>
              </w:rPr>
              <w:t>Cayman Islands</w:t>
            </w: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21"/>
                <w:szCs w:val="21"/>
                <w:color w:val="auto"/>
              </w:rPr>
            </w:pPr>
          </w:p>
        </w:tc>
        <w:tc>
          <w:tcPr>
            <w:tcW w:w="29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6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9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2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720" w:type="dxa"/>
            <w:vAlign w:val="bottom"/>
          </w:tcPr>
          <w:p>
            <w:pPr>
              <w:spacing w:after="0"/>
              <w:rPr>
                <w:sz w:val="6"/>
                <w:szCs w:val="6"/>
                <w:color w:val="auto"/>
              </w:rPr>
            </w:pPr>
          </w:p>
        </w:tc>
        <w:tc>
          <w:tcPr>
            <w:tcW w:w="2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98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2720" w:type="dxa"/>
            <w:vAlign w:val="bottom"/>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9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5700" w:type="dxa"/>
            <w:vAlign w:val="bottom"/>
            <w:tcBorders>
              <w:bottom w:val="single" w:sz="8" w:color="auto"/>
            </w:tcBorders>
            <w:gridSpan w:val="2"/>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0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gridSpan w:val="2"/>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9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2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700" w:type="dxa"/>
            <w:vAlign w:val="bottom"/>
            <w:tcBorders>
              <w:bottom w:val="single" w:sz="8" w:color="auto"/>
            </w:tcBorders>
            <w:gridSpan w:val="2"/>
          </w:tcPr>
          <w:p>
            <w:pPr>
              <w:spacing w:after="0"/>
              <w:rPr>
                <w:sz w:val="12"/>
                <w:szCs w:val="12"/>
                <w:color w:val="auto"/>
              </w:rPr>
            </w:pPr>
          </w:p>
        </w:tc>
        <w:tc>
          <w:tcPr>
            <w:tcW w:w="2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0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0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PN</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4300" w:type="dxa"/>
            <w:vAlign w:val="bottom"/>
            <w:gridSpan w:val="3"/>
          </w:tcPr>
          <w:p>
            <w:pPr>
              <w:ind w:left="420"/>
              <w:spacing w:after="0"/>
              <w:rPr>
                <w:sz w:val="20"/>
                <w:szCs w:val="20"/>
                <w:color w:val="auto"/>
              </w:rPr>
            </w:pPr>
            <w:r>
              <w:rPr>
                <w:rFonts w:ascii="Arial" w:cs="Arial" w:eastAsia="Arial" w:hAnsi="Arial"/>
                <w:sz w:val="18"/>
                <w:szCs w:val="18"/>
                <w:b w:val="1"/>
                <w:bCs w:val="1"/>
                <w:color w:val="auto"/>
              </w:rPr>
              <w:t>CUSIP No. 04746L104</w:t>
            </w:r>
          </w:p>
        </w:tc>
        <w:tc>
          <w:tcPr>
            <w:tcW w:w="2720" w:type="dxa"/>
            <w:vAlign w:val="bottom"/>
          </w:tcPr>
          <w:p>
            <w:pPr>
              <w:ind w:left="280"/>
              <w:spacing w:after="0"/>
              <w:rPr>
                <w:sz w:val="20"/>
                <w:szCs w:val="20"/>
                <w:color w:val="auto"/>
              </w:rPr>
            </w:pPr>
            <w:r>
              <w:rPr>
                <w:rFonts w:ascii="Arial" w:cs="Arial" w:eastAsia="Arial" w:hAnsi="Arial"/>
                <w:sz w:val="18"/>
                <w:szCs w:val="18"/>
                <w:b w:val="1"/>
                <w:bCs w:val="1"/>
                <w:color w:val="auto"/>
              </w:rPr>
              <w:t>13G/A</w:t>
            </w:r>
          </w:p>
        </w:tc>
        <w:tc>
          <w:tcPr>
            <w:tcW w:w="2820" w:type="dxa"/>
            <w:vAlign w:val="bottom"/>
          </w:tcPr>
          <w:p>
            <w:pPr>
              <w:ind w:left="60"/>
              <w:spacing w:after="0"/>
              <w:rPr>
                <w:sz w:val="20"/>
                <w:szCs w:val="20"/>
                <w:color w:val="auto"/>
              </w:rPr>
            </w:pPr>
            <w:r>
              <w:rPr>
                <w:rFonts w:ascii="Arial" w:cs="Arial" w:eastAsia="Arial" w:hAnsi="Arial"/>
                <w:sz w:val="18"/>
                <w:szCs w:val="18"/>
                <w:b w:val="1"/>
                <w:bCs w:val="1"/>
                <w:color w:val="auto"/>
              </w:rPr>
              <w:t>Page 8 of 16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gridSpan w:val="3"/>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430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4300" w:type="dxa"/>
            <w:vAlign w:val="bottom"/>
            <w:gridSpan w:val="3"/>
          </w:tcPr>
          <w:p>
            <w:pPr>
              <w:ind w:left="40"/>
              <w:spacing w:after="0"/>
              <w:rPr>
                <w:sz w:val="20"/>
                <w:szCs w:val="20"/>
                <w:color w:val="auto"/>
              </w:rPr>
            </w:pPr>
            <w:r>
              <w:rPr>
                <w:rFonts w:ascii="Arial" w:cs="Arial" w:eastAsia="Arial" w:hAnsi="Arial"/>
                <w:sz w:val="18"/>
                <w:szCs w:val="18"/>
                <w:color w:val="auto"/>
              </w:rPr>
              <w:t>O. Andreas Halvorsen</w:t>
            </w: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020" w:type="dxa"/>
            <w:vAlign w:val="bottom"/>
            <w:tcBorders>
              <w:bottom w:val="single" w:sz="8" w:color="auto"/>
            </w:tcBorders>
            <w:gridSpan w:val="4"/>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0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2980" w:type="dxa"/>
            <w:vAlign w:val="bottom"/>
            <w:shd w:val="clear" w:color="auto" w:fill="BFBFBF"/>
          </w:tcPr>
          <w:p>
            <w:pPr>
              <w:spacing w:after="0"/>
              <w:rPr>
                <w:sz w:val="20"/>
                <w:szCs w:val="20"/>
                <w:color w:val="auto"/>
              </w:rPr>
            </w:pPr>
          </w:p>
        </w:tc>
        <w:tc>
          <w:tcPr>
            <w:tcW w:w="2720" w:type="dxa"/>
            <w:vAlign w:val="bottom"/>
            <w:shd w:val="clear" w:color="auto" w:fill="BFBFBF"/>
          </w:tcPr>
          <w:p>
            <w:pPr>
              <w:spacing w:after="0"/>
              <w:rPr>
                <w:sz w:val="20"/>
                <w:szCs w:val="20"/>
                <w:color w:val="auto"/>
              </w:rPr>
            </w:pPr>
          </w:p>
        </w:tc>
        <w:tc>
          <w:tcPr>
            <w:tcW w:w="28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980" w:type="dxa"/>
            <w:vAlign w:val="bottom"/>
            <w:shd w:val="clear" w:color="auto" w:fill="BFBFBF"/>
          </w:tcPr>
          <w:p>
            <w:pPr>
              <w:spacing w:after="0"/>
              <w:rPr>
                <w:sz w:val="24"/>
                <w:szCs w:val="24"/>
                <w:color w:val="auto"/>
              </w:rPr>
            </w:pPr>
          </w:p>
        </w:tc>
        <w:tc>
          <w:tcPr>
            <w:tcW w:w="2720" w:type="dxa"/>
            <w:vAlign w:val="bottom"/>
            <w:shd w:val="clear" w:color="auto" w:fill="BFBFBF"/>
          </w:tcPr>
          <w:p>
            <w:pPr>
              <w:spacing w:after="0"/>
              <w:rPr>
                <w:sz w:val="24"/>
                <w:szCs w:val="24"/>
                <w:color w:val="auto"/>
              </w:rPr>
            </w:pPr>
          </w:p>
        </w:tc>
        <w:tc>
          <w:tcPr>
            <w:tcW w:w="28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980" w:type="dxa"/>
            <w:vAlign w:val="bottom"/>
            <w:tcBorders>
              <w:bottom w:val="single" w:sz="8" w:color="auto"/>
            </w:tcBorders>
            <w:shd w:val="clear" w:color="auto" w:fill="BFBFBF"/>
          </w:tcPr>
          <w:p>
            <w:pPr>
              <w:spacing w:after="0"/>
              <w:rPr>
                <w:sz w:val="23"/>
                <w:szCs w:val="23"/>
                <w:color w:val="auto"/>
              </w:rPr>
            </w:pPr>
          </w:p>
        </w:tc>
        <w:tc>
          <w:tcPr>
            <w:tcW w:w="2720" w:type="dxa"/>
            <w:vAlign w:val="bottom"/>
            <w:tcBorders>
              <w:bottom w:val="single" w:sz="8" w:color="auto"/>
            </w:tcBorders>
            <w:shd w:val="clear" w:color="auto" w:fill="BFBFBF"/>
          </w:tcPr>
          <w:p>
            <w:pPr>
              <w:spacing w:after="0"/>
              <w:rPr>
                <w:sz w:val="23"/>
                <w:szCs w:val="23"/>
                <w:color w:val="auto"/>
              </w:rPr>
            </w:pPr>
          </w:p>
        </w:tc>
        <w:tc>
          <w:tcPr>
            <w:tcW w:w="28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30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w w:val="94"/>
              </w:rPr>
              <w:t>Norway</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19"/>
                <w:szCs w:val="19"/>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298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2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720" w:type="dxa"/>
            <w:vAlign w:val="bottom"/>
          </w:tcPr>
          <w:p>
            <w:pPr>
              <w:spacing w:after="0"/>
              <w:rPr>
                <w:sz w:val="6"/>
                <w:szCs w:val="6"/>
                <w:color w:val="auto"/>
              </w:rPr>
            </w:pPr>
          </w:p>
        </w:tc>
        <w:tc>
          <w:tcPr>
            <w:tcW w:w="2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98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2720" w:type="dxa"/>
            <w:vAlign w:val="bottom"/>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9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0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9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2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700" w:type="dxa"/>
            <w:vAlign w:val="bottom"/>
            <w:tcBorders>
              <w:bottom w:val="single" w:sz="8" w:color="auto"/>
            </w:tcBorders>
            <w:gridSpan w:val="2"/>
          </w:tcPr>
          <w:p>
            <w:pPr>
              <w:spacing w:after="0"/>
              <w:rPr>
                <w:sz w:val="12"/>
                <w:szCs w:val="12"/>
                <w:color w:val="auto"/>
              </w:rPr>
            </w:pPr>
          </w:p>
        </w:tc>
        <w:tc>
          <w:tcPr>
            <w:tcW w:w="2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0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0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IN</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4300" w:type="dxa"/>
            <w:vAlign w:val="bottom"/>
            <w:gridSpan w:val="3"/>
          </w:tcPr>
          <w:p>
            <w:pPr>
              <w:ind w:left="420"/>
              <w:spacing w:after="0"/>
              <w:rPr>
                <w:sz w:val="20"/>
                <w:szCs w:val="20"/>
                <w:color w:val="auto"/>
              </w:rPr>
            </w:pPr>
            <w:r>
              <w:rPr>
                <w:rFonts w:ascii="Arial" w:cs="Arial" w:eastAsia="Arial" w:hAnsi="Arial"/>
                <w:sz w:val="18"/>
                <w:szCs w:val="18"/>
                <w:b w:val="1"/>
                <w:bCs w:val="1"/>
                <w:color w:val="auto"/>
              </w:rPr>
              <w:t>CUSIP No. 04746L104</w:t>
            </w:r>
          </w:p>
        </w:tc>
        <w:tc>
          <w:tcPr>
            <w:tcW w:w="2720" w:type="dxa"/>
            <w:vAlign w:val="bottom"/>
          </w:tcPr>
          <w:p>
            <w:pPr>
              <w:ind w:left="280"/>
              <w:spacing w:after="0"/>
              <w:rPr>
                <w:sz w:val="20"/>
                <w:szCs w:val="20"/>
                <w:color w:val="auto"/>
              </w:rPr>
            </w:pPr>
            <w:r>
              <w:rPr>
                <w:rFonts w:ascii="Arial" w:cs="Arial" w:eastAsia="Arial" w:hAnsi="Arial"/>
                <w:sz w:val="18"/>
                <w:szCs w:val="18"/>
                <w:b w:val="1"/>
                <w:bCs w:val="1"/>
                <w:color w:val="auto"/>
              </w:rPr>
              <w:t>13G/A</w:t>
            </w:r>
          </w:p>
        </w:tc>
        <w:tc>
          <w:tcPr>
            <w:tcW w:w="2820" w:type="dxa"/>
            <w:vAlign w:val="bottom"/>
          </w:tcPr>
          <w:p>
            <w:pPr>
              <w:ind w:left="60"/>
              <w:spacing w:after="0"/>
              <w:rPr>
                <w:sz w:val="20"/>
                <w:szCs w:val="20"/>
                <w:color w:val="auto"/>
              </w:rPr>
            </w:pPr>
            <w:r>
              <w:rPr>
                <w:rFonts w:ascii="Arial" w:cs="Arial" w:eastAsia="Arial" w:hAnsi="Arial"/>
                <w:sz w:val="18"/>
                <w:szCs w:val="18"/>
                <w:b w:val="1"/>
                <w:bCs w:val="1"/>
                <w:color w:val="auto"/>
              </w:rPr>
              <w:t>Page 9 of 16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gridSpan w:val="3"/>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430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David C. Ott</w:t>
            </w: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020" w:type="dxa"/>
            <w:vAlign w:val="bottom"/>
            <w:tcBorders>
              <w:bottom w:val="single" w:sz="8" w:color="auto"/>
            </w:tcBorders>
            <w:gridSpan w:val="4"/>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0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2980" w:type="dxa"/>
            <w:vAlign w:val="bottom"/>
            <w:shd w:val="clear" w:color="auto" w:fill="BFBFBF"/>
          </w:tcPr>
          <w:p>
            <w:pPr>
              <w:spacing w:after="0"/>
              <w:rPr>
                <w:sz w:val="20"/>
                <w:szCs w:val="20"/>
                <w:color w:val="auto"/>
              </w:rPr>
            </w:pPr>
          </w:p>
        </w:tc>
        <w:tc>
          <w:tcPr>
            <w:tcW w:w="2720" w:type="dxa"/>
            <w:vAlign w:val="bottom"/>
            <w:shd w:val="clear" w:color="auto" w:fill="BFBFBF"/>
          </w:tcPr>
          <w:p>
            <w:pPr>
              <w:spacing w:after="0"/>
              <w:rPr>
                <w:sz w:val="20"/>
                <w:szCs w:val="20"/>
                <w:color w:val="auto"/>
              </w:rPr>
            </w:pPr>
          </w:p>
        </w:tc>
        <w:tc>
          <w:tcPr>
            <w:tcW w:w="28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980" w:type="dxa"/>
            <w:vAlign w:val="bottom"/>
            <w:shd w:val="clear" w:color="auto" w:fill="BFBFBF"/>
          </w:tcPr>
          <w:p>
            <w:pPr>
              <w:spacing w:after="0"/>
              <w:rPr>
                <w:sz w:val="24"/>
                <w:szCs w:val="24"/>
                <w:color w:val="auto"/>
              </w:rPr>
            </w:pPr>
          </w:p>
        </w:tc>
        <w:tc>
          <w:tcPr>
            <w:tcW w:w="2720" w:type="dxa"/>
            <w:vAlign w:val="bottom"/>
            <w:shd w:val="clear" w:color="auto" w:fill="BFBFBF"/>
          </w:tcPr>
          <w:p>
            <w:pPr>
              <w:spacing w:after="0"/>
              <w:rPr>
                <w:sz w:val="24"/>
                <w:szCs w:val="24"/>
                <w:color w:val="auto"/>
              </w:rPr>
            </w:pPr>
          </w:p>
        </w:tc>
        <w:tc>
          <w:tcPr>
            <w:tcW w:w="28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980" w:type="dxa"/>
            <w:vAlign w:val="bottom"/>
            <w:tcBorders>
              <w:bottom w:val="single" w:sz="8" w:color="auto"/>
            </w:tcBorders>
            <w:shd w:val="clear" w:color="auto" w:fill="BFBFBF"/>
          </w:tcPr>
          <w:p>
            <w:pPr>
              <w:spacing w:after="0"/>
              <w:rPr>
                <w:sz w:val="23"/>
                <w:szCs w:val="23"/>
                <w:color w:val="auto"/>
              </w:rPr>
            </w:pPr>
          </w:p>
        </w:tc>
        <w:tc>
          <w:tcPr>
            <w:tcW w:w="2720" w:type="dxa"/>
            <w:vAlign w:val="bottom"/>
            <w:tcBorders>
              <w:bottom w:val="single" w:sz="8" w:color="auto"/>
            </w:tcBorders>
            <w:shd w:val="clear" w:color="auto" w:fill="BFBFBF"/>
          </w:tcPr>
          <w:p>
            <w:pPr>
              <w:spacing w:after="0"/>
              <w:rPr>
                <w:sz w:val="23"/>
                <w:szCs w:val="23"/>
                <w:color w:val="auto"/>
              </w:rPr>
            </w:pPr>
          </w:p>
        </w:tc>
        <w:tc>
          <w:tcPr>
            <w:tcW w:w="28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30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19"/>
                <w:szCs w:val="19"/>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298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2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720" w:type="dxa"/>
            <w:vAlign w:val="bottom"/>
          </w:tcPr>
          <w:p>
            <w:pPr>
              <w:spacing w:after="0"/>
              <w:rPr>
                <w:sz w:val="6"/>
                <w:szCs w:val="6"/>
                <w:color w:val="auto"/>
              </w:rPr>
            </w:pPr>
          </w:p>
        </w:tc>
        <w:tc>
          <w:tcPr>
            <w:tcW w:w="2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98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2720" w:type="dxa"/>
            <w:vAlign w:val="bottom"/>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9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7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0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9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2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700" w:type="dxa"/>
            <w:vAlign w:val="bottom"/>
            <w:tcBorders>
              <w:bottom w:val="single" w:sz="8" w:color="auto"/>
            </w:tcBorders>
            <w:gridSpan w:val="2"/>
          </w:tcPr>
          <w:p>
            <w:pPr>
              <w:spacing w:after="0"/>
              <w:rPr>
                <w:sz w:val="12"/>
                <w:szCs w:val="12"/>
                <w:color w:val="auto"/>
              </w:rPr>
            </w:pPr>
          </w:p>
        </w:tc>
        <w:tc>
          <w:tcPr>
            <w:tcW w:w="2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0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0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IN</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4300" w:type="dxa"/>
            <w:vAlign w:val="bottom"/>
            <w:gridSpan w:val="3"/>
          </w:tcPr>
          <w:p>
            <w:pPr>
              <w:ind w:left="420"/>
              <w:spacing w:after="0"/>
              <w:rPr>
                <w:sz w:val="20"/>
                <w:szCs w:val="20"/>
                <w:color w:val="auto"/>
              </w:rPr>
            </w:pPr>
            <w:r>
              <w:rPr>
                <w:rFonts w:ascii="Arial" w:cs="Arial" w:eastAsia="Arial" w:hAnsi="Arial"/>
                <w:sz w:val="18"/>
                <w:szCs w:val="18"/>
                <w:b w:val="1"/>
                <w:bCs w:val="1"/>
                <w:color w:val="auto"/>
              </w:rPr>
              <w:t>CUSIP No. 04746L104</w:t>
            </w:r>
          </w:p>
        </w:tc>
        <w:tc>
          <w:tcPr>
            <w:tcW w:w="2700" w:type="dxa"/>
            <w:vAlign w:val="bottom"/>
          </w:tcPr>
          <w:p>
            <w:pPr>
              <w:ind w:left="280"/>
              <w:spacing w:after="0"/>
              <w:rPr>
                <w:sz w:val="20"/>
                <w:szCs w:val="20"/>
                <w:color w:val="auto"/>
              </w:rPr>
            </w:pPr>
            <w:r>
              <w:rPr>
                <w:rFonts w:ascii="Arial" w:cs="Arial" w:eastAsia="Arial" w:hAnsi="Arial"/>
                <w:sz w:val="18"/>
                <w:szCs w:val="18"/>
                <w:b w:val="1"/>
                <w:bCs w:val="1"/>
                <w:color w:val="auto"/>
              </w:rPr>
              <w:t>13G/A</w:t>
            </w:r>
          </w:p>
        </w:tc>
        <w:tc>
          <w:tcPr>
            <w:tcW w:w="2840" w:type="dxa"/>
            <w:vAlign w:val="bottom"/>
          </w:tcPr>
          <w:p>
            <w:pPr>
              <w:ind w:left="40"/>
              <w:spacing w:after="0"/>
              <w:rPr>
                <w:sz w:val="20"/>
                <w:szCs w:val="20"/>
                <w:color w:val="auto"/>
              </w:rPr>
            </w:pPr>
            <w:r>
              <w:rPr>
                <w:rFonts w:ascii="Arial" w:cs="Arial" w:eastAsia="Arial" w:hAnsi="Arial"/>
                <w:sz w:val="18"/>
                <w:szCs w:val="18"/>
                <w:b w:val="1"/>
                <w:bCs w:val="1"/>
                <w:color w:val="auto"/>
              </w:rPr>
              <w:t>Page 10 of 16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gridSpan w:val="3"/>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430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70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w w:val="98"/>
              </w:rPr>
              <w:t>Rose S. Shabet</w:t>
            </w:r>
          </w:p>
        </w:tc>
        <w:tc>
          <w:tcPr>
            <w:tcW w:w="2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70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2980" w:type="dxa"/>
            <w:vAlign w:val="bottom"/>
            <w:shd w:val="clear" w:color="auto" w:fill="BFBFBF"/>
          </w:tcPr>
          <w:p>
            <w:pPr>
              <w:spacing w:after="0"/>
              <w:rPr>
                <w:sz w:val="20"/>
                <w:szCs w:val="20"/>
                <w:color w:val="auto"/>
              </w:rPr>
            </w:pPr>
          </w:p>
        </w:tc>
        <w:tc>
          <w:tcPr>
            <w:tcW w:w="2700" w:type="dxa"/>
            <w:vAlign w:val="bottom"/>
            <w:shd w:val="clear" w:color="auto" w:fill="BFBFBF"/>
          </w:tcPr>
          <w:p>
            <w:pPr>
              <w:spacing w:after="0"/>
              <w:rPr>
                <w:sz w:val="20"/>
                <w:szCs w:val="20"/>
                <w:color w:val="auto"/>
              </w:rPr>
            </w:pPr>
          </w:p>
        </w:tc>
        <w:tc>
          <w:tcPr>
            <w:tcW w:w="28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980" w:type="dxa"/>
            <w:vAlign w:val="bottom"/>
            <w:shd w:val="clear" w:color="auto" w:fill="BFBFBF"/>
          </w:tcPr>
          <w:p>
            <w:pPr>
              <w:spacing w:after="0"/>
              <w:rPr>
                <w:sz w:val="24"/>
                <w:szCs w:val="24"/>
                <w:color w:val="auto"/>
              </w:rPr>
            </w:pPr>
          </w:p>
        </w:tc>
        <w:tc>
          <w:tcPr>
            <w:tcW w:w="2700" w:type="dxa"/>
            <w:vAlign w:val="bottom"/>
            <w:shd w:val="clear" w:color="auto" w:fill="BFBFBF"/>
          </w:tcPr>
          <w:p>
            <w:pPr>
              <w:spacing w:after="0"/>
              <w:rPr>
                <w:sz w:val="24"/>
                <w:szCs w:val="24"/>
                <w:color w:val="auto"/>
              </w:rPr>
            </w:pPr>
          </w:p>
        </w:tc>
        <w:tc>
          <w:tcPr>
            <w:tcW w:w="28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980" w:type="dxa"/>
            <w:vAlign w:val="bottom"/>
            <w:tcBorders>
              <w:bottom w:val="single" w:sz="8" w:color="auto"/>
            </w:tcBorders>
            <w:shd w:val="clear" w:color="auto" w:fill="BFBFBF"/>
          </w:tcPr>
          <w:p>
            <w:pPr>
              <w:spacing w:after="0"/>
              <w:rPr>
                <w:sz w:val="23"/>
                <w:szCs w:val="23"/>
                <w:color w:val="auto"/>
              </w:rPr>
            </w:pPr>
          </w:p>
        </w:tc>
        <w:tc>
          <w:tcPr>
            <w:tcW w:w="2700" w:type="dxa"/>
            <w:vAlign w:val="bottom"/>
            <w:tcBorders>
              <w:bottom w:val="single" w:sz="8" w:color="auto"/>
            </w:tcBorders>
            <w:shd w:val="clear" w:color="auto" w:fill="BFBFBF"/>
          </w:tcPr>
          <w:p>
            <w:pPr>
              <w:spacing w:after="0"/>
              <w:rPr>
                <w:sz w:val="23"/>
                <w:szCs w:val="23"/>
                <w:color w:val="auto"/>
              </w:rPr>
            </w:pPr>
          </w:p>
        </w:tc>
        <w:tc>
          <w:tcPr>
            <w:tcW w:w="28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30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70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2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70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0</w:t>
            </w:r>
          </w:p>
        </w:tc>
        <w:tc>
          <w:tcPr>
            <w:tcW w:w="270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70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19"/>
                <w:szCs w:val="19"/>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700" w:type="dxa"/>
            <w:vAlign w:val="bottom"/>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298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700" w:type="dxa"/>
            <w:vAlign w:val="bottom"/>
          </w:tcPr>
          <w:p>
            <w:pPr>
              <w:spacing w:after="0"/>
              <w:rPr>
                <w:sz w:val="6"/>
                <w:szCs w:val="6"/>
                <w:color w:val="auto"/>
              </w:rPr>
            </w:pPr>
          </w:p>
        </w:tc>
        <w:tc>
          <w:tcPr>
            <w:tcW w:w="2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980" w:type="dxa"/>
            <w:vAlign w:val="bottom"/>
            <w:vMerge w:val="continue"/>
          </w:tcPr>
          <w:p>
            <w:pPr>
              <w:spacing w:after="0"/>
              <w:rPr>
                <w:sz w:val="14"/>
                <w:szCs w:val="14"/>
                <w:color w:val="auto"/>
              </w:rPr>
            </w:pPr>
          </w:p>
        </w:tc>
        <w:tc>
          <w:tcPr>
            <w:tcW w:w="2700" w:type="dxa"/>
            <w:vAlign w:val="bottom"/>
          </w:tcPr>
          <w:p>
            <w:pPr>
              <w:spacing w:after="0"/>
              <w:rPr>
                <w:sz w:val="14"/>
                <w:szCs w:val="14"/>
                <w:color w:val="auto"/>
              </w:rPr>
            </w:pPr>
          </w:p>
        </w:tc>
        <w:tc>
          <w:tcPr>
            <w:tcW w:w="2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700" w:type="dxa"/>
            <w:vAlign w:val="bottom"/>
          </w:tcPr>
          <w:p>
            <w:pPr>
              <w:spacing w:after="0"/>
              <w:rPr>
                <w:sz w:val="4"/>
                <w:szCs w:val="4"/>
                <w:color w:val="auto"/>
              </w:rPr>
            </w:pPr>
          </w:p>
        </w:tc>
        <w:tc>
          <w:tcPr>
            <w:tcW w:w="28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270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9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28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70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0</w:t>
            </w:r>
          </w:p>
        </w:tc>
        <w:tc>
          <w:tcPr>
            <w:tcW w:w="270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5680" w:type="dxa"/>
            <w:vAlign w:val="bottom"/>
            <w:tcBorders>
              <w:bottom w:val="single" w:sz="8" w:color="auto"/>
            </w:tcBorders>
            <w:gridSpan w:val="2"/>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00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80" w:type="dxa"/>
            <w:vAlign w:val="bottom"/>
            <w:tcBorders>
              <w:bottom w:val="single" w:sz="8" w:color="auto"/>
            </w:tcBorders>
            <w:gridSpan w:val="2"/>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98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680" w:type="dxa"/>
            <w:vAlign w:val="bottom"/>
            <w:tcBorders>
              <w:bottom w:val="single" w:sz="8" w:color="auto"/>
            </w:tcBorders>
            <w:gridSpan w:val="2"/>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700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80" w:type="dxa"/>
            <w:vAlign w:val="bottom"/>
            <w:tcBorders>
              <w:bottom w:val="single" w:sz="8" w:color="auto"/>
            </w:tcBorders>
            <w:gridSpan w:val="2"/>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700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IN</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c>
          <w:tcPr>
            <w:tcW w:w="2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1820"/>
        <w:spacing w:after="0"/>
        <w:tabs>
          <w:tab w:leader="none" w:pos="5960" w:val="left"/>
          <w:tab w:leader="none" w:pos="842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11 of 16 Pages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u w:val="single" w:color="auto"/>
          <w:color w:val="auto"/>
        </w:rPr>
        <w:t>Name of Issuer</w:t>
      </w:r>
      <w:r>
        <w:rPr>
          <w:rFonts w:ascii="Arial" w:cs="Arial" w:eastAsia="Arial" w:hAnsi="Arial"/>
          <w:sz w:val="16"/>
          <w:szCs w:val="16"/>
          <w:color w:val="auto"/>
        </w:rPr>
        <w:t>:</w:t>
      </w:r>
    </w:p>
    <w:p>
      <w:pPr>
        <w:spacing w:after="0" w:line="245"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Athira Pharma, Inc.</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1(b)</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Address of Issuer’s Principal Executive Offices</w:t>
      </w:r>
      <w:r>
        <w:rPr>
          <w:rFonts w:ascii="Arial" w:cs="Arial" w:eastAsia="Arial" w:hAnsi="Arial"/>
          <w:sz w:val="16"/>
          <w:szCs w:val="16"/>
          <w:color w:val="auto"/>
        </w:rPr>
        <w:t>:</w:t>
      </w:r>
    </w:p>
    <w:p>
      <w:pPr>
        <w:spacing w:after="0" w:line="24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18706 North Creek Parkway, Suite 104</w:t>
      </w:r>
    </w:p>
    <w:p>
      <w:pPr>
        <w:spacing w:after="0" w:line="8"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Bothell, WA 98011</w:t>
      </w:r>
    </w:p>
    <w:p>
      <w:pPr>
        <w:spacing w:after="0" w:line="22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2(a)</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24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Viking Global Investors LP (“VGI”),</w:t>
      </w:r>
    </w:p>
    <w:p>
      <w:pPr>
        <w:ind w:left="1360"/>
        <w:spacing w:after="0" w:line="238" w:lineRule="auto"/>
        <w:rPr>
          <w:sz w:val="20"/>
          <w:szCs w:val="20"/>
          <w:color w:val="auto"/>
        </w:rPr>
      </w:pPr>
      <w:r>
        <w:rPr>
          <w:rFonts w:ascii="Arial" w:cs="Arial" w:eastAsia="Arial" w:hAnsi="Arial"/>
          <w:sz w:val="22"/>
          <w:szCs w:val="22"/>
          <w:color w:val="auto"/>
        </w:rPr>
        <w:t>Viking Global Opportunities Parent GP LLC (“Opportunities Parent”),</w:t>
      </w:r>
    </w:p>
    <w:p>
      <w:pPr>
        <w:ind w:left="1360"/>
        <w:spacing w:after="0" w:line="230" w:lineRule="auto"/>
        <w:rPr>
          <w:sz w:val="20"/>
          <w:szCs w:val="20"/>
          <w:color w:val="auto"/>
        </w:rPr>
      </w:pPr>
      <w:r>
        <w:rPr>
          <w:rFonts w:ascii="Arial" w:cs="Arial" w:eastAsia="Arial" w:hAnsi="Arial"/>
          <w:sz w:val="22"/>
          <w:szCs w:val="22"/>
          <w:color w:val="auto"/>
        </w:rPr>
        <w:t>Viking Global Opportunities GP LLC (“Opportunities GP”),</w:t>
      </w:r>
    </w:p>
    <w:p>
      <w:pPr>
        <w:ind w:left="1360"/>
        <w:spacing w:after="0" w:line="231" w:lineRule="auto"/>
        <w:rPr>
          <w:sz w:val="20"/>
          <w:szCs w:val="20"/>
          <w:color w:val="auto"/>
        </w:rPr>
      </w:pPr>
      <w:r>
        <w:rPr>
          <w:rFonts w:ascii="Arial" w:cs="Arial" w:eastAsia="Arial" w:hAnsi="Arial"/>
          <w:sz w:val="22"/>
          <w:szCs w:val="22"/>
          <w:color w:val="auto"/>
        </w:rPr>
        <w:t>Viking Global Opportunities Portfolio GP LLC (“Opportunities Portfolio GP”),</w:t>
      </w:r>
    </w:p>
    <w:p>
      <w:pPr>
        <w:ind w:left="1360"/>
        <w:spacing w:after="0" w:line="230" w:lineRule="auto"/>
        <w:rPr>
          <w:sz w:val="20"/>
          <w:szCs w:val="20"/>
          <w:color w:val="auto"/>
        </w:rPr>
      </w:pPr>
      <w:r>
        <w:rPr>
          <w:rFonts w:ascii="Arial" w:cs="Arial" w:eastAsia="Arial" w:hAnsi="Arial"/>
          <w:sz w:val="22"/>
          <w:szCs w:val="22"/>
          <w:color w:val="auto"/>
        </w:rPr>
        <w:t>Viking Global Opportunities Liquid Portfolio Sub-Master LP (“VGOL”),</w:t>
      </w:r>
    </w:p>
    <w:p>
      <w:pPr>
        <w:ind w:left="1360"/>
        <w:spacing w:after="0" w:line="231" w:lineRule="auto"/>
        <w:rPr>
          <w:sz w:val="20"/>
          <w:szCs w:val="20"/>
          <w:color w:val="auto"/>
        </w:rPr>
      </w:pPr>
      <w:r>
        <w:rPr>
          <w:rFonts w:ascii="Arial" w:cs="Arial" w:eastAsia="Arial" w:hAnsi="Arial"/>
          <w:sz w:val="22"/>
          <w:szCs w:val="22"/>
          <w:color w:val="auto"/>
        </w:rPr>
        <w:t>Viking Global Opportunities Illiquid Investments Sub-Master LP (“VGOP”),</w:t>
      </w:r>
    </w:p>
    <w:p>
      <w:pPr>
        <w:ind w:left="1360"/>
        <w:spacing w:after="0"/>
        <w:rPr>
          <w:sz w:val="20"/>
          <w:szCs w:val="20"/>
          <w:color w:val="auto"/>
        </w:rPr>
      </w:pPr>
      <w:r>
        <w:rPr>
          <w:rFonts w:ascii="Arial" w:cs="Arial" w:eastAsia="Arial" w:hAnsi="Arial"/>
          <w:sz w:val="22"/>
          <w:szCs w:val="22"/>
          <w:color w:val="auto"/>
        </w:rPr>
        <w:t>O. Andreas Halvorsen, David C. Ott and Rose S. Shabet (collectively, the “Reporting Persons”)</w:t>
      </w:r>
    </w:p>
    <w:p>
      <w:pPr>
        <w:spacing w:after="0" w:line="22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Items 2(b)</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Address of Principal Business Office or, if none, Residence</w:t>
      </w:r>
      <w:r>
        <w:rPr>
          <w:rFonts w:ascii="Arial" w:cs="Arial" w:eastAsia="Arial" w:hAnsi="Arial"/>
          <w:sz w:val="16"/>
          <w:szCs w:val="16"/>
          <w:color w:val="auto"/>
        </w:rPr>
        <w:t>:</w:t>
      </w:r>
    </w:p>
    <w:p>
      <w:pPr>
        <w:spacing w:after="0" w:line="245"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The business address of each of the Reporting Persons is: 55 Railroad Avenue, Greenwich, Connecticut 06830.</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Items 2(c)</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Citizenship</w:t>
      </w:r>
      <w:r>
        <w:rPr>
          <w:rFonts w:ascii="Arial" w:cs="Arial" w:eastAsia="Arial" w:hAnsi="Arial"/>
          <w:sz w:val="16"/>
          <w:szCs w:val="16"/>
          <w:color w:val="auto"/>
        </w:rPr>
        <w:t>:</w:t>
      </w:r>
    </w:p>
    <w:p>
      <w:pPr>
        <w:spacing w:after="0" w:line="245" w:lineRule="exact"/>
        <w:rPr>
          <w:sz w:val="20"/>
          <w:szCs w:val="20"/>
          <w:color w:val="auto"/>
        </w:rPr>
      </w:pPr>
    </w:p>
    <w:p>
      <w:pPr>
        <w:ind w:right="200" w:firstLine="1346"/>
        <w:spacing w:after="0" w:line="297" w:lineRule="auto"/>
        <w:rPr>
          <w:sz w:val="20"/>
          <w:szCs w:val="20"/>
          <w:color w:val="auto"/>
        </w:rPr>
      </w:pPr>
      <w:r>
        <w:rPr>
          <w:rFonts w:ascii="Arial" w:cs="Arial" w:eastAsia="Arial" w:hAnsi="Arial"/>
          <w:sz w:val="19"/>
          <w:szCs w:val="19"/>
          <w:color w:val="auto"/>
        </w:rPr>
        <w:t>VGI is a Delaware limited partnership; Opportunities Parent, Opportunities GP and Opportunities Portfolio GP are Delaware limited liability companies; VGOL and VGOP are Cayman Islands exempted limited partnerships; O. Andreas Halvorsen is a citizen of Norway; and David C. Ott and Rose S. Shabet are citizens of the United States.</w:t>
      </w:r>
    </w:p>
    <w:p>
      <w:pPr>
        <w:spacing w:after="0" w:line="1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2(d)</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Titles of Classes of Securities</w:t>
      </w:r>
      <w:r>
        <w:rPr>
          <w:rFonts w:ascii="Arial" w:cs="Arial" w:eastAsia="Arial" w:hAnsi="Arial"/>
          <w:sz w:val="16"/>
          <w:szCs w:val="16"/>
          <w:color w:val="auto"/>
        </w:rPr>
        <w:t>:</w:t>
      </w:r>
    </w:p>
    <w:p>
      <w:pPr>
        <w:spacing w:after="0" w:line="24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Common stock, par value $0.0001 per share (“Common Stock”)</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CUSIP NUMBER: 04746L104</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3.</w:t>
      </w:r>
      <w:r>
        <w:rPr>
          <w:sz w:val="20"/>
          <w:szCs w:val="20"/>
          <w:color w:val="auto"/>
        </w:rPr>
        <w:tab/>
      </w:r>
      <w:r>
        <w:rPr>
          <w:rFonts w:ascii="Arial" w:cs="Arial" w:eastAsia="Arial" w:hAnsi="Arial"/>
          <w:sz w:val="16"/>
          <w:szCs w:val="16"/>
          <w:u w:val="single" w:color="auto"/>
          <w:color w:val="auto"/>
        </w:rPr>
        <w:t>If This Statement is Filed Pursuant to Rule 13d-1(b), or 13d-2(b) or (c), Check Whether the Person Filing is a:</w:t>
      </w:r>
    </w:p>
    <w:p>
      <w:pPr>
        <w:spacing w:after="0" w:line="219" w:lineRule="exact"/>
        <w:rPr>
          <w:sz w:val="20"/>
          <w:szCs w:val="20"/>
          <w:color w:val="auto"/>
        </w:rPr>
      </w:pPr>
    </w:p>
    <w:p>
      <w:pPr>
        <w:ind w:left="1820" w:hanging="570"/>
        <w:spacing w:after="0" w:line="207" w:lineRule="exact"/>
        <w:tabs>
          <w:tab w:leader="none" w:pos="18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57" w:lineRule="exact"/>
        <w:rPr>
          <w:rFonts w:ascii="Arial" w:cs="Arial" w:eastAsia="Arial" w:hAnsi="Arial"/>
          <w:sz w:val="18"/>
          <w:szCs w:val="18"/>
          <w:color w:val="auto"/>
        </w:rPr>
      </w:pPr>
    </w:p>
    <w:p>
      <w:pPr>
        <w:ind w:left="1820" w:hanging="570"/>
        <w:spacing w:after="0" w:line="207" w:lineRule="exact"/>
        <w:tabs>
          <w:tab w:leader="none" w:pos="18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9" w:lineRule="exact"/>
        <w:rPr>
          <w:rFonts w:ascii="Arial" w:cs="Arial" w:eastAsia="Arial" w:hAnsi="Arial"/>
          <w:sz w:val="18"/>
          <w:szCs w:val="18"/>
          <w:color w:val="auto"/>
        </w:rPr>
      </w:pPr>
    </w:p>
    <w:p>
      <w:pPr>
        <w:ind w:left="1820" w:hanging="570"/>
        <w:spacing w:after="0" w:line="207" w:lineRule="exact"/>
        <w:tabs>
          <w:tab w:leader="none" w:pos="18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9" w:lineRule="exact"/>
        <w:rPr>
          <w:rFonts w:ascii="Arial" w:cs="Arial" w:eastAsia="Arial" w:hAnsi="Arial"/>
          <w:sz w:val="18"/>
          <w:szCs w:val="18"/>
          <w:color w:val="auto"/>
        </w:rPr>
      </w:pPr>
    </w:p>
    <w:p>
      <w:pPr>
        <w:ind w:left="1820" w:hanging="570"/>
        <w:spacing w:after="0" w:line="207" w:lineRule="exact"/>
        <w:tabs>
          <w:tab w:leader="none" w:pos="18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9" w:lineRule="exact"/>
        <w:rPr>
          <w:rFonts w:ascii="Arial" w:cs="Arial" w:eastAsia="Arial" w:hAnsi="Arial"/>
          <w:sz w:val="18"/>
          <w:szCs w:val="18"/>
          <w:color w:val="auto"/>
        </w:rPr>
      </w:pPr>
    </w:p>
    <w:p>
      <w:pPr>
        <w:ind w:left="1820" w:hanging="570"/>
        <w:spacing w:after="0" w:line="196" w:lineRule="exact"/>
        <w:tabs>
          <w:tab w:leader="none" w:pos="1820" w:val="left"/>
        </w:tabs>
        <w:numPr>
          <w:ilvl w:val="0"/>
          <w:numId w:val="2"/>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Investment Adviser registered under Section 203 of the Investment Advisers Act of 1940: see Rule 13d-1(b)(1)(ii)(E)</w:t>
      </w:r>
    </w:p>
    <w:p>
      <w:pPr>
        <w:spacing w:after="0" w:line="20" w:lineRule="exact"/>
        <w:rPr>
          <w:rFonts w:ascii="Arial" w:cs="Arial" w:eastAsia="Arial" w:hAnsi="Arial"/>
          <w:sz w:val="17"/>
          <w:szCs w:val="17"/>
          <w:color w:val="auto"/>
        </w:rPr>
      </w:pPr>
    </w:p>
    <w:p>
      <w:pPr>
        <w:ind w:left="1820" w:right="140" w:hanging="570"/>
        <w:spacing w:after="0" w:line="215" w:lineRule="exact"/>
        <w:tabs>
          <w:tab w:leader="none" w:pos="18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Pension Fund which is subject to the provisions of the Employee Retirement Income Security Act of 1974 or Endowment Fund; see Rule 13d-1(b)(1)(ii)(F)</w:t>
      </w:r>
    </w:p>
    <w:p>
      <w:pPr>
        <w:ind w:left="1820" w:hanging="570"/>
        <w:spacing w:after="0" w:line="207" w:lineRule="exact"/>
        <w:tabs>
          <w:tab w:leader="none" w:pos="18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in accordance with Rule 13d-1(b)(1)(ii)(G).</w:t>
      </w:r>
    </w:p>
    <w:p>
      <w:pPr>
        <w:spacing w:after="0" w:line="10" w:lineRule="exact"/>
        <w:rPr>
          <w:rFonts w:ascii="Arial" w:cs="Arial" w:eastAsia="Arial" w:hAnsi="Arial"/>
          <w:sz w:val="18"/>
          <w:szCs w:val="18"/>
          <w:color w:val="auto"/>
        </w:rPr>
      </w:pPr>
    </w:p>
    <w:p>
      <w:pPr>
        <w:ind w:left="1820" w:hanging="570"/>
        <w:spacing w:after="0" w:line="207" w:lineRule="exact"/>
        <w:tabs>
          <w:tab w:leader="none" w:pos="18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9" w:lineRule="exact"/>
        <w:rPr>
          <w:rFonts w:ascii="Arial" w:cs="Arial" w:eastAsia="Arial" w:hAnsi="Arial"/>
          <w:sz w:val="18"/>
          <w:szCs w:val="18"/>
          <w:color w:val="auto"/>
        </w:rPr>
      </w:pPr>
    </w:p>
    <w:p>
      <w:pPr>
        <w:ind w:left="1820" w:hanging="570"/>
        <w:spacing w:after="0" w:line="215" w:lineRule="exact"/>
        <w:tabs>
          <w:tab w:leader="none" w:pos="18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of 1940.</w:t>
      </w:r>
    </w:p>
    <w:p>
      <w:pPr>
        <w:ind w:left="1820" w:hanging="570"/>
        <w:spacing w:after="0" w:line="184" w:lineRule="exact"/>
        <w:tabs>
          <w:tab w:leader="none" w:pos="1820" w:val="left"/>
        </w:tabs>
        <w:numPr>
          <w:ilvl w:val="0"/>
          <w:numId w:val="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Non-U.S. institution in accordance with Rule 240.13d-1(b)(1)(ii)(J). If filing as a non-U.S. institution in accordance with Rule</w:t>
      </w:r>
    </w:p>
    <w:p>
      <w:pPr>
        <w:spacing w:after="0" w:line="33" w:lineRule="exact"/>
        <w:rPr>
          <w:rFonts w:ascii="Arial" w:cs="Arial" w:eastAsia="Arial" w:hAnsi="Arial"/>
          <w:sz w:val="16"/>
          <w:szCs w:val="16"/>
          <w:color w:val="auto"/>
        </w:rPr>
      </w:pPr>
    </w:p>
    <w:p>
      <w:pPr>
        <w:ind w:left="1820"/>
        <w:spacing w:after="0"/>
        <w:rPr>
          <w:rFonts w:ascii="Arial" w:cs="Arial" w:eastAsia="Arial" w:hAnsi="Arial"/>
          <w:sz w:val="16"/>
          <w:szCs w:val="16"/>
          <w:color w:val="auto"/>
        </w:rPr>
      </w:pPr>
      <w:r>
        <w:rPr>
          <w:rFonts w:ascii="Arial" w:cs="Arial" w:eastAsia="Arial" w:hAnsi="Arial"/>
          <w:sz w:val="18"/>
          <w:szCs w:val="18"/>
          <w:color w:val="auto"/>
        </w:rPr>
        <w:t>240.13d-1(b)(1)(ii)(J), please specify the type of institution:</w:t>
      </w:r>
    </w:p>
    <w:p>
      <w:pPr>
        <w:spacing w:after="0" w:line="7" w:lineRule="exact"/>
        <w:rPr>
          <w:rFonts w:ascii="Arial" w:cs="Arial" w:eastAsia="Arial" w:hAnsi="Arial"/>
          <w:sz w:val="16"/>
          <w:szCs w:val="16"/>
          <w:color w:val="auto"/>
        </w:rPr>
      </w:pPr>
    </w:p>
    <w:p>
      <w:pPr>
        <w:ind w:left="1820" w:hanging="570"/>
        <w:spacing w:after="0" w:line="207" w:lineRule="exact"/>
        <w:tabs>
          <w:tab w:leader="none" w:pos="18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1" w:name="page12"/>
    <w:bookmarkEnd w:id="11"/>
    <w:p>
      <w:pPr>
        <w:ind w:left="1820"/>
        <w:spacing w:after="0"/>
        <w:tabs>
          <w:tab w:leader="none" w:pos="5960" w:val="left"/>
          <w:tab w:leader="none" w:pos="842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12 of 16 Pages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4.</w:t>
      </w:r>
      <w:r>
        <w:rPr>
          <w:sz w:val="20"/>
          <w:szCs w:val="20"/>
          <w:color w:val="auto"/>
        </w:rPr>
        <w:tab/>
      </w:r>
      <w:r>
        <w:rPr>
          <w:rFonts w:ascii="Arial" w:cs="Arial" w:eastAsia="Arial" w:hAnsi="Arial"/>
          <w:sz w:val="16"/>
          <w:szCs w:val="16"/>
          <w:u w:val="single" w:color="auto"/>
          <w:color w:val="auto"/>
        </w:rPr>
        <w:t>Ownership</w:t>
      </w:r>
    </w:p>
    <w:p>
      <w:pPr>
        <w:spacing w:after="0" w:line="245" w:lineRule="exact"/>
        <w:rPr>
          <w:sz w:val="20"/>
          <w:szCs w:val="20"/>
          <w:color w:val="auto"/>
        </w:rPr>
      </w:pPr>
    </w:p>
    <w:p>
      <w:pPr>
        <w:ind w:left="920" w:hanging="264"/>
        <w:spacing w:after="0"/>
        <w:tabs>
          <w:tab w:leader="none" w:pos="920" w:val="left"/>
        </w:tabs>
        <w:numPr>
          <w:ilvl w:val="0"/>
          <w:numId w:val="3"/>
        </w:numPr>
        <w:rPr>
          <w:rFonts w:ascii="Arial" w:cs="Arial" w:eastAsia="Arial" w:hAnsi="Arial"/>
          <w:sz w:val="22"/>
          <w:szCs w:val="22"/>
          <w:color w:val="auto"/>
        </w:rPr>
      </w:pPr>
      <w:r>
        <w:rPr>
          <w:rFonts w:ascii="Arial" w:cs="Arial" w:eastAsia="Arial" w:hAnsi="Arial"/>
          <w:sz w:val="22"/>
          <w:szCs w:val="22"/>
          <w:color w:val="auto"/>
        </w:rPr>
        <w:t>VGI</w:t>
      </w:r>
    </w:p>
    <w:p>
      <w:pPr>
        <w:spacing w:after="0" w:line="240" w:lineRule="exact"/>
        <w:rPr>
          <w:rFonts w:ascii="Arial" w:cs="Arial" w:eastAsia="Arial" w:hAnsi="Arial"/>
          <w:sz w:val="22"/>
          <w:szCs w:val="22"/>
          <w:color w:val="auto"/>
        </w:rPr>
      </w:pPr>
    </w:p>
    <w:p>
      <w:pPr>
        <w:ind w:left="1820" w:hanging="570"/>
        <w:spacing w:after="0"/>
        <w:tabs>
          <w:tab w:leader="none" w:pos="1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3" w:lineRule="exact"/>
        <w:rPr>
          <w:rFonts w:ascii="Arial" w:cs="Arial" w:eastAsia="Arial" w:hAnsi="Arial"/>
          <w:sz w:val="18"/>
          <w:szCs w:val="18"/>
          <w:color w:val="auto"/>
        </w:rPr>
      </w:pPr>
    </w:p>
    <w:p>
      <w:pPr>
        <w:ind w:left="1820" w:hanging="570"/>
        <w:spacing w:after="0"/>
        <w:tabs>
          <w:tab w:leader="none" w:pos="1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Percent of Class: 0.0%</w:t>
      </w:r>
    </w:p>
    <w:p>
      <w:pPr>
        <w:spacing w:after="0" w:line="9" w:lineRule="exact"/>
        <w:rPr>
          <w:rFonts w:ascii="Arial" w:cs="Arial" w:eastAsia="Arial" w:hAnsi="Arial"/>
          <w:sz w:val="18"/>
          <w:szCs w:val="18"/>
          <w:color w:val="auto"/>
        </w:rPr>
      </w:pPr>
    </w:p>
    <w:p>
      <w:pPr>
        <w:ind w:left="1820" w:hanging="570"/>
        <w:spacing w:after="0"/>
        <w:tabs>
          <w:tab w:leader="none" w:pos="1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9" w:lineRule="exact"/>
        <w:rPr>
          <w:rFonts w:ascii="Arial" w:cs="Arial" w:eastAsia="Arial" w:hAnsi="Arial"/>
          <w:sz w:val="18"/>
          <w:szCs w:val="18"/>
          <w:color w:val="auto"/>
        </w:rPr>
      </w:pPr>
    </w:p>
    <w:p>
      <w:pPr>
        <w:ind w:left="2560" w:hanging="757"/>
        <w:spacing w:after="0"/>
        <w:tabs>
          <w:tab w:leader="none" w:pos="256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2560" w:hanging="757"/>
        <w:spacing w:after="0"/>
        <w:tabs>
          <w:tab w:leader="none" w:pos="256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2560" w:hanging="757"/>
        <w:spacing w:after="0"/>
        <w:tabs>
          <w:tab w:leader="none" w:pos="256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2560" w:hanging="757"/>
        <w:spacing w:after="0"/>
        <w:tabs>
          <w:tab w:leader="none" w:pos="256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31" w:lineRule="exact"/>
        <w:rPr>
          <w:sz w:val="20"/>
          <w:szCs w:val="20"/>
          <w:color w:val="auto"/>
        </w:rPr>
      </w:pPr>
    </w:p>
    <w:p>
      <w:pPr>
        <w:ind w:left="1960" w:right="220"/>
        <w:spacing w:after="0" w:line="250" w:lineRule="auto"/>
        <w:rPr>
          <w:sz w:val="20"/>
          <w:szCs w:val="20"/>
          <w:color w:val="auto"/>
        </w:rPr>
      </w:pPr>
      <w:r>
        <w:rPr>
          <w:rFonts w:ascii="Arial" w:cs="Arial" w:eastAsia="Arial" w:hAnsi="Arial"/>
          <w:sz w:val="22"/>
          <w:szCs w:val="22"/>
          <w:color w:val="auto"/>
        </w:rPr>
        <w:t>VGI provides managerial services to VGOL and VGOP. VGI has the authority to dispose of and vote the shares of Common Stock.</w:t>
      </w:r>
    </w:p>
    <w:p>
      <w:pPr>
        <w:spacing w:after="0" w:line="202" w:lineRule="exact"/>
        <w:rPr>
          <w:sz w:val="20"/>
          <w:szCs w:val="20"/>
          <w:color w:val="auto"/>
        </w:rPr>
      </w:pPr>
    </w:p>
    <w:p>
      <w:pPr>
        <w:ind w:left="1960" w:right="20"/>
        <w:spacing w:after="0"/>
        <w:rPr>
          <w:sz w:val="20"/>
          <w:szCs w:val="20"/>
          <w:color w:val="auto"/>
        </w:rPr>
      </w:pPr>
      <w:r>
        <w:rPr>
          <w:rFonts w:ascii="Arial" w:cs="Arial" w:eastAsia="Arial" w:hAnsi="Arial"/>
          <w:sz w:val="22"/>
          <w:szCs w:val="22"/>
          <w:color w:val="auto"/>
        </w:rPr>
        <w:t>Based on Rule 13d-3 of the Securities Exchange Act of 1934, as amended (the “Act”), VGI may be deemed to beneficially own the shares of Common Stock directly held by VGOL and VGOP. VGI does not directly own any shares of Common Stock.</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 Opportunities Parent</w:t>
      </w:r>
    </w:p>
    <w:p>
      <w:pPr>
        <w:spacing w:after="0" w:line="240" w:lineRule="exact"/>
        <w:rPr>
          <w:sz w:val="20"/>
          <w:szCs w:val="20"/>
          <w:color w:val="auto"/>
        </w:rPr>
      </w:pPr>
    </w:p>
    <w:p>
      <w:pPr>
        <w:ind w:left="1820" w:hanging="570"/>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3" w:lineRule="exact"/>
        <w:rPr>
          <w:rFonts w:ascii="Arial" w:cs="Arial" w:eastAsia="Arial" w:hAnsi="Arial"/>
          <w:sz w:val="18"/>
          <w:szCs w:val="18"/>
          <w:color w:val="auto"/>
        </w:rPr>
      </w:pPr>
    </w:p>
    <w:p>
      <w:pPr>
        <w:ind w:left="1820" w:hanging="570"/>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0.0%</w:t>
      </w:r>
    </w:p>
    <w:p>
      <w:pPr>
        <w:spacing w:after="0" w:line="9" w:lineRule="exact"/>
        <w:rPr>
          <w:rFonts w:ascii="Arial" w:cs="Arial" w:eastAsia="Arial" w:hAnsi="Arial"/>
          <w:sz w:val="18"/>
          <w:szCs w:val="18"/>
          <w:color w:val="auto"/>
        </w:rPr>
      </w:pPr>
    </w:p>
    <w:p>
      <w:pPr>
        <w:ind w:left="1820" w:hanging="570"/>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9" w:lineRule="exact"/>
        <w:rPr>
          <w:rFonts w:ascii="Arial" w:cs="Arial" w:eastAsia="Arial" w:hAnsi="Arial"/>
          <w:sz w:val="18"/>
          <w:szCs w:val="18"/>
          <w:color w:val="auto"/>
        </w:rPr>
      </w:pPr>
    </w:p>
    <w:p>
      <w:pPr>
        <w:ind w:left="2560" w:hanging="757"/>
        <w:spacing w:after="0"/>
        <w:tabs>
          <w:tab w:leader="none" w:pos="2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2560" w:hanging="757"/>
        <w:spacing w:after="0"/>
        <w:tabs>
          <w:tab w:leader="none" w:pos="2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2560" w:hanging="757"/>
        <w:spacing w:after="0"/>
        <w:tabs>
          <w:tab w:leader="none" w:pos="2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2560" w:hanging="757"/>
        <w:spacing w:after="0"/>
        <w:tabs>
          <w:tab w:leader="none" w:pos="2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31" w:lineRule="exact"/>
        <w:rPr>
          <w:sz w:val="20"/>
          <w:szCs w:val="20"/>
          <w:color w:val="auto"/>
        </w:rPr>
      </w:pPr>
    </w:p>
    <w:p>
      <w:pPr>
        <w:ind w:left="1960"/>
        <w:spacing w:after="0" w:line="238" w:lineRule="auto"/>
        <w:rPr>
          <w:sz w:val="20"/>
          <w:szCs w:val="20"/>
          <w:color w:val="auto"/>
        </w:rPr>
      </w:pPr>
      <w:r>
        <w:rPr>
          <w:rFonts w:ascii="Arial" w:cs="Arial" w:eastAsia="Arial" w:hAnsi="Arial"/>
          <w:sz w:val="22"/>
          <w:szCs w:val="22"/>
          <w:color w:val="auto"/>
        </w:rPr>
        <w:t>Opportunities Parent is the GP of Opportunities GP, which has the authority to dispose of and vote the shares of Common Stock controlled by Opportunities Portfolio GP, which consists of the shares of Common Stock directly held by VGOL. Opportunities Parent does not directly own any shares of Common Stock</w:t>
      </w:r>
    </w:p>
    <w:p>
      <w:pPr>
        <w:spacing w:after="0" w:line="212" w:lineRule="exact"/>
        <w:rPr>
          <w:sz w:val="20"/>
          <w:szCs w:val="20"/>
          <w:color w:val="auto"/>
        </w:rPr>
      </w:pPr>
    </w:p>
    <w:p>
      <w:pPr>
        <w:ind w:left="1960" w:right="380"/>
        <w:spacing w:after="0" w:line="250" w:lineRule="auto"/>
        <w:rPr>
          <w:sz w:val="20"/>
          <w:szCs w:val="20"/>
          <w:color w:val="auto"/>
        </w:rPr>
      </w:pPr>
      <w:r>
        <w:rPr>
          <w:rFonts w:ascii="Arial" w:cs="Arial" w:eastAsia="Arial" w:hAnsi="Arial"/>
          <w:sz w:val="22"/>
          <w:szCs w:val="22"/>
          <w:color w:val="auto"/>
        </w:rPr>
        <w:t>Based on Rule 13d-3 of the Act, Opportunities Parent may be deemed to beneficially own the shares of Common Stock directly held by VGOL.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1164"/>
        <w:spacing w:after="0"/>
        <w:tabs>
          <w:tab w:leader="none" w:pos="5304" w:val="left"/>
          <w:tab w:leader="none" w:pos="7764"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13 of 16 Pages</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22"/>
          <w:szCs w:val="22"/>
          <w:color w:val="auto"/>
        </w:rPr>
        <w:t>C. Opportunities GP</w:t>
      </w:r>
    </w:p>
    <w:p>
      <w:pPr>
        <w:spacing w:after="0" w:line="240" w:lineRule="exact"/>
        <w:rPr>
          <w:sz w:val="20"/>
          <w:szCs w:val="20"/>
          <w:color w:val="auto"/>
        </w:rPr>
      </w:pPr>
    </w:p>
    <w:p>
      <w:pPr>
        <w:ind w:left="1164" w:hanging="570"/>
        <w:spacing w:after="0"/>
        <w:tabs>
          <w:tab w:leader="none" w:pos="116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3" w:lineRule="exact"/>
        <w:rPr>
          <w:rFonts w:ascii="Arial" w:cs="Arial" w:eastAsia="Arial" w:hAnsi="Arial"/>
          <w:sz w:val="18"/>
          <w:szCs w:val="18"/>
          <w:color w:val="auto"/>
        </w:rPr>
      </w:pPr>
    </w:p>
    <w:p>
      <w:pPr>
        <w:ind w:left="1164" w:hanging="570"/>
        <w:spacing w:after="0"/>
        <w:tabs>
          <w:tab w:leader="none" w:pos="1164"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0.0%</w:t>
      </w:r>
    </w:p>
    <w:p>
      <w:pPr>
        <w:spacing w:after="0" w:line="9" w:lineRule="exact"/>
        <w:rPr>
          <w:rFonts w:ascii="Arial" w:cs="Arial" w:eastAsia="Arial" w:hAnsi="Arial"/>
          <w:sz w:val="18"/>
          <w:szCs w:val="18"/>
          <w:color w:val="auto"/>
        </w:rPr>
      </w:pPr>
    </w:p>
    <w:p>
      <w:pPr>
        <w:ind w:left="1164" w:hanging="570"/>
        <w:spacing w:after="0"/>
        <w:tabs>
          <w:tab w:leader="none" w:pos="1164"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9" w:lineRule="exact"/>
        <w:rPr>
          <w:rFonts w:ascii="Arial" w:cs="Arial" w:eastAsia="Arial" w:hAnsi="Arial"/>
          <w:sz w:val="18"/>
          <w:szCs w:val="18"/>
          <w:color w:val="auto"/>
        </w:rPr>
      </w:pPr>
    </w:p>
    <w:p>
      <w:pPr>
        <w:ind w:left="1904" w:hanging="757"/>
        <w:spacing w:after="0"/>
        <w:tabs>
          <w:tab w:leader="none" w:pos="1904"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1904" w:hanging="757"/>
        <w:spacing w:after="0"/>
        <w:tabs>
          <w:tab w:leader="none" w:pos="1904"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1904" w:hanging="757"/>
        <w:spacing w:after="0"/>
        <w:tabs>
          <w:tab w:leader="none" w:pos="1904"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04" w:hanging="757"/>
        <w:spacing w:after="0"/>
        <w:tabs>
          <w:tab w:leader="none" w:pos="1904"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31" w:lineRule="exact"/>
        <w:rPr>
          <w:sz w:val="20"/>
          <w:szCs w:val="20"/>
          <w:color w:val="auto"/>
        </w:rPr>
      </w:pPr>
    </w:p>
    <w:p>
      <w:pPr>
        <w:ind w:left="1304"/>
        <w:spacing w:after="0" w:line="238" w:lineRule="auto"/>
        <w:rPr>
          <w:sz w:val="20"/>
          <w:szCs w:val="20"/>
          <w:color w:val="auto"/>
        </w:rPr>
      </w:pPr>
      <w:r>
        <w:rPr>
          <w:rFonts w:ascii="Arial" w:cs="Arial" w:eastAsia="Arial" w:hAnsi="Arial"/>
          <w:sz w:val="22"/>
          <w:szCs w:val="22"/>
          <w:color w:val="auto"/>
        </w:rPr>
        <w:t>Opportunities GP serves as the sole member of Opportunities Portfolio GP and has the authority to dispose of and vote the shares of Common Stock controlled by Opportunities Portfolio GP, which consists of the shares of Common Stock directly held by VGOL and VGOP. Opportunities GP does not directly own any shares of Common Stock.</w:t>
      </w:r>
    </w:p>
    <w:p>
      <w:pPr>
        <w:spacing w:after="0" w:line="212" w:lineRule="exact"/>
        <w:rPr>
          <w:sz w:val="20"/>
          <w:szCs w:val="20"/>
          <w:color w:val="auto"/>
        </w:rPr>
      </w:pPr>
    </w:p>
    <w:p>
      <w:pPr>
        <w:ind w:left="1304" w:right="600"/>
        <w:spacing w:after="0" w:line="250" w:lineRule="auto"/>
        <w:rPr>
          <w:sz w:val="20"/>
          <w:szCs w:val="20"/>
          <w:color w:val="auto"/>
        </w:rPr>
      </w:pPr>
      <w:r>
        <w:rPr>
          <w:rFonts w:ascii="Arial" w:cs="Arial" w:eastAsia="Arial" w:hAnsi="Arial"/>
          <w:sz w:val="22"/>
          <w:szCs w:val="22"/>
          <w:color w:val="auto"/>
        </w:rPr>
        <w:t>Based on Rule 13d-3 of the Act, Opportunities GP may be deemed to beneficially own the shares of Common Stock directly held by VGOL and VGOP.</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22"/>
          <w:szCs w:val="22"/>
          <w:color w:val="auto"/>
        </w:rPr>
        <w:t>D. Opportunities Portfolio GP</w:t>
      </w:r>
    </w:p>
    <w:p>
      <w:pPr>
        <w:spacing w:after="0" w:line="240" w:lineRule="exact"/>
        <w:rPr>
          <w:sz w:val="20"/>
          <w:szCs w:val="20"/>
          <w:color w:val="auto"/>
        </w:rPr>
      </w:pPr>
    </w:p>
    <w:p>
      <w:pPr>
        <w:ind w:left="1164" w:hanging="570"/>
        <w:spacing w:after="0"/>
        <w:tabs>
          <w:tab w:leader="none" w:pos="1164"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3" w:lineRule="exact"/>
        <w:rPr>
          <w:rFonts w:ascii="Arial" w:cs="Arial" w:eastAsia="Arial" w:hAnsi="Arial"/>
          <w:sz w:val="18"/>
          <w:szCs w:val="18"/>
          <w:color w:val="auto"/>
        </w:rPr>
      </w:pPr>
    </w:p>
    <w:p>
      <w:pPr>
        <w:ind w:left="1164" w:hanging="570"/>
        <w:spacing w:after="0"/>
        <w:tabs>
          <w:tab w:leader="none" w:pos="1164"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0.0%</w:t>
      </w:r>
    </w:p>
    <w:p>
      <w:pPr>
        <w:spacing w:after="0" w:line="9" w:lineRule="exact"/>
        <w:rPr>
          <w:rFonts w:ascii="Arial" w:cs="Arial" w:eastAsia="Arial" w:hAnsi="Arial"/>
          <w:sz w:val="18"/>
          <w:szCs w:val="18"/>
          <w:color w:val="auto"/>
        </w:rPr>
      </w:pPr>
    </w:p>
    <w:p>
      <w:pPr>
        <w:ind w:left="1164" w:hanging="570"/>
        <w:spacing w:after="0"/>
        <w:tabs>
          <w:tab w:leader="none" w:pos="1164"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9" w:lineRule="exact"/>
        <w:rPr>
          <w:rFonts w:ascii="Arial" w:cs="Arial" w:eastAsia="Arial" w:hAnsi="Arial"/>
          <w:sz w:val="18"/>
          <w:szCs w:val="18"/>
          <w:color w:val="auto"/>
        </w:rPr>
      </w:pPr>
    </w:p>
    <w:p>
      <w:pPr>
        <w:ind w:left="1904" w:hanging="757"/>
        <w:spacing w:after="0"/>
        <w:tabs>
          <w:tab w:leader="none" w:pos="1904"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1904" w:hanging="757"/>
        <w:spacing w:after="0"/>
        <w:tabs>
          <w:tab w:leader="none" w:pos="1904"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1904" w:hanging="757"/>
        <w:spacing w:after="0"/>
        <w:tabs>
          <w:tab w:leader="none" w:pos="1904"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04" w:hanging="757"/>
        <w:spacing w:after="0"/>
        <w:tabs>
          <w:tab w:leader="none" w:pos="1904"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31" w:lineRule="exact"/>
        <w:rPr>
          <w:sz w:val="20"/>
          <w:szCs w:val="20"/>
          <w:color w:val="auto"/>
        </w:rPr>
      </w:pPr>
    </w:p>
    <w:p>
      <w:pPr>
        <w:jc w:val="both"/>
        <w:ind w:left="1304" w:right="420"/>
        <w:spacing w:after="0"/>
        <w:rPr>
          <w:sz w:val="20"/>
          <w:szCs w:val="20"/>
          <w:color w:val="auto"/>
        </w:rPr>
      </w:pPr>
      <w:r>
        <w:rPr>
          <w:rFonts w:ascii="Arial" w:cs="Arial" w:eastAsia="Arial" w:hAnsi="Arial"/>
          <w:sz w:val="22"/>
          <w:szCs w:val="22"/>
          <w:color w:val="auto"/>
        </w:rPr>
        <w:t>Opportunities Portfolio GP serves as the general partner of VGOL and VGOP and has the authority to dispose of and vote the shares of Common Stock directly owned by VGOL and VGOP. Opportunities Portfolio GP does not directly own any shares of Common Stock.</w:t>
      </w:r>
    </w:p>
    <w:p>
      <w:pPr>
        <w:spacing w:after="0" w:line="213" w:lineRule="exact"/>
        <w:rPr>
          <w:sz w:val="20"/>
          <w:szCs w:val="20"/>
          <w:color w:val="auto"/>
        </w:rPr>
      </w:pPr>
    </w:p>
    <w:p>
      <w:pPr>
        <w:ind w:left="1304" w:right="20"/>
        <w:spacing w:after="0" w:line="250" w:lineRule="auto"/>
        <w:rPr>
          <w:sz w:val="20"/>
          <w:szCs w:val="20"/>
          <w:color w:val="auto"/>
        </w:rPr>
      </w:pPr>
      <w:r>
        <w:rPr>
          <w:rFonts w:ascii="Arial" w:cs="Arial" w:eastAsia="Arial" w:hAnsi="Arial"/>
          <w:sz w:val="22"/>
          <w:szCs w:val="22"/>
          <w:color w:val="auto"/>
        </w:rPr>
        <w:t>Based on Rule 13d-3 of the Act, Opportunities Portfolio GP may be deemed to beneficially own the shares of Common Stock directly held by VGOL and VGOP.</w:t>
      </w:r>
    </w:p>
    <w:p>
      <w:pPr>
        <w:spacing w:after="0" w:line="202" w:lineRule="exact"/>
        <w:rPr>
          <w:sz w:val="20"/>
          <w:szCs w:val="20"/>
          <w:color w:val="auto"/>
        </w:rPr>
      </w:pPr>
    </w:p>
    <w:p>
      <w:pPr>
        <w:ind w:left="244" w:hanging="244"/>
        <w:spacing w:after="0"/>
        <w:tabs>
          <w:tab w:leader="none" w:pos="244" w:val="left"/>
        </w:tabs>
        <w:numPr>
          <w:ilvl w:val="0"/>
          <w:numId w:val="7"/>
        </w:numPr>
        <w:rPr>
          <w:rFonts w:ascii="Arial" w:cs="Arial" w:eastAsia="Arial" w:hAnsi="Arial"/>
          <w:sz w:val="22"/>
          <w:szCs w:val="22"/>
          <w:color w:val="auto"/>
        </w:rPr>
      </w:pPr>
      <w:r>
        <w:rPr>
          <w:rFonts w:ascii="Arial" w:cs="Arial" w:eastAsia="Arial" w:hAnsi="Arial"/>
          <w:sz w:val="22"/>
          <w:szCs w:val="22"/>
          <w:color w:val="auto"/>
        </w:rPr>
        <w:t>VGOL</w:t>
      </w:r>
    </w:p>
    <w:p>
      <w:pPr>
        <w:spacing w:after="0" w:line="240" w:lineRule="exact"/>
        <w:rPr>
          <w:rFonts w:ascii="Arial" w:cs="Arial" w:eastAsia="Arial" w:hAnsi="Arial"/>
          <w:sz w:val="22"/>
          <w:szCs w:val="22"/>
          <w:color w:val="auto"/>
        </w:rPr>
      </w:pPr>
    </w:p>
    <w:p>
      <w:pPr>
        <w:ind w:left="1164" w:hanging="570"/>
        <w:spacing w:after="0"/>
        <w:tabs>
          <w:tab w:leader="none" w:pos="1164"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3" w:lineRule="exact"/>
        <w:rPr>
          <w:rFonts w:ascii="Arial" w:cs="Arial" w:eastAsia="Arial" w:hAnsi="Arial"/>
          <w:sz w:val="18"/>
          <w:szCs w:val="18"/>
          <w:color w:val="auto"/>
        </w:rPr>
      </w:pPr>
    </w:p>
    <w:p>
      <w:pPr>
        <w:ind w:left="1164" w:hanging="570"/>
        <w:spacing w:after="0"/>
        <w:tabs>
          <w:tab w:leader="none" w:pos="1164"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0.0%</w:t>
      </w:r>
    </w:p>
    <w:p>
      <w:pPr>
        <w:spacing w:after="0" w:line="9" w:lineRule="exact"/>
        <w:rPr>
          <w:rFonts w:ascii="Arial" w:cs="Arial" w:eastAsia="Arial" w:hAnsi="Arial"/>
          <w:sz w:val="18"/>
          <w:szCs w:val="18"/>
          <w:color w:val="auto"/>
        </w:rPr>
      </w:pPr>
    </w:p>
    <w:p>
      <w:pPr>
        <w:ind w:left="1164" w:hanging="570"/>
        <w:spacing w:after="0"/>
        <w:tabs>
          <w:tab w:leader="none" w:pos="1164" w:val="left"/>
        </w:tabs>
        <w:numPr>
          <w:ilvl w:val="1"/>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9" w:lineRule="exact"/>
        <w:rPr>
          <w:rFonts w:ascii="Arial" w:cs="Arial" w:eastAsia="Arial" w:hAnsi="Arial"/>
          <w:sz w:val="18"/>
          <w:szCs w:val="18"/>
          <w:color w:val="auto"/>
        </w:rPr>
      </w:pPr>
    </w:p>
    <w:p>
      <w:pPr>
        <w:ind w:left="1904" w:hanging="757"/>
        <w:spacing w:after="0"/>
        <w:tabs>
          <w:tab w:leader="none" w:pos="1904"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1904" w:hanging="757"/>
        <w:spacing w:after="0"/>
        <w:tabs>
          <w:tab w:leader="none" w:pos="1904"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1904" w:hanging="757"/>
        <w:spacing w:after="0"/>
        <w:tabs>
          <w:tab w:leader="none" w:pos="1904"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04" w:hanging="757"/>
        <w:spacing w:after="0"/>
        <w:tabs>
          <w:tab w:leader="none" w:pos="1904"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31" w:lineRule="exact"/>
        <w:rPr>
          <w:sz w:val="20"/>
          <w:szCs w:val="20"/>
          <w:color w:val="auto"/>
        </w:rPr>
      </w:pPr>
    </w:p>
    <w:p>
      <w:pPr>
        <w:ind w:left="1304" w:right="240"/>
        <w:spacing w:after="0" w:line="257" w:lineRule="auto"/>
        <w:rPr>
          <w:sz w:val="20"/>
          <w:szCs w:val="20"/>
          <w:color w:val="auto"/>
        </w:rPr>
      </w:pPr>
      <w:r>
        <w:rPr>
          <w:rFonts w:ascii="Arial" w:cs="Arial" w:eastAsia="Arial" w:hAnsi="Arial"/>
          <w:sz w:val="21"/>
          <w:szCs w:val="21"/>
          <w:color w:val="auto"/>
        </w:rPr>
        <w:t>VGOL has the authority to dispose of and vote the shares of Common Stock directly owned by it, which power may be exercised by its general partner, Opportunities Portfolio GP, and by VGI, an affiliate of Opportunities Portfolio GP, which provides managerial services to VGOL.</w:t>
      </w:r>
    </w:p>
    <w:p>
      <w:pPr>
        <w:spacing w:after="0" w:line="196" w:lineRule="exact"/>
        <w:rPr>
          <w:sz w:val="20"/>
          <w:szCs w:val="20"/>
          <w:color w:val="auto"/>
        </w:rPr>
      </w:pPr>
    </w:p>
    <w:p>
      <w:pPr>
        <w:ind w:left="1304" w:right="20"/>
        <w:spacing w:after="0" w:line="236" w:lineRule="auto"/>
        <w:rPr>
          <w:sz w:val="20"/>
          <w:szCs w:val="20"/>
          <w:color w:val="auto"/>
        </w:rPr>
      </w:pPr>
      <w:r>
        <w:rPr>
          <w:rFonts w:ascii="Arial" w:cs="Arial" w:eastAsia="Arial" w:hAnsi="Arial"/>
          <w:sz w:val="22"/>
          <w:szCs w:val="22"/>
          <w:color w:val="auto"/>
        </w:rPr>
        <w:t>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269875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121" w:right="379" w:bottom="1440" w:gutter="0" w:footer="0" w:header="0"/>
        </w:sectPr>
      </w:pPr>
    </w:p>
    <w:bookmarkStart w:id="13" w:name="page14"/>
    <w:bookmarkEnd w:id="13"/>
    <w:p>
      <w:pPr>
        <w:ind w:left="1820"/>
        <w:spacing w:after="0"/>
        <w:tabs>
          <w:tab w:leader="none" w:pos="5960" w:val="left"/>
          <w:tab w:leader="none" w:pos="842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14 of 16 Pages</w:t>
      </w:r>
    </w:p>
    <w:p>
      <w:pPr>
        <w:spacing w:after="0" w:line="181" w:lineRule="exact"/>
        <w:rPr>
          <w:sz w:val="20"/>
          <w:szCs w:val="20"/>
          <w:color w:val="auto"/>
        </w:rPr>
      </w:pPr>
    </w:p>
    <w:p>
      <w:pPr>
        <w:ind w:left="860" w:hanging="204"/>
        <w:spacing w:after="0"/>
        <w:tabs>
          <w:tab w:leader="none" w:pos="860" w:val="left"/>
        </w:tabs>
        <w:numPr>
          <w:ilvl w:val="0"/>
          <w:numId w:val="8"/>
        </w:numPr>
        <w:rPr>
          <w:rFonts w:ascii="Arial" w:cs="Arial" w:eastAsia="Arial" w:hAnsi="Arial"/>
          <w:sz w:val="22"/>
          <w:szCs w:val="22"/>
          <w:color w:val="auto"/>
        </w:rPr>
      </w:pPr>
      <w:r>
        <w:rPr>
          <w:rFonts w:ascii="Arial" w:cs="Arial" w:eastAsia="Arial" w:hAnsi="Arial"/>
          <w:sz w:val="22"/>
          <w:szCs w:val="22"/>
          <w:color w:val="auto"/>
        </w:rPr>
        <w:t>VGOP</w:t>
      </w:r>
    </w:p>
    <w:p>
      <w:pPr>
        <w:spacing w:after="0" w:line="240" w:lineRule="exact"/>
        <w:rPr>
          <w:rFonts w:ascii="Arial" w:cs="Arial" w:eastAsia="Arial" w:hAnsi="Arial"/>
          <w:sz w:val="22"/>
          <w:szCs w:val="22"/>
          <w:color w:val="auto"/>
        </w:rPr>
      </w:pPr>
    </w:p>
    <w:p>
      <w:pPr>
        <w:ind w:left="1820" w:hanging="570"/>
        <w:spacing w:after="0"/>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3" w:lineRule="exact"/>
        <w:rPr>
          <w:rFonts w:ascii="Arial" w:cs="Arial" w:eastAsia="Arial" w:hAnsi="Arial"/>
          <w:sz w:val="18"/>
          <w:szCs w:val="18"/>
          <w:color w:val="auto"/>
        </w:rPr>
      </w:pPr>
    </w:p>
    <w:p>
      <w:pPr>
        <w:ind w:left="1820" w:hanging="570"/>
        <w:spacing w:after="0"/>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0.0%</w:t>
      </w:r>
    </w:p>
    <w:p>
      <w:pPr>
        <w:spacing w:after="0" w:line="9" w:lineRule="exact"/>
        <w:rPr>
          <w:rFonts w:ascii="Arial" w:cs="Arial" w:eastAsia="Arial" w:hAnsi="Arial"/>
          <w:sz w:val="18"/>
          <w:szCs w:val="18"/>
          <w:color w:val="auto"/>
        </w:rPr>
      </w:pPr>
    </w:p>
    <w:p>
      <w:pPr>
        <w:ind w:left="1820" w:hanging="570"/>
        <w:spacing w:after="0"/>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9" w:lineRule="exact"/>
        <w:rPr>
          <w:rFonts w:ascii="Arial" w:cs="Arial" w:eastAsia="Arial" w:hAnsi="Arial"/>
          <w:sz w:val="18"/>
          <w:szCs w:val="18"/>
          <w:color w:val="auto"/>
        </w:rPr>
      </w:pPr>
    </w:p>
    <w:p>
      <w:pPr>
        <w:ind w:left="2560" w:hanging="757"/>
        <w:spacing w:after="0"/>
        <w:tabs>
          <w:tab w:leader="none" w:pos="25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2560" w:hanging="757"/>
        <w:spacing w:after="0"/>
        <w:tabs>
          <w:tab w:leader="none" w:pos="25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2560" w:hanging="757"/>
        <w:spacing w:after="0"/>
        <w:tabs>
          <w:tab w:leader="none" w:pos="25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2560" w:hanging="757"/>
        <w:spacing w:after="0"/>
        <w:tabs>
          <w:tab w:leader="none" w:pos="25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31" w:lineRule="exact"/>
        <w:rPr>
          <w:sz w:val="20"/>
          <w:szCs w:val="20"/>
          <w:color w:val="auto"/>
        </w:rPr>
      </w:pPr>
    </w:p>
    <w:p>
      <w:pPr>
        <w:ind w:left="1960" w:right="260"/>
        <w:spacing w:after="0" w:line="257" w:lineRule="auto"/>
        <w:rPr>
          <w:sz w:val="20"/>
          <w:szCs w:val="20"/>
          <w:color w:val="auto"/>
        </w:rPr>
      </w:pPr>
      <w:r>
        <w:rPr>
          <w:rFonts w:ascii="Arial" w:cs="Arial" w:eastAsia="Arial" w:hAnsi="Arial"/>
          <w:sz w:val="21"/>
          <w:szCs w:val="21"/>
          <w:color w:val="auto"/>
        </w:rPr>
        <w:t>VGOP has the authority to dispose of and vote the shares of Common Stock directly owned by it, which power may be exercised by its general partner, Opportunities Portfolio GP, and by VGI, an affiliate of Opportunities Portfolio GP, which provides managerial services to VGOP.</w:t>
      </w:r>
    </w:p>
    <w:p>
      <w:pPr>
        <w:spacing w:after="0" w:line="196" w:lineRule="exact"/>
        <w:rPr>
          <w:sz w:val="20"/>
          <w:szCs w:val="20"/>
          <w:color w:val="auto"/>
        </w:rPr>
      </w:pPr>
    </w:p>
    <w:p>
      <w:pPr>
        <w:ind w:left="1960" w:right="40"/>
        <w:spacing w:after="0" w:line="236" w:lineRule="auto"/>
        <w:rPr>
          <w:sz w:val="20"/>
          <w:szCs w:val="20"/>
          <w:color w:val="auto"/>
        </w:rPr>
      </w:pPr>
      <w:r>
        <w:rPr>
          <w:rFonts w:ascii="Arial" w:cs="Arial" w:eastAsia="Arial" w:hAnsi="Arial"/>
          <w:sz w:val="22"/>
          <w:szCs w:val="22"/>
          <w:color w:val="auto"/>
        </w:rPr>
        <w:t>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22"/>
          <w:szCs w:val="22"/>
          <w:color w:val="auto"/>
        </w:rPr>
        <w:t>G. O. Andreas Halvorsen, David C. Ott and Rose S. Shabet</w:t>
      </w:r>
    </w:p>
    <w:p>
      <w:pPr>
        <w:spacing w:after="0" w:line="240" w:lineRule="exact"/>
        <w:rPr>
          <w:sz w:val="20"/>
          <w:szCs w:val="20"/>
          <w:color w:val="auto"/>
        </w:rPr>
      </w:pPr>
    </w:p>
    <w:p>
      <w:pPr>
        <w:ind w:left="1820" w:hanging="570"/>
        <w:spacing w:after="0"/>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820" w:hanging="570"/>
        <w:spacing w:after="0"/>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0.0%</w:t>
      </w:r>
    </w:p>
    <w:p>
      <w:pPr>
        <w:spacing w:after="0" w:line="9" w:lineRule="exact"/>
        <w:rPr>
          <w:rFonts w:ascii="Arial" w:cs="Arial" w:eastAsia="Arial" w:hAnsi="Arial"/>
          <w:sz w:val="18"/>
          <w:szCs w:val="18"/>
          <w:color w:val="auto"/>
        </w:rPr>
      </w:pPr>
    </w:p>
    <w:p>
      <w:pPr>
        <w:ind w:left="1820" w:hanging="570"/>
        <w:spacing w:after="0"/>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9" w:lineRule="exact"/>
        <w:rPr>
          <w:rFonts w:ascii="Arial" w:cs="Arial" w:eastAsia="Arial" w:hAnsi="Arial"/>
          <w:sz w:val="18"/>
          <w:szCs w:val="18"/>
          <w:color w:val="auto"/>
        </w:rPr>
      </w:pPr>
    </w:p>
    <w:p>
      <w:pPr>
        <w:ind w:left="2560" w:hanging="757"/>
        <w:spacing w:after="0"/>
        <w:tabs>
          <w:tab w:leader="none" w:pos="25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2560" w:hanging="757"/>
        <w:spacing w:after="0"/>
        <w:tabs>
          <w:tab w:leader="none" w:pos="25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2560" w:hanging="757"/>
        <w:spacing w:after="0"/>
        <w:tabs>
          <w:tab w:leader="none" w:pos="25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2560" w:hanging="757"/>
        <w:spacing w:after="0"/>
        <w:tabs>
          <w:tab w:leader="none" w:pos="25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31" w:lineRule="exact"/>
        <w:rPr>
          <w:sz w:val="20"/>
          <w:szCs w:val="20"/>
          <w:color w:val="auto"/>
        </w:rPr>
      </w:pPr>
    </w:p>
    <w:p>
      <w:pPr>
        <w:ind w:left="1960"/>
        <w:spacing w:after="0" w:line="252" w:lineRule="auto"/>
        <w:rPr>
          <w:sz w:val="20"/>
          <w:szCs w:val="20"/>
          <w:color w:val="auto"/>
        </w:rPr>
      </w:pPr>
      <w:r>
        <w:rPr>
          <w:rFonts w:ascii="Arial" w:cs="Arial" w:eastAsia="Arial" w:hAnsi="Arial"/>
          <w:sz w:val="21"/>
          <w:szCs w:val="21"/>
          <w:color w:val="auto"/>
        </w:rPr>
        <w:t>Mr. Halvorsen, Mr. Ott and Ms. Shabet, as Executive Committee Members of Viking Global Partners LLC, (general partner of VGI) and Opportunities Parent have shared authority to dispose of and vote the shares of Common Stock beneficially owned by VGI and Opportunities Parent. None of Mr. Halvorsen, Mr. Ott and Ms. Shabet directly owns any shares of Common Stock.</w:t>
      </w:r>
    </w:p>
    <w:p>
      <w:pPr>
        <w:spacing w:after="0" w:line="201" w:lineRule="exact"/>
        <w:rPr>
          <w:sz w:val="20"/>
          <w:szCs w:val="20"/>
          <w:color w:val="auto"/>
        </w:rPr>
      </w:pPr>
    </w:p>
    <w:p>
      <w:pPr>
        <w:ind w:left="1960" w:right="340"/>
        <w:spacing w:after="0" w:line="250" w:lineRule="auto"/>
        <w:rPr>
          <w:sz w:val="20"/>
          <w:szCs w:val="20"/>
          <w:color w:val="auto"/>
        </w:rPr>
      </w:pPr>
      <w:r>
        <w:rPr>
          <w:rFonts w:ascii="Arial" w:cs="Arial" w:eastAsia="Arial" w:hAnsi="Arial"/>
          <w:sz w:val="22"/>
          <w:szCs w:val="22"/>
          <w:color w:val="auto"/>
        </w:rPr>
        <w:t>Based on Rule 13d-3 of the Act, each may be deemed to beneficially own the shares of Common Stock directly held by VGOL and VGOP.</w:t>
      </w: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45" w:lineRule="exact"/>
        <w:rPr>
          <w:sz w:val="20"/>
          <w:szCs w:val="20"/>
          <w:color w:val="auto"/>
        </w:rPr>
      </w:pPr>
    </w:p>
    <w:p>
      <w:pPr>
        <w:ind w:right="140" w:firstLine="1296"/>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Persons have ceased to be the beneficial owner of more than five percent of the class of securities, check the following [X].</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6.</w:t>
      </w:r>
      <w:r>
        <w:rPr>
          <w:sz w:val="20"/>
          <w:szCs w:val="20"/>
          <w:color w:val="auto"/>
        </w:rPr>
        <w:tab/>
      </w:r>
      <w:r>
        <w:rPr>
          <w:rFonts w:ascii="Arial" w:cs="Arial" w:eastAsia="Arial" w:hAnsi="Arial"/>
          <w:sz w:val="16"/>
          <w:szCs w:val="16"/>
          <w:u w:val="single" w:color="auto"/>
          <w:color w:val="auto"/>
        </w:rPr>
        <w:t>Ownership of More than Five Percent on Behalf of Another Person.</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response to Item 4 is incorporated by reference herein.</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9.</w:t>
      </w:r>
      <w:r>
        <w:rPr>
          <w:sz w:val="20"/>
          <w:szCs w:val="20"/>
          <w:color w:val="auto"/>
        </w:rPr>
        <w:tab/>
      </w:r>
      <w:r>
        <w:rPr>
          <w:rFonts w:ascii="Arial" w:cs="Arial" w:eastAsia="Arial" w:hAnsi="Arial"/>
          <w:sz w:val="16"/>
          <w:szCs w:val="16"/>
          <w:u w:val="single" w:color="auto"/>
          <w:color w:val="auto"/>
        </w:rPr>
        <w:t>Notice of Dissolution of Group.</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10</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 xml:space="preserve">Certification. </w:t>
      </w:r>
      <w:r>
        <w:rPr>
          <w:rFonts w:ascii="Arial" w:cs="Arial" w:eastAsia="Arial" w:hAnsi="Arial"/>
          <w:sz w:val="16"/>
          <w:szCs w:val="16"/>
          <w:color w:val="auto"/>
        </w:rPr>
        <w:t>(if filing pursuant to Rule 13d-1(c))</w:t>
      </w:r>
    </w:p>
    <w:p>
      <w:pPr>
        <w:spacing w:after="0" w:line="245" w:lineRule="exact"/>
        <w:rPr>
          <w:sz w:val="20"/>
          <w:szCs w:val="20"/>
          <w:color w:val="auto"/>
        </w:rPr>
      </w:pPr>
    </w:p>
    <w:p>
      <w:pPr>
        <w:ind w:firstLine="1296"/>
        <w:spacing w:after="0" w:line="238" w:lineRule="auto"/>
        <w:rPr>
          <w:sz w:val="20"/>
          <w:szCs w:val="20"/>
          <w:color w:val="auto"/>
        </w:rPr>
      </w:pPr>
      <w:r>
        <w:rPr>
          <w:rFonts w:ascii="Arial" w:cs="Arial" w:eastAsia="Arial" w:hAnsi="Arial"/>
          <w:sz w:val="22"/>
          <w:szCs w:val="22"/>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477" w:gutter="0" w:footer="0" w:header="0"/>
        </w:sectPr>
      </w:pPr>
    </w:p>
    <w:bookmarkStart w:id="14" w:name="page15"/>
    <w:bookmarkEnd w:id="14"/>
    <w:p>
      <w:pPr>
        <w:ind w:left="1820"/>
        <w:spacing w:after="0"/>
        <w:tabs>
          <w:tab w:leader="none" w:pos="5960" w:val="left"/>
          <w:tab w:leader="none" w:pos="842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15 of 16 Pages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SIGNATURES</w:t>
      </w:r>
    </w:p>
    <w:p>
      <w:pPr>
        <w:spacing w:after="0" w:line="239"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After reasonable inquiry and to the best of our knowledge and belief, the undersigned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2022</w:t>
      </w:r>
    </w:p>
    <w:p>
      <w:pPr>
        <w:spacing w:after="0" w:line="2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20840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840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M. Hendler on behalf of O. Andreas Halvorsen (1)</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20840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840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M. Hendler on behalf of David C. Ott (2)</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20840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840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M. Hendler on behalf of Rose S. Shabet (3)</w:t>
      </w:r>
    </w:p>
    <w:p>
      <w:pPr>
        <w:spacing w:after="0" w:line="244" w:lineRule="exact"/>
        <w:rPr>
          <w:sz w:val="20"/>
          <w:szCs w:val="20"/>
          <w:color w:val="auto"/>
        </w:rPr>
      </w:pPr>
    </w:p>
    <w:p>
      <w:pPr>
        <w:ind w:right="280" w:firstLine="8"/>
        <w:spacing w:after="0" w:line="234" w:lineRule="auto"/>
        <w:tabs>
          <w:tab w:leader="none" w:pos="306" w:val="left"/>
        </w:tabs>
        <w:numPr>
          <w:ilvl w:val="0"/>
          <w:numId w:val="10"/>
        </w:numPr>
        <w:rPr>
          <w:rFonts w:ascii="Arial" w:cs="Arial" w:eastAsia="Arial" w:hAnsi="Arial"/>
          <w:sz w:val="22"/>
          <w:szCs w:val="22"/>
          <w:color w:val="auto"/>
        </w:rPr>
      </w:pPr>
      <w:r>
        <w:rPr>
          <w:rFonts w:ascii="Arial" w:cs="Arial" w:eastAsia="Arial" w:hAnsi="Arial"/>
          <w:sz w:val="22"/>
          <w:szCs w:val="22"/>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LIQUID PORTFOLIO SUB-MASTER LP,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213" w:lineRule="exact"/>
        <w:rPr>
          <w:rFonts w:ascii="Arial" w:cs="Arial" w:eastAsia="Arial" w:hAnsi="Arial"/>
          <w:sz w:val="22"/>
          <w:szCs w:val="22"/>
          <w:color w:val="auto"/>
        </w:rPr>
      </w:pPr>
    </w:p>
    <w:p>
      <w:pPr>
        <w:ind w:firstLine="8"/>
        <w:spacing w:after="0" w:line="246" w:lineRule="auto"/>
        <w:tabs>
          <w:tab w:leader="none" w:pos="306" w:val="left"/>
        </w:tabs>
        <w:numPr>
          <w:ilvl w:val="0"/>
          <w:numId w:val="10"/>
        </w:numPr>
        <w:rPr>
          <w:rFonts w:ascii="Arial" w:cs="Arial" w:eastAsia="Arial" w:hAnsi="Arial"/>
          <w:sz w:val="21"/>
          <w:szCs w:val="21"/>
          <w:color w:val="auto"/>
        </w:rPr>
      </w:pPr>
      <w:r>
        <w:rPr>
          <w:rFonts w:ascii="Arial" w:cs="Arial" w:eastAsia="Arial" w:hAnsi="Arial"/>
          <w:sz w:val="21"/>
          <w:szCs w:val="21"/>
          <w:color w:val="auto"/>
        </w:rPr>
        <w:t>Scott M. Hendler is signing on behalf of David C. Ott,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LIQUID PORTFOLIO SUB-MASTER LP,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211" w:lineRule="exact"/>
        <w:rPr>
          <w:rFonts w:ascii="Arial" w:cs="Arial" w:eastAsia="Arial" w:hAnsi="Arial"/>
          <w:sz w:val="21"/>
          <w:szCs w:val="21"/>
          <w:color w:val="auto"/>
        </w:rPr>
      </w:pPr>
    </w:p>
    <w:p>
      <w:pPr>
        <w:ind w:firstLine="8"/>
        <w:spacing w:after="0" w:line="277" w:lineRule="auto"/>
        <w:tabs>
          <w:tab w:leader="none" w:pos="306" w:val="left"/>
        </w:tabs>
        <w:numPr>
          <w:ilvl w:val="0"/>
          <w:numId w:val="10"/>
        </w:numPr>
        <w:rPr>
          <w:rFonts w:ascii="Arial" w:cs="Arial" w:eastAsia="Arial" w:hAnsi="Arial"/>
          <w:sz w:val="19"/>
          <w:szCs w:val="19"/>
          <w:color w:val="auto"/>
        </w:rPr>
      </w:pPr>
      <w:r>
        <w:rPr>
          <w:rFonts w:ascii="Arial" w:cs="Arial" w:eastAsia="Arial" w:hAnsi="Arial"/>
          <w:sz w:val="19"/>
          <w:szCs w:val="19"/>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LIQUID PORTFOLIO SUB-MASTER LP,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1820"/>
        <w:spacing w:after="0"/>
        <w:tabs>
          <w:tab w:leader="none" w:pos="5960" w:val="left"/>
          <w:tab w:leader="none" w:pos="842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16 of 16 Pages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 - JOINT FILING AGREEMENT</w:t>
      </w:r>
    </w:p>
    <w:p>
      <w:pPr>
        <w:spacing w:after="0" w:line="233" w:lineRule="exact"/>
        <w:rPr>
          <w:sz w:val="20"/>
          <w:szCs w:val="20"/>
          <w:color w:val="auto"/>
        </w:rPr>
      </w:pPr>
    </w:p>
    <w:p>
      <w:pPr>
        <w:ind w:right="120" w:firstLine="824"/>
        <w:spacing w:after="0" w:line="217" w:lineRule="auto"/>
        <w:rPr>
          <w:sz w:val="20"/>
          <w:szCs w:val="20"/>
          <w:color w:val="auto"/>
        </w:rPr>
      </w:pPr>
      <w:r>
        <w:rPr>
          <w:rFonts w:ascii="Arial" w:cs="Arial" w:eastAsia="Arial" w:hAnsi="Arial"/>
          <w:sz w:val="21"/>
          <w:szCs w:val="21"/>
          <w:color w:val="auto"/>
        </w:rPr>
        <w:t>This joint filing agreement is made and entered into as of this 14</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day of February, 2022, by and among Viking Global Investors LP, Viking Global Opportunities Parent GP LLC, Viking Global Opportunities GP LLC, Viking Global Opportunities Portfolio GP LLC, Viking Global Opportunities Liquid Portfolio Sub-Master LP, Viking Global Opportunities Illiquid Investments Sub-Master LP, O. Andreas Halvorsen, David C. Ott and Rose S. Shabet.</w:t>
      </w:r>
    </w:p>
    <w:p>
      <w:pPr>
        <w:spacing w:after="0" w:line="213" w:lineRule="exact"/>
        <w:rPr>
          <w:sz w:val="20"/>
          <w:szCs w:val="20"/>
          <w:color w:val="auto"/>
        </w:rPr>
      </w:pPr>
    </w:p>
    <w:p>
      <w:pPr>
        <w:ind w:firstLine="824"/>
        <w:spacing w:after="0" w:line="236" w:lineRule="auto"/>
        <w:rPr>
          <w:sz w:val="20"/>
          <w:szCs w:val="20"/>
          <w:color w:val="auto"/>
        </w:rPr>
      </w:pPr>
      <w:r>
        <w:rPr>
          <w:rFonts w:ascii="Arial" w:cs="Arial" w:eastAsia="Arial" w:hAnsi="Arial"/>
          <w:sz w:val="22"/>
          <w:szCs w:val="22"/>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21"/>
          <w:szCs w:val="21"/>
          <w:color w:val="auto"/>
        </w:rPr>
        <w:t>IN WITNESS WHEREOF, the parties hereto have executed this agreement as of the date first set forth above.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2022</w:t>
      </w:r>
    </w:p>
    <w:p>
      <w:pPr>
        <w:spacing w:after="0" w:line="2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12090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904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M. Hendler on behalf of O. Andreas Halvorsen (1)</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12090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904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M. Hendler on behalf of David C. Ott (2)</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Name: Scott M. Hendler on behalf of Rose S. Shabet (3)</w:t>
      </w:r>
    </w:p>
    <w:p>
      <w:pPr>
        <w:spacing w:after="0" w:line="244" w:lineRule="exact"/>
        <w:rPr>
          <w:sz w:val="20"/>
          <w:szCs w:val="20"/>
          <w:color w:val="auto"/>
        </w:rPr>
      </w:pPr>
    </w:p>
    <w:p>
      <w:pPr>
        <w:ind w:right="280" w:firstLine="8"/>
        <w:spacing w:after="0" w:line="234" w:lineRule="auto"/>
        <w:tabs>
          <w:tab w:leader="none" w:pos="306" w:val="left"/>
        </w:tabs>
        <w:numPr>
          <w:ilvl w:val="0"/>
          <w:numId w:val="11"/>
        </w:numPr>
        <w:rPr>
          <w:rFonts w:ascii="Arial" w:cs="Arial" w:eastAsia="Arial" w:hAnsi="Arial"/>
          <w:sz w:val="22"/>
          <w:szCs w:val="22"/>
          <w:color w:val="auto"/>
        </w:rPr>
      </w:pPr>
      <w:r>
        <w:rPr>
          <w:rFonts w:ascii="Arial" w:cs="Arial" w:eastAsia="Arial" w:hAnsi="Arial"/>
          <w:sz w:val="22"/>
          <w:szCs w:val="22"/>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LIQUID PORTFOLIO SUB-MASTER LP,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213" w:lineRule="exact"/>
        <w:rPr>
          <w:rFonts w:ascii="Arial" w:cs="Arial" w:eastAsia="Arial" w:hAnsi="Arial"/>
          <w:sz w:val="22"/>
          <w:szCs w:val="22"/>
          <w:color w:val="auto"/>
        </w:rPr>
      </w:pPr>
    </w:p>
    <w:p>
      <w:pPr>
        <w:ind w:firstLine="8"/>
        <w:spacing w:after="0" w:line="246" w:lineRule="auto"/>
        <w:tabs>
          <w:tab w:leader="none" w:pos="306" w:val="left"/>
        </w:tabs>
        <w:numPr>
          <w:ilvl w:val="0"/>
          <w:numId w:val="11"/>
        </w:numPr>
        <w:rPr>
          <w:rFonts w:ascii="Arial" w:cs="Arial" w:eastAsia="Arial" w:hAnsi="Arial"/>
          <w:sz w:val="21"/>
          <w:szCs w:val="21"/>
          <w:color w:val="auto"/>
        </w:rPr>
      </w:pPr>
      <w:r>
        <w:rPr>
          <w:rFonts w:ascii="Arial" w:cs="Arial" w:eastAsia="Arial" w:hAnsi="Arial"/>
          <w:sz w:val="21"/>
          <w:szCs w:val="21"/>
          <w:color w:val="auto"/>
        </w:rPr>
        <w:t>Scott M. Hendler is signing on behalf of David C. Ott,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LIQUID PORTFOLIO SUB-MASTER LP,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211" w:lineRule="exact"/>
        <w:rPr>
          <w:rFonts w:ascii="Arial" w:cs="Arial" w:eastAsia="Arial" w:hAnsi="Arial"/>
          <w:sz w:val="21"/>
          <w:szCs w:val="21"/>
          <w:color w:val="auto"/>
        </w:rPr>
      </w:pPr>
    </w:p>
    <w:p>
      <w:pPr>
        <w:ind w:firstLine="8"/>
        <w:spacing w:after="0" w:line="277" w:lineRule="auto"/>
        <w:tabs>
          <w:tab w:leader="none" w:pos="306" w:val="left"/>
        </w:tabs>
        <w:numPr>
          <w:ilvl w:val="0"/>
          <w:numId w:val="11"/>
        </w:numPr>
        <w:rPr>
          <w:rFonts w:ascii="Arial" w:cs="Arial" w:eastAsia="Arial" w:hAnsi="Arial"/>
          <w:sz w:val="19"/>
          <w:szCs w:val="19"/>
          <w:color w:val="auto"/>
        </w:rPr>
      </w:pPr>
      <w:r>
        <w:rPr>
          <w:rFonts w:ascii="Arial" w:cs="Arial" w:eastAsia="Arial" w:hAnsi="Arial"/>
          <w:sz w:val="19"/>
          <w:szCs w:val="19"/>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LIQUID PORTFOLIO SUB-MASTER LP,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
    <w:nsid w:val="79E2A9E3"/>
    <w:multiLevelType w:val="hybridMultilevel"/>
    <w:lvl w:ilvl="0">
      <w:lvlJc w:val="left"/>
      <w:lvlText w:val="(%1)"/>
      <w:numFmt w:val="lowerLetter"/>
      <w:start w:val="1"/>
    </w:lvl>
    <w:lvl w:ilvl="1">
      <w:lvlJc w:val="left"/>
      <w:lvlText w:val="(%2)"/>
      <w:numFmt w:val="lowerRoman"/>
      <w:start w:val="1"/>
    </w:lvl>
  </w:abstractNum>
  <w:abstractNum w:abstractNumId="4">
    <w:nsid w:val="7545E146"/>
    <w:multiLevelType w:val="hybridMultilevel"/>
    <w:lvl w:ilvl="0">
      <w:lvlJc w:val="left"/>
      <w:lvlText w:val="(%1)"/>
      <w:numFmt w:val="lowerLetter"/>
      <w:start w:val="1"/>
    </w:lvl>
    <w:lvl w:ilvl="1">
      <w:lvlJc w:val="left"/>
      <w:lvlText w:val="(%2)"/>
      <w:numFmt w:val="lowerRoman"/>
      <w:start w:val="1"/>
    </w:lvl>
  </w:abstractNum>
  <w:abstractNum w:abstractNumId="5">
    <w:nsid w:val="515F007C"/>
    <w:multiLevelType w:val="hybridMultilevel"/>
    <w:lvl w:ilvl="0">
      <w:lvlJc w:val="left"/>
      <w:lvlText w:val="(%1)"/>
      <w:numFmt w:val="lowerLetter"/>
      <w:start w:val="1"/>
    </w:lvl>
    <w:lvl w:ilvl="1">
      <w:lvlJc w:val="left"/>
      <w:lvlText w:val="(%2)"/>
      <w:numFmt w:val="lowerRoman"/>
      <w:start w:val="1"/>
    </w:lvl>
  </w:abstractNum>
  <w:abstractNum w:abstractNumId="6">
    <w:nsid w:val="5BD062C2"/>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7">
    <w:nsid w:val="12200854"/>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1"/>
    </w:lvl>
  </w:abstractNum>
  <w:abstractNum w:abstractNumId="8">
    <w:nsid w:val="4DB127F8"/>
    <w:multiLevelType w:val="hybridMultilevel"/>
    <w:lvl w:ilvl="0">
      <w:lvlJc w:val="left"/>
      <w:lvlText w:val="(%1)"/>
      <w:numFmt w:val="lowerLetter"/>
      <w:start w:val="1"/>
    </w:lvl>
    <w:lvl w:ilvl="1">
      <w:lvlJc w:val="left"/>
      <w:lvlText w:val="(%2)"/>
      <w:numFmt w:val="lowerRoman"/>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2022-02-14T17:22:18Z</dcterms:created>
  <dcterms:modified xsi:type="dcterms:W3CDTF">2022-02-14T17:22:18Z</dcterms:modified>
</cp:coreProperties>
</file>