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(Rule 14A-101)</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PROXY STATEMENT PURSUANT TO SECTION 14(a)</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25"/>
          <w:szCs w:val="25"/>
          <w:color w:val="auto"/>
        </w:rPr>
        <w:t>□</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 w:lineRule="exact"/>
        <w:rPr>
          <w:sz w:val="24"/>
          <w:szCs w:val="24"/>
          <w:color w:val="auto"/>
        </w:rPr>
      </w:pPr>
    </w:p>
    <w:p>
      <w:pPr>
        <w:ind w:left="200" w:hanging="192"/>
        <w:spacing w:after="0"/>
        <w:tabs>
          <w:tab w:leader="none" w:pos="200" w:val="left"/>
        </w:tabs>
        <w:numPr>
          <w:ilvl w:val="0"/>
          <w:numId w:val="1"/>
        </w:numPr>
        <w:rPr>
          <w:rFonts w:ascii="Arial" w:cs="Arial" w:eastAsia="Arial" w:hAnsi="Arial"/>
          <w:sz w:val="25"/>
          <w:szCs w:val="25"/>
          <w:color w:val="auto"/>
        </w:rPr>
      </w:pPr>
      <w:r>
        <w:rPr>
          <w:rFonts w:ascii="Arial" w:cs="Arial" w:eastAsia="Arial" w:hAnsi="Arial"/>
          <w:sz w:val="18"/>
          <w:szCs w:val="18"/>
          <w:color w:val="auto"/>
        </w:rPr>
        <w:t>Preliminary Proxy Statement</w:t>
      </w:r>
    </w:p>
    <w:p>
      <w:pPr>
        <w:spacing w:after="0" w:line="21" w:lineRule="exact"/>
        <w:rPr>
          <w:rFonts w:ascii="Arial" w:cs="Arial" w:eastAsia="Arial" w:hAnsi="Arial"/>
          <w:sz w:val="25"/>
          <w:szCs w:val="25"/>
          <w:color w:val="auto"/>
        </w:rPr>
      </w:pPr>
    </w:p>
    <w:p>
      <w:pPr>
        <w:ind w:left="200" w:hanging="192"/>
        <w:spacing w:after="0" w:line="229" w:lineRule="auto"/>
        <w:tabs>
          <w:tab w:leader="none" w:pos="200" w:val="left"/>
        </w:tabs>
        <w:numPr>
          <w:ilvl w:val="0"/>
          <w:numId w:val="1"/>
        </w:numPr>
        <w:rPr>
          <w:rFonts w:ascii="Arial" w:cs="Arial" w:eastAsia="Arial" w:hAnsi="Arial"/>
          <w:sz w:val="25"/>
          <w:szCs w:val="25"/>
          <w:color w:val="auto"/>
        </w:rPr>
      </w:pPr>
      <w:r>
        <w:rPr>
          <w:rFonts w:ascii="Arial" w:cs="Arial" w:eastAsia="Arial" w:hAnsi="Arial"/>
          <w:sz w:val="18"/>
          <w:szCs w:val="18"/>
          <w:color w:val="auto"/>
        </w:rPr>
        <w:t>Confidential, for Use of the Commission Only (as permitted by Rule 14a-6(e)(2))</w:t>
      </w:r>
    </w:p>
    <w:p>
      <w:pPr>
        <w:spacing w:after="0" w:line="22" w:lineRule="exact"/>
        <w:rPr>
          <w:rFonts w:ascii="Arial" w:cs="Arial" w:eastAsia="Arial" w:hAnsi="Arial"/>
          <w:sz w:val="25"/>
          <w:szCs w:val="25"/>
          <w:color w:val="auto"/>
        </w:rPr>
      </w:pPr>
    </w:p>
    <w:p>
      <w:pPr>
        <w:ind w:left="200" w:hanging="192"/>
        <w:spacing w:after="0" w:line="229" w:lineRule="auto"/>
        <w:tabs>
          <w:tab w:leader="none" w:pos="200" w:val="left"/>
        </w:tabs>
        <w:numPr>
          <w:ilvl w:val="0"/>
          <w:numId w:val="1"/>
        </w:numPr>
        <w:rPr>
          <w:rFonts w:ascii="Arial" w:cs="Arial" w:eastAsia="Arial" w:hAnsi="Arial"/>
          <w:sz w:val="25"/>
          <w:szCs w:val="25"/>
          <w:color w:val="auto"/>
        </w:rPr>
      </w:pPr>
      <w:r>
        <w:rPr>
          <w:rFonts w:ascii="Arial" w:cs="Arial" w:eastAsia="Arial" w:hAnsi="Arial"/>
          <w:sz w:val="18"/>
          <w:szCs w:val="18"/>
          <w:color w:val="auto"/>
        </w:rPr>
        <w:t>Definitive Proxy Statement</w:t>
      </w:r>
    </w:p>
    <w:p>
      <w:pPr>
        <w:spacing w:after="0" w:line="22" w:lineRule="exact"/>
        <w:rPr>
          <w:rFonts w:ascii="Arial" w:cs="Arial" w:eastAsia="Arial" w:hAnsi="Arial"/>
          <w:sz w:val="25"/>
          <w:szCs w:val="25"/>
          <w:color w:val="auto"/>
        </w:rPr>
      </w:pPr>
    </w:p>
    <w:p>
      <w:pPr>
        <w:ind w:left="200" w:hanging="192"/>
        <w:spacing w:after="0" w:line="229" w:lineRule="auto"/>
        <w:tabs>
          <w:tab w:leader="none" w:pos="200" w:val="left"/>
        </w:tabs>
        <w:numPr>
          <w:ilvl w:val="0"/>
          <w:numId w:val="1"/>
        </w:numPr>
        <w:rPr>
          <w:rFonts w:ascii="Arial" w:cs="Arial" w:eastAsia="Arial" w:hAnsi="Arial"/>
          <w:sz w:val="25"/>
          <w:szCs w:val="25"/>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9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Athira Pharma, Inc.</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80"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ind w:left="440" w:hanging="432"/>
        <w:spacing w:after="0" w:line="184" w:lineRule="auto"/>
        <w:tabs>
          <w:tab w:leader="none" w:pos="440" w:val="left"/>
        </w:tabs>
        <w:numPr>
          <w:ilvl w:val="0"/>
          <w:numId w:val="4"/>
        </w:numPr>
        <w:rPr>
          <w:rFonts w:ascii="Arial" w:cs="Arial" w:eastAsia="Arial" w:hAnsi="Arial"/>
          <w:sz w:val="26"/>
          <w:szCs w:val="26"/>
          <w:color w:val="auto"/>
          <w:vertAlign w:val="subscript"/>
        </w:rPr>
      </w:pPr>
      <w:r>
        <w:rPr>
          <w:rFonts w:ascii="Arial" w:cs="Arial" w:eastAsia="Arial" w:hAnsi="Arial"/>
          <w:sz w:val="13"/>
          <w:szCs w:val="13"/>
          <w:color w:val="auto"/>
        </w:rPr>
        <w:t>Fee paid previously with preliminary materials</w:t>
      </w:r>
    </w:p>
    <w:p>
      <w:pPr>
        <w:spacing w:after="0" w:line="83" w:lineRule="exact"/>
        <w:rPr>
          <w:rFonts w:ascii="Arial" w:cs="Arial" w:eastAsia="Arial" w:hAnsi="Arial"/>
          <w:sz w:val="26"/>
          <w:szCs w:val="26"/>
          <w:color w:val="auto"/>
          <w:vertAlign w:val="subscript"/>
        </w:rPr>
      </w:pPr>
    </w:p>
    <w:p>
      <w:pPr>
        <w:ind w:left="440" w:hanging="432"/>
        <w:spacing w:after="0" w:line="186" w:lineRule="auto"/>
        <w:tabs>
          <w:tab w:leader="none" w:pos="440" w:val="left"/>
        </w:tabs>
        <w:numPr>
          <w:ilvl w:val="0"/>
          <w:numId w:val="4"/>
        </w:numPr>
        <w:rPr>
          <w:rFonts w:ascii="Arial" w:cs="Arial" w:eastAsia="Arial" w:hAnsi="Arial"/>
          <w:sz w:val="24"/>
          <w:szCs w:val="24"/>
          <w:color w:val="auto"/>
          <w:vertAlign w:val="subscript"/>
        </w:rPr>
      </w:pPr>
      <w:r>
        <w:rPr>
          <w:rFonts w:ascii="Arial" w:cs="Arial" w:eastAsia="Arial" w:hAnsi="Arial"/>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8" w:right="1440" w:bottom="1440" w:gutter="0" w:footer="0" w:header="0"/>
        </w:sectPr>
      </w:pPr>
    </w:p>
    <w:bookmarkStart w:id="1" w:name="page2"/>
    <w:bookmarkEnd w:id="1"/>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234950</wp:posOffset>
            </wp:positionV>
            <wp:extent cx="1491615" cy="737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Athira Pharma Highlights Strong Execution of Strategy and Positioning for the Future</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color w:val="auto"/>
        </w:rPr>
        <w:t xml:space="preserve">BOTHELL, WA, March 30, 2022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Athira Pharma,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ATHA), a late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small molecules to restore neuronal health and slow neurodegeneration, today issued the following statement in response to the release from Richard Kayne:</w:t>
      </w:r>
    </w:p>
    <w:p>
      <w:pPr>
        <w:spacing w:after="0" w:line="197" w:lineRule="exact"/>
        <w:rPr>
          <w:sz w:val="20"/>
          <w:szCs w:val="20"/>
          <w:color w:val="auto"/>
        </w:rPr>
      </w:pPr>
    </w:p>
    <w:p>
      <w:pPr>
        <w:ind w:left="880" w:right="20"/>
        <w:spacing w:after="0" w:line="276" w:lineRule="auto"/>
        <w:rPr>
          <w:sz w:val="20"/>
          <w:szCs w:val="20"/>
          <w:color w:val="auto"/>
        </w:rPr>
      </w:pPr>
      <w:r>
        <w:rPr>
          <w:rFonts w:ascii="Arial" w:cs="Arial" w:eastAsia="Arial" w:hAnsi="Arial"/>
          <w:sz w:val="18"/>
          <w:szCs w:val="18"/>
          <w:color w:val="auto"/>
        </w:rPr>
        <w:t>Athira’s board and leadership team are focused on doing what is right for the company, our shareholders and patients. Athira’s highest priority is advancing fosgonimeton through clinical trials and securing regulatory approval for the treatment of Alzheimer’s disease, which impacts as many as 35 million people worldwide. Athira is executing well against that objective and delivering on our target milestones. We are poised to report top line results from the Phase 2 ACT-AD study in the second quarter, which we anticipate will validate the Phase 1b compelling P300 latency results and provide insight into the activity and safety of fosgonimeton. We are also making strong progress advancing our LIFT-AD and SHAPE clinical trials and pipeline.</w:t>
      </w:r>
    </w:p>
    <w:p>
      <w:pPr>
        <w:spacing w:after="0" w:line="178" w:lineRule="exact"/>
        <w:rPr>
          <w:sz w:val="20"/>
          <w:szCs w:val="20"/>
          <w:color w:val="auto"/>
        </w:rPr>
      </w:pPr>
    </w:p>
    <w:p>
      <w:pPr>
        <w:ind w:left="880" w:right="580"/>
        <w:spacing w:after="0" w:line="260" w:lineRule="auto"/>
        <w:rPr>
          <w:sz w:val="20"/>
          <w:szCs w:val="20"/>
          <w:color w:val="auto"/>
        </w:rPr>
      </w:pPr>
      <w:r>
        <w:rPr>
          <w:rFonts w:ascii="Arial" w:cs="Arial" w:eastAsia="Arial" w:hAnsi="Arial"/>
          <w:sz w:val="20"/>
          <w:szCs w:val="20"/>
          <w:color w:val="auto"/>
        </w:rPr>
        <w:t>The board of directors is confident Athira has the right strategy and the right team to lead the company through this pivotal chapter.</w:t>
      </w:r>
    </w:p>
    <w:p>
      <w:pPr>
        <w:spacing w:after="0" w:line="190" w:lineRule="exact"/>
        <w:rPr>
          <w:sz w:val="20"/>
          <w:szCs w:val="20"/>
          <w:color w:val="auto"/>
        </w:rPr>
      </w:pPr>
    </w:p>
    <w:p>
      <w:pPr>
        <w:ind w:left="880" w:right="160"/>
        <w:spacing w:after="0" w:line="244" w:lineRule="auto"/>
        <w:rPr>
          <w:sz w:val="20"/>
          <w:szCs w:val="20"/>
          <w:color w:val="auto"/>
        </w:rPr>
      </w:pPr>
      <w:r>
        <w:rPr>
          <w:rFonts w:ascii="Arial" w:cs="Arial" w:eastAsia="Arial" w:hAnsi="Arial"/>
          <w:sz w:val="20"/>
          <w:szCs w:val="20"/>
          <w:color w:val="auto"/>
        </w:rPr>
        <w:t>Consistent with our commitment to maintaining a board with the right mix of skills and experience, the board has added three independent directors in the last year – Dr. Michael Panzara, Barbara Kosacz and, at the suggestion of Mr. Kayne, Grant Pickering. We are committed to continuing to expand the deep industry, R&amp;D and commercialization expertise on the board and leadership team as we advance our strategy. The skills that Messrs. Kayne and Bickerstaff would bring to the board are already well represented among our existing directors.</w:t>
      </w:r>
    </w:p>
    <w:p>
      <w:pPr>
        <w:spacing w:after="0" w:line="208" w:lineRule="exact"/>
        <w:rPr>
          <w:sz w:val="20"/>
          <w:szCs w:val="20"/>
          <w:color w:val="auto"/>
        </w:rPr>
      </w:pPr>
    </w:p>
    <w:p>
      <w:pPr>
        <w:ind w:left="880" w:right="680"/>
        <w:spacing w:after="0" w:line="263" w:lineRule="auto"/>
        <w:rPr>
          <w:sz w:val="20"/>
          <w:szCs w:val="20"/>
          <w:color w:val="auto"/>
        </w:rPr>
      </w:pPr>
      <w:r>
        <w:rPr>
          <w:rFonts w:ascii="Arial" w:cs="Arial" w:eastAsia="Arial" w:hAnsi="Arial"/>
          <w:sz w:val="19"/>
          <w:szCs w:val="19"/>
          <w:color w:val="auto"/>
        </w:rPr>
        <w:t>Members of our board have spoken with Mr. Kayne numerous times, and especially over the last several weeks. These conversations have focused on our desire to find a collaborative path forward that would allow us to devote our focus and resources to clinical trials and advancing fosgonimeton, which we believe is clearly in the best interests of Athira and our shareholders. Mr. Kayne has rejected our attempts to find common ground.</w:t>
      </w:r>
    </w:p>
    <w:p>
      <w:pPr>
        <w:spacing w:after="0" w:line="190" w:lineRule="exact"/>
        <w:rPr>
          <w:sz w:val="20"/>
          <w:szCs w:val="20"/>
          <w:color w:val="auto"/>
        </w:rPr>
      </w:pPr>
    </w:p>
    <w:p>
      <w:pPr>
        <w:ind w:left="880"/>
        <w:spacing w:after="0" w:line="278" w:lineRule="auto"/>
        <w:rPr>
          <w:sz w:val="20"/>
          <w:szCs w:val="20"/>
          <w:color w:val="auto"/>
        </w:rPr>
      </w:pPr>
      <w:r>
        <w:rPr>
          <w:rFonts w:ascii="Arial" w:cs="Arial" w:eastAsia="Arial" w:hAnsi="Arial"/>
          <w:sz w:val="18"/>
          <w:szCs w:val="18"/>
          <w:color w:val="auto"/>
        </w:rPr>
        <w:t>Mr. Kayne has pushed Athira to resume a formal relationship with his current business partner and the company’s former CEO, Dr. Leen Kawas, who resigned as an executive and stepped down from the board in October 2021. This occurred after an investigation led by an independent board committee found that she altered images in her 2011 doctoral dissertation and in at least four research papers that she co-authored while a graduate student at Washington State University. The board believes that ending Dr. Kawas’s relationship with Athira was and remains in the best interests of Athira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right="380"/>
        <w:spacing w:after="0" w:line="260" w:lineRule="auto"/>
        <w:rPr>
          <w:sz w:val="20"/>
          <w:szCs w:val="20"/>
          <w:color w:val="auto"/>
        </w:rPr>
      </w:pPr>
      <w:r>
        <w:rPr>
          <w:rFonts w:ascii="Arial" w:cs="Arial" w:eastAsia="Arial" w:hAnsi="Arial"/>
          <w:sz w:val="20"/>
          <w:szCs w:val="20"/>
          <w:color w:val="auto"/>
        </w:rPr>
        <w:t xml:space="preserve">The company filed its preliminary proxy statement with the SEC on March 25, 2022. The filing can be accessed on the investor relations section of Athira’s website at </w:t>
      </w:r>
      <w:r>
        <w:rPr>
          <w:rFonts w:ascii="Arial" w:cs="Arial" w:eastAsia="Arial" w:hAnsi="Arial"/>
          <w:sz w:val="20"/>
          <w:szCs w:val="20"/>
          <w:u w:val="single" w:color="auto"/>
          <w:color w:val="auto"/>
        </w:rPr>
        <w:t>https://investors.athira.com/financial-information/sec-filings</w:t>
      </w:r>
      <w:r>
        <w:rPr>
          <w:rFonts w:ascii="Arial" w:cs="Arial" w:eastAsia="Arial" w:hAnsi="Arial"/>
          <w:sz w:val="20"/>
          <w:szCs w:val="20"/>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On March 25, 2022, Athira Pharma, Inc. (“Athira”) filed a preliminary proxy statement in connection with its 2022 Annual Meeting of Shareholders (the “Annual Meeting”). Prior to the Annual Meeting, Athira will furnish a definitive proxy statement to its shareholders, together with a WHITE proxy card. SHAREHOLDERS ARE URGED TO READ THE DEFINITIVE PROXY STATEMENT (INCLUDING ANY AMENDMENTS OR SUPPLEMENTS THERETO) AND ANY OTHER RELEVANT DOCUMENTS WHEN THEY BECOME AVAILABLE BECAUSE THEY WILL CONTAIN IMPORTANT INFORMATION. Detailed information regarding the names, affiliations and interests of individuals who are participants in the solicitation of proxies of Athira’s shareholders is available in Athira’s preliminary proxy statement.</w:t>
      </w:r>
    </w:p>
    <w:p>
      <w:pPr>
        <w:spacing w:after="0" w:line="206"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Shareholders may obtain, free of charge, Athira’s proxy statement (in both preliminary and definitive form), any amendments or supplements thereto and any other relevant documents filed by Athira with the Securities and Exchange Commission (the “SEC”) in connection with the Annual Meeting at the SEC’s website (http://www.sec.gov). Copies of Athira’s definitive 2022 proxy statement, any amendments or supplements thereto and any other relevant documents filed by Athira with the SEC in connection with the Annual Meeting will also be available, free of charge, at Athira’s website (http://www.athira.com) or by writing to Investor Relations, Athira Pharma, Inc., 18706 North Creek Parkway, Suite 104, Bothell, WA 98011. In addition, copies of these materials may be requested, free of charge, from Athira’s proxy solicitor by writing to Innisfree M&amp;A Incorporated, 501 Madison Avenue, 20th Floor, New York, NY 10022 or calling toll-free to (877) 456-3510.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2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lead therapeutic candidate, fosgonimeton, a novel small molecule for Alzheimer’s and Parkinson’s disease dementia and Dementia with Lewy bodies. For more information, visit </w:t>
      </w:r>
      <w:r>
        <w:rPr>
          <w:rFonts w:ascii="Arial" w:cs="Arial" w:eastAsia="Arial" w:hAnsi="Arial"/>
          <w:sz w:val="19"/>
          <w:szCs w:val="19"/>
          <w:u w:val="single" w:color="auto"/>
          <w:color w:val="auto"/>
        </w:rPr>
        <w:t>www.athira.com</w:t>
      </w:r>
      <w:r>
        <w:rPr>
          <w:rFonts w:ascii="Arial" w:cs="Arial" w:eastAsia="Arial" w:hAnsi="Arial"/>
          <w:sz w:val="19"/>
          <w:szCs w:val="19"/>
          <w:color w:val="auto"/>
        </w:rPr>
        <w:t xml:space="preserve">. You can also follow Athira on </w:t>
      </w:r>
      <w:r>
        <w:rPr>
          <w:rFonts w:ascii="Arial" w:cs="Arial" w:eastAsia="Arial" w:hAnsi="Arial"/>
          <w:sz w:val="19"/>
          <w:szCs w:val="19"/>
          <w:u w:val="single" w:color="auto"/>
          <w:color w:val="55688B"/>
        </w:rPr>
        <w:t>Facebook</w:t>
      </w:r>
      <w:r>
        <w:rPr>
          <w:rFonts w:ascii="Arial" w:cs="Arial" w:eastAsia="Arial" w:hAnsi="Arial"/>
          <w:sz w:val="19"/>
          <w:szCs w:val="19"/>
          <w:color w:val="auto"/>
        </w:rPr>
        <w:t xml:space="preserve">, </w:t>
      </w:r>
      <w:r>
        <w:rPr>
          <w:rFonts w:ascii="Arial" w:cs="Arial" w:eastAsia="Arial" w:hAnsi="Arial"/>
          <w:sz w:val="19"/>
          <w:szCs w:val="19"/>
          <w:u w:val="single" w:color="auto"/>
          <w:color w:val="55688B"/>
        </w:rPr>
        <w:t>LinkedIn</w:t>
      </w:r>
      <w:r>
        <w:rPr>
          <w:rFonts w:ascii="Arial" w:cs="Arial" w:eastAsia="Arial" w:hAnsi="Arial"/>
          <w:sz w:val="19"/>
          <w:szCs w:val="19"/>
          <w:color w:val="auto"/>
        </w:rPr>
        <w:t xml:space="preserve"> and @athirapharma on </w:t>
      </w:r>
      <w:r>
        <w:rPr>
          <w:rFonts w:ascii="Arial" w:cs="Arial" w:eastAsia="Arial" w:hAnsi="Arial"/>
          <w:sz w:val="19"/>
          <w:szCs w:val="19"/>
          <w:u w:val="single" w:color="auto"/>
          <w:color w:val="55688B"/>
        </w:rPr>
        <w:t>Twitter</w:t>
      </w:r>
      <w:r>
        <w:rPr>
          <w:rFonts w:ascii="Arial" w:cs="Arial" w:eastAsia="Arial" w:hAnsi="Arial"/>
          <w:sz w:val="19"/>
          <w:szCs w:val="19"/>
          <w:color w:val="auto"/>
        </w:rPr>
        <w:t xml:space="preserve"> and </w:t>
      </w:r>
      <w:r>
        <w:rPr>
          <w:rFonts w:ascii="Arial" w:cs="Arial" w:eastAsia="Arial" w:hAnsi="Arial"/>
          <w:sz w:val="19"/>
          <w:szCs w:val="19"/>
          <w:u w:val="single" w:color="auto"/>
          <w:color w:val="55688B"/>
        </w:rPr>
        <w:t>Instagram</w:t>
      </w:r>
      <w:r>
        <w:rPr>
          <w:rFonts w:ascii="Arial" w:cs="Arial" w:eastAsia="Arial" w:hAnsi="Arial"/>
          <w:sz w:val="19"/>
          <w:szCs w:val="19"/>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748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8"/>
          <w:szCs w:val="18"/>
          <w:color w:val="auto"/>
        </w:rPr>
        <w:t>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which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Investor &amp; Media Contact</w:t>
      </w:r>
      <w:r>
        <w:rPr>
          <w:rFonts w:ascii="Arial" w:cs="Arial" w:eastAsia="Arial" w:hAnsi="Arial"/>
          <w:sz w:val="18"/>
          <w:szCs w:val="18"/>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rPr>
          <w:sz w:val="20"/>
          <w:szCs w:val="20"/>
          <w:color w:val="auto"/>
        </w:rPr>
      </w:pPr>
      <w:r>
        <w:rPr>
          <w:rFonts w:ascii="Arial" w:cs="Arial" w:eastAsia="Arial" w:hAnsi="Arial"/>
          <w:sz w:val="20"/>
          <w:szCs w:val="20"/>
          <w:color w:val="auto"/>
        </w:rPr>
        <w:t>Athira Pharma</w:t>
      </w:r>
    </w:p>
    <w:p>
      <w:pPr>
        <w:spacing w:after="0"/>
        <w:rPr>
          <w:sz w:val="20"/>
          <w:szCs w:val="20"/>
          <w:color w:val="auto"/>
        </w:rPr>
      </w:pPr>
      <w:r>
        <w:rPr>
          <w:rFonts w:ascii="Arial" w:cs="Arial" w:eastAsia="Arial" w:hAnsi="Arial"/>
          <w:sz w:val="19"/>
          <w:szCs w:val="19"/>
          <w:u w:val="single" w:color="auto"/>
          <w:color w:val="auto"/>
        </w:rPr>
        <w:t>Julie.rathbun@athira.com</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206-769-9219</w:t>
      </w:r>
    </w:p>
    <w:sectPr>
      <w:pgSz w:w="11900" w:h="16838" w:orient="portrait"/>
      <w:cols w:equalWidth="0" w:num="1">
        <w:col w:w="10139"/>
      </w:cols>
      <w:pgMar w:left="320" w:top="3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2022-03-30T15:29:31Z</dcterms:created>
  <dcterms:modified xsi:type="dcterms:W3CDTF">2022-03-30T15:29:31Z</dcterms:modified>
</cp:coreProperties>
</file>