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793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9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San Martin Javier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7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0.3762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111,270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111,270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111,270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74,180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74,180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-2181225</wp:posOffset>
            </wp:positionV>
            <wp:extent cx="28575" cy="2186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8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 w:right="160"/>
        <w:spacing w:after="0" w:line="250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48 months on the monthly anniversaries of the grant date, subject to the optionee continuing to be a Service Provider (as defined in the Issuer's 2020 Equity Incentive Plan) through the applicable vesting dates.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(1) share of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/>
        <w:spacing w:after="0" w:line="250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RSUs shall vest on the one (1) year anniversary of the grant date, subject to the Reporting Person continuing to be a Service Provider (as defined in the Issuer's 2020 Equity Incentive Plan (the "Plan")) through the vesting date.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-10160</wp:posOffset>
            </wp:positionV>
            <wp:extent cx="935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Javier 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1879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Martin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2863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4629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2025-03-04T15:47:26Z</dcterms:created>
  <dcterms:modified xsi:type="dcterms:W3CDTF">2025-03-04T15:47:26Z</dcterms:modified>
</cp:coreProperties>
</file>