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182245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390"/>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64"/>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143510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0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7"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80"/>
          </w:cols>
          <w:pgMar w:left="320" w:top="902" w:right="3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240"/>
          </w:cols>
          <w:pgMar w:left="320" w:top="902" w:right="3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0" w:lineRule="exact"/>
        <w:rPr>
          <w:sz w:val="24"/>
          <w:szCs w:val="24"/>
          <w:color w:val="auto"/>
        </w:rPr>
      </w:pPr>
    </w:p>
    <w:p>
      <w:pPr>
        <w:sectPr>
          <w:pgSz w:w="11900" w:h="16838" w:orient="portrait"/>
          <w:cols w:equalWidth="0" w:num="3">
            <w:col w:w="4700" w:space="720"/>
            <w:col w:w="1980" w:space="720"/>
            <w:col w:w="3060"/>
          </w:cols>
          <w:pgMar w:left="320" w:top="902" w:right="399" w:bottom="1440" w:gutter="0" w:footer="0" w:header="0"/>
          <w:type w:val="continuous"/>
        </w:sectPr>
      </w:pPr>
    </w:p>
    <w:p>
      <w:pPr>
        <w:spacing w:after="0" w:line="36"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59"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January 6, 2023, Athira Pharma, Inc, a Delaware corporation (the “Company”), entered into a Controlled Equity Offering Sales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“Sales Agreement”) with Cantor Fitzgerald &amp; Co. (“Cantor”) and BTIG, LLC (“BTIG” and together with Cantor, the “Agents” and each, an “Agent”). The Sales Agreement provides for the offer and sale of the Company’s common stock, par value $0.0001 per share, from time to time through an “at the market offering” program under which the Agents will each act as sales agent, subject to certain limitations, including the maximum aggregate dollar amount registered pursuant to the applicable prospectus supplement.</w:t>
      </w:r>
    </w:p>
    <w:p>
      <w:pPr>
        <w:spacing w:after="0" w:line="9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Sales Agreement, the Company will set the parameters for the sale of shares, including the number of shares to be issued, the time period during which sales are requested to be made, limitation on the number of shares that may be sold in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02" w:right="399" w:bottom="144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8"/>
          <w:szCs w:val="18"/>
          <w:color w:val="auto"/>
        </w:rPr>
        <w:t>one trading day and any minimum price below which sales may not be made. Subject to the terms and conditions of the Sales Agreement, the Agents may sell the shares by any method permitted by law deemed to be an “at the market offering” as defined in Rule 415(a)(4) promulgated under the Securities Act of 1933, as amended, including sales made directly on The Nasdaq Stock Market LLC or on any other existing trading market for the common stock, in negotiated transactions at market prices prevailing at the time of sale or at prices related to such prevailing market prices and/or any other method permitted by law. The Agents will use commercially reasonable efforts consistent with their normal trading and sales practices and applicable state and federal laws, rules and regulations and the rules of The Nasdaq Stock Market LLC. The Sales Agreement may be terminated by the Company upon written notice to the Agents for any reason or by an Agent, with respect to itself only, upon written notice to the Company for any reason or at any time under certain circumstances, including but not limited to the occurrence of a material adverse change in the Company. Under the terms of the Sales Agreement, the Company may also sell shares to each Agent acting as principal for such Agent’s own account at prices agreed upon at the time of sale.</w:t>
      </w:r>
    </w:p>
    <w:p>
      <w:pPr>
        <w:spacing w:after="0" w:line="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Sales Agreement provides that each Agent will be entitled to compensation for its services equal to 3.0% of the aggregate gross proceeds from each sale made by such Agent under the Sales Agreement. The Company has no obligation to sell any shares under the Sales Agreement, and may at any time suspend solicitation and offers under the Sales Agreement. The Sales Agreement contains customary representations, warranties and agreements by the Company, indemnification obligations of the Company and the Agents, other obligations of the parties and termination provisions. The representations, warranties and covenants contained in the Sales Agreement were made only for purposes of such agreement and as of specific dates, were solely for the benefit of the parties to such agreement, and may be subject to limitations agreed upon by the contracting parties.</w:t>
      </w:r>
    </w:p>
    <w:p>
      <w:pPr>
        <w:spacing w:after="0" w:line="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shares will be issued pursuant to the Company’s effective shelf registration statement on Form S-3 (File No. 333-261073), declared effective by the Securities and Exchange Commission (the “SEC”) on November 24, 2021. The Company filed a prospectus supplement, dated January 6, 2023, with the SEC in connection with the offer and sale of the shares pursuant to the Sales Agreement.</w:t>
      </w:r>
    </w:p>
    <w:p>
      <w:pPr>
        <w:spacing w:after="0" w:line="68"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legal opinion of Wilson Sonsini Goodrich &amp; Rosati, Professional Corporation, relating to the shares of common stock being offered is filed as Exhibit 5.1 to this Current Report on Form 8-K.</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6, 2023, the Company announced the Company’s preliminary and unaudited estimate of approximately $245.2 million in cash, cash equivalents and investments as of December 31, 2022 (such information, the “Financial Condition Information”). The Financial Condition Information is set forth in a prospectus supplement filed by the Company on January 6, 2023 under the caption “Certain Preliminary Financial Position Information”. These preliminary results are based on management's initial analysis of operations for the quarter and year ended December 31, 2022 and are subject to further internal review and audit by the company's external auditors.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01"/>
        </w:trPr>
        <w:tc>
          <w:tcPr>
            <w:tcW w:w="1020" w:type="dxa"/>
            <w:vAlign w:val="bottom"/>
            <w:vMerge w:val="restart"/>
          </w:tcPr>
          <w:p>
            <w:pPr>
              <w:ind w:left="6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20" w:type="dxa"/>
            <w:vAlign w:val="bottom"/>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8"/>
              </w:rPr>
              <w:t>Controlled Equity Offering Sales Agreement</w:t>
            </w:r>
          </w:p>
        </w:tc>
        <w:tc>
          <w:tcPr>
            <w:tcW w:w="160" w:type="dxa"/>
            <w:vAlign w:val="bottom"/>
            <w:tcBorders>
              <w:bottom w:val="single" w:sz="8" w:color="0000FF"/>
            </w:tcBorders>
          </w:tcPr>
          <w:p>
            <w:pPr>
              <w:spacing w:after="0" w:line="88" w:lineRule="exact"/>
              <w:rPr>
                <w:sz w:val="20"/>
                <w:szCs w:val="20"/>
                <w:color w:val="auto"/>
              </w:rPr>
            </w:pPr>
            <w:r>
              <w:rPr>
                <w:rFonts w:ascii="Times New Roman" w:cs="Times New Roman" w:eastAsia="Times New Roman" w:hAnsi="Times New Roman"/>
                <w:sz w:val="10"/>
                <w:szCs w:val="10"/>
                <w:color w:val="0000FF"/>
                <w:w w:val="96"/>
              </w:rPr>
              <w:t>SM</w:t>
            </w:r>
          </w:p>
        </w:tc>
        <w:tc>
          <w:tcPr>
            <w:tcW w:w="6640" w:type="dxa"/>
            <w:vAlign w:val="bottom"/>
            <w:gridSpan w:val="4"/>
            <w:vMerge w:val="restart"/>
          </w:tcPr>
          <w:p>
            <w:pPr>
              <w:spacing w:after="0" w:line="182" w:lineRule="exact"/>
              <w:rPr>
                <w:sz w:val="20"/>
                <w:szCs w:val="20"/>
                <w:color w:val="auto"/>
              </w:rPr>
            </w:pPr>
            <w:r>
              <w:rPr>
                <w:rFonts w:ascii="Times New Roman" w:cs="Times New Roman" w:eastAsia="Times New Roman" w:hAnsi="Times New Roman"/>
                <w:sz w:val="18"/>
                <w:szCs w:val="18"/>
                <w:color w:val="0000FF"/>
              </w:rPr>
              <w:t>, dated January 6, 2023, among the Company, Cantor Fitzgerald &amp; Co. and BTIG, LLC.</w:t>
            </w:r>
          </w:p>
        </w:tc>
        <w:tc>
          <w:tcPr>
            <w:tcW w:w="0" w:type="dxa"/>
            <w:vAlign w:val="bottom"/>
          </w:tcPr>
          <w:p>
            <w:pPr>
              <w:spacing w:after="0"/>
              <w:rPr>
                <w:sz w:val="1"/>
                <w:szCs w:val="1"/>
                <w:color w:val="auto"/>
              </w:rPr>
            </w:pPr>
          </w:p>
        </w:tc>
      </w:tr>
      <w:tr>
        <w:trPr>
          <w:trHeight w:val="61"/>
        </w:trPr>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Opinion of Wilson Sonsini Goodrich &amp; Rosati, P.C.</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180" w:type="dxa"/>
            <w:vAlign w:val="bottom"/>
            <w:tcBorders>
              <w:right w:val="single" w:sz="8" w:color="0000EE"/>
            </w:tcBorders>
            <w:gridSpan w:val="3"/>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 P.C. (included in Exhibit 5.1).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560" w:type="dxa"/>
            <w:vAlign w:val="bottom"/>
            <w:gridSpan w:val="4"/>
            <w:shd w:val="clear" w:color="auto" w:fill="0000FF"/>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776"/>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January 6, 2023</w:t>
      </w:r>
      <w:r>
        <w:rPr>
          <w:sz w:val="20"/>
          <w:szCs w:val="20"/>
          <w:color w:val="auto"/>
        </w:rPr>
        <w:tab/>
      </w:r>
      <w:r>
        <w:rPr>
          <w:rFonts w:ascii="Times New Roman" w:cs="Times New Roman" w:eastAsia="Times New Roman" w:hAnsi="Times New Roman"/>
          <w:sz w:val="18"/>
          <w:szCs w:val="18"/>
          <w:color w:val="auto"/>
        </w:rPr>
        <w:t>By:</w:t>
        <w:tab/>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jc w:val="center"/>
        <w:spacing w:after="0" w:line="230" w:lineRule="auto"/>
        <w:rPr>
          <w:sz w:val="20"/>
          <w:szCs w:val="20"/>
          <w:color w:val="auto"/>
        </w:rPr>
      </w:pPr>
      <w:r>
        <w:rPr>
          <w:rFonts w:ascii="Times New Roman" w:cs="Times New Roman" w:eastAsia="Times New Roman" w:hAnsi="Times New Roman"/>
          <w:sz w:val="22"/>
          <w:szCs w:val="22"/>
          <w:color w:val="auto"/>
        </w:rPr>
        <w:t>Shares of Common Stock</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(par value $0.0001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Controlled Equity Offering</w:t>
      </w:r>
      <w:r>
        <w:rPr>
          <w:rFonts w:ascii="Times New Roman" w:cs="Times New Roman" w:eastAsia="Times New Roman" w:hAnsi="Times New Roman"/>
          <w:sz w:val="28"/>
          <w:szCs w:val="28"/>
          <w:b w:val="1"/>
          <w:bCs w:val="1"/>
          <w:color w:val="auto"/>
          <w:vertAlign w:val="superscript"/>
        </w:rPr>
        <w:t>SM</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Sales Agreement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6,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Park Avenue</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East 55th Street</w:t>
      </w: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Athira Pharma,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confirms its agreement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with Cantor Fitzgerald &amp; Co. and BTIG, LLC (collectively, the “</w:t>
      </w:r>
      <w:r>
        <w:rPr>
          <w:rFonts w:ascii="Times New Roman" w:cs="Times New Roman" w:eastAsia="Times New Roman" w:hAnsi="Times New Roman"/>
          <w:sz w:val="22"/>
          <w:szCs w:val="22"/>
          <w:b w:val="1"/>
          <w:bCs w:val="1"/>
          <w:u w:val="single" w:color="auto"/>
          <w:color w:val="auto"/>
        </w:rPr>
        <w:t>Agents</w:t>
      </w:r>
      <w:r>
        <w:rPr>
          <w:rFonts w:ascii="Times New Roman" w:cs="Times New Roman" w:eastAsia="Times New Roman" w:hAnsi="Times New Roman"/>
          <w:sz w:val="22"/>
          <w:szCs w:val="22"/>
          <w:color w:val="auto"/>
        </w:rPr>
        <w:t>,” each an “</w:t>
      </w:r>
      <w:r>
        <w:rPr>
          <w:rFonts w:ascii="Times New Roman" w:cs="Times New Roman" w:eastAsia="Times New Roman" w:hAnsi="Times New Roman"/>
          <w:sz w:val="22"/>
          <w:szCs w:val="22"/>
          <w:b w:val="1"/>
          <w:bCs w:val="1"/>
          <w:u w:val="single" w:color="auto"/>
          <w:color w:val="auto"/>
        </w:rPr>
        <w:t>Agent</w:t>
      </w:r>
      <w:r>
        <w:rPr>
          <w:rFonts w:ascii="Times New Roman" w:cs="Times New Roman" w:eastAsia="Times New Roman" w:hAnsi="Times New Roman"/>
          <w:sz w:val="22"/>
          <w:szCs w:val="22"/>
          <w:color w:val="auto"/>
        </w:rPr>
        <w:t>”), as follows:</w:t>
      </w:r>
    </w:p>
    <w:p>
      <w:pPr>
        <w:spacing w:after="0" w:line="154" w:lineRule="exact"/>
        <w:rPr>
          <w:sz w:val="20"/>
          <w:szCs w:val="20"/>
          <w:color w:val="auto"/>
        </w:rPr>
      </w:pPr>
    </w:p>
    <w:p>
      <w:pPr>
        <w:jc w:val="both"/>
        <w:ind w:firstLine="757"/>
        <w:spacing w:after="0" w:line="232" w:lineRule="auto"/>
        <w:tabs>
          <w:tab w:leader="none" w:pos="149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Sale of Shares</w:t>
      </w:r>
      <w:r>
        <w:rPr>
          <w:rFonts w:ascii="Times New Roman" w:cs="Times New Roman" w:eastAsia="Times New Roman" w:hAnsi="Times New Roman"/>
          <w:sz w:val="22"/>
          <w:szCs w:val="22"/>
          <w:color w:val="auto"/>
        </w:rPr>
        <w:t>. The Company agrees that, from time to time during the term of this Agreement, on the terms and subject to the conditions set forth herein, it may issue and sell to or through the Agents, as sales agent or principal, shares of common stock (the “</w:t>
      </w:r>
      <w:r>
        <w:rPr>
          <w:rFonts w:ascii="Times New Roman" w:cs="Times New Roman" w:eastAsia="Times New Roman" w:hAnsi="Times New Roman"/>
          <w:sz w:val="22"/>
          <w:szCs w:val="22"/>
          <w:b w:val="1"/>
          <w:bCs w:val="1"/>
          <w:u w:val="single" w:color="auto"/>
          <w:color w:val="auto"/>
        </w:rPr>
        <w:t>Placement Shares</w:t>
      </w:r>
      <w:r>
        <w:rPr>
          <w:rFonts w:ascii="Times New Roman" w:cs="Times New Roman" w:eastAsia="Times New Roman" w:hAnsi="Times New Roman"/>
          <w:sz w:val="22"/>
          <w:szCs w:val="22"/>
          <w:color w:val="auto"/>
        </w:rPr>
        <w:t>”) of the Company, par value $0.0001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in no event shall the Company issue or sell through the Agents such number or dollar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Placement Shares that would exceed (a) the number or dollar amount of shares of Common Stock registered on the effective Registration Statement (defined below) pursuant to which the offering is being made, (b) the number of authorized but unissued shares of Common Stock (less shares of Common Stock issuable upon exercise, conversion or exchange of any outstanding securities of the Company or otherwise reserved from the Company’s authorized capital stock), (c) the number or dollar amount of shares of Common Stock permitted to be sold under Form S-3 (including General Instruction I.B.6 thereof, if applicable) or (d) the number or dollar amount of shares of Common Stock for which the Company has filed a Prospectus Supplement (defined below) (the lesser of (a), (b), (c) and (d), the “</w:t>
      </w:r>
      <w:r>
        <w:rPr>
          <w:rFonts w:ascii="Times New Roman" w:cs="Times New Roman" w:eastAsia="Times New Roman" w:hAnsi="Times New Roman"/>
          <w:sz w:val="22"/>
          <w:szCs w:val="22"/>
          <w:b w:val="1"/>
          <w:bCs w:val="1"/>
          <w:u w:val="single" w:color="auto"/>
          <w:color w:val="auto"/>
        </w:rPr>
        <w:t>Maximum Amount</w:t>
      </w:r>
      <w:r>
        <w:rPr>
          <w:rFonts w:ascii="Times New Roman" w:cs="Times New Roman" w:eastAsia="Times New Roman" w:hAnsi="Times New Roman"/>
          <w:sz w:val="22"/>
          <w:szCs w:val="22"/>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on the amount of Placement Shares issued and sold under this Agreement shall be the sole responsibility of the Company and that the Agents shall have no obligation in connection with such compliance; provided the Agents follow the trading instructions in all material respects provided by the Company pursuant to any Placement Notice. The offer and sale of Placement Shares through the Agents will be effected pursuant to the Registration Statement (as defined below) filed by the Company with the Securities and Exchange Commission (the “</w:t>
      </w:r>
      <w:r>
        <w:rPr>
          <w:rFonts w:ascii="Times New Roman" w:cs="Times New Roman" w:eastAsia="Times New Roman" w:hAnsi="Times New Roman"/>
          <w:sz w:val="22"/>
          <w:szCs w:val="22"/>
          <w:b w:val="1"/>
          <w:bCs w:val="1"/>
          <w:u w:val="single" w:color="auto"/>
          <w:color w:val="auto"/>
        </w:rPr>
        <w:t>Commission</w:t>
      </w:r>
      <w:r>
        <w:rPr>
          <w:rFonts w:ascii="Times New Roman" w:cs="Times New Roman" w:eastAsia="Times New Roman" w:hAnsi="Times New Roman"/>
          <w:sz w:val="22"/>
          <w:szCs w:val="22"/>
          <w:color w:val="auto"/>
        </w:rPr>
        <w:t>”) on November 15, 2021, and which was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effective by the Commission on November 24, 2021, although nothing in this Agreement shall be construed as requiring the Company to use the Registration Statement to issue Common Stock.</w:t>
      </w:r>
    </w:p>
    <w:p>
      <w:pPr>
        <w:spacing w:after="0" w:line="15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The Company has filed, in accordance with the provisions of the Securities Act of 1933, as amended (the “</w:t>
      </w:r>
      <w:r>
        <w:rPr>
          <w:rFonts w:ascii="Times New Roman" w:cs="Times New Roman" w:eastAsia="Times New Roman" w:hAnsi="Times New Roman"/>
          <w:sz w:val="22"/>
          <w:szCs w:val="22"/>
          <w:b w:val="1"/>
          <w:bCs w:val="1"/>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color w:val="auto"/>
        </w:rPr>
        <w:t>”), and the rules and regulations thereunder (the “</w:t>
      </w:r>
      <w:r>
        <w:rPr>
          <w:rFonts w:ascii="Times New Roman" w:cs="Times New Roman" w:eastAsia="Times New Roman" w:hAnsi="Times New Roman"/>
          <w:sz w:val="22"/>
          <w:szCs w:val="22"/>
          <w:b w:val="1"/>
          <w:bCs w:val="1"/>
          <w:u w:val="single" w:color="auto"/>
          <w:color w:val="auto"/>
        </w:rPr>
        <w:t>Securities Act Regulations</w:t>
      </w:r>
      <w:r>
        <w:rPr>
          <w:rFonts w:ascii="Times New Roman" w:cs="Times New Roman" w:eastAsia="Times New Roman" w:hAnsi="Times New Roman"/>
          <w:sz w:val="22"/>
          <w:szCs w:val="22"/>
          <w:color w:val="auto"/>
        </w:rPr>
        <w:t>”), with the Commission a shelf 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 on Form S-3 (File No. 333-261073),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22"/>
          <w:szCs w:val="22"/>
          <w:b w:val="1"/>
          <w:bCs w:val="1"/>
          <w:u w:val="single" w:color="auto"/>
          <w:color w:val="auto"/>
        </w:rPr>
        <w:t>Prospectus Supplement</w:t>
      </w:r>
      <w:r>
        <w:rPr>
          <w:rFonts w:ascii="Times New Roman" w:cs="Times New Roman" w:eastAsia="Times New Roman" w:hAnsi="Times New Roman"/>
          <w:sz w:val="22"/>
          <w:szCs w:val="22"/>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22"/>
          <w:szCs w:val="22"/>
          <w:b w:val="1"/>
          <w:bCs w:val="1"/>
          <w:u w:val="single" w:color="auto"/>
          <w:color w:val="auto"/>
        </w:rPr>
        <w:t>Prospectus</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22"/>
          <w:szCs w:val="22"/>
          <w:b w:val="1"/>
          <w:bCs w:val="1"/>
          <w:u w:val="single" w:color="auto"/>
          <w:color w:val="auto"/>
        </w:rPr>
        <w:t>Incorporated Documents</w:t>
      </w:r>
      <w:r>
        <w:rPr>
          <w:rFonts w:ascii="Times New Roman" w:cs="Times New Roman" w:eastAsia="Times New Roman" w:hAnsi="Times New Roman"/>
          <w:sz w:val="22"/>
          <w:szCs w:val="22"/>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22"/>
          <w:szCs w:val="22"/>
          <w:b w:val="1"/>
          <w:bCs w:val="1"/>
          <w:u w:val="single" w:color="auto"/>
          <w:color w:val="auto"/>
        </w:rPr>
        <w:t>EDGAR</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 w:name="page6"/>
    <w:bookmarkEnd w:id="5"/>
    <w:p>
      <w:pPr>
        <w:jc w:val="both"/>
        <w:ind w:left="-8" w:firstLine="757"/>
        <w:spacing w:after="0" w:line="243" w:lineRule="auto"/>
        <w:tabs>
          <w:tab w:leader="none" w:pos="149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Placements</w:t>
      </w:r>
      <w:r>
        <w:rPr>
          <w:rFonts w:ascii="Times New Roman" w:cs="Times New Roman" w:eastAsia="Times New Roman" w:hAnsi="Times New Roman"/>
          <w:sz w:val="21"/>
          <w:szCs w:val="21"/>
          <w:color w:val="auto"/>
        </w:rPr>
        <w:t>. Each time that the Company wishes to issue and sell Placement Shares hereunder (each, a “</w:t>
      </w:r>
      <w:r>
        <w:rPr>
          <w:rFonts w:ascii="Times New Roman" w:cs="Times New Roman" w:eastAsia="Times New Roman" w:hAnsi="Times New Roman"/>
          <w:sz w:val="21"/>
          <w:szCs w:val="21"/>
          <w:b w:val="1"/>
          <w:bCs w:val="1"/>
          <w:u w:val="single" w:color="auto"/>
          <w:color w:val="auto"/>
        </w:rPr>
        <w:t>Placement</w:t>
      </w:r>
      <w:r>
        <w:rPr>
          <w:rFonts w:ascii="Times New Roman" w:cs="Times New Roman" w:eastAsia="Times New Roman" w:hAnsi="Times New Roman"/>
          <w:sz w:val="21"/>
          <w:szCs w:val="21"/>
          <w:color w:val="auto"/>
        </w:rPr>
        <w:t>”), it will notify an Agent (the “</w:t>
      </w:r>
      <w:r>
        <w:rPr>
          <w:rFonts w:ascii="Times New Roman" w:cs="Times New Roman" w:eastAsia="Times New Roman" w:hAnsi="Times New Roman"/>
          <w:sz w:val="21"/>
          <w:szCs w:val="21"/>
          <w:b w:val="1"/>
          <w:bCs w:val="1"/>
          <w:u w:val="single" w:color="auto"/>
          <w:color w:val="auto"/>
        </w:rPr>
        <w:t>Designated Agent</w:t>
      </w:r>
      <w:r>
        <w:rPr>
          <w:rFonts w:ascii="Times New Roman" w:cs="Times New Roman" w:eastAsia="Times New Roman" w:hAnsi="Times New Roman"/>
          <w:sz w:val="21"/>
          <w:szCs w:val="21"/>
          <w:color w:val="auto"/>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21"/>
          <w:szCs w:val="21"/>
          <w:b w:val="1"/>
          <w:bCs w:val="1"/>
          <w:u w:val="single" w:color="auto"/>
          <w:color w:val="auto"/>
        </w:rPr>
        <w:t>Placement Notice</w:t>
      </w:r>
      <w:r>
        <w:rPr>
          <w:rFonts w:ascii="Times New Roman" w:cs="Times New Roman" w:eastAsia="Times New Roman" w:hAnsi="Times New Roman"/>
          <w:sz w:val="21"/>
          <w:szCs w:val="21"/>
          <w:color w:val="auto"/>
        </w:rPr>
        <w:t xml:space="preserve">”), the form of which is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The Placement Notice shall originate from any of the individuals from the Company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as such </w:t>
      </w:r>
      <w:r>
        <w:rPr>
          <w:rFonts w:ascii="Times New Roman" w:cs="Times New Roman" w:eastAsia="Times New Roman" w:hAnsi="Times New Roman"/>
          <w:sz w:val="21"/>
          <w:szCs w:val="21"/>
          <w:u w:val="single" w:color="auto"/>
          <w:color w:val="auto"/>
        </w:rPr>
        <w:t>Schedule 3</w:t>
      </w:r>
      <w:r>
        <w:rPr>
          <w:rFonts w:ascii="Times New Roman" w:cs="Times New Roman" w:eastAsia="Times New Roman" w:hAnsi="Times New Roman"/>
          <w:sz w:val="21"/>
          <w:szCs w:val="21"/>
          <w:color w:val="auto"/>
        </w:rPr>
        <w:t xml:space="preserve"> may be amended from time to time. The Placement Notice shall be effective unless and until (i) the Designated Agent declines in writing to accept the terms contained therein for any reason, in its sole discretion, in which case the Designated Agent shall, within two (2) Trading Days of the receipt of such Placement Notice, notify the Company (by e-mail notice or other method mutually agreed by the parties), (ii) the entire amount of the Placement Shares thereunder have been sold,</w:t>
      </w:r>
    </w:p>
    <w:p>
      <w:pPr>
        <w:spacing w:after="0" w:line="7" w:lineRule="exact"/>
        <w:rPr>
          <w:rFonts w:ascii="Times New Roman" w:cs="Times New Roman" w:eastAsia="Times New Roman" w:hAnsi="Times New Roman"/>
          <w:sz w:val="21"/>
          <w:szCs w:val="21"/>
          <w:color w:val="auto"/>
        </w:rPr>
      </w:pPr>
    </w:p>
    <w:p>
      <w:pPr>
        <w:jc w:val="both"/>
        <w:ind w:left="-8" w:firstLine="8"/>
        <w:spacing w:after="0" w:line="232" w:lineRule="auto"/>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suspends or terminates the Placement Notice or (iv) this Agreement has been terminated under the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It is expressly acknowledged and agreed that neither the Company nor the Agents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79" w:lineRule="exact"/>
        <w:rPr>
          <w:rFonts w:ascii="Times New Roman" w:cs="Times New Roman" w:eastAsia="Times New Roman" w:hAnsi="Times New Roman"/>
          <w:sz w:val="22"/>
          <w:szCs w:val="22"/>
          <w:color w:val="auto"/>
        </w:rPr>
      </w:pPr>
    </w:p>
    <w:p>
      <w:pPr>
        <w:jc w:val="both"/>
        <w:ind w:left="-8" w:firstLine="757"/>
        <w:spacing w:after="0" w:line="233" w:lineRule="auto"/>
        <w:tabs>
          <w:tab w:leader="none" w:pos="149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Placement Shares by Designated Agent</w:t>
      </w:r>
      <w:r>
        <w:rPr>
          <w:rFonts w:ascii="Times New Roman" w:cs="Times New Roman" w:eastAsia="Times New Roman" w:hAnsi="Times New Roman"/>
          <w:sz w:val="22"/>
          <w:szCs w:val="22"/>
          <w:color w:val="auto"/>
        </w:rPr>
        <w:t xml:space="preserve">. Subject to the provisions of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Stock Market LLC (the “</w:t>
      </w:r>
      <w:r>
        <w:rPr>
          <w:rFonts w:ascii="Times New Roman" w:cs="Times New Roman" w:eastAsia="Times New Roman" w:hAnsi="Times New Roman"/>
          <w:sz w:val="22"/>
          <w:szCs w:val="22"/>
          <w:b w:val="1"/>
          <w:bCs w:val="1"/>
          <w:u w:val="single" w:color="auto"/>
          <w:color w:val="auto"/>
        </w:rPr>
        <w:t>Exchange</w:t>
      </w:r>
      <w:r>
        <w:rPr>
          <w:rFonts w:ascii="Times New Roman" w:cs="Times New Roman" w:eastAsia="Times New Roman" w:hAnsi="Times New Roman"/>
          <w:sz w:val="22"/>
          <w:szCs w:val="22"/>
          <w:color w:val="auto"/>
        </w:rPr>
        <w:t xml:space="preserve">”), to sell the Placement Shares up to the amount specified,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including sales made directly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any day on which Common Stock is traded on the Exchange.</w:t>
      </w:r>
    </w:p>
    <w:p>
      <w:pPr>
        <w:spacing w:after="0" w:line="177" w:lineRule="exact"/>
        <w:rPr>
          <w:sz w:val="20"/>
          <w:szCs w:val="20"/>
          <w:color w:val="auto"/>
        </w:rPr>
      </w:pPr>
    </w:p>
    <w:p>
      <w:pPr>
        <w:jc w:val="center"/>
        <w:ind w:right="-251"/>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6" w:name="page7"/>
    <w:bookmarkEnd w:id="6"/>
    <w:p>
      <w:pPr>
        <w:jc w:val="both"/>
        <w:ind w:left="-260" w:firstLine="757"/>
        <w:spacing w:after="0" w:line="233"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Sales</w:t>
      </w:r>
      <w:r>
        <w:rPr>
          <w:rFonts w:ascii="Times New Roman" w:cs="Times New Roman" w:eastAsia="Times New Roman" w:hAnsi="Times New Roman"/>
          <w:sz w:val="22"/>
          <w:szCs w:val="22"/>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suspend any sale of Placement Shares (a “</w:t>
      </w:r>
      <w:r>
        <w:rPr>
          <w:rFonts w:ascii="Times New Roman" w:cs="Times New Roman" w:eastAsia="Times New Roman" w:hAnsi="Times New Roman"/>
          <w:sz w:val="22"/>
          <w:szCs w:val="22"/>
          <w:b w:val="1"/>
          <w:bCs w:val="1"/>
          <w:u w:val="single" w:color="auto"/>
          <w:color w:val="auto"/>
        </w:rPr>
        <w:t>Suspension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22"/>
          <w:szCs w:val="22"/>
          <w:u w:val="single" w:color="auto"/>
          <w:color w:val="auto"/>
        </w:rPr>
        <w:t>Sections 7(l)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7(n)</w:t>
      </w:r>
      <w:r>
        <w:rPr>
          <w:rFonts w:ascii="Times New Roman" w:cs="Times New Roman" w:eastAsia="Times New Roman" w:hAnsi="Times New Roman"/>
          <w:sz w:val="22"/>
          <w:szCs w:val="22"/>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effective against any other party unless it is made to one of the individuals named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(iii) the Agents shall not be obligated to sell or offer to sell any Placement Shares.</w:t>
      </w:r>
    </w:p>
    <w:p>
      <w:pPr>
        <w:spacing w:after="0" w:line="182" w:lineRule="exact"/>
        <w:rPr>
          <w:rFonts w:ascii="Times New Roman" w:cs="Times New Roman" w:eastAsia="Times New Roman" w:hAnsi="Times New Roman"/>
          <w:sz w:val="22"/>
          <w:szCs w:val="22"/>
          <w:color w:val="auto"/>
        </w:rPr>
      </w:pPr>
    </w:p>
    <w:p>
      <w:pPr>
        <w:ind w:left="1240" w:hanging="743"/>
        <w:spacing w:after="0"/>
        <w:tabs>
          <w:tab w:leader="none" w:pos="12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and Delivery to the Designated Agent; Settlement</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260" w:firstLine="1505"/>
        <w:spacing w:after="0" w:line="245" w:lineRule="auto"/>
        <w:tabs>
          <w:tab w:leader="none" w:pos="2735"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of Placement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73" w:lineRule="exact"/>
        <w:rPr>
          <w:rFonts w:ascii="Times New Roman" w:cs="Times New Roman" w:eastAsia="Times New Roman" w:hAnsi="Times New Roman"/>
          <w:sz w:val="21"/>
          <w:szCs w:val="21"/>
          <w:color w:val="auto"/>
        </w:rPr>
      </w:pPr>
    </w:p>
    <w:p>
      <w:pPr>
        <w:jc w:val="both"/>
        <w:ind w:left="-260" w:firstLine="1505"/>
        <w:spacing w:after="0" w:line="263" w:lineRule="auto"/>
        <w:tabs>
          <w:tab w:leader="none" w:pos="2735"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Placement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Unless otherwise specified in the applicable Placement Notice, settlement for sales of Placement Shares will occur on the second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20"/>
          <w:szCs w:val="20"/>
          <w:color w:val="auto"/>
        </w:rPr>
        <w:t>) Trading Day (or such earlier day as is industry practice for regular-way trading) following the date on which such sales are made (each, a “</w:t>
      </w:r>
      <w:r>
        <w:rPr>
          <w:rFonts w:ascii="Times New Roman" w:cs="Times New Roman" w:eastAsia="Times New Roman" w:hAnsi="Times New Roman"/>
          <w:sz w:val="20"/>
          <w:szCs w:val="20"/>
          <w:b w:val="1"/>
          <w:bCs w:val="1"/>
          <w:u w:val="single" w:color="auto"/>
          <w:color w:val="auto"/>
        </w:rPr>
        <w:t>Settlement Date</w:t>
      </w:r>
      <w:r>
        <w:rPr>
          <w:rFonts w:ascii="Times New Roman" w:cs="Times New Roman" w:eastAsia="Times New Roman" w:hAnsi="Times New Roman"/>
          <w:sz w:val="20"/>
          <w:szCs w:val="20"/>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20"/>
          <w:szCs w:val="20"/>
          <w:b w:val="1"/>
          <w:bCs w:val="1"/>
          <w:u w:val="single" w:color="auto"/>
          <w:color w:val="auto"/>
        </w:rPr>
        <w:t>Net Proceeds</w:t>
      </w:r>
      <w:r>
        <w:rPr>
          <w:rFonts w:ascii="Times New Roman" w:cs="Times New Roman" w:eastAsia="Times New Roman" w:hAnsi="Times New Roman"/>
          <w:sz w:val="20"/>
          <w:szCs w:val="20"/>
          <w:color w:val="auto"/>
        </w:rPr>
        <w:t>”) will be equal to the aggregate sales price received by the Designated Agent, after deduction for (i) the Designated Agent’s commission, discount or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544"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other compensation for such sales payable by the Company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and (ii) any transaction fees imposed by any Governmental Authority in respect of such sales.</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Delivery of Placement Shares</w:t>
      </w:r>
      <w:r>
        <w:rPr>
          <w:rFonts w:ascii="Times New Roman" w:cs="Times New Roman" w:eastAsia="Times New Roman" w:hAnsi="Times New Roman"/>
          <w:sz w:val="22"/>
          <w:szCs w:val="22"/>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10(a)</w:t>
      </w:r>
      <w:r>
        <w:rPr>
          <w:rFonts w:ascii="Times New Roman" w:cs="Times New Roman" w:eastAsia="Times New Roman" w:hAnsi="Times New Roman"/>
          <w:sz w:val="22"/>
          <w:szCs w:val="22"/>
          <w:color w:val="auto"/>
        </w:rPr>
        <w:t xml:space="preserve"> hereto, it will (i) hold the Designated Agent harmless against any loss, claim, damage, or reasonable and documented expense (including reasonable and documented legal fees and expenses), as incurred, arising out of or in connection with such default by the Company or its transfer agent (if applicable) and (ii) pay to the Designated Agent any commission, discount, or other compensation to which it would otherwise have been entitled absent such default.</w:t>
      </w:r>
    </w:p>
    <w:p>
      <w:pPr>
        <w:spacing w:after="0" w:line="178" w:lineRule="exact"/>
        <w:rPr>
          <w:sz w:val="20"/>
          <w:szCs w:val="20"/>
          <w:color w:val="auto"/>
        </w:rPr>
      </w:pPr>
    </w:p>
    <w:p>
      <w:pPr>
        <w:jc w:val="both"/>
        <w:ind w:firstLine="1505"/>
        <w:spacing w:after="0" w:line="250" w:lineRule="auto"/>
        <w:tabs>
          <w:tab w:leader="none" w:pos="299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Denominations; Registration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Company and the Agents acknowledge and agree that the Placement Shares shall, unless agreed upon by the Company or as required by applicable law, not be issued in certificated form. Certificates for the Placement Shares, if any, shall be in such denominations and registered in such names as the Designated Agent may request in writing at least one full Business Day (as defined below) before the Settlement Date. The certificates for the Placement Shares, if any, will be made available by the Company for examination and packaging by the Designated Agent in The City of New York not later than noon (New York time) on the Business Day prior to the applicable Settlement Date.</w:t>
      </w:r>
    </w:p>
    <w:p>
      <w:pPr>
        <w:spacing w:after="0" w:line="164" w:lineRule="exact"/>
        <w:rPr>
          <w:rFonts w:ascii="Times New Roman" w:cs="Times New Roman" w:eastAsia="Times New Roman" w:hAnsi="Times New Roman"/>
          <w:sz w:val="21"/>
          <w:szCs w:val="21"/>
          <w:color w:val="auto"/>
        </w:rPr>
      </w:pPr>
    </w:p>
    <w:p>
      <w:pPr>
        <w:jc w:val="both"/>
        <w:ind w:firstLine="1505"/>
        <w:spacing w:after="0" w:line="234" w:lineRule="auto"/>
        <w:tabs>
          <w:tab w:leader="none" w:pos="299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Offering Size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8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Through Agents</w:t>
      </w:r>
      <w:r>
        <w:rPr>
          <w:rFonts w:ascii="Times New Roman" w:cs="Times New Roman" w:eastAsia="Times New Roman" w:hAnsi="Times New Roman"/>
          <w:sz w:val="22"/>
          <w:szCs w:val="22"/>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a single Agent on any single given day, and the Company shall in no</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event request that more than one Agent offer or sell Placement Shares pursuant to this Agreement on the same day.</w:t>
      </w:r>
    </w:p>
    <w:p>
      <w:pPr>
        <w:spacing w:after="0" w:line="206" w:lineRule="exact"/>
        <w:rPr>
          <w:sz w:val="20"/>
          <w:szCs w:val="20"/>
          <w:color w:val="auto"/>
        </w:rPr>
      </w:pPr>
    </w:p>
    <w:p>
      <w:pPr>
        <w:jc w:val="both"/>
        <w:ind w:firstLine="757"/>
        <w:spacing w:after="0" w:line="244" w:lineRule="auto"/>
        <w:tabs>
          <w:tab w:leader="none" w:pos="14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w:t>
      </w:r>
      <w:r>
        <w:rPr>
          <w:rFonts w:ascii="Times New Roman" w:cs="Times New Roman" w:eastAsia="Times New Roman" w:hAnsi="Times New Roman"/>
          <w:sz w:val="22"/>
          <w:szCs w:val="22"/>
          <w:color w:val="auto"/>
        </w:rPr>
        <w:t>. The Company represents and warrants to, and agrees with each of the Agents that as of the date of this Agreement and as of each Applicable Time (as defined below), unless such representation, warranty or agreement specifies a different time:</w:t>
      </w:r>
    </w:p>
    <w:p>
      <w:pPr>
        <w:spacing w:after="0" w:line="17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9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and Prospectus</w:t>
      </w:r>
      <w:r>
        <w:rPr>
          <w:rFonts w:ascii="Times New Roman" w:cs="Times New Roman" w:eastAsia="Times New Roman" w:hAnsi="Times New Roman"/>
          <w:sz w:val="22"/>
          <w:szCs w:val="22"/>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filed with the Commission and has been declared effective by the Commission under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Agents have consented, such consent not to be unreasonably withheld, conditioned or delayed. The Common Stock is registered pursuant to Section 12(b) of the Exchange Act and is currently listed on the Exchange under the trading symbol “ATHA.”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Omission</w:t>
      </w:r>
      <w:r>
        <w:rPr>
          <w:rFonts w:ascii="Times New Roman" w:cs="Times New Roman" w:eastAsia="Times New Roman" w:hAnsi="Times New Roman"/>
          <w:sz w:val="22"/>
          <w:szCs w:val="22"/>
          <w:color w:val="auto"/>
        </w:rPr>
        <w:t>. The Registration Statement, when it most recently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most recently became effective, did not contain an untrue statement of a material fact or omit to state a material fact required to be stated therein or necessary to make the statements therein not misleading. The Prospectus and any amendment and supplement thereto relating to the Placement Shares, on the date thereof and at each Applicable Time (defined below), did not or will not include an untrue statement of a material fact or omit to state a material fact necessary to make the statements therein,</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either of the Agents in writing specifically for use in the preparation thereof, it being understood and agreed that the only such information furnished by the Agents to the Company consists of “Agent Information” as defined below.</w:t>
      </w:r>
    </w:p>
    <w:p>
      <w:pPr>
        <w:spacing w:after="0" w:line="178" w:lineRule="exact"/>
        <w:rPr>
          <w:sz w:val="20"/>
          <w:szCs w:val="20"/>
          <w:color w:val="auto"/>
        </w:rPr>
      </w:pPr>
    </w:p>
    <w:p>
      <w:pPr>
        <w:jc w:val="both"/>
        <w:ind w:firstLine="1505"/>
        <w:spacing w:after="0" w:line="236" w:lineRule="auto"/>
        <w:tabs>
          <w:tab w:leader="none" w:pos="29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Conformity with the Securities Act and Exchange Act</w:t>
      </w:r>
      <w:r>
        <w:rPr>
          <w:rFonts w:ascii="Times New Roman" w:cs="Times New Roman" w:eastAsia="Times New Roman" w:hAnsi="Times New Roman"/>
          <w:sz w:val="22"/>
          <w:szCs w:val="22"/>
          <w:color w:val="auto"/>
        </w:rPr>
        <w:t>.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Under the Securities Act</w:t>
      </w:r>
      <w:r>
        <w:rPr>
          <w:rFonts w:ascii="Times New Roman" w:cs="Times New Roman" w:eastAsia="Times New Roman" w:hAnsi="Times New Roman"/>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73" w:lineRule="exact"/>
        <w:rPr>
          <w:rFonts w:ascii="Times New Roman" w:cs="Times New Roman" w:eastAsia="Times New Roman" w:hAnsi="Times New Roman"/>
          <w:sz w:val="22"/>
          <w:szCs w:val="22"/>
          <w:color w:val="auto"/>
        </w:rPr>
      </w:pPr>
    </w:p>
    <w:p>
      <w:pPr>
        <w:jc w:val="both"/>
        <w:ind w:firstLine="1505"/>
        <w:spacing w:after="0" w:line="255" w:lineRule="auto"/>
        <w:tabs>
          <w:tab w:leader="none" w:pos="299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of the Placement Shares</w:t>
      </w:r>
      <w:r>
        <w:rPr>
          <w:rFonts w:ascii="Times New Roman" w:cs="Times New Roman" w:eastAsia="Times New Roman" w:hAnsi="Times New Roman"/>
          <w:sz w:val="21"/>
          <w:szCs w:val="21"/>
          <w:color w:val="auto"/>
        </w:rPr>
        <w:t>. The Placement Shares have been duly authorized for issuance and sale pursuant to this Agreement and, when issued and delivered by the Company against payment therefor pursuant to this Agreement, will be validly issued, fully paid and nonassessable, and the issuance and sale of the Placement Shares is not subject to any preemptive rights, rights of first refusal or other similar rights to subscribe for or purchase the Placement Shares.</w:t>
      </w:r>
    </w:p>
    <w:p>
      <w:pPr>
        <w:spacing w:after="0" w:line="161" w:lineRule="exact"/>
        <w:rPr>
          <w:rFonts w:ascii="Times New Roman" w:cs="Times New Roman" w:eastAsia="Times New Roman" w:hAnsi="Times New Roman"/>
          <w:sz w:val="21"/>
          <w:szCs w:val="21"/>
          <w:color w:val="auto"/>
        </w:rPr>
      </w:pPr>
    </w:p>
    <w:p>
      <w:pPr>
        <w:jc w:val="both"/>
        <w:ind w:firstLine="1505"/>
        <w:spacing w:after="0" w:line="233" w:lineRule="auto"/>
        <w:tabs>
          <w:tab w:leader="none" w:pos="29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Neither the Company nor any of its subsidiaries (as defined below) has, since the date of the latest audited financial statements included or incorporated by reference in the Registration Statement and the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and the Prospectus; and, since the respective dates as of which information is given in the Registration Statement and the Prospectus, there has not been (x) any change in the capital stock (other than as a result of (i) the exercise, if any, of stock options or the award, if any, of stock options or restricted stock or other equity awards in the ordinary course of business pursuant to the Company’s equity plans that are described in the Registration Statement and the Prospectus, (ii) the repurchase of shares of capital stock pursuant to agreements providing for an option to repurchase or a right of first refusal on behalf of the Company that are described in the Registration Statement and the Prospectus or (iii) the issuance, if any, of stock upon exercise or conversion of Company securities as described in the Registration Statement and the Prospectus)</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jc w:val="both"/>
        <w:spacing w:after="0" w:line="235" w:lineRule="auto"/>
        <w:rPr>
          <w:sz w:val="20"/>
          <w:szCs w:val="20"/>
          <w:color w:val="auto"/>
        </w:rPr>
      </w:pPr>
      <w:r>
        <w:rPr>
          <w:rFonts w:ascii="Times New Roman" w:cs="Times New Roman" w:eastAsia="Times New Roman" w:hAnsi="Times New Roman"/>
          <w:sz w:val="22"/>
          <w:szCs w:val="22"/>
          <w:color w:val="auto"/>
        </w:rPr>
        <w:t>or long term debt of the Company or any of its subsidiaries or (y) any Material Adverse Effect (as defined below); as used in this Agreement, “</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 shall mean a material adverse change or effect, or any development involving a prospective material adverse change or effect, in or affecting (i) the business, properties, general affairs, management, financial position, stockholders’ equity, prospects or results of operations of the Company and its subsidiaries, taken as a whole, except as set forth or contemplated in the Registration Statement and the Prospectus, or (ii) the ability of the Company to perform its obligations under this Agreement, including the issuance and sale of the Placement Shares, or to consummate the transactions contemplated in the Registration Statement and the Prospectus.</w:t>
      </w:r>
    </w:p>
    <w:p>
      <w:pPr>
        <w:spacing w:after="0" w:line="183" w:lineRule="exact"/>
        <w:rPr>
          <w:sz w:val="20"/>
          <w:szCs w:val="20"/>
          <w:color w:val="auto"/>
        </w:rPr>
      </w:pPr>
    </w:p>
    <w:p>
      <w:pPr>
        <w:jc w:val="both"/>
        <w:ind w:firstLine="1505"/>
        <w:spacing w:after="0" w:line="234" w:lineRule="auto"/>
        <w:tabs>
          <w:tab w:leader="none" w:pos="29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The Company and its subsidiaries have valid title to all personal property owned by them (other than with respect to Company Intellectual Property (as defined below), which for the avoidance of doubt is addressed exclusively in subsection (gg) below), in each case free and clear of all liens, encumbrances and defects except such as are described in the Registration Statement and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and none of the Company and its subsidiaries own any real property.</w:t>
      </w:r>
    </w:p>
    <w:p>
      <w:pPr>
        <w:spacing w:after="0" w:line="183" w:lineRule="exact"/>
        <w:rPr>
          <w:rFonts w:ascii="Times New Roman" w:cs="Times New Roman" w:eastAsia="Times New Roman" w:hAnsi="Times New Roman"/>
          <w:sz w:val="22"/>
          <w:szCs w:val="22"/>
          <w:color w:val="auto"/>
        </w:rPr>
      </w:pPr>
    </w:p>
    <w:p>
      <w:pPr>
        <w:jc w:val="both"/>
        <w:ind w:firstLine="1505"/>
        <w:spacing w:after="0" w:line="248" w:lineRule="exact"/>
        <w:tabs>
          <w:tab w:leader="none" w:pos="299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Each of the Company and its significant subsidiaries (as such term is defined in Rule 1</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02 of Regulation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X promulgated by the Commission) (collectively, the “</w:t>
      </w:r>
      <w:r>
        <w:rPr>
          <w:rFonts w:ascii="Times New Roman" w:cs="Times New Roman" w:eastAsia="Times New Roman" w:hAnsi="Times New Roman"/>
          <w:sz w:val="21"/>
          <w:szCs w:val="21"/>
          <w:b w:val="1"/>
          <w:bCs w:val="1"/>
          <w:u w:val="single" w:color="auto"/>
          <w:color w:val="auto"/>
        </w:rPr>
        <w:t>subsidiaries</w:t>
      </w:r>
      <w:r>
        <w:rPr>
          <w:rFonts w:ascii="Times New Roman" w:cs="Times New Roman" w:eastAsia="Times New Roman" w:hAnsi="Times New Roman"/>
          <w:sz w:val="21"/>
          <w:szCs w:val="21"/>
          <w:color w:val="auto"/>
        </w:rPr>
        <w:t>”) has been (i) duly organized and is validly existing and in good standing under the laws of its jurisdiction of organization, with power and authority (corporate and other) to own its properties and conduct its business as described in the Registration Statement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The Company does not own or control, directly or indirectly, any subsidiary other than the subsidiaries listed in Exhibit 21.1 to the Company’s annual report on Form 10-K for the most recently ended fiscal year or as otherwise disclosed in the Registration Statement and the Prospectus.</w:t>
      </w:r>
    </w:p>
    <w:p>
      <w:pPr>
        <w:spacing w:after="0" w:line="184" w:lineRule="exact"/>
        <w:rPr>
          <w:rFonts w:ascii="Times New Roman" w:cs="Times New Roman" w:eastAsia="Times New Roman" w:hAnsi="Times New Roman"/>
          <w:sz w:val="21"/>
          <w:szCs w:val="21"/>
          <w:color w:val="auto"/>
        </w:rPr>
      </w:pPr>
    </w:p>
    <w:p>
      <w:pPr>
        <w:jc w:val="both"/>
        <w:ind w:firstLine="1505"/>
        <w:spacing w:after="0" w:line="235" w:lineRule="auto"/>
        <w:tabs>
          <w:tab w:leader="none" w:pos="29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Company has an authorized capitalization as set forth in the Prospectus and all of the issued shares of capital stock of the Company have been duly and validly authorized and issued and are fully paid and non-assessable and conform to the description of the Common Stock contained in the Prospectus; and all of the issued shares of capital stock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Registration Statement and the Prospectus.</w:t>
      </w:r>
    </w:p>
    <w:p>
      <w:pPr>
        <w:spacing w:after="0" w:line="18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of Placement Shares</w:t>
      </w:r>
      <w:r>
        <w:rPr>
          <w:rFonts w:ascii="Times New Roman" w:cs="Times New Roman" w:eastAsia="Times New Roman" w:hAnsi="Times New Roman"/>
          <w:sz w:val="22"/>
          <w:szCs w:val="22"/>
          <w:color w:val="auto"/>
        </w:rPr>
        <w:t>. The Placement Shares, when issued and delivered pursuant to the terms approved by the board of directors of the Company or a duly</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 w:name="page12"/>
    <w:bookmarkEnd w:id="11"/>
    <w:p>
      <w:pPr>
        <w:jc w:val="both"/>
        <w:spacing w:after="0" w:line="236" w:lineRule="auto"/>
        <w:rPr>
          <w:sz w:val="20"/>
          <w:szCs w:val="20"/>
          <w:color w:val="auto"/>
        </w:rPr>
      </w:pPr>
      <w:r>
        <w:rPr>
          <w:rFonts w:ascii="Times New Roman" w:cs="Times New Roman" w:eastAsia="Times New Roman" w:hAnsi="Times New Roman"/>
          <w:sz w:val="22"/>
          <w:szCs w:val="22"/>
          <w:color w:val="auto"/>
        </w:rPr>
        <w:t>authorized committee thereof, or a duly authorized executive committee, against payment therefor as provided herein, have been duly and validly authorized and, when issued and delivered against payment therefor as provided herein, will be duly and validly issued and fully paid and non assessable, free and clear of any pledge, lien, encumbrance, security interest or other claim, and will conform to the description of the Common Stock contained in the Registration Statement and the Prospectus; and the issuance of the Placement Shares is not subject to any preemptive or similar rights, except as have been validly waived or complied with in connection with the offering of the Placement Shares.</w:t>
      </w:r>
    </w:p>
    <w:p>
      <w:pPr>
        <w:spacing w:after="0" w:line="181" w:lineRule="exact"/>
        <w:rPr>
          <w:sz w:val="20"/>
          <w:szCs w:val="20"/>
          <w:color w:val="auto"/>
        </w:rPr>
      </w:pPr>
    </w:p>
    <w:p>
      <w:pPr>
        <w:jc w:val="both"/>
        <w:ind w:firstLine="1505"/>
        <w:spacing w:after="0" w:line="244" w:lineRule="auto"/>
        <w:tabs>
          <w:tab w:leader="none" w:pos="299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Conflicts</w:t>
      </w:r>
      <w:r>
        <w:rPr>
          <w:rFonts w:ascii="Times New Roman" w:cs="Times New Roman" w:eastAsia="Times New Roman" w:hAnsi="Times New Roman"/>
          <w:sz w:val="21"/>
          <w:szCs w:val="21"/>
          <w:color w:val="auto"/>
        </w:rPr>
        <w:t>. The issue and sale of the Placement Shares and the compliance by the Company with this Agreement and the consummation of the transactions contemplated in this Agreement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Authority or body having jurisdiction over the Company or any of its subsidiaries or any of their properties, except, in the case of clauses (A) and (C), for such conflicts, defaults, breaches or violations that would not, individually or in the aggregate, reasonably be expected to result in a Material Adverse Effect; and no consent, approval, authorization, order, registration or qualification of or with any such court or Governmental Authority or body is required for the issue and sale of the Placement Shares or the consummation by the Company of the transactions contemplated by this Agreement, except such as have been obtained under the Securities Act, except as may be required by the Financial Industry Regulatory Authority (“</w:t>
      </w:r>
      <w:r>
        <w:rPr>
          <w:rFonts w:ascii="Times New Roman" w:cs="Times New Roman" w:eastAsia="Times New Roman" w:hAnsi="Times New Roman"/>
          <w:sz w:val="21"/>
          <w:szCs w:val="21"/>
          <w:b w:val="1"/>
          <w:bCs w:val="1"/>
          <w:u w:val="single" w:color="auto"/>
          <w:color w:val="auto"/>
        </w:rPr>
        <w:t>FINRA</w:t>
      </w:r>
      <w:r>
        <w:rPr>
          <w:rFonts w:ascii="Times New Roman" w:cs="Times New Roman" w:eastAsia="Times New Roman" w:hAnsi="Times New Roman"/>
          <w:sz w:val="21"/>
          <w:szCs w:val="21"/>
          <w:color w:val="auto"/>
        </w:rPr>
        <w:t>”) or the Exchange and such consents, approvals, authorizations, registrations or qualifications as may be required under state securities or Blue Sky laws in connection with the purchase and distribution of the Placement Shares to or through the Agents.</w:t>
      </w:r>
    </w:p>
    <w:p>
      <w:pPr>
        <w:spacing w:after="0" w:line="178" w:lineRule="exact"/>
        <w:rPr>
          <w:rFonts w:ascii="Times New Roman" w:cs="Times New Roman" w:eastAsia="Times New Roman" w:hAnsi="Times New Roman"/>
          <w:sz w:val="21"/>
          <w:szCs w:val="21"/>
          <w:color w:val="auto"/>
        </w:rPr>
      </w:pPr>
    </w:p>
    <w:p>
      <w:pPr>
        <w:jc w:val="both"/>
        <w:ind w:firstLine="1505"/>
        <w:spacing w:after="0" w:line="235" w:lineRule="auto"/>
        <w:tabs>
          <w:tab w:leader="none" w:pos="29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of its subsidiaries is (i) in violation of its certificate of incorporation or bylaws (or other applicable organizational document), (ii) in violation of any statute or any judgment, order, rule or regulation of any court or Governmental Authority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defaults or violations as would not, individually or in the aggregate,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9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Description of Capital Stock</w:t>
      </w:r>
      <w:r>
        <w:rPr>
          <w:rFonts w:ascii="Times New Roman" w:cs="Times New Roman" w:eastAsia="Times New Roman" w:hAnsi="Times New Roman"/>
          <w:sz w:val="22"/>
          <w:szCs w:val="22"/>
          <w:color w:val="auto"/>
        </w:rPr>
        <w:t>. The statements set forth in the Registration Statement and Prospectus under the caption “Description of Capital Stock,” insofar as they purport to constitute a summary of the terms of the Common Stock are accurate, complete and fair in all material respects.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Other than as set forth or incorporated by reference in the Registration Statement and Prospectus, there are no legal or governmental proceedings pending to</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jc w:val="both"/>
        <w:spacing w:after="0" w:line="236" w:lineRule="auto"/>
        <w:rPr>
          <w:sz w:val="20"/>
          <w:szCs w:val="20"/>
          <w:color w:val="auto"/>
        </w:rPr>
      </w:pPr>
      <w:r>
        <w:rPr>
          <w:rFonts w:ascii="Times New Roman" w:cs="Times New Roman" w:eastAsia="Times New Roman" w:hAnsi="Times New Roman"/>
          <w:sz w:val="22"/>
          <w:szCs w:val="22"/>
          <w:color w:val="auto"/>
        </w:rPr>
        <w:t>which the Company or any of its subsidiaries or any of their properties or, to the Company’s knowledge, any officer or director of the Company, is a party or of which any property of the Company or any of its subsidiaries or any of their properties or, to the Company’s knowledge, any officer or director of the Company, is the subject which, if determined adversely to the Company or any of its subsidiaries or any of their properties (or such officer or director), would, individually or in the aggregate, reasonably be expected to have a Material Adverse Effect; and, to the Company’s knowledge, no such proceedings are threatened or contemplated by Governmental Authorities or others.</w:t>
      </w:r>
    </w:p>
    <w:p>
      <w:pPr>
        <w:spacing w:after="0" w:line="181" w:lineRule="exact"/>
        <w:rPr>
          <w:sz w:val="20"/>
          <w:szCs w:val="20"/>
          <w:color w:val="auto"/>
        </w:rPr>
      </w:pPr>
    </w:p>
    <w:p>
      <w:pPr>
        <w:jc w:val="both"/>
        <w:ind w:firstLine="1505"/>
        <w:spacing w:after="0" w:line="239" w:lineRule="auto"/>
        <w:tabs>
          <w:tab w:leader="none" w:pos="29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is not and, immediately after giving effect to the offering and sale of the Placement Shares and the application of the proceeds thereof as described in the Prospectus, will not be an “investment company,” as such term is defined in the Investment Company Act of 1940, as amended (the “</w:t>
      </w:r>
      <w:r>
        <w:rPr>
          <w:rFonts w:ascii="Times New Roman" w:cs="Times New Roman" w:eastAsia="Times New Roman" w:hAnsi="Times New Roman"/>
          <w:sz w:val="22"/>
          <w:szCs w:val="22"/>
          <w:b w:val="1"/>
          <w:bCs w:val="1"/>
          <w:u w:val="single" w:color="auto"/>
          <w:color w:val="auto"/>
        </w:rPr>
        <w:t>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Company 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Public Accounting Firm</w:t>
      </w:r>
      <w:r>
        <w:rPr>
          <w:rFonts w:ascii="Times New Roman" w:cs="Times New Roman" w:eastAsia="Times New Roman" w:hAnsi="Times New Roman"/>
          <w:sz w:val="22"/>
          <w:szCs w:val="22"/>
          <w:color w:val="auto"/>
        </w:rPr>
        <w:t>. Ernst &amp; Young LLP or such other accountants (the “</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(i) whose report on the consolidated financial statements of the Company is filed with the Commission as part of the Company’s most recent annual report on Form 10-K filed with the Commission and incorporated by reference into the Registration Statement and the Prospectus and/or (ii) which has reviewed the consolidated financial statements of the Company included or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w:t>
      </w:r>
      <w:r>
        <w:rPr>
          <w:rFonts w:ascii="Times New Roman" w:cs="Times New Roman" w:eastAsia="Times New Roman" w:hAnsi="Times New Roman"/>
          <w:sz w:val="22"/>
          <w:szCs w:val="22"/>
          <w:b w:val="1"/>
          <w:bCs w:val="1"/>
          <w:u w:val="single" w:color="auto"/>
          <w:color w:val="auto"/>
        </w:rPr>
        <w:t>PCAOB</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9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Accounting System</w:t>
      </w:r>
      <w:r>
        <w:rPr>
          <w:rFonts w:ascii="Times New Roman" w:cs="Times New Roman" w:eastAsia="Times New Roman" w:hAnsi="Times New Roman"/>
          <w:sz w:val="22"/>
          <w:szCs w:val="22"/>
          <w:color w:val="auto"/>
        </w:rPr>
        <w:t>. The Company maintains a system of internal control over financial reporting (as such term is defined in Rule 13a-15(f) under the Exchange Act) that (i) complies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w:t>
      </w:r>
      <w:r>
        <w:rPr>
          <w:rFonts w:ascii="Times New Roman" w:cs="Times New Roman" w:eastAsia="Times New Roman" w:hAnsi="Times New Roman"/>
          <w:sz w:val="22"/>
          <w:szCs w:val="22"/>
          <w:b w:val="1"/>
          <w:bCs w:val="1"/>
          <w:u w:val="single" w:color="auto"/>
          <w:color w:val="auto"/>
        </w:rPr>
        <w:t>XBRL</w:t>
      </w:r>
      <w:r>
        <w:rPr>
          <w:rFonts w:ascii="Times New Roman" w:cs="Times New Roman" w:eastAsia="Times New Roman" w:hAnsi="Times New Roman"/>
          <w:sz w:val="22"/>
          <w:szCs w:val="22"/>
          <w:color w:val="auto"/>
        </w:rPr>
        <w:t>”) included or incorporated by reference in the Registration Statement is accurate to the extent required; and except as disclosed in the Prospectus,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(the “</w:t>
      </w:r>
      <w:r>
        <w:rPr>
          <w:rFonts w:ascii="Times New Roman" w:cs="Times New Roman" w:eastAsia="Times New Roman" w:hAnsi="Times New Roman"/>
          <w:sz w:val="22"/>
          <w:szCs w:val="22"/>
          <w:b w:val="1"/>
          <w:bCs w:val="1"/>
          <w:u w:val="single" w:color="auto"/>
          <w:color w:val="auto"/>
        </w:rPr>
        <w:t>Sarbanes-Oxley Act</w:t>
      </w:r>
      <w:r>
        <w:rPr>
          <w:rFonts w:ascii="Times New Roman" w:cs="Times New Roman" w:eastAsia="Times New Roman" w:hAnsi="Times New Roman"/>
          <w:sz w:val="22"/>
          <w:szCs w:val="22"/>
          <w:color w:val="auto"/>
        </w:rPr>
        <w:t>”)), as of an earlier date than it would otherwise be required to so comply under applicable law).</w:t>
      </w:r>
    </w:p>
    <w:p>
      <w:pPr>
        <w:spacing w:after="0" w:line="19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Internal Control Over Financial Reporting</w:t>
      </w:r>
      <w:r>
        <w:rPr>
          <w:rFonts w:ascii="Times New Roman" w:cs="Times New Roman" w:eastAsia="Times New Roman" w:hAnsi="Times New Roman"/>
          <w:sz w:val="22"/>
          <w:szCs w:val="22"/>
          <w:color w:val="auto"/>
        </w:rPr>
        <w:t>. Except as otherwise disclosed in the Registration Statement and the Prospectus, since the date of the latest audited financial statements included or incorporated by reference in the Prospectus, there has been no</w:t>
      </w:r>
    </w:p>
    <w:p>
      <w:pPr>
        <w:spacing w:after="0" w:line="1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line="258" w:lineRule="auto"/>
        <w:rPr>
          <w:sz w:val="20"/>
          <w:szCs w:val="20"/>
          <w:color w:val="auto"/>
        </w:rPr>
      </w:pPr>
      <w:r>
        <w:rPr>
          <w:rFonts w:ascii="Times New Roman" w:cs="Times New Roman" w:eastAsia="Times New Roman" w:hAnsi="Times New Roman"/>
          <w:sz w:val="22"/>
          <w:szCs w:val="22"/>
          <w:color w:val="auto"/>
        </w:rPr>
        <w:t>change in the Company’s internal control over financial reporting that has materially and adversely affected, or is reasonably likely to materially and adversely affect, the Company’s internal control over financial reporting.</w:t>
      </w:r>
    </w:p>
    <w:p>
      <w:pPr>
        <w:spacing w:after="0" w:line="158" w:lineRule="exact"/>
        <w:rPr>
          <w:sz w:val="20"/>
          <w:szCs w:val="20"/>
          <w:color w:val="auto"/>
        </w:rPr>
      </w:pPr>
    </w:p>
    <w:p>
      <w:pPr>
        <w:jc w:val="both"/>
        <w:ind w:firstLine="1505"/>
        <w:spacing w:after="0" w:line="236"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Controls and Procedures</w:t>
      </w:r>
      <w:r>
        <w:rPr>
          <w:rFonts w:ascii="Times New Roman" w:cs="Times New Roman" w:eastAsia="Times New Roman" w:hAnsi="Times New Roman"/>
          <w:sz w:val="22"/>
          <w:szCs w:val="22"/>
          <w:color w:val="auto"/>
        </w:rPr>
        <w:t>. Except as otherwise disclosed in the Registration Statement and the Prospectus, the Company maintains disclosure controls and procedures (as such term is defined in Rule 13a-15(e) under the Exchange Act) that comply with the requirements of the Exchange Act; such disclosure controls and procedures have been designed to reasonably ensure that material information relating to the Company and its subsidiaries is made known to the Company’s principal executive officer and principal financial officer by others within these entities; and such disclosure controls and procedures are effective to perform the functions for which they were established.</w:t>
      </w:r>
    </w:p>
    <w:p>
      <w:pPr>
        <w:spacing w:after="0" w:line="181"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This Agreement</w:t>
      </w:r>
      <w:r>
        <w:rPr>
          <w:rFonts w:ascii="Times New Roman" w:cs="Times New Roman" w:eastAsia="Times New Roman" w:hAnsi="Times New Roman"/>
          <w:sz w:val="22"/>
          <w:szCs w:val="22"/>
          <w:color w:val="auto"/>
        </w:rPr>
        <w:t>. This Agreement has been duly authorized, executed and delivered by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and Anti-Bribery Laws</w:t>
      </w:r>
      <w:r>
        <w:rPr>
          <w:rFonts w:ascii="Times New Roman" w:cs="Times New Roman" w:eastAsia="Times New Roman" w:hAnsi="Times New Roman"/>
          <w:sz w:val="22"/>
          <w:szCs w:val="22"/>
          <w:color w:val="auto"/>
        </w:rPr>
        <w:t>. None of the Company, any of its subsidiaries, any director or officer thereof, nor, to the knowledge of the Company, any controlled affiliate, employee, agent or other person associated with or acting on behalf of the Company, any of its subsidiaries or their controlled affiliates has (i) directly or indirectly made, offered, promised or authorized any unlawful payment, contribution, gift, entertainment or other unlawful benefit or expense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or (ii) violated or is in violation of any provision of the U.S. Foreign Corrupt Practices Act of 1977, as amended, the Bribery Act 2010 of the United Kingdom or any other applicable anti-bribery or anti-corruption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Policies</w:t>
      </w:r>
      <w:r>
        <w:rPr>
          <w:rFonts w:ascii="Times New Roman" w:cs="Times New Roman" w:eastAsia="Times New Roman" w:hAnsi="Times New Roman"/>
          <w:sz w:val="22"/>
          <w:szCs w:val="22"/>
          <w:color w:val="auto"/>
        </w:rPr>
        <w:t>. The Company, its subsidiaries and their controlled affiliates have instituted and maintained policies and procedures reasonably designed to promote and achieve compliance with anti-corruption laws.</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cs="Times New Roman" w:eastAsia="Times New Roman" w:hAnsi="Times New Roman"/>
          <w:sz w:val="22"/>
          <w:szCs w:val="22"/>
          <w:b w:val="1"/>
          <w:bCs w:val="1"/>
          <w:u w:val="single" w:color="auto"/>
          <w:color w:val="auto"/>
        </w:rPr>
        <w:t>Money Laundering Laws</w:t>
      </w:r>
      <w:r>
        <w:rPr>
          <w:rFonts w:ascii="Times New Roman" w:cs="Times New Roman" w:eastAsia="Times New Roman" w:hAnsi="Times New Roman"/>
          <w:sz w:val="22"/>
          <w:szCs w:val="22"/>
          <w:color w:val="auto"/>
        </w:rPr>
        <w:t>”) and no action, suit or proceeding by or before any court or Governmental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(A) None of the Company, any of its subsidiaries, any director or officer thereof, nor to the knowledge of the Company, any controlled affiliates, employee, agent or other person associated with or acting on behalf of the Company, any of its subsidiaries or their affiliates, is, or is owned or controlled by, a person that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or the U.S.</w:t>
      </w:r>
    </w:p>
    <w:p>
      <w:pPr>
        <w:spacing w:after="0" w:line="17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4" w:name="page15"/>
    <w:bookmarkEnd w:id="1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Department of State and including, without limitation, the designation as a “specially designated national” or “blocked person”), the European Union, His Majesty’s Treasury, the United Nations Security Council, or other applicable sanctions authority (collectively,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Sanctions</w:t>
      </w:r>
      <w:r>
        <w:rPr>
          <w:rFonts w:ascii="Times New Roman" w:cs="Times New Roman" w:eastAsia="Times New Roman" w:hAnsi="Times New Roman"/>
          <w:sz w:val="22"/>
          <w:szCs w:val="22"/>
          <w:color w:val="auto"/>
        </w:rPr>
        <w:t>”), nor is the Company or any of its subsidiaries located, organized, or resident in a country or territory that is the subject or target of Sanctions including, without limitation, Crimea, Cuba, the so-called Donetsk People’s Republic, Iran, the so-called Luhansk People’s Republic, North Korea and Syria, and the Company will not directly or indirectly use the proceeds of the offering of the Placement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in a manner that will result in a violation of Sanctions or (ii) in any other manner that will result in a violation by any person (including any person participating in the transaction, whether as underwriter, advisor, investor or otherwise) of Sanctions. (B) Each of the Company and its subsidiaries has not engaged in any transactions or dealings with any person, or in any country or territory, that at the time of the dealing or transaction is or was the subject or target of Sanctions.</w:t>
      </w:r>
    </w:p>
    <w:p>
      <w:pPr>
        <w:spacing w:after="0" w:line="185" w:lineRule="exact"/>
        <w:rPr>
          <w:sz w:val="20"/>
          <w:szCs w:val="20"/>
          <w:color w:val="auto"/>
        </w:rPr>
      </w:pPr>
    </w:p>
    <w:p>
      <w:pPr>
        <w:jc w:val="both"/>
        <w:ind w:firstLine="1505"/>
        <w:spacing w:after="0" w:line="244" w:lineRule="auto"/>
        <w:tabs>
          <w:tab w:leader="none" w:pos="299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financial statements included or incorporated by reference in the Registration Statement and the Prospectus, together with the related schedules and notes, present fairly in all material respects the financial position of the Company and its subsidiaries at the dates indicated and the statement of operations, stockholders’ equity and cash flows of the Company and its subsidiaries for the periods specified; said financial statements have been prepared in conformity with U.S. generally accepted accounting principles (“</w:t>
      </w:r>
      <w:r>
        <w:rPr>
          <w:rFonts w:ascii="Times New Roman" w:cs="Times New Roman" w:eastAsia="Times New Roman" w:hAnsi="Times New Roman"/>
          <w:sz w:val="21"/>
          <w:szCs w:val="21"/>
          <w:b w:val="1"/>
          <w:bCs w:val="1"/>
          <w:u w:val="single" w:color="auto"/>
          <w:color w:val="auto"/>
        </w:rPr>
        <w:t>GAAP</w:t>
      </w:r>
      <w:r>
        <w:rPr>
          <w:rFonts w:ascii="Times New Roman" w:cs="Times New Roman" w:eastAsia="Times New Roman" w:hAnsi="Times New Roman"/>
          <w:sz w:val="21"/>
          <w:szCs w:val="21"/>
          <w:color w:val="auto"/>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or incorporated by reference in the Registration Statement and the Prospectus present fairly in all material respects the information shown therein and have been compiled on a basis consistent with that of the audited financial statements included or incorporated by reference therein. Except as included or incorporated by reference therein, no historical or pro forma financial statements or supporting schedules are required to be included in the Registration Statement or the Prospectus under the Securities Act or the Securities Act Regulations. All disclosures contained or incorporated by reference in the Registration Statement and the Prospectus regarding “non-GAAP financial measures” (as such term is defined by the rules and regulations of the Commission) comply with Regulation G of the Exchange Act and Item 10 of Regulation S-K under the Securities Act Regulations, to the extent applicable.</w:t>
      </w:r>
    </w:p>
    <w:p>
      <w:pPr>
        <w:spacing w:after="0" w:line="18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9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From the time of initial confidential submission of the registration statement relating to the Company’s initial public offering with the Commission through the date hereof, the Company has been and is an “emerging growth company” as defined in Section 2(a)(19) of the Securities Act (an “</w:t>
      </w:r>
      <w:r>
        <w:rPr>
          <w:rFonts w:ascii="Times New Roman" w:cs="Times New Roman" w:eastAsia="Times New Roman" w:hAnsi="Times New Roman"/>
          <w:sz w:val="22"/>
          <w:szCs w:val="22"/>
          <w:b w:val="1"/>
          <w:bCs w:val="1"/>
          <w:u w:val="single" w:color="auto"/>
          <w:color w:val="auto"/>
        </w:rPr>
        <w:t>Emerging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Growth Company</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44" w:lineRule="auto"/>
        <w:tabs>
          <w:tab w:leader="none" w:pos="29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Applicable Registration or Other Similar Rights</w:t>
      </w:r>
      <w:r>
        <w:rPr>
          <w:rFonts w:ascii="Times New Roman" w:cs="Times New Roman" w:eastAsia="Times New Roman" w:hAnsi="Times New Roman"/>
          <w:sz w:val="22"/>
          <w:szCs w:val="22"/>
          <w:color w:val="auto"/>
        </w:rPr>
        <w:t>. There are no persons with registration rights or other similar rights to have any securities registered pursuant to the Registration Statement or otherwise registered by the Company under the Securities Act except as</w:t>
      </w:r>
    </w:p>
    <w:p>
      <w:pPr>
        <w:spacing w:after="0" w:line="1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have been validly waived or complied with in connection with the offering of the Placement Shares.</w:t>
      </w:r>
    </w:p>
    <w:p>
      <w:pPr>
        <w:spacing w:after="0" w:line="206" w:lineRule="exact"/>
        <w:rPr>
          <w:sz w:val="20"/>
          <w:szCs w:val="20"/>
          <w:color w:val="auto"/>
        </w:rPr>
      </w:pPr>
    </w:p>
    <w:p>
      <w:pPr>
        <w:jc w:val="both"/>
        <w:ind w:firstLine="1505"/>
        <w:spacing w:after="0" w:line="236" w:lineRule="auto"/>
        <w:tabs>
          <w:tab w:leader="none" w:pos="29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Labor Disputes</w:t>
      </w:r>
      <w:r>
        <w:rPr>
          <w:rFonts w:ascii="Times New Roman" w:cs="Times New Roman" w:eastAsia="Times New Roman" w:hAnsi="Times New Roman"/>
          <w:sz w:val="22"/>
          <w:szCs w:val="22"/>
          <w:color w:val="auto"/>
        </w:rPr>
        <w:t>. Except as would not reasonably be expected, individually or in the aggregate, to result in a Material Adverse Effect, and except as otherwise disclosed in the Registration Statement and the Prospectus, no labor disturbance by or dispute with current or former employees or officers of the Company exists or, to the Company’s knowledge, is contemplated or threatened, and the Company is not aware of any existing or imminent labor disturbance by, or dispute with, the employees of any of the Company’s principal suppliers, manufacturers or contractors. The Company is not a party to any collective bargaining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8" w:lineRule="auto"/>
        <w:tabs>
          <w:tab w:leader="none" w:pos="299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Company and its subsidiaries have insurance covering their respective properties, operations, personnel and businesses, including business interruption insurance, which insurance is in amounts and insures against such losses and risks as are reasonable and is ordinary and customary for comparable companies in the same or similar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70" w:lineRule="exact"/>
        <w:rPr>
          <w:rFonts w:ascii="Times New Roman" w:cs="Times New Roman" w:eastAsia="Times New Roman" w:hAnsi="Times New Roman"/>
          <w:sz w:val="21"/>
          <w:szCs w:val="21"/>
          <w:color w:val="auto"/>
        </w:rPr>
      </w:pPr>
    </w:p>
    <w:p>
      <w:pPr>
        <w:jc w:val="both"/>
        <w:ind w:firstLine="1505"/>
        <w:spacing w:after="0" w:line="232" w:lineRule="auto"/>
        <w:tabs>
          <w:tab w:leader="none" w:pos="29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Health Care Laws</w:t>
      </w:r>
      <w:r>
        <w:rPr>
          <w:rFonts w:ascii="Times New Roman" w:cs="Times New Roman" w:eastAsia="Times New Roman" w:hAnsi="Times New Roman"/>
          <w:sz w:val="22"/>
          <w:szCs w:val="22"/>
          <w:color w:val="auto"/>
        </w:rPr>
        <w:t>. The Company and its subsidiaries, and to the Company’s knowledge, their respective directors, officers and employees (in their capacities as agents, affiliates and representatives, are, and at all times have been, in material compliance with all Health Care Laws (defined herein), including, but not limited to, the rules and regulations of the Food and Drug Administration (“</w:t>
      </w:r>
      <w:r>
        <w:rPr>
          <w:rFonts w:ascii="Times New Roman" w:cs="Times New Roman" w:eastAsia="Times New Roman" w:hAnsi="Times New Roman"/>
          <w:sz w:val="22"/>
          <w:szCs w:val="22"/>
          <w:b w:val="1"/>
          <w:bCs w:val="1"/>
          <w:u w:val="single" w:color="auto"/>
          <w:color w:val="auto"/>
        </w:rPr>
        <w:t>FDA</w:t>
      </w:r>
      <w:r>
        <w:rPr>
          <w:rFonts w:ascii="Times New Roman" w:cs="Times New Roman" w:eastAsia="Times New Roman" w:hAnsi="Times New Roman"/>
          <w:sz w:val="22"/>
          <w:szCs w:val="22"/>
          <w:color w:val="auto"/>
        </w:rPr>
        <w:t>”) and any other Governmental Authority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w:t>
      </w:r>
      <w:r>
        <w:rPr>
          <w:rFonts w:ascii="Times New Roman" w:cs="Times New Roman" w:eastAsia="Times New Roman" w:hAnsi="Times New Roman"/>
          <w:sz w:val="22"/>
          <w:szCs w:val="22"/>
          <w:b w:val="1"/>
          <w:bCs w:val="1"/>
          <w:u w:val="single" w:color="auto"/>
          <w:color w:val="auto"/>
        </w:rPr>
        <w:t>Health Care Laws</w:t>
      </w:r>
      <w:r>
        <w:rPr>
          <w:rFonts w:ascii="Times New Roman" w:cs="Times New Roman" w:eastAsia="Times New Roman" w:hAnsi="Times New Roman"/>
          <w:sz w:val="22"/>
          <w:szCs w:val="22"/>
          <w:color w:val="auto"/>
        </w:rPr>
        <w:t>” shall mean the Federal Food, Drug, and Cosmetic Act (21 U.S.C. §§ 301 et seq.), and any other applicable federal, state, or foreign health care laws, excluding any Data Protection Requirements (as defined below).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court, arbitrator, governmental or regulatory authority or third party, of non-compliance by, or liability of, the Company under any applicable Health Care Laws.</w:t>
      </w:r>
    </w:p>
    <w:p>
      <w:pPr>
        <w:spacing w:after="0" w:line="19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Permits</w:t>
      </w:r>
      <w:r>
        <w:rPr>
          <w:rFonts w:ascii="Times New Roman" w:cs="Times New Roman" w:eastAsia="Times New Roman" w:hAnsi="Times New Roman"/>
          <w:sz w:val="22"/>
          <w:szCs w:val="22"/>
          <w:color w:val="auto"/>
        </w:rPr>
        <w:t>. Each of the Company and its subsidiaries possesses, and is in material compliance with the terms of, all applications, certificates, approvals, clearances, registrations, exemptions, franchises, licenses, permits, consents and other authorizations necessary to conduct their respective businesses (collectively, “</w:t>
      </w:r>
      <w:r>
        <w:rPr>
          <w:rFonts w:ascii="Times New Roman" w:cs="Times New Roman" w:eastAsia="Times New Roman" w:hAnsi="Times New Roman"/>
          <w:sz w:val="22"/>
          <w:szCs w:val="22"/>
          <w:b w:val="1"/>
          <w:bCs w:val="1"/>
          <w:u w:val="single" w:color="auto"/>
          <w:color w:val="auto"/>
        </w:rPr>
        <w:t>Licenses</w:t>
      </w:r>
      <w:r>
        <w:rPr>
          <w:rFonts w:ascii="Times New Roman" w:cs="Times New Roman" w:eastAsia="Times New Roman" w:hAnsi="Times New Roman"/>
          <w:sz w:val="22"/>
          <w:szCs w:val="22"/>
          <w:color w:val="auto"/>
        </w:rPr>
        <w:t>”), issued by the appropriate Governmental Authorities, including, without limitation, all Licenses required by the</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both"/>
        <w:spacing w:after="0" w:line="248" w:lineRule="auto"/>
        <w:rPr>
          <w:sz w:val="20"/>
          <w:szCs w:val="20"/>
          <w:color w:val="auto"/>
        </w:rPr>
      </w:pPr>
      <w:r>
        <w:rPr>
          <w:rFonts w:ascii="Times New Roman" w:cs="Times New Roman" w:eastAsia="Times New Roman" w:hAnsi="Times New Roman"/>
          <w:sz w:val="21"/>
          <w:szCs w:val="21"/>
          <w:color w:val="auto"/>
        </w:rPr>
        <w:t>FDA, or any component thereof, the National Institutes of Health (“</w:t>
      </w:r>
      <w:r>
        <w:rPr>
          <w:rFonts w:ascii="Times New Roman" w:cs="Times New Roman" w:eastAsia="Times New Roman" w:hAnsi="Times New Roman"/>
          <w:sz w:val="21"/>
          <w:szCs w:val="21"/>
          <w:b w:val="1"/>
          <w:bCs w:val="1"/>
          <w:u w:val="single" w:color="auto"/>
          <w:color w:val="auto"/>
        </w:rPr>
        <w:t>NIH</w:t>
      </w:r>
      <w:r>
        <w:rPr>
          <w:rFonts w:ascii="Times New Roman" w:cs="Times New Roman" w:eastAsia="Times New Roman" w:hAnsi="Times New Roman"/>
          <w:sz w:val="21"/>
          <w:szCs w:val="21"/>
          <w:color w:val="auto"/>
        </w:rPr>
        <w:t>”) and/or by any other U.S., state, local or foreign government or drug regulatory agency (collectively, the “</w:t>
      </w:r>
      <w:r>
        <w:rPr>
          <w:rFonts w:ascii="Times New Roman" w:cs="Times New Roman" w:eastAsia="Times New Roman" w:hAnsi="Times New Roman"/>
          <w:sz w:val="21"/>
          <w:szCs w:val="21"/>
          <w:b w:val="1"/>
          <w:bCs w:val="1"/>
          <w:u w:val="single" w:color="auto"/>
          <w:color w:val="auto"/>
        </w:rPr>
        <w:t>Regulatory Agencies</w:t>
      </w:r>
      <w:r>
        <w:rPr>
          <w:rFonts w:ascii="Times New Roman" w:cs="Times New Roman" w:eastAsia="Times New Roman" w:hAnsi="Times New Roman"/>
          <w:sz w:val="21"/>
          <w:szCs w:val="21"/>
          <w:color w:val="auto"/>
        </w:rPr>
        <w:t>”). All Licenses are in full force and effect and the Company is not in violation of any term or conditions of any License. Each of the Company and its subsidiaries has fulfilled and performed all of its respective obligations with respect to the Licenses and, no event has occurred which allows, or after notice or lapse of time would allow, revocation or termination thereof or results in any other impairment of the rights of the holder of any License. The Company has not received any written notice of proceedings relating to the revocation or termination of any Licenses and no Regulatory Agency has taken any action to suspend or revoke any License possessed by the Company.</w:t>
      </w:r>
    </w:p>
    <w:p>
      <w:pPr>
        <w:spacing w:after="0" w:line="174" w:lineRule="exact"/>
        <w:rPr>
          <w:sz w:val="20"/>
          <w:szCs w:val="20"/>
          <w:color w:val="auto"/>
        </w:rPr>
      </w:pPr>
    </w:p>
    <w:p>
      <w:pPr>
        <w:jc w:val="both"/>
        <w:ind w:firstLine="1505"/>
        <w:spacing w:after="0" w:line="246" w:lineRule="auto"/>
        <w:tabs>
          <w:tab w:leader="none" w:pos="299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Clinical Data and Regulatory Compliance</w:t>
      </w:r>
      <w:r>
        <w:rPr>
          <w:rFonts w:ascii="Times New Roman" w:cs="Times New Roman" w:eastAsia="Times New Roman" w:hAnsi="Times New Roman"/>
          <w:sz w:val="21"/>
          <w:szCs w:val="21"/>
          <w:color w:val="auto"/>
        </w:rPr>
        <w:t>. The pre-clinical studies and clinical trials that are described in the Registration Statement and the Prospectus and are used to support a regulatory filing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and the results thereof, contained in the Registration Statement and the Prospectus are accurate and complete in all material respects; the Company is not aware of any other pre-clinical studies or clinical trials, the results of which reasonably call into question the results described in the Registration Statement and the Prospectus; and the Company has not received any notices or correspondence from the FDA, any foreign, state or local governmental body exercising comparable authority or any Institutional Review Board requiring the termination, suspension, or clinical hold of any pre-clinical studies or clinical trials conducted by or on behalf of the Company;</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299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Professional Debarments</w:t>
      </w:r>
      <w:r>
        <w:rPr>
          <w:rFonts w:ascii="Times New Roman" w:cs="Times New Roman" w:eastAsia="Times New Roman" w:hAnsi="Times New Roman"/>
          <w:sz w:val="22"/>
          <w:szCs w:val="22"/>
          <w:color w:val="auto"/>
        </w:rPr>
        <w:t>. Neither the Company nor its subsidiaries, nor any of their respective officers, employees, directors, clinical investigators, nor, to the Company’s knowledge, any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42 U.S.C. § 1320a-7 or 21 U.S.C. § 335a.</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the Registration Statement and the Prospectus (collectively, the “</w:t>
      </w:r>
      <w:r>
        <w:rPr>
          <w:rFonts w:ascii="Times New Roman" w:cs="Times New Roman" w:eastAsia="Times New Roman" w:hAnsi="Times New Roman"/>
          <w:sz w:val="22"/>
          <w:szCs w:val="22"/>
          <w:b w:val="1"/>
          <w:bCs w:val="1"/>
          <w:u w:val="single" w:color="auto"/>
          <w:color w:val="auto"/>
        </w:rPr>
        <w:t>Company Intellectual Property</w:t>
      </w:r>
      <w:r>
        <w:rPr>
          <w:rFonts w:ascii="Times New Roman" w:cs="Times New Roman" w:eastAsia="Times New Roman" w:hAnsi="Times New Roman"/>
          <w:sz w:val="22"/>
          <w:szCs w:val="22"/>
          <w:color w:val="auto"/>
        </w:rPr>
        <w:t>”), or to the development, manufacture, operation, and sale of any products and services sold or presently proposed to be sold by the Company. To the knowledge of the Company, the conduct of its and its subsidiaries’ respective business and the proposed conduct of its business (including the development and commercialization of the product candidates described in the Registration Statement and the Prospectus) do not currently and will not upon commercialization infringe any valid third party</w:t>
      </w:r>
    </w:p>
    <w:p>
      <w:pPr>
        <w:spacing w:after="0" w:line="1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jc w:val="both"/>
        <w:spacing w:after="0" w:line="242" w:lineRule="auto"/>
        <w:rPr>
          <w:sz w:val="20"/>
          <w:szCs w:val="20"/>
          <w:color w:val="auto"/>
        </w:rPr>
      </w:pPr>
      <w:r>
        <w:rPr>
          <w:rFonts w:ascii="Times New Roman" w:cs="Times New Roman" w:eastAsia="Times New Roman" w:hAnsi="Times New Roman"/>
          <w:sz w:val="21"/>
          <w:szCs w:val="21"/>
          <w:color w:val="auto"/>
        </w:rPr>
        <w:t>patent claims, or misappropriate any intellectual property rights of others; there are no rights of third parties to any of the intellectual property owned by the Company, and such intellectual property is owned by the Company free and clear of all material liens, security interests, or encumbrances; to the knowledge of the Company, other than as disclosed in the Registration Statement and the Prospectus, the patents, trademarks and copyrights held or licensed by the Company included within the Company Intellectual Property are valid, enforceable and subsisting, and the patent, trademark, and copyright applications included within the Company Intellectual Property are subsisting and have not been abandoned; to the knowledge of the Company, there is no infringement by third parties of any of the Company Intellectual Property in any material respect; other than as disclosed in the Registration Statement and the Prospectus, (i) the Company is not obligated or under any liability whatsoever to pay a material royalty, grant a license, or provide other material consideration to any third party in connection with the Company Intellectual Property, (ii) no action, suit, claim or other proceeding is pending or is threatened in writing, alleging that the Company is infringing, misappropriating, diluting or otherwise violating, or would, upon the commercialization of any product or service proposed in the Registration Statement and the Prospectus to be conducted, infringe, misappropriate, dilute, or otherwise violate, any rights of others with respect to any of the Company’s product candidates, processes or intellectual property, and the Company is unaware of any facts which could form a reasonable basis for any such action, suit, proceeding or claim, (iii) no action, suit, claim or other proceeding is pending or, to the knowledge of the Company, is threatened, challenging the validity, enforceability, scope, registration, ownership or use of any of the Company Intellectual Property, and the Company is unaware of any facts which could form a reasonable basis for any such action, suit, proceeding or claim, (iv) no action, suit, claim or other proceeding is pending or threatened in writing, challenging the Company’s rights in or to any Company Intellectual Property, and the Company is unaware of any facts which could form a reasonable basis for any such action, suit, proceeding or claim, (v) to the knowledge of the Company, no employee, consultant or independent contractor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(vi) the Company has taken reasonable measures to protect its confidential information and trade secrets and to maintain and safeguard the Company Intellectual Property, including the execution of appropriate nondisclosure and confidentiality agreements, and (vii) the Company has complied in all material respects with the terms of each agreement pursuant to which intellectual property has been licensed to the Company, and all such agreements are in full force and effect. To the knowledge of the Company, all agreements pursuant to which intellectual property has been licensed to the Company are in full force and effect. All patents and patent applications owned by or licensed to the Company or under which the Company has rights have, to the knowledge of the Company, other than as disclosed in the Registration Statement and the Prospectus, been duly and properly filed and maintained. To the knowledge of the Company, other than as disclosed in the Registration Statement and the Prospectus, there are no material defects of form in the preparation or filing of any of the patents or patent applications disclosed in the Registration Statement and the Prospectus as being owned by the Company. To the knowledge of the Company, the parties prosecuting the patents or patent applications disclosed in the Registration Statement and the Prospectus as being owned by the Company have complied with their duty of candor and</w:t>
      </w:r>
    </w:p>
    <w:p>
      <w:pPr>
        <w:spacing w:after="0" w:line="200" w:lineRule="exact"/>
        <w:rPr>
          <w:sz w:val="20"/>
          <w:szCs w:val="20"/>
          <w:color w:val="auto"/>
        </w:rPr>
      </w:pPr>
    </w:p>
    <w:p>
      <w:pPr>
        <w:spacing w:after="0" w:line="24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jc w:val="both"/>
        <w:spacing w:after="0" w:line="239" w:lineRule="auto"/>
        <w:rPr>
          <w:sz w:val="20"/>
          <w:szCs w:val="20"/>
          <w:color w:val="auto"/>
        </w:rPr>
      </w:pPr>
      <w:r>
        <w:rPr>
          <w:rFonts w:ascii="Times New Roman" w:cs="Times New Roman" w:eastAsia="Times New Roman" w:hAnsi="Times New Roman"/>
          <w:sz w:val="22"/>
          <w:szCs w:val="22"/>
          <w:color w:val="auto"/>
        </w:rPr>
        <w:t>disclosure as required by the United States Patent and Trademark Office during the prosecution of the United States patents and patent applications. The lead product candidates described in the Registration Statement and the Prospectus as under development by the Company fall within the scope of the claims of one or more patents or patent applications owned by the Company.</w:t>
      </w:r>
    </w:p>
    <w:p>
      <w:pPr>
        <w:spacing w:after="0" w:line="180" w:lineRule="exact"/>
        <w:rPr>
          <w:sz w:val="20"/>
          <w:szCs w:val="20"/>
          <w:color w:val="auto"/>
        </w:rPr>
      </w:pPr>
    </w:p>
    <w:p>
      <w:pPr>
        <w:ind w:firstLine="1505"/>
        <w:spacing w:after="0" w:line="232" w:lineRule="auto"/>
        <w:tabs>
          <w:tab w:leader="none" w:pos="299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w:t>
      </w:r>
      <w:r>
        <w:rPr>
          <w:rFonts w:ascii="Times New Roman" w:cs="Times New Roman" w:eastAsia="Times New Roman" w:hAnsi="Times New Roman"/>
          <w:sz w:val="22"/>
          <w:szCs w:val="22"/>
          <w:color w:val="auto"/>
        </w:rPr>
        <w:t>. (i) Except as would not reasonably be expected, individually or in the aggregate, to result in a Material Adverse Effect, currently and during the past five (5) years, (A), the Company’s and its subsidiaries’ material information technology assets and equipment, computers, technology systems and other systems, networks, hardware, software, websites, applications, and databases (collectively, “</w:t>
      </w:r>
      <w:r>
        <w:rPr>
          <w:rFonts w:ascii="Times New Roman" w:cs="Times New Roman" w:eastAsia="Times New Roman" w:hAnsi="Times New Roman"/>
          <w:sz w:val="22"/>
          <w:szCs w:val="22"/>
          <w:b w:val="1"/>
          <w:bCs w:val="1"/>
          <w:u w:val="single" w:color="auto"/>
          <w:color w:val="auto"/>
        </w:rPr>
        <w:t>IT Systems</w:t>
      </w:r>
      <w:r>
        <w:rPr>
          <w:rFonts w:ascii="Times New Roman" w:cs="Times New Roman" w:eastAsia="Times New Roman" w:hAnsi="Times New Roman"/>
          <w:sz w:val="22"/>
          <w:szCs w:val="22"/>
          <w:color w:val="auto"/>
        </w:rPr>
        <w:t>”) operate and perform in all material respects as required in connection with the operation of the business of the Company and its subsidiaries as currently conducted, free and clear of all material bugs, errors, defects, Trojan horses, time bombs, malware and other corruptants; (B) the Company and its subsidiaries have implemented and maintained all reasonable controls, policies, procedures, and safeguards designed to maintain and protect its confidential information and the privacy, confidentiality, integrity, operation, redundancy and security of all physical storage facilities, IT Systems, and data used by or on behalf of the Company or its subsidiaries in connection with the operation of the Company or its subsidiaries that is considered “personal information,” “personally identifiable information,” “sensitive personal information,” “protected health information,” or “personal data” under applicable law, sensitive personal data, or confidential information (collectively, the “</w:t>
      </w:r>
      <w:r>
        <w:rPr>
          <w:rFonts w:ascii="Times New Roman" w:cs="Times New Roman" w:eastAsia="Times New Roman" w:hAnsi="Times New Roman"/>
          <w:sz w:val="22"/>
          <w:szCs w:val="22"/>
          <w:b w:val="1"/>
          <w:bCs w:val="1"/>
          <w:u w:val="single" w:color="auto"/>
          <w:color w:val="auto"/>
        </w:rPr>
        <w:t>Protected Information</w:t>
      </w:r>
      <w:r>
        <w:rPr>
          <w:rFonts w:ascii="Times New Roman" w:cs="Times New Roman" w:eastAsia="Times New Roman" w:hAnsi="Times New Roman"/>
          <w:sz w:val="22"/>
          <w:szCs w:val="22"/>
          <w:color w:val="auto"/>
        </w:rPr>
        <w:t>”); (C) the Company and its subsidiaries have taken all reasonable steps to protect the IT Systems and Protected Information, and have established and maintained commercially reasonable disaster recovery and security plans, procedures and facilities for the business, including, without limitation, for the IT Systems and Protected Information held or used by or for the Company and its subsidiaries; and (D) there have been no security breaches, attacks, or outages of any such IT Systems, or any actual or reasonably suspected security breaches resulting in accidental or unlawful destruction, loss, alteration or unauthorized uses or disclosures of Protected Information, or any other material security incidents or compromises of any IT Systems or Protected Information, nor any notifications by any third parties to the Company or any of its subsidiaries of any of the foregoing.</w:t>
      </w:r>
    </w:p>
    <w:p>
      <w:pPr>
        <w:spacing w:after="0" w:line="18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(ii) Except as could not reasonably be expected, individually or in the aggregate, to result in a Material Adverse Effect, (A) the Company is, and has at all times in the past five (5) years complied with all (1) data protection, privacy and security policies applicable to the Company, (2) contractual obligations of the Company concerning data protection, privacy, and security with respect to Protected Information, and (3) all applicable laws, statutes, regulations, and directives and all judgments, orders, rules and regulations of any court or arbitrator or governmental or regulatory authority relating to the privacy and security of IT Systems and Protected Information or to the protection of such IT Systems and Protected Information from unauthorized use, access, misappropriation or modification (collectively, the “</w:t>
      </w:r>
      <w:r>
        <w:rPr>
          <w:rFonts w:ascii="Times New Roman" w:cs="Times New Roman" w:eastAsia="Times New Roman" w:hAnsi="Times New Roman"/>
          <w:sz w:val="22"/>
          <w:szCs w:val="22"/>
          <w:b w:val="1"/>
          <w:bCs w:val="1"/>
          <w:color w:val="auto"/>
        </w:rPr>
        <w:t>Data Protection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Requirements</w:t>
      </w:r>
      <w:r>
        <w:rPr>
          <w:rFonts w:ascii="Times New Roman" w:cs="Times New Roman" w:eastAsia="Times New Roman" w:hAnsi="Times New Roman"/>
          <w:sz w:val="22"/>
          <w:szCs w:val="22"/>
          <w:color w:val="auto"/>
        </w:rPr>
        <w:t>”); (B) to the extent the Company maintains or transmits Protected Information that is subject to the California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Consumer Privacy Act of 2018, as amended by the California Privacy Rights Act (the “</w:t>
      </w:r>
      <w:r>
        <w:rPr>
          <w:rFonts w:ascii="Times New Roman" w:cs="Times New Roman" w:eastAsia="Times New Roman" w:hAnsi="Times New Roman"/>
          <w:sz w:val="22"/>
          <w:szCs w:val="22"/>
          <w:b w:val="1"/>
          <w:bCs w:val="1"/>
          <w:color w:val="auto"/>
        </w:rPr>
        <w:t>CCPA</w:t>
      </w:r>
      <w:r>
        <w:rPr>
          <w:rFonts w:ascii="Times New Roman" w:cs="Times New Roman" w:eastAsia="Times New Roman" w:hAnsi="Times New Roman"/>
          <w:sz w:val="22"/>
          <w:szCs w:val="22"/>
          <w:color w:val="auto"/>
        </w:rPr>
        <w:t>”), the Company is in compliance with all applicable rules and regulations promulgated thereunder; (C) the Company has at all times, to the extent required by applicable Data Protection Requirements, provided adequate notice to and obtained any necessary consents from data subjects for any past and present collection, use, disclosure, international transfer and other processing of Protected Information by or for the Company; and (D) the Company (1) has</w:t>
      </w:r>
    </w:p>
    <w:p>
      <w:pPr>
        <w:spacing w:after="0" w:line="1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jc w:val="both"/>
        <w:spacing w:after="0" w:line="236" w:lineRule="auto"/>
        <w:rPr>
          <w:sz w:val="20"/>
          <w:szCs w:val="20"/>
          <w:color w:val="auto"/>
        </w:rPr>
      </w:pPr>
      <w:r>
        <w:rPr>
          <w:rFonts w:ascii="Times New Roman" w:cs="Times New Roman" w:eastAsia="Times New Roman" w:hAnsi="Times New Roman"/>
          <w:sz w:val="22"/>
          <w:szCs w:val="22"/>
          <w:color w:val="auto"/>
        </w:rPr>
        <w:t>not in the past five (5) years received written (or, to the Company’s knowledge, other) notice of any actual or potential liability under or relating to, or actual or potential violation of, any of the Data Protection Requirements; (2) is not currently conducting or paying for, in whole or in part, any investigation, remediation, or other corrective action (I) mandated or requested by any legal or regulatory authority relating to any Data Protection Requirement or (II) necessitated by any kind of security breach of, attack on, or outage of any IT System; and (3) is not a party to any order, decree, or agreement by any court or arbitrator or governmental or regulatory authority that imposes any obligation or liability relating to any Data Protection Requirement.</w:t>
      </w:r>
    </w:p>
    <w:p>
      <w:pPr>
        <w:spacing w:after="0" w:line="181" w:lineRule="exact"/>
        <w:rPr>
          <w:sz w:val="20"/>
          <w:szCs w:val="20"/>
          <w:color w:val="auto"/>
        </w:rPr>
      </w:pPr>
    </w:p>
    <w:p>
      <w:pPr>
        <w:jc w:val="both"/>
        <w:ind w:firstLine="1505"/>
        <w:spacing w:after="0" w:line="239" w:lineRule="auto"/>
        <w:tabs>
          <w:tab w:leader="none" w:pos="29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Statistical and Market-Related Data</w:t>
      </w:r>
      <w:r>
        <w:rPr>
          <w:rFonts w:ascii="Times New Roman" w:cs="Times New Roman" w:eastAsia="Times New Roman" w:hAnsi="Times New Roman"/>
          <w:sz w:val="22"/>
          <w:szCs w:val="22"/>
          <w:color w:val="auto"/>
        </w:rPr>
        <w:t>. Any statistical, industry-related and market-related data included or incorporated by reference in the Registration Statement and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Necessary Permits, etc.</w:t>
      </w:r>
      <w:r>
        <w:rPr>
          <w:rFonts w:ascii="Times New Roman" w:cs="Times New Roman" w:eastAsia="Times New Roman" w:hAnsi="Times New Roman"/>
          <w:sz w:val="22"/>
          <w:szCs w:val="22"/>
          <w:color w:val="auto"/>
        </w:rPr>
        <w:t xml:space="preserve"> The Company and its subsidiaries possess all licenses, certificates, permits and other authorizations issued by, and has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 as described in the Registration Statement and the Prospectus, except where the failure to possess or make the same would not, individually or in the aggregate, reasonably be expected to have a Material Adverse Effect; and except as described in the Registration Statement and the Prospectus, the Company has not received written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Law Compliance</w:t>
      </w:r>
      <w:r>
        <w:rPr>
          <w:rFonts w:ascii="Times New Roman" w:cs="Times New Roman" w:eastAsia="Times New Roman" w:hAnsi="Times New Roman"/>
          <w:sz w:val="22"/>
          <w:szCs w:val="22"/>
          <w:color w:val="auto"/>
        </w:rPr>
        <w:t>. All United States federal income tax returns of the Company and its subsidiaries required by law to be filed have been filed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 No tax deficiency has been determined adversely to the Company or its subsidiaries which has (nor does the Company or its subsidiaries have any written notice or knowledge of any tax deficiency which could reasonably be expected to be determined adversely to the Company or its subsidiaries and which would, individually or in the aggregate, reasonably be expected to have) a Material Adverse Effect.</w:t>
      </w:r>
    </w:p>
    <w:p>
      <w:pPr>
        <w:spacing w:after="0" w:line="184"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9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Price Stabilization or Manipulation; Compliance with Regulation M</w:t>
      </w:r>
      <w:r>
        <w:rPr>
          <w:rFonts w:ascii="Times New Roman" w:cs="Times New Roman" w:eastAsia="Times New Roman" w:hAnsi="Times New Roman"/>
          <w:sz w:val="22"/>
          <w:szCs w:val="22"/>
          <w:color w:val="auto"/>
        </w:rPr>
        <w:t>. Neither the Company nor any of its subsidiaries will, directly or indirectly, (i) take any action that is designed to or that has constituted or might reasonably be expected to cause or result in stabilization or manipulation of the price of the Common Stock or (ii) sell, bid for, or purchase</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22"/>
          <w:szCs w:val="22"/>
          <w:color w:val="auto"/>
        </w:rPr>
        <w:t>Common Stock in violation of Regulation M, or pay anyone any compensation for soliciting purchases of the Placement Shares other than the Agents.</w:t>
      </w:r>
    </w:p>
    <w:p>
      <w:pPr>
        <w:spacing w:after="0" w:line="158" w:lineRule="exact"/>
        <w:rPr>
          <w:sz w:val="20"/>
          <w:szCs w:val="20"/>
          <w:color w:val="auto"/>
        </w:rPr>
      </w:pPr>
    </w:p>
    <w:p>
      <w:pPr>
        <w:jc w:val="both"/>
        <w:ind w:firstLine="1505"/>
        <w:spacing w:after="0" w:line="239"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Finder’s Fees</w:t>
      </w:r>
      <w:r>
        <w:rPr>
          <w:rFonts w:ascii="Times New Roman" w:cs="Times New Roman" w:eastAsia="Times New Roman" w:hAnsi="Times New Roman"/>
          <w:sz w:val="22"/>
          <w:szCs w:val="22"/>
          <w:color w:val="auto"/>
        </w:rPr>
        <w:t>. Neither the Company nor any of the subsidiaries is a party to any contract, agreement or understanding with any person (other than this Agreement) that would give rise to a valid claim against the Company or any other person for a brokerage commission, finder’s fee or like payment in connection with the offering and sale of the Placement Shares.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Party Transactions</w:t>
      </w:r>
      <w:r>
        <w:rPr>
          <w:rFonts w:ascii="Times New Roman" w:cs="Times New Roman" w:eastAsia="Times New Roman" w:hAnsi="Times New Roman"/>
          <w:sz w:val="22"/>
          <w:szCs w:val="22"/>
          <w:color w:val="auto"/>
        </w:rPr>
        <w:t>. No relationship, direct or indirect, exists between or among the Company, on the one hand, and the directors, officers, stockholders, customers or suppliers of the Company, on the other, that is required by the Securities Act or Securities Act Regulations to be described in the Registration Statement and the Prospectus and that is not so described in such documents and in the Registration Statement and the Prospectus.</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There is and has been no failure on the part of the Company or any of the Company’s directors or officers, in their capacities as such, to comply with any provision of the Sarbanes-Oxley Act and the rules and regulations promulgated in connection therewith, including Section 402 related to loans and Sections 302 and 906 related to certifications.</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22"/>
          <w:szCs w:val="22"/>
          <w:color w:val="auto"/>
        </w:rPr>
        <w:t>. With respect to the stock options (the “</w:t>
      </w:r>
      <w:r>
        <w:rPr>
          <w:rFonts w:ascii="Times New Roman" w:cs="Times New Roman" w:eastAsia="Times New Roman" w:hAnsi="Times New Roman"/>
          <w:sz w:val="22"/>
          <w:szCs w:val="22"/>
          <w:b w:val="1"/>
          <w:bCs w:val="1"/>
          <w:u w:val="single" w:color="auto"/>
          <w:color w:val="auto"/>
        </w:rPr>
        <w:t>Stock Options</w:t>
      </w:r>
      <w:r>
        <w:rPr>
          <w:rFonts w:ascii="Times New Roman" w:cs="Times New Roman" w:eastAsia="Times New Roman" w:hAnsi="Times New Roman"/>
          <w:sz w:val="22"/>
          <w:szCs w:val="22"/>
          <w:color w:val="auto"/>
        </w:rPr>
        <w:t>”) granted pursuant to the stock-based compensation plans of the Company and its subsidiaries (the “</w:t>
      </w:r>
      <w:r>
        <w:rPr>
          <w:rFonts w:ascii="Times New Roman" w:cs="Times New Roman" w:eastAsia="Times New Roman" w:hAnsi="Times New Roman"/>
          <w:sz w:val="22"/>
          <w:szCs w:val="22"/>
          <w:b w:val="1"/>
          <w:bCs w:val="1"/>
          <w:u w:val="single" w:color="auto"/>
          <w:color w:val="auto"/>
        </w:rPr>
        <w:t>Company Stock Plans</w:t>
      </w:r>
      <w:r>
        <w:rPr>
          <w:rFonts w:ascii="Times New Roman" w:cs="Times New Roman" w:eastAsia="Times New Roman" w:hAnsi="Times New Roman"/>
          <w:sz w:val="22"/>
          <w:szCs w:val="22"/>
          <w:color w:val="auto"/>
        </w:rPr>
        <w:t>”), (i) each Stock Option intended to qualify as an “incentive stock option” under Section 422 of the Internal Revenue Code of 1986, as amended (the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Exchange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XBRL</w:t>
      </w:r>
      <w:r>
        <w:rPr>
          <w:rFonts w:ascii="Times New Roman" w:cs="Times New Roman" w:eastAsia="Times New Roman" w:hAnsi="Times New Roman"/>
          <w:sz w:val="22"/>
          <w:szCs w:val="22"/>
          <w:color w:val="auto"/>
        </w:rPr>
        <w:t>. The interactive data in XBRL included or incorporated by reference in the Registration Statement fairly presents the information called for in all material respects and has been prepared in accordance with the Commission’s rules and guidelines applicable thereto to the extent required.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 Matters</w:t>
      </w:r>
      <w:r>
        <w:rPr>
          <w:rFonts w:ascii="Times New Roman" w:cs="Times New Roman" w:eastAsia="Times New Roman" w:hAnsi="Times New Roman"/>
          <w:sz w:val="22"/>
          <w:szCs w:val="22"/>
          <w:color w:val="auto"/>
        </w:rPr>
        <w:t>. The information provided to the Agents by the Company, its counsel, and its officers and directors, as applicable, for purposes of the Agents’ compliance with applicable FINRA rules in connection with the offering of the Placement Shares is, in all material respects, true, complete, and correct and compliant with FINRA’s rules.</w:t>
      </w:r>
    </w:p>
    <w:p>
      <w:pPr>
        <w:spacing w:after="0" w:line="1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jc w:val="both"/>
        <w:ind w:firstLine="1505"/>
        <w:spacing w:after="0" w:line="244" w:lineRule="auto"/>
        <w:tabs>
          <w:tab w:leader="none" w:pos="29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contained in the Registration Statement and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Transfer Taxes</w:t>
      </w:r>
      <w:r>
        <w:rPr>
          <w:rFonts w:ascii="Times New Roman" w:cs="Times New Roman" w:eastAsia="Times New Roman" w:hAnsi="Times New Roman"/>
          <w:sz w:val="22"/>
          <w:szCs w:val="22"/>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Underwriter Agreements</w:t>
      </w:r>
      <w:r>
        <w:rPr>
          <w:rFonts w:ascii="Times New Roman" w:cs="Times New Roman" w:eastAsia="Times New Roman" w:hAnsi="Times New Roman"/>
          <w:sz w:val="22"/>
          <w:szCs w:val="22"/>
          <w:color w:val="auto"/>
        </w:rPr>
        <w:t>. The Company is not a party to any agreement with an agent or underwriter for any other “at the market” or continuous equity transaction.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The application of the proceeds received by the Company from the issuance, sale and delivery of the Placement Shares as described in the Prospectus will not violate Regulation T, U or X of the Board of Governors of the Federal Reserve system or any other regulation of such Board of Governors.</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Purchases</w:t>
      </w:r>
      <w:r>
        <w:rPr>
          <w:rFonts w:ascii="Times New Roman" w:cs="Times New Roman" w:eastAsia="Times New Roman" w:hAnsi="Times New Roman"/>
          <w:sz w:val="22"/>
          <w:szCs w:val="22"/>
          <w:color w:val="auto"/>
        </w:rPr>
        <w:t xml:space="preserve">. The Company acknowledges and agrees that Agents have informed the Company that each of the Agents may, to the extent permitted under the Securities Act and the Exchange Act, purchase and sell Common Stock for its own account while this Agreement is in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Company shall not be deemed to have authorized or consented to any such purchases or sales by any such Agent.</w:t>
      </w:r>
    </w:p>
    <w:p>
      <w:pPr>
        <w:spacing w:after="0" w:line="180"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Any certificate signed by an officer of the Company and delivered to the Agents or to counsel for the Agents pursuant to or in connection with this Agreement shall be deemed to be a representation and warranty by the Company, as applicable, to each of the Agents as to the matters set forth therein.</w:t>
      </w:r>
    </w:p>
    <w:p>
      <w:pPr>
        <w:spacing w:after="0" w:line="173" w:lineRule="exact"/>
        <w:rPr>
          <w:sz w:val="20"/>
          <w:szCs w:val="20"/>
          <w:color w:val="auto"/>
        </w:rPr>
      </w:pPr>
    </w:p>
    <w:p>
      <w:pPr>
        <w:ind w:left="1500" w:hanging="743"/>
        <w:spacing w:after="0"/>
        <w:tabs>
          <w:tab w:leader="none" w:pos="15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the Company</w:t>
      </w:r>
      <w:r>
        <w:rPr>
          <w:rFonts w:ascii="Times New Roman" w:cs="Times New Roman" w:eastAsia="Times New Roman" w:hAnsi="Times New Roman"/>
          <w:sz w:val="22"/>
          <w:szCs w:val="22"/>
          <w:color w:val="auto"/>
        </w:rPr>
        <w:t>. The Company covenants and agrees with each of the Agents that: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Amendments</w:t>
      </w:r>
      <w:r>
        <w:rPr>
          <w:rFonts w:ascii="Times New Roman" w:cs="Times New Roman" w:eastAsia="Times New Roman" w:hAnsi="Times New Roman"/>
          <w:sz w:val="22"/>
          <w:szCs w:val="22"/>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Regulations or similar rule),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jc w:val="both"/>
        <w:spacing w:after="0" w:line="246" w:lineRule="auto"/>
        <w:rPr>
          <w:sz w:val="20"/>
          <w:szCs w:val="20"/>
          <w:color w:val="auto"/>
        </w:rPr>
      </w:pPr>
      <w:r>
        <w:rPr>
          <w:rFonts w:ascii="Times New Roman" w:cs="Times New Roman" w:eastAsia="Times New Roman" w:hAnsi="Times New Roman"/>
          <w:sz w:val="21"/>
          <w:szCs w:val="21"/>
          <w:color w:val="auto"/>
        </w:rPr>
        <w:t>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(except for documents incorporated by reference) relating to the Placement Shares or a security convertible into the Placement Shares unless a copy thereof has been submitted to the Agents within a reasonable period of time before the filing and the Agents have not objected thereto in good faith on reasonable grounds and in writing within two</w:t>
      </w:r>
    </w:p>
    <w:p>
      <w:pPr>
        <w:spacing w:after="0" w:line="1" w:lineRule="exact"/>
        <w:rPr>
          <w:sz w:val="20"/>
          <w:szCs w:val="20"/>
          <w:color w:val="auto"/>
        </w:rPr>
      </w:pPr>
    </w:p>
    <w:p>
      <w:pPr>
        <w:jc w:val="both"/>
        <w:ind w:firstLine="8"/>
        <w:spacing w:after="0" w:line="231" w:lineRule="auto"/>
        <w:tabs>
          <w:tab w:leader="none" w:pos="3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delivery of the copy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such filing does not name the Agent and does not reference the transactions contemplated hereunder; and (C)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under the Securities Act Regulations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based on the Company’s reasonable opinion or reasonable objections, shall be made exclusively by the Company); provided, however, that the Company may delay any such amendment or supplement, if, in the reasonable judgment of the Company, it is in the best interests of the Company to do so. Until such time as the Company shall have effected such compliance, the Company shall not notify the Agents to resume the offering of Placement Shares.</w:t>
      </w:r>
    </w:p>
    <w:p>
      <w:pPr>
        <w:spacing w:after="0" w:line="184"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Commission Stop Orders</w:t>
      </w:r>
      <w:r>
        <w:rPr>
          <w:rFonts w:ascii="Times New Roman" w:cs="Times New Roman" w:eastAsia="Times New Roman" w:hAnsi="Times New Roman"/>
          <w:sz w:val="22"/>
          <w:szCs w:val="22"/>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Prospectus; Subsequent Changes</w:t>
      </w:r>
      <w:r>
        <w:rPr>
          <w:rFonts w:ascii="Times New Roman" w:cs="Times New Roman" w:eastAsia="Times New Roman" w:hAnsi="Times New Roman"/>
          <w:sz w:val="22"/>
          <w:szCs w:val="22"/>
          <w:color w:val="auto"/>
        </w:rPr>
        <w:t>. During any period in which a Prospectus relating to the Placement Shares is required to be delivered by the Agents under the Securities Act or Securities Act Regulations with respect to the offer and sale of the Placement Shares (including in circumstances where such requirement may be satisfied pursuant to Rule 172 under the Securities Act Regulations or similar rule), the Company will comply with all requirements imposed upon it by the Securities Act and the Securities Act Regulations, as from</w:t>
      </w:r>
    </w:p>
    <w:p>
      <w:pPr>
        <w:spacing w:after="0" w:line="17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of the Securities Act Regulations, it will use its commercially reasonable efforts to comply with the provisions of and make all requisite filings with the Commission pursuant to said Rule 430B of the Securities Act Regulations and to notify the Agents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Company may delay any such amendment or supplement if, in the reasonable judgment of the Company, it is in the best interests of the Company to do so. Until such time as the Company has corrected such statement or omission or effected such compliance, the Company shall not notify the Agents to resume the offering of Placement Shares.</w:t>
      </w:r>
    </w:p>
    <w:p>
      <w:pPr>
        <w:spacing w:after="0" w:line="178" w:lineRule="exact"/>
        <w:rPr>
          <w:sz w:val="20"/>
          <w:szCs w:val="20"/>
          <w:color w:val="auto"/>
        </w:rPr>
      </w:pPr>
    </w:p>
    <w:p>
      <w:pPr>
        <w:ind w:right="20" w:firstLine="1505"/>
        <w:spacing w:after="0" w:line="258" w:lineRule="auto"/>
        <w:tabs>
          <w:tab w:leader="none" w:pos="29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of Placement Shares</w:t>
      </w:r>
      <w:r>
        <w:rPr>
          <w:rFonts w:ascii="Times New Roman" w:cs="Times New Roman" w:eastAsia="Times New Roman" w:hAnsi="Times New Roman"/>
          <w:sz w:val="22"/>
          <w:szCs w:val="22"/>
          <w:color w:val="auto"/>
        </w:rPr>
        <w:t>. Prior to the date of the first Placement Notice, the Company will use its commercially reasonable efforts to cause the Placement Shares to be listed on the Exchange.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Registration Statement and Prospectus</w:t>
      </w:r>
      <w:r>
        <w:rPr>
          <w:rFonts w:ascii="Times New Roman" w:cs="Times New Roman" w:eastAsia="Times New Roman" w:hAnsi="Times New Roman"/>
          <w:sz w:val="22"/>
          <w:szCs w:val="22"/>
          <w:color w:val="auto"/>
        </w:rPr>
        <w:t xml:space="preserve">.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required to furnish any document (other than the Prospectus) to the Agents to the extent such document is available on EDGAR.</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9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 Statement</w:t>
      </w:r>
      <w:r>
        <w:rPr>
          <w:rFonts w:ascii="Times New Roman" w:cs="Times New Roman" w:eastAsia="Times New Roman" w:hAnsi="Times New Roman"/>
          <w:sz w:val="22"/>
          <w:szCs w:val="22"/>
          <w:color w:val="auto"/>
        </w:rPr>
        <w:t>.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and Securities Act Regulations, respectively, which requirement may be satisfied by publicly filing the required information 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EDGAR.</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The Company will use the Net Proceeds as described in the Prospectus in the section entitled “Use of Proceeds.”</w:t>
      </w:r>
    </w:p>
    <w:p>
      <w:pPr>
        <w:spacing w:after="0" w:line="15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left="2992" w:hanging="1495"/>
        <w:spacing w:after="0"/>
        <w:tabs>
          <w:tab w:leader="none" w:pos="299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Sales</w:t>
      </w:r>
      <w:r>
        <w:rPr>
          <w:rFonts w:ascii="Times New Roman" w:cs="Times New Roman" w:eastAsia="Times New Roman" w:hAnsi="Times New Roman"/>
          <w:sz w:val="22"/>
          <w:szCs w:val="22"/>
          <w:color w:val="auto"/>
        </w:rPr>
        <w:t>. Without the prior written consent of the Agents, the Company will not</w:t>
      </w:r>
    </w:p>
    <w:p>
      <w:pPr>
        <w:spacing w:after="0" w:line="14" w:lineRule="exact"/>
        <w:rPr>
          <w:rFonts w:ascii="Times New Roman" w:cs="Times New Roman" w:eastAsia="Times New Roman" w:hAnsi="Times New Roman"/>
          <w:sz w:val="22"/>
          <w:szCs w:val="22"/>
          <w:color w:val="auto"/>
        </w:rPr>
      </w:pPr>
    </w:p>
    <w:p>
      <w:pPr>
        <w:jc w:val="both"/>
        <w:ind w:left="-8" w:firstLine="8"/>
        <w:spacing w:after="0" w:line="231" w:lineRule="auto"/>
        <w:tabs>
          <w:tab w:leader="none" w:pos="26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Trading Day immediately prior to the date on which any Placement Notice is delivered to the Agents hereunder and ending on the fifth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or (ii) directly or indirectly, enter into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(60th) day immediately following the termination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restrictions will not be required in connection with the Company’s (A) issuance or sale of Common Stock pursuant to this Agreement; (B) issuance or sale of Common Stock, equity awards to purchase or receive Common Stock, or Common Stock issuable upon the exercise or vesting of equity awards, pursuant to any employee, consultant or director stock option, incentive or benefits plan, share purchase or stock ownership plan, long-term incentive plan or dividend reinvestment plan (but not Common Stock subject to a waiver to exceed plan limits in its dividend reinvestment plan) of the Company whether now in effect or hereafter implemented, (C) issuance or sale of Common Stock upon exchange, conversion or redemption of securities or the exercise or vesting of warrants, options or other rights in effect or outstanding; (D) modification of any outstanding equity awards, warrants or any rights to purchase or acquire Common Stock or (E) issuance or sale of Common Stock or securities convertible into or exchangeable for shares of Common Stock as consideration for mergers, acquisitions, other business combinations or strategic alliances, licenses or collaborations occurring after the date of this Agreement which are not issued for capital raising purposes.</w:t>
      </w:r>
    </w:p>
    <w:p>
      <w:pPr>
        <w:spacing w:after="0" w:line="181" w:lineRule="exact"/>
        <w:rPr>
          <w:rFonts w:ascii="Times New Roman" w:cs="Times New Roman" w:eastAsia="Times New Roman" w:hAnsi="Times New Roman"/>
          <w:sz w:val="22"/>
          <w:szCs w:val="22"/>
          <w:color w:val="auto"/>
        </w:rPr>
      </w:pPr>
    </w:p>
    <w:p>
      <w:pPr>
        <w:jc w:val="both"/>
        <w:ind w:left="-8" w:firstLine="1505"/>
        <w:spacing w:after="0" w:line="239" w:lineRule="auto"/>
        <w:tabs>
          <w:tab w:leader="none" w:pos="298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Circumstances</w:t>
      </w:r>
      <w:r>
        <w:rPr>
          <w:rFonts w:ascii="Times New Roman" w:cs="Times New Roman" w:eastAsia="Times New Roman" w:hAnsi="Times New Roman"/>
          <w:sz w:val="22"/>
          <w:szCs w:val="22"/>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80" w:lineRule="exact"/>
        <w:rPr>
          <w:rFonts w:ascii="Times New Roman" w:cs="Times New Roman" w:eastAsia="Times New Roman" w:hAnsi="Times New Roman"/>
          <w:sz w:val="22"/>
          <w:szCs w:val="22"/>
          <w:color w:val="auto"/>
        </w:rPr>
      </w:pPr>
    </w:p>
    <w:p>
      <w:pPr>
        <w:jc w:val="both"/>
        <w:ind w:left="-8" w:firstLine="1505"/>
        <w:spacing w:after="0" w:line="239" w:lineRule="auto"/>
        <w:tabs>
          <w:tab w:leader="none" w:pos="298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 Cooperation</w:t>
      </w:r>
      <w:r>
        <w:rPr>
          <w:rFonts w:ascii="Times New Roman" w:cs="Times New Roman" w:eastAsia="Times New Roman" w:hAnsi="Times New Roman"/>
          <w:sz w:val="22"/>
          <w:szCs w:val="22"/>
          <w:color w:val="auto"/>
        </w:rPr>
        <w:t>. The Company will cooperate with any reasonable due diligence review conducted by the Agents or its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80" w:lineRule="exact"/>
        <w:rPr>
          <w:rFonts w:ascii="Times New Roman" w:cs="Times New Roman" w:eastAsia="Times New Roman" w:hAnsi="Times New Roman"/>
          <w:sz w:val="22"/>
          <w:szCs w:val="22"/>
          <w:color w:val="auto"/>
        </w:rPr>
      </w:pPr>
    </w:p>
    <w:p>
      <w:pPr>
        <w:jc w:val="both"/>
        <w:ind w:left="-8" w:firstLine="1505"/>
        <w:spacing w:after="0" w:line="239" w:lineRule="auto"/>
        <w:tabs>
          <w:tab w:leader="none" w:pos="298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Filings Relating to Placement of Placement Shares</w:t>
      </w:r>
      <w:r>
        <w:rPr>
          <w:rFonts w:ascii="Times New Roman" w:cs="Times New Roman" w:eastAsia="Times New Roman" w:hAnsi="Times New Roman"/>
          <w:sz w:val="22"/>
          <w:szCs w:val="22"/>
          <w:color w:val="auto"/>
        </w:rPr>
        <w:t>.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25" w:name="page26"/>
    <w:bookmarkEnd w:id="25"/>
    <w:p>
      <w:pPr>
        <w:jc w:val="both"/>
        <w:spacing w:after="0" w:line="234" w:lineRule="auto"/>
        <w:rPr>
          <w:sz w:val="20"/>
          <w:szCs w:val="20"/>
          <w:color w:val="auto"/>
        </w:rPr>
      </w:pPr>
      <w:r>
        <w:rPr>
          <w:rFonts w:ascii="Times New Roman" w:cs="Times New Roman" w:eastAsia="Times New Roman" w:hAnsi="Times New Roman"/>
          <w:sz w:val="22"/>
          <w:szCs w:val="22"/>
          <w:color w:val="auto"/>
        </w:rPr>
        <w:t>an annual report on Form 10-K, during the fiscal year covered by such annual report and the fourth quarter of such fiscal year. To the extent that the filing of a prospectus supplement with the Commission with respect to the placement of Placement Shares becomes required under Rule 424(b) under the Securities Act, the Company agrees that on such dates as the Securities Act shall require, the Company will (i) file a prospectus supplement with the Commission under the applicable paragraph of Rule 424(b) under the Securities Act, which prospectus supplement will set forth, within the relevant period, the amount of Placement Shares sold through the Agents, the Net Proceeds to the Company and the compensation payable by the Company to the Agents with respect to such Placement Shares (provided that the Company may satisfy its obligations under this Section 7(k)(i) by making a filing in accordance with the Exchange Act including such information), and (ii) deliver such number of copies of each such prospectus supplement to each exchange or market on which such sales were effected as may be required by the rules or regulations of such exchange or market.</w:t>
      </w:r>
    </w:p>
    <w:p>
      <w:pPr>
        <w:spacing w:after="0" w:line="179" w:lineRule="exact"/>
        <w:rPr>
          <w:sz w:val="20"/>
          <w:szCs w:val="20"/>
          <w:color w:val="auto"/>
        </w:rPr>
      </w:pPr>
    </w:p>
    <w:p>
      <w:pPr>
        <w:ind w:left="3000" w:hanging="1495"/>
        <w:spacing w:after="0"/>
        <w:tabs>
          <w:tab w:leader="none" w:pos="3000"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Dates; Certificate</w:t>
      </w:r>
      <w:r>
        <w:rPr>
          <w:rFonts w:ascii="Times New Roman" w:cs="Times New Roman" w:eastAsia="Times New Roman" w:hAnsi="Times New Roman"/>
          <w:sz w:val="21"/>
          <w:szCs w:val="21"/>
          <w:color w:val="auto"/>
        </w:rPr>
        <w:t>. (1) On or prior to the date of the first Placement Notice and</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delivery of the first Placement Notice, each time the Company:</w:t>
      </w:r>
    </w:p>
    <w:p>
      <w:pPr>
        <w:spacing w:after="0" w:line="182" w:lineRule="exact"/>
        <w:rPr>
          <w:rFonts w:ascii="Times New Roman" w:cs="Times New Roman" w:eastAsia="Times New Roman" w:hAnsi="Times New Roman"/>
          <w:sz w:val="22"/>
          <w:szCs w:val="22"/>
          <w:color w:val="auto"/>
        </w:rPr>
      </w:pPr>
    </w:p>
    <w:p>
      <w:pPr>
        <w:jc w:val="both"/>
        <w:ind w:left="760" w:hanging="3"/>
        <w:spacing w:after="0" w:line="238" w:lineRule="auto"/>
        <w:tabs>
          <w:tab w:leader="none" w:pos="103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6" w:lineRule="exact"/>
        <w:rPr>
          <w:rFonts w:ascii="Times New Roman" w:cs="Times New Roman" w:eastAsia="Times New Roman" w:hAnsi="Times New Roman"/>
          <w:sz w:val="22"/>
          <w:szCs w:val="22"/>
          <w:color w:val="auto"/>
        </w:rPr>
      </w:pPr>
    </w:p>
    <w:p>
      <w:pPr>
        <w:ind w:left="760" w:hanging="3"/>
        <w:spacing w:after="0" w:line="258" w:lineRule="auto"/>
        <w:tabs>
          <w:tab w:leader="none" w:pos="111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an annual report on Form 10-K under the Exchange Act (including any Form 10-K/A containing amended financial information or a material amendment to the previously filed Form 10-K);</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its quarterly reports on Form 10-Q under the Exchange Act; or</w:t>
      </w:r>
    </w:p>
    <w:p>
      <w:pPr>
        <w:spacing w:after="0" w:line="206" w:lineRule="exact"/>
        <w:rPr>
          <w:rFonts w:ascii="Times New Roman" w:cs="Times New Roman" w:eastAsia="Times New Roman" w:hAnsi="Times New Roman"/>
          <w:sz w:val="22"/>
          <w:szCs w:val="22"/>
          <w:color w:val="auto"/>
        </w:rPr>
      </w:pPr>
    </w:p>
    <w:p>
      <w:pPr>
        <w:jc w:val="both"/>
        <w:ind w:left="760" w:hanging="3"/>
        <w:spacing w:after="0" w:line="236" w:lineRule="auto"/>
        <w:tabs>
          <w:tab w:leader="none" w:pos="115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w:t>
      </w:r>
    </w:p>
    <w:p>
      <w:pPr>
        <w:ind w:left="1020" w:hanging="263"/>
        <w:spacing w:after="0"/>
        <w:tabs>
          <w:tab w:leader="none" w:pos="10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(iv) shall be a “</w:t>
      </w:r>
      <w:r>
        <w:rPr>
          <w:rFonts w:ascii="Times New Roman" w:cs="Times New Roman" w:eastAsia="Times New Roman" w:hAnsi="Times New Roman"/>
          <w:sz w:val="22"/>
          <w:szCs w:val="22"/>
          <w:b w:val="1"/>
          <w:bCs w:val="1"/>
          <w:u w:val="single" w:color="auto"/>
          <w:color w:val="auto"/>
        </w:rPr>
        <w:t>Representation Date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22"/>
          <w:szCs w:val="22"/>
          <w:color w:val="auto"/>
        </w:rPr>
        <w:t>the Company shall furnish the Agents (but in the case of clause (iv) above only if the Agents reasonably determines that the information contained in such Form 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K is material) with a certificate dated the Representation Date, in the form and substance reasonably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shall be automatically waived for any Representation Date occurring at a time during which no Placement Notice is pending or a Suspension is in effect, which waiver shall continue until the earlier to occur of the date the Company delivers instructions for the sale of Placement Shares hereunder (which for such calendar quarter shall be considered a Representation Date) and the</w:t>
      </w:r>
    </w:p>
    <w:p>
      <w:pPr>
        <w:spacing w:after="0" w:line="18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next occurring Representation Date for which the requirement to provide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is not waived pursuant to the terms thereof. Notwithstanding the foregoing, if the Company subsequently decides to sell Placement Shares following a Representation Date when the Company relied on such waiver and did not provide the Agents with a certificate under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dated as of the date that the instructions for the sale of Placement Shares are issued.</w:t>
      </w:r>
    </w:p>
    <w:p>
      <w:pPr>
        <w:spacing w:after="0" w:line="181" w:lineRule="exact"/>
        <w:rPr>
          <w:sz w:val="20"/>
          <w:szCs w:val="20"/>
          <w:color w:val="auto"/>
        </w:rPr>
      </w:pPr>
    </w:p>
    <w:p>
      <w:pPr>
        <w:jc w:val="both"/>
        <w:ind w:firstLine="1505"/>
        <w:spacing w:after="0" w:line="233" w:lineRule="auto"/>
        <w:tabs>
          <w:tab w:leader="none" w:pos="29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w:t>
      </w:r>
      <w:r>
        <w:rPr>
          <w:rFonts w:ascii="Times New Roman" w:cs="Times New Roman" w:eastAsia="Times New Roman" w:hAnsi="Times New Roman"/>
          <w:sz w:val="22"/>
          <w:szCs w:val="22"/>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the Company shall cause to be furnished to the Agents a (A) written opinion and negative assurance letter of Wilson Sonsini Goodrich &amp; Rosati, Professional Corporation, or other counsel satisfactory to the Agents (“</w:t>
      </w:r>
      <w:r>
        <w:rPr>
          <w:rFonts w:ascii="Times New Roman" w:cs="Times New Roman" w:eastAsia="Times New Roman" w:hAnsi="Times New Roman"/>
          <w:sz w:val="22"/>
          <w:szCs w:val="22"/>
          <w:b w:val="1"/>
          <w:bCs w:val="1"/>
          <w:u w:val="single" w:color="auto"/>
          <w:color w:val="auto"/>
        </w:rPr>
        <w:t>Company Counsel</w:t>
      </w:r>
      <w:r>
        <w:rPr>
          <w:rFonts w:ascii="Times New Roman" w:cs="Times New Roman" w:eastAsia="Times New Roman" w:hAnsi="Times New Roman"/>
          <w:sz w:val="22"/>
          <w:szCs w:val="22"/>
          <w:color w:val="auto"/>
        </w:rPr>
        <w:t xml:space="preserve">”), in form and substance reasonably satisfactory to Agents and their counsel, substantially similar to the 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shall be required to furnish to the Agents no more than one opinion and negative assurance letter hereunder per filing of an annual report on Form 10-K and quarterly report on Form 10-Q;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in lieu of such legal opinion or negative assurance letter for subsequent periodic filings under the Exchange Act, Company Counsel may furnish the Agents with a letter (a “</w:t>
      </w:r>
      <w:r>
        <w:rPr>
          <w:rFonts w:ascii="Times New Roman" w:cs="Times New Roman" w:eastAsia="Times New Roman" w:hAnsi="Times New Roman"/>
          <w:sz w:val="22"/>
          <w:szCs w:val="22"/>
          <w:b w:val="1"/>
          <w:bCs w:val="1"/>
          <w:u w:val="single" w:color="auto"/>
          <w:color w:val="auto"/>
        </w:rPr>
        <w:t>Reliance Letter</w:t>
      </w:r>
      <w:r>
        <w:rPr>
          <w:rFonts w:ascii="Times New Roman" w:cs="Times New Roman" w:eastAsia="Times New Roman" w:hAnsi="Times New Roman"/>
          <w:sz w:val="22"/>
          <w:szCs w:val="22"/>
          <w:color w:val="auto"/>
        </w:rPr>
        <w:t xml:space="preserve">”) to the effect that the Agents may rely on a prior legal opinion or negative assurance letter, as the case may be, delivered under this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to the same extent as if it were dated the date of such letter (except that statements in such prior legal opinion and negative assurance letter shall be deemed to relate to the Registration Statement and the Prospectus as amended or supplemented as of the date of the Reliance Letter).</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Comfort Letter</w:t>
      </w:r>
      <w:r>
        <w:rPr>
          <w:rFonts w:ascii="Times New Roman" w:cs="Times New Roman" w:eastAsia="Times New Roman" w:hAnsi="Times New Roman"/>
          <w:sz w:val="22"/>
          <w:szCs w:val="22"/>
          <w:color w:val="auto"/>
        </w:rPr>
        <w:t xml:space="preserve">. (1)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the Company shall cause the Accountant(s) to furnish the Agents letters (the “</w:t>
      </w:r>
      <w:r>
        <w:rPr>
          <w:rFonts w:ascii="Times New Roman" w:cs="Times New Roman" w:eastAsia="Times New Roman" w:hAnsi="Times New Roman"/>
          <w:sz w:val="22"/>
          <w:szCs w:val="22"/>
          <w:b w:val="1"/>
          <w:bCs w:val="1"/>
          <w:u w:val="single" w:color="auto"/>
          <w:color w:val="auto"/>
        </w:rPr>
        <w:t>Comfort Letters</w:t>
      </w:r>
      <w:r>
        <w:rPr>
          <w:rFonts w:ascii="Times New Roman" w:cs="Times New Roman" w:eastAsia="Times New Roman" w:hAnsi="Times New Roman"/>
          <w:sz w:val="22"/>
          <w:szCs w:val="22"/>
          <w:color w:val="auto"/>
        </w:rPr>
        <w:t xml:space="preserve">”), dated the date the Comfort Letter is delivered, which shall meet the requirements set forth in this </w:t>
      </w:r>
      <w:r>
        <w:rPr>
          <w:rFonts w:ascii="Times New Roman" w:cs="Times New Roman" w:eastAsia="Times New Roman" w:hAnsi="Times New Roman"/>
          <w:sz w:val="22"/>
          <w:szCs w:val="22"/>
          <w:u w:val="single" w:color="auto"/>
          <w:color w:val="auto"/>
        </w:rPr>
        <w:t>Section 7(n)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reasonably requested by the Agents, the Company shall cause a Comfort Letter to be furnished to the Agents within ten (10) Trading Days of the date of occurrence of any material transaction or event requiring the filing of a Current Report on Form 8-K containing material financial information (including the restatement of the Company’s financial statements). The Comfort Letter from the Company’s independent registered public accounting firm shall be in a form and substance satisfactory to the Agents,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22"/>
          <w:szCs w:val="22"/>
          <w:b w:val="1"/>
          <w:bCs w:val="1"/>
          <w:u w:val="single" w:color="auto"/>
          <w:color w:val="auto"/>
        </w:rPr>
        <w:t>Initial Comfort Letter</w:t>
      </w:r>
      <w:r>
        <w:rPr>
          <w:rFonts w:ascii="Times New Roman" w:cs="Times New Roman" w:eastAsia="Times New Roman" w:hAnsi="Times New Roman"/>
          <w:sz w:val="22"/>
          <w:szCs w:val="22"/>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7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jc w:val="both"/>
        <w:ind w:left="-360" w:firstLine="1505"/>
        <w:spacing w:after="0" w:line="238" w:lineRule="auto"/>
        <w:tabs>
          <w:tab w:leader="none" w:pos="263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 Compliance with Regulation M</w:t>
      </w:r>
      <w:r>
        <w:rPr>
          <w:rFonts w:ascii="Times New Roman" w:cs="Times New Roman" w:eastAsia="Times New Roman" w:hAnsi="Times New Roman"/>
          <w:sz w:val="22"/>
          <w:szCs w:val="22"/>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spacing w:after="0" w:line="176" w:lineRule="exact"/>
        <w:rPr>
          <w:rFonts w:ascii="Times New Roman" w:cs="Times New Roman" w:eastAsia="Times New Roman" w:hAnsi="Times New Roman"/>
          <w:sz w:val="22"/>
          <w:szCs w:val="22"/>
          <w:color w:val="auto"/>
        </w:rPr>
      </w:pPr>
    </w:p>
    <w:p>
      <w:pPr>
        <w:jc w:val="both"/>
        <w:ind w:left="-360" w:firstLine="1505"/>
        <w:spacing w:after="0" w:line="244" w:lineRule="auto"/>
        <w:tabs>
          <w:tab w:leader="none" w:pos="263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3" w:lineRule="exact"/>
        <w:rPr>
          <w:rFonts w:ascii="Times New Roman" w:cs="Times New Roman" w:eastAsia="Times New Roman" w:hAnsi="Times New Roman"/>
          <w:sz w:val="22"/>
          <w:szCs w:val="22"/>
          <w:color w:val="auto"/>
        </w:rPr>
      </w:pPr>
    </w:p>
    <w:p>
      <w:pPr>
        <w:jc w:val="both"/>
        <w:ind w:left="-360" w:firstLine="1505"/>
        <w:spacing w:after="0" w:line="238" w:lineRule="auto"/>
        <w:tabs>
          <w:tab w:leader="none" w:pos="263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Offer to Sell</w:t>
      </w:r>
      <w:r>
        <w:rPr>
          <w:rFonts w:ascii="Times New Roman" w:cs="Times New Roman" w:eastAsia="Times New Roman" w:hAnsi="Times New Roman"/>
          <w:sz w:val="22"/>
          <w:szCs w:val="22"/>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Regulations), required to be filed with the Commission, that constitutes an offer to sell or solicitation of an offer to buy Placement Shares hereunder.</w:t>
      </w:r>
    </w:p>
    <w:p>
      <w:pPr>
        <w:spacing w:after="0" w:line="172" w:lineRule="exact"/>
        <w:rPr>
          <w:rFonts w:ascii="Times New Roman" w:cs="Times New Roman" w:eastAsia="Times New Roman" w:hAnsi="Times New Roman"/>
          <w:sz w:val="22"/>
          <w:szCs w:val="22"/>
          <w:color w:val="auto"/>
        </w:rPr>
      </w:pPr>
    </w:p>
    <w:p>
      <w:pPr>
        <w:jc w:val="both"/>
        <w:ind w:left="-360" w:firstLine="1505"/>
        <w:spacing w:after="0" w:line="234" w:lineRule="auto"/>
        <w:tabs>
          <w:tab w:leader="none" w:pos="263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and Other Qualifications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79" w:lineRule="exact"/>
        <w:rPr>
          <w:rFonts w:ascii="Times New Roman" w:cs="Times New Roman" w:eastAsia="Times New Roman" w:hAnsi="Times New Roman"/>
          <w:sz w:val="22"/>
          <w:szCs w:val="22"/>
          <w:color w:val="auto"/>
        </w:rPr>
      </w:pPr>
    </w:p>
    <w:p>
      <w:pPr>
        <w:jc w:val="both"/>
        <w:ind w:left="-360" w:firstLine="1505"/>
        <w:spacing w:after="0" w:line="233" w:lineRule="auto"/>
        <w:tabs>
          <w:tab w:leader="none" w:pos="263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544" w:right="339" w:bottom="1440" w:gutter="0" w:footer="0" w:header="0"/>
        </w:sectPr>
      </w:pPr>
    </w:p>
    <w:bookmarkStart w:id="28" w:name="page29"/>
    <w:bookmarkEnd w:id="28"/>
    <w:p>
      <w:pPr>
        <w:jc w:val="both"/>
        <w:spacing w:after="0" w:line="234" w:lineRule="auto"/>
        <w:rPr>
          <w:sz w:val="20"/>
          <w:szCs w:val="20"/>
          <w:color w:val="auto"/>
        </w:rPr>
      </w:pPr>
      <w:r>
        <w:rPr>
          <w:rFonts w:ascii="Times New Roman" w:cs="Times New Roman" w:eastAsia="Times New Roman" w:hAnsi="Times New Roman"/>
          <w:sz w:val="22"/>
          <w:szCs w:val="22"/>
          <w:color w:val="auto"/>
        </w:rPr>
        <w:t>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83" w:lineRule="exact"/>
        <w:rPr>
          <w:sz w:val="20"/>
          <w:szCs w:val="20"/>
          <w:color w:val="auto"/>
        </w:rPr>
      </w:pPr>
    </w:p>
    <w:p>
      <w:pPr>
        <w:jc w:val="both"/>
        <w:ind w:firstLine="1505"/>
        <w:spacing w:after="0" w:line="234" w:lineRule="auto"/>
        <w:tabs>
          <w:tab w:leader="none" w:pos="299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 Further Documentation</w:t>
      </w:r>
      <w:r>
        <w:rPr>
          <w:rFonts w:ascii="Times New Roman" w:cs="Times New Roman" w:eastAsia="Times New Roman" w:hAnsi="Times New Roman"/>
          <w:sz w:val="22"/>
          <w:szCs w:val="22"/>
          <w:color w:val="auto"/>
        </w:rPr>
        <w:t xml:space="preserve">.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Company’s Board of Directors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for which no waiver is applicable, the Company shall have furnished to the Agents such further information, certificates and documents as the Agents may reasonably request.</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Emerging Growth Company Status</w:t>
      </w:r>
      <w:r>
        <w:rPr>
          <w:rFonts w:ascii="Times New Roman" w:cs="Times New Roman" w:eastAsia="Times New Roman" w:hAnsi="Times New Roman"/>
          <w:sz w:val="22"/>
          <w:szCs w:val="22"/>
          <w:color w:val="auto"/>
        </w:rPr>
        <w:t xml:space="preserve">. The Company will promptly notify the Agents if the Company ceases to be an Emerging Growth Company at any time during the term of this Agreement;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failure to provide such notice on or after December 31, 2025 shall not constitute a violation of its obligations hereunder.</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49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Expenses</w:t>
      </w:r>
      <w:r>
        <w:rPr>
          <w:rFonts w:ascii="Times New Roman" w:cs="Times New Roman" w:eastAsia="Times New Roman" w:hAnsi="Times New Roman"/>
          <w:sz w:val="22"/>
          <w:szCs w:val="22"/>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reasonable and documented fees and expenses of the counsel to the Agent, payable upon the execution of this Agreement, (a) in an amount not to exceed $75,000 in connection with the execution of this Agreement, (b) in an amount not to exceed $25,000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for which no waiver is applicable and excluding the date of this Agreement, and (c) in an amount not to exceed $25,000 for each program “refresh” (filing of a</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9" w:name="page30"/>
    <w:bookmarkEnd w:id="2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22"/>
          <w:szCs w:val="22"/>
          <w:u w:val="single" w:color="auto"/>
          <w:color w:val="auto"/>
        </w:rPr>
        <w:t>Section 7(r)</w:t>
      </w:r>
      <w:r>
        <w:rPr>
          <w:rFonts w:ascii="Times New Roman" w:cs="Times New Roman" w:eastAsia="Times New Roman" w:hAnsi="Times New Roman"/>
          <w:sz w:val="22"/>
          <w:szCs w:val="22"/>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(which fees will be included in and subject to the cap set forth in clause (v) above), and (xi) the fees and expenses incurred in connection with the listing of the Placement Shares on the Exchange. The Company agrees to pay the fees and expenses of counsel to the Agent set forth in clause (v) above by wire transfer of immediately available funds directly to such counsel upon presentation of an invoice containing the requisite payment information prepared by such counsel.</w:t>
      </w:r>
    </w:p>
    <w:p>
      <w:pPr>
        <w:spacing w:after="0" w:line="185" w:lineRule="exact"/>
        <w:rPr>
          <w:sz w:val="20"/>
          <w:szCs w:val="20"/>
          <w:color w:val="auto"/>
        </w:rPr>
      </w:pPr>
    </w:p>
    <w:p>
      <w:pPr>
        <w:jc w:val="both"/>
        <w:ind w:firstLine="757"/>
        <w:spacing w:after="0" w:line="251" w:lineRule="auto"/>
        <w:tabs>
          <w:tab w:leader="none" w:pos="149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Agents’ Obligations</w:t>
      </w:r>
      <w:r>
        <w:rPr>
          <w:rFonts w:ascii="Times New Roman" w:cs="Times New Roman" w:eastAsia="Times New Roman" w:hAnsi="Times New Roman"/>
          <w:sz w:val="21"/>
          <w:szCs w:val="21"/>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specified date or time), to the due performance by the Company of its obligations hereunder, to the completion by the Agents of a due diligence review satisfactory to it in its reasonable judgment, and to the continuing satisfaction (or waiver by each of the Agents in its sole discretion) of the following additional conditions:</w:t>
      </w:r>
    </w:p>
    <w:p>
      <w:pPr>
        <w:spacing w:after="0" w:line="168" w:lineRule="exact"/>
        <w:rPr>
          <w:rFonts w:ascii="Times New Roman" w:cs="Times New Roman" w:eastAsia="Times New Roman" w:hAnsi="Times New Roman"/>
          <w:sz w:val="21"/>
          <w:szCs w:val="21"/>
          <w:color w:val="auto"/>
        </w:rPr>
      </w:pPr>
    </w:p>
    <w:p>
      <w:pPr>
        <w:ind w:firstLine="1505"/>
        <w:spacing w:after="0" w:line="258" w:lineRule="auto"/>
        <w:tabs>
          <w:tab w:leader="none" w:pos="29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 Effective</w:t>
      </w:r>
      <w:r>
        <w:rPr>
          <w:rFonts w:ascii="Times New Roman" w:cs="Times New Roman" w:eastAsia="Times New Roman" w:hAnsi="Times New Roman"/>
          <w:sz w:val="22"/>
          <w:szCs w:val="22"/>
          <w:color w:val="auto"/>
        </w:rPr>
        <w:t>. The Registration Statement shall have become effective and shall be available for the sale of all Placement Shares contemplated to be issued by any Placement Notice.</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Notices</w:t>
      </w:r>
      <w:r>
        <w:rPr>
          <w:rFonts w:ascii="Times New Roman" w:cs="Times New Roman" w:eastAsia="Times New Roman" w:hAnsi="Times New Roman"/>
          <w:sz w:val="22"/>
          <w:szCs w:val="22"/>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which amendments or supplements have not, as of the time of such Placement, been made;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such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w:t>
      </w:r>
    </w:p>
    <w:p>
      <w:pPr>
        <w:spacing w:after="0" w:line="17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they were made, not misleading, which changes have not, as of the time of such Placement, been made.</w:t>
      </w:r>
    </w:p>
    <w:p>
      <w:pPr>
        <w:spacing w:after="0" w:line="206" w:lineRule="exact"/>
        <w:rPr>
          <w:sz w:val="20"/>
          <w:szCs w:val="20"/>
          <w:color w:val="auto"/>
        </w:rPr>
      </w:pPr>
    </w:p>
    <w:p>
      <w:pPr>
        <w:jc w:val="both"/>
        <w:ind w:firstLine="1505"/>
        <w:spacing w:after="0" w:line="239"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Changes</w:t>
      </w:r>
      <w:r>
        <w:rPr>
          <w:rFonts w:ascii="Times New Roman" w:cs="Times New Roman" w:eastAsia="Times New Roman" w:hAnsi="Times New Roman"/>
          <w:sz w:val="22"/>
          <w:szCs w:val="22"/>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The Agents shall have received the opinions and negative assurance letters required to be delivered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 xml:space="preserve"> on or before the date on which such delivery of such opinions and negative assurance letters, as applicable, are required pursuant to </w:t>
      </w:r>
      <w:r>
        <w:rPr>
          <w:rFonts w:ascii="Times New Roman" w:cs="Times New Roman" w:eastAsia="Times New Roman" w:hAnsi="Times New Roman"/>
          <w:sz w:val="22"/>
          <w:szCs w:val="22"/>
          <w:u w:val="single" w:color="auto"/>
          <w:color w:val="auto"/>
        </w:rPr>
        <w:t>Section 7(m)</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82" w:lineRule="auto"/>
        <w:tabs>
          <w:tab w:leader="none" w:pos="299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Comfort Letter</w:t>
      </w:r>
      <w:r>
        <w:rPr>
          <w:rFonts w:ascii="Times New Roman" w:cs="Times New Roman" w:eastAsia="Times New Roman" w:hAnsi="Times New Roman"/>
          <w:sz w:val="21"/>
          <w:szCs w:val="21"/>
          <w:color w:val="auto"/>
        </w:rPr>
        <w:t xml:space="preserve">. The Agents shall have received the Comfort Letter required to be delivered pursuant to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 xml:space="preserve"> on or before the date on which such delivery of such Comfort Letter is required pursuant to </w:t>
      </w:r>
      <w:r>
        <w:rPr>
          <w:rFonts w:ascii="Times New Roman" w:cs="Times New Roman" w:eastAsia="Times New Roman" w:hAnsi="Times New Roman"/>
          <w:sz w:val="21"/>
          <w:szCs w:val="21"/>
          <w:u w:val="single" w:color="auto"/>
          <w:color w:val="auto"/>
        </w:rPr>
        <w:t>Section 7(n)</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firstLine="1505"/>
        <w:spacing w:after="0" w:line="282" w:lineRule="auto"/>
        <w:tabs>
          <w:tab w:leader="none" w:pos="299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 Certificate</w:t>
      </w:r>
      <w:r>
        <w:rPr>
          <w:rFonts w:ascii="Times New Roman" w:cs="Times New Roman" w:eastAsia="Times New Roman" w:hAnsi="Times New Roman"/>
          <w:sz w:val="21"/>
          <w:szCs w:val="21"/>
          <w:color w:val="auto"/>
        </w:rPr>
        <w:t xml:space="preserve">. The Agents shall have received the certificate required to be delivered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 xml:space="preserve"> on or before the date on which delivery of such certificate is required pursuant to </w:t>
      </w:r>
      <w:r>
        <w:rPr>
          <w:rFonts w:ascii="Times New Roman" w:cs="Times New Roman" w:eastAsia="Times New Roman" w:hAnsi="Times New Roman"/>
          <w:sz w:val="21"/>
          <w:szCs w:val="21"/>
          <w:u w:val="single" w:color="auto"/>
          <w:color w:val="auto"/>
        </w:rPr>
        <w:t>Section 7(l)</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firstLine="1505"/>
        <w:spacing w:after="0" w:line="258"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Suspension</w:t>
      </w:r>
      <w:r>
        <w:rPr>
          <w:rFonts w:ascii="Times New Roman" w:cs="Times New Roman" w:eastAsia="Times New Roman" w:hAnsi="Times New Roman"/>
          <w:sz w:val="22"/>
          <w:szCs w:val="22"/>
          <w:color w:val="auto"/>
        </w:rPr>
        <w:t>. Trading in the Common Stock shall not have been suspended on the Exchange and the Common Stock shall not have been delisted from the Exchange.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Materials</w:t>
      </w:r>
      <w:r>
        <w:rPr>
          <w:rFonts w:ascii="Times New Roman" w:cs="Times New Roman" w:eastAsia="Times New Roman" w:hAnsi="Times New Roman"/>
          <w:sz w:val="22"/>
          <w:szCs w:val="22"/>
          <w:color w:val="auto"/>
        </w:rPr>
        <w:t xml:space="preserve">. On each date on which the Company is required to deliver a certificate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Filings Made</w:t>
      </w:r>
      <w:r>
        <w:rPr>
          <w:rFonts w:ascii="Times New Roman" w:cs="Times New Roman" w:eastAsia="Times New Roman" w:hAnsi="Times New Roman"/>
          <w:sz w:val="22"/>
          <w:szCs w:val="22"/>
          <w:color w:val="auto"/>
        </w:rPr>
        <w:t>. All filings with the Commission required by Rule 424 under the Securities Act Regulations to have been filed prior to the issuance of any Placement Notice hereunder shall have been made within the applicable time period prescribed for such filing by Rule 424 of the Securities Act Regulations.</w:t>
      </w:r>
    </w:p>
    <w:p>
      <w:pPr>
        <w:spacing w:after="0" w:line="17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1" w:name="page32"/>
    <w:bookmarkEnd w:id="31"/>
    <w:p>
      <w:pPr>
        <w:jc w:val="both"/>
        <w:ind w:firstLine="1505"/>
        <w:spacing w:after="0" w:line="244" w:lineRule="auto"/>
        <w:tabs>
          <w:tab w:leader="none" w:pos="299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 for Listing</w:t>
      </w:r>
      <w:r>
        <w:rPr>
          <w:rFonts w:ascii="Times New Roman" w:cs="Times New Roman" w:eastAsia="Times New Roman" w:hAnsi="Times New Roman"/>
          <w:sz w:val="22"/>
          <w:szCs w:val="22"/>
          <w:color w:val="auto"/>
        </w:rPr>
        <w:t>. The Placement Shares shall either have been (i) approved for listing on the Exchange, subject only to notice of issuance, or (ii) the Company shall have filed a notification of listing of additional shares with respect to the Placement Shares on the Exchange at, or prior to, the issuance of any Placement Notice.</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99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FINRA</w:t>
      </w:r>
      <w:r>
        <w:rPr>
          <w:rFonts w:ascii="Times New Roman" w:cs="Times New Roman" w:eastAsia="Times New Roman" w:hAnsi="Times New Roman"/>
          <w:sz w:val="22"/>
          <w:szCs w:val="22"/>
          <w:color w:val="auto"/>
        </w:rPr>
        <w:t>. If applicable, FINRA shall have raised no objection to the terms of this offering and the amount of compensation allowable or payable to the Agents as described in the Prospectus.</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xml:space="preserve">. There shall not have occurred any event that would permit the Agents to terminate this Agreement pursuant to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Contribution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Indemnification</w:t>
      </w:r>
      <w:r>
        <w:rPr>
          <w:rFonts w:ascii="Times New Roman" w:cs="Times New Roman" w:eastAsia="Times New Roman" w:hAnsi="Times New Roman"/>
          <w:sz w:val="22"/>
          <w:szCs w:val="22"/>
          <w:color w:val="auto"/>
        </w:rPr>
        <w:t>. The Company agrees to indemnify and hold harmless the Agents, their respective affiliates and their respective partners, members, directors, officers, employees and agents and each person, if any, who controls the applicable Agent or any affiliate within the meaning of Section 15 of the Securities Act or Section 20 of the Exchange Act as follows:</w:t>
      </w:r>
    </w:p>
    <w:p>
      <w:pPr>
        <w:spacing w:after="0" w:line="180"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 xml:space="preserve">(ii) 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settlement is effected with the written consent of the Company, which consent shall not unreasonably be delayed or withheld; and</w:t>
      </w:r>
    </w:p>
    <w:p>
      <w:pPr>
        <w:spacing w:after="0" w:line="177"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 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this indemnity agreement shall not apply to any loss, liability, claim, damage or expense to the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arising out of any untrue statement or omission or alleged untrue</w:t>
      </w:r>
    </w:p>
    <w:p>
      <w:pPr>
        <w:spacing w:after="0" w:line="15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statement or omission made solely in reliance upon and in conformity with the Agent Information (as defined below).</w:t>
      </w:r>
    </w:p>
    <w:p>
      <w:pPr>
        <w:spacing w:after="0" w:line="206" w:lineRule="exact"/>
        <w:rPr>
          <w:sz w:val="20"/>
          <w:szCs w:val="20"/>
          <w:color w:val="auto"/>
        </w:rPr>
      </w:pPr>
    </w:p>
    <w:p>
      <w:pPr>
        <w:jc w:val="both"/>
        <w:ind w:firstLine="1505"/>
        <w:spacing w:after="0" w:line="245" w:lineRule="auto"/>
        <w:tabs>
          <w:tab w:leader="none" w:pos="299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Agents</w:t>
      </w:r>
      <w:r>
        <w:rPr>
          <w:rFonts w:ascii="Times New Roman" w:cs="Times New Roman" w:eastAsia="Times New Roman" w:hAnsi="Times New Roman"/>
          <w:sz w:val="21"/>
          <w:szCs w:val="21"/>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21"/>
          <w:szCs w:val="21"/>
          <w:u w:val="single" w:color="auto"/>
          <w:color w:val="auto"/>
        </w:rPr>
        <w:t>Section 10(a)</w:t>
      </w:r>
      <w:r>
        <w:rPr>
          <w:rFonts w:ascii="Times New Roman" w:cs="Times New Roman" w:eastAsia="Times New Roman" w:hAnsi="Times New Roman"/>
          <w:sz w:val="21"/>
          <w:szCs w:val="21"/>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21"/>
          <w:szCs w:val="21"/>
          <w:b w:val="1"/>
          <w:bCs w:val="1"/>
          <w:u w:val="single" w:color="auto"/>
          <w:color w:val="auto"/>
        </w:rPr>
        <w:t>Agent Information</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1505"/>
        <w:spacing w:after="0" w:line="232" w:lineRule="auto"/>
        <w:tabs>
          <w:tab w:leader="none" w:pos="299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xml:space="preserve">. Any party that proposes to assert the right to be indemnified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 (ii) any liability that it may have to any indemnified party under the foregoing provision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w:t>
      </w:r>
    </w:p>
    <w:p>
      <w:pPr>
        <w:spacing w:after="0" w:line="18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reasonable and documented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(whether or not any indemnified party is a party thereto), unless such settlement, compromise or consent (1) includes an express and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83" w:lineRule="exact"/>
        <w:rPr>
          <w:sz w:val="20"/>
          <w:szCs w:val="20"/>
          <w:color w:val="auto"/>
        </w:rPr>
      </w:pPr>
    </w:p>
    <w:p>
      <w:pPr>
        <w:jc w:val="both"/>
        <w:ind w:firstLine="1505"/>
        <w:spacing w:after="0" w:line="232" w:lineRule="auto"/>
        <w:tabs>
          <w:tab w:leader="none" w:pos="29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such Agent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such Agent agree that it would not be just and equitable if contributions pursuant to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shall be deemed to include, for the purpose of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any legal or other expenses reasonably incurred by such indemnified party in connection with investigating or defending any</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such action or claim to the extent consistent with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Notwithstanding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10(d)</w:t>
      </w:r>
      <w:r>
        <w:rPr>
          <w:rFonts w:ascii="Times New Roman" w:cs="Times New Roman" w:eastAsia="Times New Roman" w:hAnsi="Times New Roman"/>
          <w:sz w:val="22"/>
          <w:szCs w:val="22"/>
          <w:color w:val="auto"/>
        </w:rPr>
        <w:t xml:space="preserve">, no Agent shall be required to contribute any amount in excess of the commissions received by such Agent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22"/>
          <w:szCs w:val="22"/>
          <w:u w:val="single" w:color="auto"/>
          <w:color w:val="auto"/>
        </w:rPr>
        <w:t>Section 10(c)</w:t>
      </w:r>
      <w:r>
        <w:rPr>
          <w:rFonts w:ascii="Times New Roman" w:cs="Times New Roman" w:eastAsia="Times New Roman" w:hAnsi="Times New Roman"/>
          <w:sz w:val="22"/>
          <w:szCs w:val="22"/>
          <w:color w:val="auto"/>
        </w:rPr>
        <w:t xml:space="preserve"> hereof. The Agents’ respective obligations to contribute pursuant to this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 xml:space="preserve"> are several in proportion to the respective number of Placement Shares they have sold hereunder, and not joint.</w:t>
      </w:r>
    </w:p>
    <w:p>
      <w:pPr>
        <w:spacing w:after="0" w:line="190" w:lineRule="exact"/>
        <w:rPr>
          <w:sz w:val="20"/>
          <w:szCs w:val="20"/>
          <w:color w:val="auto"/>
        </w:rPr>
      </w:pPr>
    </w:p>
    <w:p>
      <w:pPr>
        <w:jc w:val="both"/>
        <w:ind w:firstLine="757"/>
        <w:spacing w:after="0" w:line="238" w:lineRule="auto"/>
        <w:tabs>
          <w:tab w:leader="none" w:pos="149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Agreements to Survive Delivery</w:t>
      </w:r>
      <w:r>
        <w:rPr>
          <w:rFonts w:ascii="Times New Roman" w:cs="Times New Roman" w:eastAsia="Times New Roman" w:hAnsi="Times New Roman"/>
          <w:sz w:val="22"/>
          <w:szCs w:val="22"/>
          <w:color w:val="auto"/>
        </w:rPr>
        <w:t xml:space="preserve">. The indemnity and contribution agreements contained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7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w:t>
      </w:r>
    </w:p>
    <w:p>
      <w:pPr>
        <w:spacing w:after="0" w:line="18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(Payment of Expenses),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(Indemnification and Contribution),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(Representations and Agreements to Survive Delivery),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(Governing Law and Time; Waiver of Jury Trial)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such Agent shall provide the required notice as specified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(Notices). For the avoidance of doubt, the termination by one Agent of its rights and obligations under this Agreement pursuant to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shall not affect the rights and obligations of the other Agent under this Agreement.</w:t>
      </w:r>
    </w:p>
    <w:p>
      <w:pPr>
        <w:spacing w:after="0" w:line="185" w:lineRule="exact"/>
        <w:rPr>
          <w:sz w:val="20"/>
          <w:szCs w:val="20"/>
          <w:color w:val="auto"/>
        </w:rPr>
      </w:pPr>
    </w:p>
    <w:p>
      <w:pPr>
        <w:jc w:val="both"/>
        <w:ind w:firstLine="1505"/>
        <w:spacing w:after="0" w:line="239" w:lineRule="auto"/>
        <w:tabs>
          <w:tab w:leader="none" w:pos="29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shall remain in full force and effect notwithstanding such termination.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9" w:lineRule="auto"/>
        <w:tabs>
          <w:tab w:leader="none" w:pos="299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Agents shall have the right, by giving ten (10) days’ notice as hereinafter specified to terminate this Agreement in its sole discretion at any time after the date of this Agreement, with respect to such Agent’s rights and obligations under this Agreement. Any such termination shall be without liability of any party to any other party except that the provisions of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hereof shall remain in full force and effect notwithstanding such termination. For the avoidance of doubt, the termination by one Agent of its rights and obligations under this Agreement pursuant to this </w:t>
      </w:r>
      <w:r>
        <w:rPr>
          <w:rFonts w:ascii="Times New Roman" w:cs="Times New Roman" w:eastAsia="Times New Roman" w:hAnsi="Times New Roman"/>
          <w:sz w:val="21"/>
          <w:szCs w:val="21"/>
          <w:u w:val="single" w:color="auto"/>
          <w:color w:val="auto"/>
        </w:rPr>
        <w:t>Section 12(c)</w:t>
      </w:r>
      <w:r>
        <w:rPr>
          <w:rFonts w:ascii="Times New Roman" w:cs="Times New Roman" w:eastAsia="Times New Roman" w:hAnsi="Times New Roman"/>
          <w:sz w:val="21"/>
          <w:szCs w:val="21"/>
          <w:color w:val="auto"/>
        </w:rPr>
        <w:t xml:space="preserve"> shall not affect the rights and obligations of the other Agent under this Agreement.</w:t>
      </w:r>
    </w:p>
    <w:p>
      <w:pPr>
        <w:spacing w:after="0" w:line="170" w:lineRule="exact"/>
        <w:rPr>
          <w:rFonts w:ascii="Times New Roman" w:cs="Times New Roman" w:eastAsia="Times New Roman" w:hAnsi="Times New Roman"/>
          <w:sz w:val="21"/>
          <w:szCs w:val="21"/>
          <w:color w:val="auto"/>
        </w:rPr>
      </w:pPr>
    </w:p>
    <w:p>
      <w:pPr>
        <w:jc w:val="both"/>
        <w:ind w:firstLine="1505"/>
        <w:spacing w:after="0" w:line="239" w:lineRule="auto"/>
        <w:tabs>
          <w:tab w:leader="none" w:pos="29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remain in full force and effect unless terminated pursuant to </w:t>
      </w:r>
      <w:r>
        <w:rPr>
          <w:rFonts w:ascii="Times New Roman" w:cs="Times New Roman" w:eastAsia="Times New Roman" w:hAnsi="Times New Roman"/>
          <w:sz w:val="22"/>
          <w:szCs w:val="22"/>
          <w:u w:val="single" w:color="auto"/>
          <w:color w:val="auto"/>
        </w:rPr>
        <w:t>Sections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or otherwise by mutual agreement of the parties;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termination by mutual agreement shall in all cases be deemed to provide that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shall remain in full force and effect.</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termination of this Agreement shall be effective on the date specified in such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8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jc w:val="both"/>
        <w:ind w:firstLine="757"/>
        <w:spacing w:after="0" w:line="244" w:lineRule="auto"/>
        <w:tabs>
          <w:tab w:leader="none" w:pos="14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499 Park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Capital Markets</w:t>
      </w:r>
    </w:p>
    <w:p>
      <w:pPr>
        <w:ind w:left="1500"/>
        <w:spacing w:after="0"/>
        <w:tabs>
          <w:tab w:leader="none" w:pos="28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notices-IBD@cantor.com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499 Park Avenue</w:t>
      </w:r>
    </w:p>
    <w:p>
      <w:pPr>
        <w:ind w:left="150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ind w:left="1500"/>
        <w:spacing w:after="0" w:line="231" w:lineRule="auto"/>
        <w:tabs>
          <w:tab w:leader="none" w:pos="27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General Counsel</w:t>
      </w:r>
    </w:p>
    <w:p>
      <w:pPr>
        <w:ind w:left="1500"/>
        <w:spacing w:after="0"/>
        <w:tabs>
          <w:tab w:leader="none" w:pos="27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legal-IBD@cantor.com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BTIG, LLC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65 East 55th Street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Equity Capital Markets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BTIGUSATMTrading@btig.com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BTIG, LLC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600 Montgomery Street, 6th Floor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San Francisco, CA 94111</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General Counsel and Chief Compliance Officer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BTIGcompliance@btig.com and legal@btig.com</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55 Hudson Yards</w:t>
      </w:r>
    </w:p>
    <w:p>
      <w:pPr>
        <w:ind w:left="880"/>
        <w:spacing w:after="0" w:line="230" w:lineRule="auto"/>
        <w:rPr>
          <w:sz w:val="20"/>
          <w:szCs w:val="20"/>
          <w:color w:val="auto"/>
        </w:rPr>
      </w:pPr>
      <w:r>
        <w:rPr>
          <w:rFonts w:ascii="Times New Roman" w:cs="Times New Roman" w:eastAsia="Times New Roman" w:hAnsi="Times New Roman"/>
          <w:sz w:val="22"/>
          <w:szCs w:val="22"/>
          <w:color w:val="auto"/>
        </w:rPr>
        <w:t>New York, NY 10001-2157</w:t>
      </w:r>
    </w:p>
    <w:p>
      <w:pPr>
        <w:ind w:left="880"/>
        <w:spacing w:after="0" w:line="231" w:lineRule="auto"/>
        <w:tabs>
          <w:tab w:leader="none" w:pos="21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Daniel I. Goldberg</w:t>
      </w:r>
    </w:p>
    <w:p>
      <w:pPr>
        <w:ind w:left="880"/>
        <w:spacing w:after="0" w:line="230" w:lineRule="auto"/>
        <w:tabs>
          <w:tab w:leader="none" w:pos="2140" w:val="left"/>
        </w:tabs>
        <w:rPr>
          <w:sz w:val="20"/>
          <w:szCs w:val="20"/>
          <w:color w:val="auto"/>
        </w:rPr>
      </w:pPr>
      <w:r>
        <w:rPr>
          <w:rFonts w:ascii="Times New Roman" w:cs="Times New Roman" w:eastAsia="Times New Roman" w:hAnsi="Times New Roman"/>
          <w:sz w:val="22"/>
          <w:szCs w:val="22"/>
          <w:color w:val="auto"/>
        </w:rPr>
        <w:t>Facsimile:</w:t>
      </w:r>
      <w:r>
        <w:rPr>
          <w:sz w:val="20"/>
          <w:szCs w:val="20"/>
          <w:color w:val="auto"/>
        </w:rPr>
        <w:tab/>
      </w:r>
      <w:r>
        <w:rPr>
          <w:rFonts w:ascii="Times New Roman" w:cs="Times New Roman" w:eastAsia="Times New Roman" w:hAnsi="Times New Roman"/>
          <w:sz w:val="22"/>
          <w:szCs w:val="22"/>
          <w:color w:val="auto"/>
        </w:rPr>
        <w:t>(212) 479-6275</w:t>
      </w:r>
    </w:p>
    <w:p>
      <w:pPr>
        <w:spacing w:after="0" w:line="1" w:lineRule="exact"/>
        <w:rPr>
          <w:sz w:val="20"/>
          <w:szCs w:val="20"/>
          <w:color w:val="auto"/>
        </w:rPr>
      </w:pPr>
    </w:p>
    <w:p>
      <w:pPr>
        <w:ind w:left="880"/>
        <w:spacing w:after="0"/>
        <w:tabs>
          <w:tab w:leader="none" w:pos="21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dgoldberg@cooley.com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if to the Company, shall be delivered to:</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18706 North Creek Parkway, Suite 104</w:t>
      </w:r>
    </w:p>
    <w:p>
      <w:pPr>
        <w:ind w:left="1500"/>
        <w:spacing w:after="0" w:line="230" w:lineRule="auto"/>
        <w:rPr>
          <w:sz w:val="20"/>
          <w:szCs w:val="20"/>
          <w:color w:val="auto"/>
        </w:rPr>
      </w:pPr>
      <w:r>
        <w:rPr>
          <w:rFonts w:ascii="Times New Roman" w:cs="Times New Roman" w:eastAsia="Times New Roman" w:hAnsi="Times New Roman"/>
          <w:sz w:val="22"/>
          <w:szCs w:val="22"/>
          <w:color w:val="auto"/>
        </w:rPr>
        <w:t>Bothell, Washington 98011</w:t>
      </w:r>
    </w:p>
    <w:p>
      <w:pPr>
        <w:ind w:left="150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1500"/>
        <w:spacing w:after="0"/>
        <w:rPr>
          <w:sz w:val="20"/>
          <w:szCs w:val="20"/>
          <w:color w:val="auto"/>
        </w:rPr>
      </w:pPr>
      <w:r>
        <w:rPr>
          <w:rFonts w:ascii="Times New Roman" w:cs="Times New Roman" w:eastAsia="Times New Roman" w:hAnsi="Times New Roman"/>
          <w:sz w:val="22"/>
          <w:szCs w:val="22"/>
          <w:color w:val="auto"/>
        </w:rPr>
        <w:t>Email: legal@athira.com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Wilson Sonsini Goodrich &amp; Rosati, Professional Corporation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701 Fifth Avenue, Suite 5100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Seattle, WA 98104-7036</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Michael Nordtvedt and Bryan D. King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Email: mnordtvedt@wsgr.com and bking@wsgr.com</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shall mean any day on which the Exchange and commercial banks in the City of New York are open for business.</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An electronic communication (“</w:t>
      </w:r>
      <w:r>
        <w:rPr>
          <w:rFonts w:ascii="Times New Roman" w:cs="Times New Roman" w:eastAsia="Times New Roman" w:hAnsi="Times New Roman"/>
          <w:sz w:val="22"/>
          <w:szCs w:val="22"/>
          <w:b w:val="1"/>
          <w:bCs w:val="1"/>
          <w:u w:val="single" w:color="auto"/>
          <w:color w:val="auto"/>
        </w:rPr>
        <w:t>Electronic Notice</w:t>
      </w:r>
      <w:r>
        <w:rPr>
          <w:rFonts w:ascii="Times New Roman" w:cs="Times New Roman" w:eastAsia="Times New Roman" w:hAnsi="Times New Roman"/>
          <w:sz w:val="22"/>
          <w:szCs w:val="22"/>
          <w:color w:val="auto"/>
        </w:rPr>
        <w:t xml:space="preserve">”) shall be deemed written notice for purposes of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22"/>
          <w:szCs w:val="22"/>
          <w:b w:val="1"/>
          <w:bCs w:val="1"/>
          <w:u w:val="single" w:color="auto"/>
          <w:color w:val="auto"/>
        </w:rPr>
        <w:t>Nonelectronic Notic</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2"/>
          <w:szCs w:val="22"/>
          <w:color w:val="auto"/>
        </w:rPr>
        <w:t>”) which shall be sent to the requesting party within ten (10) days of receipt of the written request for Nonelectronic Notice.</w:t>
      </w:r>
    </w:p>
    <w:p>
      <w:pPr>
        <w:spacing w:after="0" w:line="17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jc w:val="both"/>
        <w:ind w:left="-360" w:firstLine="757"/>
        <w:spacing w:after="0" w:line="234" w:lineRule="auto"/>
        <w:tabs>
          <w:tab w:leader="none" w:pos="11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shall inure to the benefit of and be binding upon the Company and the Agents and their respective successors and the parties referred to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each Agent may assign its rights and obligations hereunder to an affiliate thereof without obtaining the Company’s consent, so long as such affiliate is a registered broker dealer and the Agent provides advance written notice of such assignment to the Company.</w:t>
      </w:r>
    </w:p>
    <w:p>
      <w:pPr>
        <w:spacing w:after="0" w:line="183" w:lineRule="exact"/>
        <w:rPr>
          <w:rFonts w:ascii="Times New Roman" w:cs="Times New Roman" w:eastAsia="Times New Roman" w:hAnsi="Times New Roman"/>
          <w:sz w:val="22"/>
          <w:szCs w:val="22"/>
          <w:color w:val="auto"/>
        </w:rPr>
      </w:pPr>
    </w:p>
    <w:p>
      <w:pPr>
        <w:jc w:val="both"/>
        <w:ind w:left="-360" w:firstLine="757"/>
        <w:spacing w:after="0" w:line="244" w:lineRule="auto"/>
        <w:tabs>
          <w:tab w:leader="none" w:pos="11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for Stock Splits</w:t>
      </w:r>
      <w:r>
        <w:rPr>
          <w:rFonts w:ascii="Times New Roman" w:cs="Times New Roman" w:eastAsia="Times New Roman" w:hAnsi="Times New Roman"/>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73" w:lineRule="exact"/>
        <w:rPr>
          <w:rFonts w:ascii="Times New Roman" w:cs="Times New Roman" w:eastAsia="Times New Roman" w:hAnsi="Times New Roman"/>
          <w:sz w:val="22"/>
          <w:szCs w:val="22"/>
          <w:color w:val="auto"/>
        </w:rPr>
      </w:pPr>
    </w:p>
    <w:p>
      <w:pPr>
        <w:jc w:val="both"/>
        <w:ind w:left="-360" w:firstLine="757"/>
        <w:spacing w:after="0" w:line="233" w:lineRule="auto"/>
        <w:tabs>
          <w:tab w:leader="none" w:pos="11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 Severability; Waiver</w:t>
      </w:r>
      <w:r>
        <w:rPr>
          <w:rFonts w:ascii="Times New Roman" w:cs="Times New Roman" w:eastAsia="Times New Roman" w:hAnsi="Times New Roman"/>
          <w:sz w:val="22"/>
          <w:szCs w:val="22"/>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of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78" w:lineRule="exact"/>
        <w:rPr>
          <w:rFonts w:ascii="Times New Roman" w:cs="Times New Roman" w:eastAsia="Times New Roman" w:hAnsi="Times New Roman"/>
          <w:sz w:val="22"/>
          <w:szCs w:val="22"/>
          <w:color w:val="auto"/>
        </w:rPr>
      </w:pPr>
    </w:p>
    <w:p>
      <w:pPr>
        <w:jc w:val="both"/>
        <w:ind w:left="-360" w:firstLine="757"/>
        <w:spacing w:after="0" w:line="236" w:lineRule="auto"/>
        <w:tabs>
          <w:tab w:leader="none" w:pos="11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TIME; WAIVER OF JURY TRIAL</w:t>
      </w:r>
      <w:r>
        <w:rPr>
          <w:rFonts w:ascii="Times New Roman" w:cs="Times New Roman" w:eastAsia="Times New Roman" w:hAnsi="Times New Roman"/>
          <w:sz w:val="22"/>
          <w:szCs w:val="22"/>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5" w:lineRule="exact"/>
        <w:rPr>
          <w:rFonts w:ascii="Times New Roman" w:cs="Times New Roman" w:eastAsia="Times New Roman" w:hAnsi="Times New Roman"/>
          <w:sz w:val="22"/>
          <w:szCs w:val="22"/>
          <w:color w:val="auto"/>
        </w:rPr>
      </w:pPr>
    </w:p>
    <w:p>
      <w:pPr>
        <w:jc w:val="both"/>
        <w:ind w:left="-360" w:firstLine="757"/>
        <w:spacing w:after="0" w:line="241" w:lineRule="auto"/>
        <w:tabs>
          <w:tab w:leader="none" w:pos="113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w:t>
      </w:r>
      <w:r>
        <w:rPr>
          <w:rFonts w:ascii="Times New Roman" w:cs="Times New Roman" w:eastAsia="Times New Roman" w:hAnsi="Times New Roman"/>
          <w:sz w:val="22"/>
          <w:szCs w:val="22"/>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66675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544" w:right="339" w:bottom="1440" w:gutter="0" w:footer="0" w:header="0"/>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21"/>
          <w:szCs w:val="21"/>
          <w:b w:val="1"/>
          <w:bCs w:val="1"/>
          <w:color w:val="auto"/>
        </w:rPr>
        <w:t>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75" w:lineRule="exact"/>
        <w:rPr>
          <w:sz w:val="20"/>
          <w:szCs w:val="20"/>
          <w:color w:val="auto"/>
        </w:rPr>
      </w:pPr>
    </w:p>
    <w:p>
      <w:pPr>
        <w:jc w:val="both"/>
        <w:ind w:firstLine="757"/>
        <w:spacing w:after="0" w:line="236" w:lineRule="auto"/>
        <w:tabs>
          <w:tab w:leader="none" w:pos="14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1" w:lineRule="exact"/>
        <w:rPr>
          <w:rFonts w:ascii="Times New Roman" w:cs="Times New Roman" w:eastAsia="Times New Roman" w:hAnsi="Times New Roman"/>
          <w:sz w:val="22"/>
          <w:szCs w:val="22"/>
          <w:color w:val="auto"/>
        </w:rPr>
      </w:pPr>
    </w:p>
    <w:p>
      <w:pPr>
        <w:jc w:val="both"/>
        <w:ind w:firstLine="757"/>
        <w:spacing w:after="0" w:line="238" w:lineRule="auto"/>
        <w:tabs>
          <w:tab w:leader="none" w:pos="14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49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Free Writing Prospectuses</w:t>
      </w:r>
      <w:r>
        <w:rPr>
          <w:rFonts w:ascii="Times New Roman" w:cs="Times New Roman" w:eastAsia="Times New Roman" w:hAnsi="Times New Roman"/>
          <w:sz w:val="22"/>
          <w:szCs w:val="22"/>
          <w:color w:val="auto"/>
        </w:rPr>
        <w:t>. The Company represents, warrants and agrees that, unless it obtains the prior written consent of each of the Agents, and each of the Agents represents, warrants and agrees that, unless it obtains the prior written consent of the Company and the other Agent,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w:t>
      </w:r>
      <w:r>
        <w:rPr>
          <w:rFonts w:ascii="Times New Roman" w:cs="Times New Roman" w:eastAsia="Times New Roman" w:hAnsi="Times New Roman"/>
          <w:sz w:val="22"/>
          <w:szCs w:val="22"/>
          <w:b w:val="1"/>
          <w:bCs w:val="1"/>
          <w:u w:val="single" w:color="auto"/>
          <w:color w:val="auto"/>
        </w:rPr>
        <w:t>Permitted Free Writing Prospectus</w:t>
      </w:r>
      <w:r>
        <w:rPr>
          <w:rFonts w:ascii="Times New Roman" w:cs="Times New Roman" w:eastAsia="Times New Roman" w:hAnsi="Times New Roman"/>
          <w:sz w:val="22"/>
          <w:szCs w:val="22"/>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22"/>
          <w:szCs w:val="22"/>
          <w:u w:val="single" w:color="auto"/>
          <w:color w:val="auto"/>
        </w:rPr>
        <w:t>Exhibit 21</w:t>
      </w:r>
      <w:r>
        <w:rPr>
          <w:rFonts w:ascii="Times New Roman" w:cs="Times New Roman" w:eastAsia="Times New Roman" w:hAnsi="Times New Roman"/>
          <w:sz w:val="22"/>
          <w:szCs w:val="22"/>
          <w:color w:val="auto"/>
        </w:rPr>
        <w:t xml:space="preserve"> hereto are Permitted Free Writing Prospectuses.</w:t>
      </w:r>
    </w:p>
    <w:p>
      <w:pPr>
        <w:spacing w:after="0" w:line="18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Fiduciary Relationship</w:t>
      </w:r>
      <w:r>
        <w:rPr>
          <w:rFonts w:ascii="Times New Roman" w:cs="Times New Roman" w:eastAsia="Times New Roman" w:hAnsi="Times New Roman"/>
          <w:sz w:val="22"/>
          <w:szCs w:val="22"/>
          <w:color w:val="auto"/>
        </w:rPr>
        <w:t>. The Company acknowledges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-2139950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jc w:val="both"/>
        <w:ind w:firstLine="1505"/>
        <w:spacing w:after="0" w:line="235" w:lineRule="auto"/>
        <w:tabs>
          <w:tab w:leader="none" w:pos="29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such Agent has advised or is advising the Company on other matters, and no Agent has any obligation to the Company with respect to the transactions contemplated by this Agreement except the obligations expressly set forth in this Agreement;</w:t>
      </w:r>
    </w:p>
    <w:p>
      <w:pPr>
        <w:spacing w:after="0" w:line="183" w:lineRule="exact"/>
        <w:rPr>
          <w:rFonts w:ascii="Times New Roman" w:cs="Times New Roman" w:eastAsia="Times New Roman" w:hAnsi="Times New Roman"/>
          <w:sz w:val="22"/>
          <w:szCs w:val="22"/>
          <w:color w:val="auto"/>
        </w:rPr>
      </w:pPr>
    </w:p>
    <w:p>
      <w:pPr>
        <w:ind w:right="20" w:firstLine="1505"/>
        <w:spacing w:after="0" w:line="258" w:lineRule="auto"/>
        <w:tabs>
          <w:tab w:leader="none" w:pos="29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capable of evaluating and understanding, and understands and accepts, the terms, risks and conditions of the transactions contemplated by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9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Agents nor their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9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aware that each Agent and their respective affiliates are engaged in a broad range of transactions which may involve interests that differ from those of the Company and the Agents and their affiliates have no obligation to disclose such interests and transactions to the Company by virtue of any fiduciary, advisory or agency relationship or otherwise;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in this Agreement, the following terms have the respective meanings set forth below:</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Time</w:t>
      </w:r>
      <w:r>
        <w:rPr>
          <w:rFonts w:ascii="Times New Roman" w:cs="Times New Roman" w:eastAsia="Times New Roman" w:hAnsi="Times New Roman"/>
          <w:sz w:val="22"/>
          <w:szCs w:val="22"/>
          <w:color w:val="auto"/>
        </w:rPr>
        <w:t>” means (i) each Representation Date, (ii) the time of each sale of any Placement Shares pursuant to this Agreement and (iii) each Settlement Date.</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Issuer Free Writing Prospectus</w:t>
      </w:r>
      <w:r>
        <w:rPr>
          <w:rFonts w:ascii="Times New Roman" w:cs="Times New Roman" w:eastAsia="Times New Roman" w:hAnsi="Times New Roman"/>
          <w:sz w:val="22"/>
          <w:szCs w:val="22"/>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w:t>
      </w:r>
    </w:p>
    <w:p>
      <w:pPr>
        <w:spacing w:after="0" w:line="18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2"/>
          <w:szCs w:val="22"/>
          <w:color w:val="auto"/>
        </w:rPr>
        <w:t>filed with the Commission or, if not required to be filed, in the form retained in the Company’s records pursuant to Rule 433(g) under the Securities Act Regulations.</w:t>
      </w:r>
    </w:p>
    <w:p>
      <w:pPr>
        <w:spacing w:after="0" w:line="154" w:lineRule="exact"/>
        <w:rPr>
          <w:sz w:val="20"/>
          <w:szCs w:val="20"/>
          <w:color w:val="auto"/>
        </w:rPr>
      </w:pPr>
    </w:p>
    <w:p>
      <w:pPr>
        <w:ind w:right="200" w:firstLine="803"/>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Rule 164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172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405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415</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424(b)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u w:val="single" w:color="auto"/>
          <w:color w:val="auto"/>
        </w:rPr>
        <w:t>Rule 430B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u w:val="single" w:color="auto"/>
          <w:color w:val="auto"/>
        </w:rPr>
        <w:t>Rule 433</w:t>
      </w:r>
      <w:r>
        <w:rPr>
          <w:rFonts w:ascii="Times New Roman" w:cs="Times New Roman" w:eastAsia="Times New Roman" w:hAnsi="Times New Roman"/>
          <w:sz w:val="22"/>
          <w:szCs w:val="22"/>
          <w:color w:val="auto"/>
        </w:rPr>
        <w:t>” refer to such rules under the Securities Act Regulations.</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 foregoing correctly sets forth the understanding among the Company and the Agents, please so indicate in the space provided below for that purpose, whereupon this letter shall constitute a binding agreement among the Company and the Agents.</w:t>
      </w:r>
    </w:p>
    <w:p>
      <w:pPr>
        <w:spacing w:after="0" w:line="1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8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19685</wp:posOffset>
            </wp:positionV>
            <wp:extent cx="3162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23" w:lineRule="exact"/>
        <w:rPr>
          <w:sz w:val="20"/>
          <w:szCs w:val="20"/>
          <w:color w:val="auto"/>
        </w:rPr>
      </w:pPr>
    </w:p>
    <w:p>
      <w:pPr>
        <w:ind w:left="6280"/>
        <w:spacing w:after="0"/>
        <w:tabs>
          <w:tab w:leader="none" w:pos="7120" w:val="left"/>
        </w:tabs>
        <w:rPr>
          <w:sz w:val="20"/>
          <w:szCs w:val="20"/>
          <w:color w:val="auto"/>
        </w:rPr>
      </w:pPr>
      <w:r>
        <w:rPr>
          <w:rFonts w:ascii="Times New Roman" w:cs="Times New Roman" w:eastAsia="Times New Roman" w:hAnsi="Times New Roman"/>
          <w:sz w:val="22"/>
          <w:szCs w:val="22"/>
          <w:color w:val="auto"/>
        </w:rPr>
        <w:t>Name:</w:t>
        <w:tab/>
        <w:t>Mark Litton</w:t>
      </w:r>
    </w:p>
    <w:p>
      <w:pPr>
        <w:spacing w:after="0" w:line="17" w:lineRule="exact"/>
        <w:rPr>
          <w:sz w:val="20"/>
          <w:szCs w:val="20"/>
          <w:color w:val="auto"/>
        </w:rPr>
      </w:pPr>
    </w:p>
    <w:p>
      <w:pPr>
        <w:ind w:left="6280"/>
        <w:spacing w:after="0"/>
        <w:tabs>
          <w:tab w:leader="none" w:pos="7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ACCEPTED as of the date first-above written: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CANTOR FITZGERALD &amp; CO.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19685</wp:posOffset>
            </wp:positionV>
            <wp:extent cx="31629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3" w:lineRule="exact"/>
        <w:rPr>
          <w:sz w:val="20"/>
          <w:szCs w:val="20"/>
          <w:color w:val="auto"/>
        </w:rPr>
      </w:pPr>
    </w:p>
    <w:p>
      <w:pPr>
        <w:ind w:left="6280"/>
        <w:spacing w:after="0"/>
        <w:tabs>
          <w:tab w:leader="none" w:pos="7120" w:val="left"/>
        </w:tabs>
        <w:rPr>
          <w:sz w:val="20"/>
          <w:szCs w:val="20"/>
          <w:color w:val="auto"/>
        </w:rPr>
      </w:pPr>
      <w:r>
        <w:rPr>
          <w:rFonts w:ascii="Times New Roman" w:cs="Times New Roman" w:eastAsia="Times New Roman" w:hAnsi="Times New Roman"/>
          <w:sz w:val="22"/>
          <w:szCs w:val="22"/>
          <w:color w:val="auto"/>
        </w:rPr>
        <w:t>Name:</w:t>
        <w:tab/>
        <w:t>Sage Kelly</w:t>
      </w:r>
    </w:p>
    <w:p>
      <w:pPr>
        <w:spacing w:after="0" w:line="17" w:lineRule="exact"/>
        <w:rPr>
          <w:sz w:val="20"/>
          <w:szCs w:val="20"/>
          <w:color w:val="auto"/>
        </w:rPr>
      </w:pPr>
    </w:p>
    <w:p>
      <w:pPr>
        <w:ind w:left="6280"/>
        <w:spacing w:after="0"/>
        <w:tabs>
          <w:tab w:leader="none" w:pos="7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Global Head of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left="4520"/>
        <w:spacing w:after="0"/>
        <w:rPr>
          <w:sz w:val="20"/>
          <w:szCs w:val="20"/>
          <w:color w:val="auto"/>
        </w:rPr>
      </w:pPr>
      <w:r>
        <w:rPr>
          <w:rFonts w:ascii="Times New Roman" w:cs="Times New Roman" w:eastAsia="Times New Roman" w:hAnsi="Times New Roman"/>
          <w:sz w:val="22"/>
          <w:szCs w:val="22"/>
          <w:color w:val="auto"/>
        </w:rPr>
        <w:t>BTIG, LLC</w:t>
      </w:r>
    </w:p>
    <w:p>
      <w:pPr>
        <w:spacing w:after="0" w:line="200" w:lineRule="exact"/>
        <w:rPr>
          <w:sz w:val="20"/>
          <w:szCs w:val="20"/>
          <w:color w:val="auto"/>
        </w:rPr>
      </w:pPr>
    </w:p>
    <w:p>
      <w:pPr>
        <w:spacing w:after="0" w:line="330"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Jared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1629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3" w:lineRule="exact"/>
        <w:rPr>
          <w:sz w:val="20"/>
          <w:szCs w:val="20"/>
          <w:color w:val="auto"/>
        </w:rPr>
      </w:pPr>
    </w:p>
    <w:p>
      <w:pPr>
        <w:ind w:left="5160"/>
        <w:spacing w:after="0"/>
        <w:tabs>
          <w:tab w:leader="none" w:pos="6000" w:val="left"/>
        </w:tabs>
        <w:rPr>
          <w:sz w:val="20"/>
          <w:szCs w:val="20"/>
          <w:color w:val="auto"/>
        </w:rPr>
      </w:pPr>
      <w:r>
        <w:rPr>
          <w:rFonts w:ascii="Times New Roman" w:cs="Times New Roman" w:eastAsia="Times New Roman" w:hAnsi="Times New Roman"/>
          <w:sz w:val="22"/>
          <w:szCs w:val="22"/>
          <w:color w:val="auto"/>
        </w:rPr>
        <w:t>Name:</w:t>
        <w:tab/>
        <w:t>Jared Sender</w:t>
      </w:r>
    </w:p>
    <w:p>
      <w:pPr>
        <w:spacing w:after="0" w:line="17" w:lineRule="exact"/>
        <w:rPr>
          <w:sz w:val="20"/>
          <w:szCs w:val="20"/>
          <w:color w:val="auto"/>
        </w:rPr>
      </w:pPr>
    </w:p>
    <w:p>
      <w:pPr>
        <w:ind w:left="5160"/>
        <w:spacing w:after="0"/>
        <w:tabs>
          <w:tab w:leader="none" w:pos="600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349250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Placement Notice</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From:</w:t>
      </w:r>
      <w:r>
        <w:rPr>
          <w:sz w:val="20"/>
          <w:szCs w:val="20"/>
          <w:color w:val="auto"/>
        </w:rPr>
        <w:tab/>
      </w:r>
      <w:r>
        <w:rPr>
          <w:rFonts w:ascii="Times New Roman" w:cs="Times New Roman" w:eastAsia="Times New Roman" w:hAnsi="Times New Roman"/>
          <w:sz w:val="22"/>
          <w:szCs w:val="22"/>
          <w:color w:val="auto"/>
        </w:rPr>
        <w:t>Athira Pharma, Inc.</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[Designated Agent] (the “</w:t>
      </w:r>
      <w:r>
        <w:rPr>
          <w:rFonts w:ascii="Times New Roman" w:cs="Times New Roman" w:eastAsia="Times New Roman" w:hAnsi="Times New Roman"/>
          <w:sz w:val="22"/>
          <w:szCs w:val="22"/>
          <w:b w:val="1"/>
          <w:bCs w:val="1"/>
          <w:u w:val="single" w:color="auto"/>
          <w:color w:val="auto"/>
        </w:rPr>
        <w:t>Designated Agent</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Subject:  Placement Notice</w:t>
      </w:r>
    </w:p>
    <w:p>
      <w:pPr>
        <w:spacing w:after="0" w:line="206" w:lineRule="exact"/>
        <w:rPr>
          <w:sz w:val="20"/>
          <w:szCs w:val="20"/>
          <w:color w:val="auto"/>
        </w:rPr>
      </w:pPr>
    </w:p>
    <w:tbl>
      <w:tblPr>
        <w:tblLayout w:type="fixed"/>
        <w:tblInd w:w="760" w:type="dxa"/>
        <w:tblCellMar>
          <w:top w:w="0" w:type="dxa"/>
          <w:left w:w="0" w:type="dxa"/>
          <w:bottom w:w="0" w:type="dxa"/>
          <w:right w:w="0" w:type="dxa"/>
        </w:tblCellMar>
      </w:tblP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11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5"/>
              </w:rPr>
              <w:t>[•], 20[•]</w:t>
            </w:r>
          </w:p>
        </w:tc>
      </w:tr>
    </w:tbl>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Pursuant to the terms and subject to the conditions contained in the Sales Agreement among Athira Pharma,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Cantor Fitzgerald &amp; Co. and BTIG, LLC (each individually, a “</w:t>
      </w:r>
      <w:r>
        <w:rPr>
          <w:rFonts w:ascii="Times New Roman" w:cs="Times New Roman" w:eastAsia="Times New Roman" w:hAnsi="Times New Roman"/>
          <w:sz w:val="22"/>
          <w:szCs w:val="22"/>
          <w:b w:val="1"/>
          <w:bCs w:val="1"/>
          <w:u w:val="single" w:color="auto"/>
          <w:color w:val="auto"/>
        </w:rPr>
        <w:t>Designated Agent</w:t>
      </w:r>
      <w:r>
        <w:rPr>
          <w:rFonts w:ascii="Times New Roman" w:cs="Times New Roman" w:eastAsia="Times New Roman" w:hAnsi="Times New Roman"/>
          <w:sz w:val="22"/>
          <w:szCs w:val="22"/>
          <w:color w:val="auto"/>
        </w:rPr>
        <w:t>”), dated January [6], 2023, the Company hereby requests that the Designated Agent sell up to [•] of the Company’s common stock, par value $0.0001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 shall pay to the Designated Agent in cash, upon each sale of Placement Shares pursuant to this Agreement, an amount equal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ind w:left="4940"/>
        <w:spacing w:after="0"/>
        <w:rPr>
          <w:sz w:val="20"/>
          <w:szCs w:val="20"/>
          <w:color w:val="auto"/>
        </w:rPr>
      </w:pPr>
      <w:r>
        <w:rPr>
          <w:rFonts w:ascii="Times New Roman" w:cs="Times New Roman" w:eastAsia="Times New Roman" w:hAnsi="Times New Roman"/>
          <w:sz w:val="22"/>
          <w:szCs w:val="22"/>
          <w:b w:val="1"/>
          <w:bCs w:val="1"/>
          <w:color w:val="auto"/>
        </w:rPr>
        <w:t>SCHEDULE 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Notice Parties</w:t>
      </w:r>
    </w:p>
    <w:p>
      <w:pPr>
        <w:spacing w:after="0" w:line="21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Litton (mark.litton@athira.com)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Glenna Mileson (glenna.mileson@athira.com)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Rachel Lenington (rachel.lenington@athira.com)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The Agent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Cantor Fitzgerald &amp; Co.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Sameer Vasudev (svasudev@cantor.com)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copies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cfceo@cantor.com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BTIG, LLC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BTIGUSATMtrading@btig.com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Nicholas Nolan (nnolan@btig.com)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Representation Date Certificate Pursuant to Section 7(l)</w:t>
      </w:r>
    </w:p>
    <w:p>
      <w:pPr>
        <w:spacing w:after="0" w:line="210"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22"/>
          <w:szCs w:val="22"/>
          <w:color w:val="auto"/>
        </w:rPr>
        <w:t>The undersigned, the duly qualified and elected [•], of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does hereby certify in such capacity and on behalf of the Company, pursuant to </w:t>
      </w:r>
      <w:r>
        <w:rPr>
          <w:rFonts w:ascii="Times New Roman" w:cs="Times New Roman" w:eastAsia="Times New Roman" w:hAnsi="Times New Roman"/>
          <w:sz w:val="22"/>
          <w:szCs w:val="22"/>
          <w:u w:val="single" w:color="auto"/>
          <w:color w:val="auto"/>
        </w:rPr>
        <w:t>Section 7(l)</w:t>
      </w:r>
      <w:r>
        <w:rPr>
          <w:rFonts w:ascii="Times New Roman" w:cs="Times New Roman" w:eastAsia="Times New Roman" w:hAnsi="Times New Roman"/>
          <w:sz w:val="22"/>
          <w:szCs w:val="22"/>
          <w:color w:val="auto"/>
        </w:rPr>
        <w:t xml:space="preserve"> of the Sales Agreement, dated January [6], 2023 (the “</w:t>
      </w:r>
      <w:r>
        <w:rPr>
          <w:rFonts w:ascii="Times New Roman" w:cs="Times New Roman" w:eastAsia="Times New Roman" w:hAnsi="Times New Roman"/>
          <w:sz w:val="22"/>
          <w:szCs w:val="22"/>
          <w:u w:val="single" w:color="auto"/>
          <w:color w:val="auto"/>
        </w:rPr>
        <w:t>Sales Agreement</w:t>
      </w:r>
      <w:r>
        <w:rPr>
          <w:rFonts w:ascii="Times New Roman" w:cs="Times New Roman" w:eastAsia="Times New Roman" w:hAnsi="Times New Roman"/>
          <w:sz w:val="22"/>
          <w:szCs w:val="22"/>
          <w:color w:val="auto"/>
        </w:rPr>
        <w:t>”), among the Company, Cantor Fitzgerald &amp; Co. and BTIG, LLC, that to the best of the knowledge of the undersigned:</w:t>
      </w:r>
    </w:p>
    <w:p>
      <w:pPr>
        <w:spacing w:after="0" w:line="126" w:lineRule="exact"/>
        <w:rPr>
          <w:sz w:val="20"/>
          <w:szCs w:val="20"/>
          <w:color w:val="auto"/>
        </w:rPr>
      </w:pPr>
    </w:p>
    <w:p>
      <w:pPr>
        <w:ind w:firstLine="517"/>
        <w:spacing w:after="0" w:line="238" w:lineRule="auto"/>
        <w:tabs>
          <w:tab w:leader="none" w:pos="76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the Company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Sales Agreement are true and correct on and as of the date hereof with the same force and effect as if expressly made on and as of the date hereof, except for those representations and warranties that speak solely as of a specific date and which were true and correct as of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representations and warranties also shall be qualified by the disclosure included or incorporated by reference in the Registration Statement and Prospectus; and</w:t>
      </w:r>
    </w:p>
    <w:p>
      <w:pPr>
        <w:spacing w:after="0" w:line="122" w:lineRule="exact"/>
        <w:rPr>
          <w:rFonts w:ascii="Times New Roman" w:cs="Times New Roman" w:eastAsia="Times New Roman" w:hAnsi="Times New Roman"/>
          <w:sz w:val="22"/>
          <w:szCs w:val="22"/>
          <w:color w:val="auto"/>
        </w:rPr>
      </w:pPr>
    </w:p>
    <w:p>
      <w:pPr>
        <w:ind w:right="480" w:firstLine="517"/>
        <w:spacing w:after="0" w:line="258" w:lineRule="auto"/>
        <w:tabs>
          <w:tab w:leader="none" w:pos="82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all agreements and satisfied all conditions on its part to be performed or satisfied pursuant to the Sales Agreement at or prior to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21"/>
          <w:szCs w:val="21"/>
          <w:color w:val="auto"/>
        </w:rPr>
        <w:t>Capitalized terms used herein without definition shall have the meanings given to such terms in the Sales Agreement.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28" w:right="919" w:bottom="1440" w:gutter="0" w:footer="0" w:header="0"/>
        </w:sectPr>
      </w:pPr>
    </w:p>
    <w:bookmarkStart w:id="50" w:name="page51"/>
    <w:bookmarkEnd w:id="50"/>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21</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Free Writing Prospectus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51" w:name="page52"/>
    <w:bookmarkEnd w:id="51"/>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09728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246"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Wilson Sonsini Goodrich &amp; Rosati</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Professional Corporation</w:t>
      </w:r>
    </w:p>
    <w:p>
      <w:pPr>
        <w:spacing w:after="0" w:line="70"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701 Fifth Avenue</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Suite 5100</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14"/>
          <w:szCs w:val="14"/>
          <w:color w:val="003D4C"/>
        </w:rPr>
        <w:t>Seattle, Washington 98104-7036</w:t>
      </w:r>
    </w:p>
    <w:p>
      <w:pPr>
        <w:spacing w:after="0" w:line="84" w:lineRule="exact"/>
        <w:rPr>
          <w:sz w:val="20"/>
          <w:szCs w:val="20"/>
          <w:color w:val="auto"/>
        </w:rPr>
      </w:pPr>
    </w:p>
    <w:p>
      <w:pPr>
        <w:ind w:left="8020"/>
        <w:spacing w:after="0"/>
        <w:rPr>
          <w:sz w:val="20"/>
          <w:szCs w:val="20"/>
          <w:color w:val="auto"/>
        </w:rPr>
      </w:pPr>
      <w:r>
        <w:rPr>
          <w:rFonts w:ascii="Georgia" w:cs="Georgia" w:eastAsia="Georgia" w:hAnsi="Georgia"/>
          <w:sz w:val="9"/>
          <w:szCs w:val="9"/>
          <w:color w:val="003D4C"/>
        </w:rPr>
        <w:t>o</w:t>
      </w:r>
      <w:r>
        <w:rPr>
          <w:rFonts w:ascii="Georgia" w:cs="Georgia" w:eastAsia="Georgia" w:hAnsi="Georgia"/>
          <w:sz w:val="14"/>
          <w:szCs w:val="14"/>
          <w:color w:val="003D4C"/>
        </w:rPr>
        <w:t>: 206.883.2500</w:t>
      </w:r>
    </w:p>
    <w:p>
      <w:pPr>
        <w:spacing w:after="0" w:line="3" w:lineRule="exact"/>
        <w:rPr>
          <w:sz w:val="20"/>
          <w:szCs w:val="20"/>
          <w:color w:val="auto"/>
        </w:rPr>
      </w:pPr>
    </w:p>
    <w:p>
      <w:pPr>
        <w:ind w:left="8020"/>
        <w:spacing w:after="0"/>
        <w:rPr>
          <w:sz w:val="20"/>
          <w:szCs w:val="20"/>
          <w:color w:val="auto"/>
        </w:rPr>
      </w:pPr>
      <w:r>
        <w:rPr>
          <w:rFonts w:ascii="Georgia" w:cs="Georgia" w:eastAsia="Georgia" w:hAnsi="Georgia"/>
          <w:sz w:val="9"/>
          <w:szCs w:val="9"/>
          <w:color w:val="003D4C"/>
        </w:rPr>
        <w:t>f</w:t>
      </w:r>
      <w:r>
        <w:rPr>
          <w:rFonts w:ascii="Georgia" w:cs="Georgia" w:eastAsia="Georgia" w:hAnsi="Georgia"/>
          <w:sz w:val="14"/>
          <w:szCs w:val="14"/>
          <w:color w:val="003D4C"/>
        </w:rPr>
        <w:t>: 866.974.7329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6,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18706 North Creek Parkway, Suite 104</w:t>
      </w:r>
    </w:p>
    <w:p>
      <w:pPr>
        <w:spacing w:after="0"/>
        <w:rPr>
          <w:sz w:val="20"/>
          <w:szCs w:val="20"/>
          <w:color w:val="auto"/>
        </w:rPr>
      </w:pPr>
      <w:r>
        <w:rPr>
          <w:rFonts w:ascii="Times New Roman" w:cs="Times New Roman" w:eastAsia="Times New Roman" w:hAnsi="Times New Roman"/>
          <w:sz w:val="22"/>
          <w:szCs w:val="22"/>
          <w:color w:val="auto"/>
        </w:rPr>
        <w:t>Bothell, WA 98011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We have acted as counsel to Athira Pharma, Inc., a Delaware corporation (the “Company”), in connection with the registration of the offer and sale of up to $75,000,000 of shares (the “Shares”) of the Company’s common stock, $0.0001 par value per share, pursuant to the Company’s Registration Statement on Form S-3 (File No. 333-261073) filed on November 14, 2021 and declared effective by the Securities and Exchange Commission (the “Commission”) on November 24, 2021 (the “Registration Statement”).</w:t>
      </w:r>
    </w:p>
    <w:p>
      <w:pPr>
        <w:spacing w:after="0" w:line="190" w:lineRule="exact"/>
        <w:rPr>
          <w:sz w:val="20"/>
          <w:szCs w:val="20"/>
          <w:color w:val="auto"/>
        </w:rPr>
      </w:pPr>
    </w:p>
    <w:p>
      <w:pPr>
        <w:jc w:val="both"/>
        <w:ind w:firstLine="749"/>
        <w:spacing w:after="0" w:line="219" w:lineRule="auto"/>
        <w:rPr>
          <w:sz w:val="20"/>
          <w:szCs w:val="20"/>
          <w:color w:val="auto"/>
        </w:rPr>
      </w:pPr>
      <w:r>
        <w:rPr>
          <w:rFonts w:ascii="Times New Roman" w:cs="Times New Roman" w:eastAsia="Times New Roman" w:hAnsi="Times New Roman"/>
          <w:sz w:val="22"/>
          <w:szCs w:val="22"/>
          <w:color w:val="auto"/>
        </w:rPr>
        <w:t>The offering and sale of the Shares are being made pursuant to the Controlled Equity Offering Sales Agreement</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22"/>
          <w:szCs w:val="22"/>
          <w:color w:val="auto"/>
        </w:rPr>
        <w:t>, dated as of January 6, 2023 (the “Sales Agreement”), by and among the Company, Cantor Fitzgerald &amp; Co. and BTIG, LLC.</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We have examined copies of the Sales Agreement, the Registration Statement, the base prospectus that forms a part thereof and the prospectus supplement thereto related to the offering of the Shares, which prospectus supplement is dated as of January 6, 2023 and will be filed by the Company in accordance with Rule 424(b) promulgated under the Securities Act of 1933, as amended (the “Act”). We have also examined instruments, documents and records which we deemed relevant and necessary for the basis of our opinion hereinafter expressed.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such examination, we have assumed (i) the authenticity of original documents and the genuineness of all signatures,</w:t>
      </w:r>
    </w:p>
    <w:p>
      <w:pPr>
        <w:spacing w:after="0" w:line="14" w:lineRule="exact"/>
        <w:rPr>
          <w:sz w:val="20"/>
          <w:szCs w:val="20"/>
          <w:color w:val="auto"/>
        </w:rPr>
      </w:pPr>
    </w:p>
    <w:p>
      <w:pPr>
        <w:jc w:val="both"/>
        <w:ind w:right="20" w:firstLine="8"/>
        <w:spacing w:after="0" w:line="235" w:lineRule="auto"/>
        <w:tabs>
          <w:tab w:leader="none" w:pos="33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ind w:left="1420"/>
              <w:spacing w:after="0"/>
              <w:rPr>
                <w:sz w:val="20"/>
                <w:szCs w:val="20"/>
                <w:color w:val="auto"/>
              </w:rPr>
            </w:pPr>
            <w:r>
              <w:rPr>
                <w:rFonts w:ascii="Times New Roman" w:cs="Times New Roman" w:eastAsia="Times New Roman" w:hAnsi="Times New Roman"/>
                <w:sz w:val="13"/>
                <w:szCs w:val="13"/>
                <w:color w:val="003D4C"/>
                <w:w w:val="96"/>
              </w:rPr>
              <w:t>AUSTINBEIJINGBOSTONBOULDERBRUSSELS</w:t>
            </w:r>
          </w:p>
        </w:tc>
        <w:tc>
          <w:tcPr>
            <w:tcW w:w="1760" w:type="dxa"/>
            <w:vAlign w:val="bottom"/>
          </w:tcPr>
          <w:p>
            <w:pPr>
              <w:ind w:left="160"/>
              <w:spacing w:after="0"/>
              <w:rPr>
                <w:sz w:val="20"/>
                <w:szCs w:val="20"/>
                <w:color w:val="auto"/>
              </w:rPr>
            </w:pPr>
            <w:r>
              <w:rPr>
                <w:rFonts w:ascii="Times New Roman" w:cs="Times New Roman" w:eastAsia="Times New Roman" w:hAnsi="Times New Roman"/>
                <w:sz w:val="13"/>
                <w:szCs w:val="13"/>
                <w:color w:val="003D4C"/>
                <w:w w:val="98"/>
              </w:rPr>
              <w:t>HONG KONGLONDON</w:t>
            </w:r>
          </w:p>
        </w:tc>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color w:val="003D4C"/>
              </w:rPr>
              <w:t>LOS ANGELES</w:t>
            </w:r>
          </w:p>
        </w:tc>
        <w:tc>
          <w:tcPr>
            <w:tcW w:w="3100" w:type="dxa"/>
            <w:vAlign w:val="bottom"/>
          </w:tcPr>
          <w:p>
            <w:pPr>
              <w:ind w:left="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5180" w:type="dxa"/>
            <w:vAlign w:val="bottom"/>
          </w:tcPr>
          <w:p>
            <w:pPr>
              <w:ind w:left="1880"/>
              <w:spacing w:after="0"/>
              <w:rPr>
                <w:sz w:val="20"/>
                <w:szCs w:val="20"/>
                <w:color w:val="auto"/>
              </w:rPr>
            </w:pPr>
            <w:r>
              <w:rPr>
                <w:rFonts w:ascii="Times New Roman" w:cs="Times New Roman" w:eastAsia="Times New Roman" w:hAnsi="Times New Roman"/>
                <w:sz w:val="13"/>
                <w:szCs w:val="13"/>
                <w:color w:val="003D4C"/>
                <w:w w:val="97"/>
              </w:rPr>
              <w:t>SALT LAKE CITYSAN DIEGOSAN FRANCISCO</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003D4C"/>
                <w:w w:val="97"/>
              </w:rPr>
              <w:t>SEATTLESHANGHAI</w:t>
            </w:r>
          </w:p>
        </w:tc>
        <w:tc>
          <w:tcPr>
            <w:tcW w:w="1200" w:type="dxa"/>
            <w:vAlign w:val="bottom"/>
          </w:tcPr>
          <w:p>
            <w:pPr>
              <w:ind w:left="40"/>
              <w:spacing w:after="0"/>
              <w:rPr>
                <w:sz w:val="20"/>
                <w:szCs w:val="20"/>
                <w:color w:val="auto"/>
              </w:rPr>
            </w:pPr>
            <w:r>
              <w:rPr>
                <w:rFonts w:ascii="Times New Roman" w:cs="Times New Roman" w:eastAsia="Times New Roman" w:hAnsi="Times New Roman"/>
                <w:sz w:val="13"/>
                <w:szCs w:val="13"/>
                <w:color w:val="003D4C"/>
              </w:rPr>
              <w:t>WASHINGTON, DC</w:t>
            </w:r>
          </w:p>
        </w:tc>
        <w:tc>
          <w:tcPr>
            <w:tcW w:w="310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104"/>
        </w:trPr>
        <w:tc>
          <w:tcPr>
            <w:tcW w:w="51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4864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Athira Pharma,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6, 2023</w:t>
      </w:r>
    </w:p>
    <w:p>
      <w:pPr>
        <w:spacing w:after="0" w:line="230" w:lineRule="auto"/>
        <w:rPr>
          <w:sz w:val="20"/>
          <w:szCs w:val="20"/>
          <w:color w:val="auto"/>
        </w:rPr>
      </w:pPr>
      <w:r>
        <w:rPr>
          <w:rFonts w:ascii="Times New Roman" w:cs="Times New Roman" w:eastAsia="Times New Roman" w:hAnsi="Times New Roman"/>
          <w:sz w:val="22"/>
          <w:szCs w:val="22"/>
          <w:color w:val="auto"/>
        </w:rPr>
        <w:t>Page 2</w:t>
      </w:r>
    </w:p>
    <w:p>
      <w:pPr>
        <w:spacing w:after="0" w:line="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We express no opinion as to the laws of any other jurisdiction other than the federal laws of the United States of America and the General Corporation Law of the State of Delaware.</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We hereby consent to the use of this opinion as an exhibit to the Company’s Current Report on Form 8-K, filed on or about January 6, 2023, for incorporation by reference into the Registration Statement.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WILSON SONSINI GOODRICH &amp; ROSATI</w:t>
      </w:r>
    </w:p>
    <w:p>
      <w:pPr>
        <w:spacing w:after="0" w:line="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Professional Corporation</w:t>
      </w:r>
    </w:p>
    <w:p>
      <w:pPr>
        <w:spacing w:after="0" w:line="17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i w:val="1"/>
          <w:iCs w:val="1"/>
          <w:color w:val="auto"/>
        </w:rPr>
        <w:t>/s/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ind w:left="1420"/>
              <w:spacing w:after="0"/>
              <w:rPr>
                <w:sz w:val="20"/>
                <w:szCs w:val="20"/>
                <w:color w:val="auto"/>
              </w:rPr>
            </w:pPr>
            <w:r>
              <w:rPr>
                <w:rFonts w:ascii="Times New Roman" w:cs="Times New Roman" w:eastAsia="Times New Roman" w:hAnsi="Times New Roman"/>
                <w:sz w:val="13"/>
                <w:szCs w:val="13"/>
                <w:color w:val="003D4C"/>
                <w:w w:val="96"/>
              </w:rPr>
              <w:t>AUSTINBEIJINGBOSTONBOULDERBRUSSELS</w:t>
            </w:r>
          </w:p>
        </w:tc>
        <w:tc>
          <w:tcPr>
            <w:tcW w:w="1760" w:type="dxa"/>
            <w:vAlign w:val="bottom"/>
          </w:tcPr>
          <w:p>
            <w:pPr>
              <w:ind w:left="160"/>
              <w:spacing w:after="0"/>
              <w:rPr>
                <w:sz w:val="20"/>
                <w:szCs w:val="20"/>
                <w:color w:val="auto"/>
              </w:rPr>
            </w:pPr>
            <w:r>
              <w:rPr>
                <w:rFonts w:ascii="Times New Roman" w:cs="Times New Roman" w:eastAsia="Times New Roman" w:hAnsi="Times New Roman"/>
                <w:sz w:val="13"/>
                <w:szCs w:val="13"/>
                <w:color w:val="003D4C"/>
                <w:w w:val="98"/>
              </w:rPr>
              <w:t>HONG KONGLONDON</w:t>
            </w:r>
          </w:p>
        </w:tc>
        <w:tc>
          <w:tcPr>
            <w:tcW w:w="1200" w:type="dxa"/>
            <w:vAlign w:val="bottom"/>
          </w:tcPr>
          <w:p>
            <w:pPr>
              <w:ind w:left="200"/>
              <w:spacing w:after="0"/>
              <w:rPr>
                <w:sz w:val="20"/>
                <w:szCs w:val="20"/>
                <w:color w:val="auto"/>
              </w:rPr>
            </w:pPr>
            <w:r>
              <w:rPr>
                <w:rFonts w:ascii="Times New Roman" w:cs="Times New Roman" w:eastAsia="Times New Roman" w:hAnsi="Times New Roman"/>
                <w:sz w:val="13"/>
                <w:szCs w:val="13"/>
                <w:color w:val="003D4C"/>
              </w:rPr>
              <w:t>LOS ANGELES</w:t>
            </w:r>
          </w:p>
        </w:tc>
        <w:tc>
          <w:tcPr>
            <w:tcW w:w="3100" w:type="dxa"/>
            <w:vAlign w:val="bottom"/>
          </w:tcPr>
          <w:p>
            <w:pPr>
              <w:ind w:left="80"/>
              <w:spacing w:after="0"/>
              <w:rPr>
                <w:sz w:val="20"/>
                <w:szCs w:val="20"/>
                <w:color w:val="auto"/>
              </w:rPr>
            </w:pPr>
            <w:r>
              <w:rPr>
                <w:rFonts w:ascii="Times New Roman" w:cs="Times New Roman" w:eastAsia="Times New Roman" w:hAnsi="Times New Roman"/>
                <w:sz w:val="13"/>
                <w:szCs w:val="13"/>
                <w:color w:val="003D4C"/>
                <w:w w:val="91"/>
              </w:rPr>
              <w:t>NEW YORKPALO ALTO</w:t>
            </w:r>
          </w:p>
        </w:tc>
      </w:tr>
      <w:tr>
        <w:trPr>
          <w:trHeight w:val="164"/>
        </w:trPr>
        <w:tc>
          <w:tcPr>
            <w:tcW w:w="5180" w:type="dxa"/>
            <w:vAlign w:val="bottom"/>
          </w:tcPr>
          <w:p>
            <w:pPr>
              <w:ind w:left="1880"/>
              <w:spacing w:after="0"/>
              <w:rPr>
                <w:sz w:val="20"/>
                <w:szCs w:val="20"/>
                <w:color w:val="auto"/>
              </w:rPr>
            </w:pPr>
            <w:r>
              <w:rPr>
                <w:rFonts w:ascii="Times New Roman" w:cs="Times New Roman" w:eastAsia="Times New Roman" w:hAnsi="Times New Roman"/>
                <w:sz w:val="13"/>
                <w:szCs w:val="13"/>
                <w:color w:val="003D4C"/>
                <w:w w:val="97"/>
              </w:rPr>
              <w:t>SALT LAKE CITYSAN DIEGOSAN FRANCISCO</w:t>
            </w:r>
          </w:p>
        </w:tc>
        <w:tc>
          <w:tcPr>
            <w:tcW w:w="1760" w:type="dxa"/>
            <w:vAlign w:val="bottom"/>
          </w:tcPr>
          <w:p>
            <w:pPr>
              <w:ind w:left="120"/>
              <w:spacing w:after="0"/>
              <w:rPr>
                <w:sz w:val="20"/>
                <w:szCs w:val="20"/>
                <w:color w:val="auto"/>
              </w:rPr>
            </w:pPr>
            <w:r>
              <w:rPr>
                <w:rFonts w:ascii="Times New Roman" w:cs="Times New Roman" w:eastAsia="Times New Roman" w:hAnsi="Times New Roman"/>
                <w:sz w:val="13"/>
                <w:szCs w:val="13"/>
                <w:color w:val="003D4C"/>
                <w:w w:val="97"/>
              </w:rPr>
              <w:t>SEATTLESHANGHAI</w:t>
            </w:r>
          </w:p>
        </w:tc>
        <w:tc>
          <w:tcPr>
            <w:tcW w:w="1200" w:type="dxa"/>
            <w:vAlign w:val="bottom"/>
          </w:tcPr>
          <w:p>
            <w:pPr>
              <w:ind w:left="40"/>
              <w:spacing w:after="0"/>
              <w:rPr>
                <w:sz w:val="20"/>
                <w:szCs w:val="20"/>
                <w:color w:val="auto"/>
              </w:rPr>
            </w:pPr>
            <w:r>
              <w:rPr>
                <w:rFonts w:ascii="Times New Roman" w:cs="Times New Roman" w:eastAsia="Times New Roman" w:hAnsi="Times New Roman"/>
                <w:sz w:val="13"/>
                <w:szCs w:val="13"/>
                <w:color w:val="003D4C"/>
              </w:rPr>
              <w:t>WASHINGTON, DC</w:t>
            </w:r>
          </w:p>
        </w:tc>
        <w:tc>
          <w:tcPr>
            <w:tcW w:w="3100" w:type="dxa"/>
            <w:vAlign w:val="bottom"/>
          </w:tcPr>
          <w:p>
            <w:pPr>
              <w:ind w:left="180"/>
              <w:spacing w:after="0"/>
              <w:rPr>
                <w:sz w:val="20"/>
                <w:szCs w:val="20"/>
                <w:color w:val="auto"/>
              </w:rPr>
            </w:pPr>
            <w:r>
              <w:rPr>
                <w:rFonts w:ascii="Times New Roman" w:cs="Times New Roman" w:eastAsia="Times New Roman" w:hAnsi="Times New Roman"/>
                <w:sz w:val="13"/>
                <w:szCs w:val="13"/>
                <w:color w:val="003D4C"/>
              </w:rPr>
              <w:t>WILMINGTON, DE</w:t>
            </w:r>
          </w:p>
        </w:tc>
      </w:tr>
      <w:tr>
        <w:trPr>
          <w:trHeight w:val="104"/>
        </w:trPr>
        <w:tc>
          <w:tcPr>
            <w:tcW w:w="51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
    </w:lvl>
  </w:abstractNum>
  <w:abstractNum w:abstractNumId="2">
    <w:nsid w:val="79838CB2"/>
    <w:multiLevelType w:val="hybridMultilevel"/>
    <w:lvl w:ilvl="0">
      <w:lvlJc w:val="left"/>
      <w:lvlText w:val="%1"/>
      <w:numFmt w:val="lowerRoman"/>
      <w:start w:val="1"/>
    </w:lvl>
    <w:lvl w:ilvl="1">
      <w:lvlJc w:val="left"/>
      <w:lvlText w:val="%2."/>
      <w:numFmt w:val="decimal"/>
      <w:start w:val="2"/>
    </w:lvl>
  </w:abstractNum>
  <w:abstractNum w:abstractNumId="3">
    <w:nsid w:val="4353D0CD"/>
    <w:multiLevelType w:val="hybridMultilevel"/>
    <w:lvl w:ilvl="0">
      <w:lvlJc w:val="left"/>
      <w:lvlText w:val="(%1)"/>
      <w:numFmt w:val="lowerRoman"/>
      <w:start w:val="3"/>
    </w:lvl>
    <w:lvl w:ilvl="1">
      <w:lvlJc w:val="left"/>
      <w:lvlText w:val="%2."/>
      <w:numFmt w:val="decimal"/>
      <w:start w:val="3"/>
    </w:lvl>
  </w:abstractNum>
  <w:abstractNum w:abstractNumId="4">
    <w:nsid w:val="B03E0C6"/>
    <w:multiLevelType w:val="hybridMultilevel"/>
    <w:lvl w:ilvl="0">
      <w:lvlJc w:val="left"/>
      <w:lvlText w:val="%1."/>
      <w:numFmt w:val="decimal"/>
      <w:start w:val="4"/>
    </w:lvl>
    <w:lvl w:ilvl="1">
      <w:lvlJc w:val="left"/>
      <w:lvlText w:val="(%2)"/>
      <w:numFmt w:val="lowerLetter"/>
      <w:start w:val="1"/>
    </w:lvl>
  </w:abstractNum>
  <w:abstractNum w:abstractNumId="5">
    <w:nsid w:val="189A769B"/>
    <w:multiLevelType w:val="hybridMultilevel"/>
    <w:lvl w:ilvl="0">
      <w:lvlJc w:val="left"/>
      <w:lvlText w:val="(%1)"/>
      <w:numFmt w:val="lowerLetter"/>
      <w:start w:val="4"/>
    </w:lvl>
  </w:abstractNum>
  <w:abstractNum w:abstractNumId="6">
    <w:nsid w:val="54E49EB4"/>
    <w:multiLevelType w:val="hybridMultilevel"/>
    <w:lvl w:ilvl="0">
      <w:lvlJc w:val="left"/>
      <w:lvlText w:val="%1."/>
      <w:numFmt w:val="decimal"/>
      <w:start w:val="6"/>
    </w:lvl>
    <w:lvl w:ilvl="1">
      <w:lvlJc w:val="left"/>
      <w:lvlText w:val="(%2)"/>
      <w:numFmt w:val="lowerLetter"/>
      <w:start w:val="1"/>
    </w:lvl>
  </w:abstractNum>
  <w:abstractNum w:abstractNumId="7">
    <w:nsid w:val="71F32454"/>
    <w:multiLevelType w:val="hybridMultilevel"/>
    <w:lvl w:ilvl="0">
      <w:lvlJc w:val="left"/>
      <w:lvlText w:val="(%1)"/>
      <w:numFmt w:val="lowerLetter"/>
      <w:start w:val="3"/>
    </w:lvl>
  </w:abstractNum>
  <w:abstractNum w:abstractNumId="8">
    <w:nsid w:val="2CA88611"/>
    <w:multiLevelType w:val="hybridMultilevel"/>
    <w:lvl w:ilvl="0">
      <w:lvlJc w:val="left"/>
      <w:lvlText w:val="(%1)"/>
      <w:numFmt w:val="lowerLetter"/>
      <w:start w:val="7"/>
    </w:lvl>
  </w:abstractNum>
  <w:abstractNum w:abstractNumId="9">
    <w:nsid w:val="836C40E"/>
    <w:multiLevelType w:val="hybridMultilevel"/>
    <w:lvl w:ilvl="0">
      <w:lvlJc w:val="left"/>
      <w:lvlText w:val="(%1)"/>
      <w:numFmt w:val="lowerLetter"/>
      <w:start w:val="11"/>
    </w:lvl>
  </w:abstractNum>
  <w:abstractNum w:abstractNumId="10">
    <w:nsid w:val="2901D82"/>
    <w:multiLevelType w:val="hybridMultilevel"/>
    <w:lvl w:ilvl="0">
      <w:lvlJc w:val="left"/>
      <w:lvlText w:val="(%1)"/>
      <w:numFmt w:val="lowerLetter"/>
      <w:start w:val="15"/>
    </w:lvl>
  </w:abstractNum>
  <w:abstractNum w:abstractNumId="11">
    <w:nsid w:val="3A95F874"/>
    <w:multiLevelType w:val="hybridMultilevel"/>
    <w:lvl w:ilvl="0">
      <w:lvlJc w:val="left"/>
      <w:lvlText w:val="(%1)"/>
      <w:numFmt w:val="lowerLetter"/>
      <w:start w:val="19"/>
    </w:lvl>
  </w:abstractNum>
  <w:abstractNum w:abstractNumId="12">
    <w:nsid w:val="8138641"/>
    <w:multiLevelType w:val="hybridMultilevel"/>
    <w:lvl w:ilvl="0">
      <w:lvlJc w:val="left"/>
      <w:lvlText w:val="(%1)"/>
      <w:numFmt w:val="lowerLetter"/>
      <w:start w:val="25"/>
    </w:lvl>
  </w:abstractNum>
  <w:abstractNum w:abstractNumId="13">
    <w:nsid w:val="1E7FF521"/>
    <w:multiLevelType w:val="hybridMultilevel"/>
    <w:lvl w:ilvl="0">
      <w:lvlJc w:val="left"/>
      <w:lvlText w:val="(%1)"/>
      <w:numFmt w:val="lowerLetter"/>
      <w:start w:val="27"/>
    </w:lvl>
  </w:abstractNum>
  <w:abstractNum w:abstractNumId="14">
    <w:nsid w:val="7C3DBD3D"/>
    <w:multiLevelType w:val="hybridMultilevel"/>
    <w:lvl w:ilvl="0">
      <w:lvlJc w:val="left"/>
      <w:lvlText w:val="(%1)"/>
      <w:numFmt w:val="lowerLetter"/>
      <w:start w:val="28"/>
    </w:lvl>
  </w:abstractNum>
  <w:abstractNum w:abstractNumId="15">
    <w:nsid w:val="737B8DDC"/>
    <w:multiLevelType w:val="hybridMultilevel"/>
    <w:lvl w:ilvl="0">
      <w:lvlJc w:val="left"/>
      <w:lvlText w:val="(%1)"/>
      <w:numFmt w:val="lowerLetter"/>
      <w:start w:val="32"/>
    </w:lvl>
  </w:abstractNum>
  <w:abstractNum w:abstractNumId="16">
    <w:nsid w:val="6CEAF087"/>
    <w:multiLevelType w:val="hybridMultilevel"/>
    <w:lvl w:ilvl="0">
      <w:lvlJc w:val="left"/>
      <w:lvlText w:val="(%1)"/>
      <w:numFmt w:val="lowerLetter"/>
      <w:start w:val="35"/>
    </w:lvl>
  </w:abstractNum>
  <w:abstractNum w:abstractNumId="17">
    <w:nsid w:val="22221A70"/>
    <w:multiLevelType w:val="hybridMultilevel"/>
    <w:lvl w:ilvl="0">
      <w:lvlJc w:val="left"/>
      <w:lvlText w:val="(%1)"/>
      <w:numFmt w:val="lowerLetter"/>
      <w:start w:val="37"/>
    </w:lvl>
  </w:abstractNum>
  <w:abstractNum w:abstractNumId="18">
    <w:nsid w:val="4516DDE9"/>
    <w:multiLevelType w:val="hybridMultilevel"/>
    <w:lvl w:ilvl="0">
      <w:lvlJc w:val="left"/>
      <w:lvlText w:val="(%1)"/>
      <w:numFmt w:val="lowerLetter"/>
      <w:start w:val="41"/>
    </w:lvl>
  </w:abstractNum>
  <w:abstractNum w:abstractNumId="19">
    <w:nsid w:val="3006C83E"/>
    <w:multiLevelType w:val="hybridMultilevel"/>
    <w:lvl w:ilvl="0">
      <w:lvlJc w:val="left"/>
      <w:lvlText w:val="(%1)"/>
      <w:numFmt w:val="lowerLetter"/>
      <w:start w:val="47"/>
    </w:lvl>
  </w:abstractNum>
  <w:abstractNum w:abstractNumId="20">
    <w:nsid w:val="614FD4A1"/>
    <w:multiLevelType w:val="hybridMultilevel"/>
    <w:lvl w:ilvl="0">
      <w:lvlJc w:val="left"/>
      <w:lvlText w:val="%1."/>
      <w:numFmt w:val="decimal"/>
      <w:start w:val="7"/>
    </w:lvl>
    <w:lvl w:ilvl="1">
      <w:lvlJc w:val="left"/>
      <w:lvlText w:val="(%2)"/>
      <w:numFmt w:val="lowerLetter"/>
      <w:start w:val="1"/>
    </w:lvl>
  </w:abstractNum>
  <w:abstractNum w:abstractNumId="21">
    <w:nsid w:val="419AC241"/>
    <w:multiLevelType w:val="hybridMultilevel"/>
    <w:lvl w:ilvl="0">
      <w:lvlJc w:val="left"/>
      <w:lvlText w:val="(%1)"/>
      <w:numFmt w:val="decimal"/>
      <w:start w:val="2"/>
    </w:lvl>
    <w:lvl w:ilvl="1">
      <w:lvlJc w:val="left"/>
      <w:lvlText w:val="(%2)"/>
      <w:numFmt w:val="lowerLetter"/>
      <w:start w:val="2"/>
    </w:lvl>
  </w:abstractNum>
  <w:abstractNum w:abstractNumId="22">
    <w:nsid w:val="5577F8E1"/>
    <w:multiLevelType w:val="hybridMultilevel"/>
    <w:lvl w:ilvl="0">
      <w:lvlJc w:val="left"/>
      <w:lvlText w:val="(%1)"/>
      <w:numFmt w:val="lowerLetter"/>
      <w:start w:val="4"/>
    </w:lvl>
  </w:abstractNum>
  <w:abstractNum w:abstractNumId="23">
    <w:nsid w:val="440BADFC"/>
    <w:multiLevelType w:val="hybridMultilevel"/>
    <w:lvl w:ilvl="0">
      <w:lvlJc w:val="left"/>
      <w:lvlText w:val="%1"/>
      <w:numFmt w:val="lowerLetter"/>
      <w:start w:val="1"/>
    </w:lvl>
    <w:lvl w:ilvl="1">
      <w:lvlJc w:val="left"/>
      <w:lvlText w:val="(%2)"/>
      <w:numFmt w:val="lowerLetter"/>
      <w:start w:val="8"/>
    </w:lvl>
  </w:abstractNum>
  <w:abstractNum w:abstractNumId="24">
    <w:nsid w:val="5072367"/>
    <w:multiLevelType w:val="hybridMultilevel"/>
    <w:lvl w:ilvl="0">
      <w:lvlJc w:val="left"/>
      <w:lvlText w:val="(%1)"/>
      <w:numFmt w:val="lowerLetter"/>
      <w:start w:val="9"/>
    </w:lvl>
    <w:lvl w:ilvl="1">
      <w:lvlJc w:val="left"/>
      <w:lvlText w:val="(%2)"/>
      <w:numFmt w:val="lowerLetter"/>
      <w:start w:val="9"/>
    </w:lvl>
  </w:abstractNum>
  <w:abstractNum w:abstractNumId="25">
    <w:nsid w:val="3804823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2"/>
    </w:lvl>
  </w:abstractNum>
  <w:abstractNum w:abstractNumId="26">
    <w:nsid w:val="77465F01"/>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7">
    <w:nsid w:val="7724C67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8">
    <w:nsid w:val="5C482A97"/>
    <w:multiLevelType w:val="hybridMultilevel"/>
    <w:lvl w:ilvl="0">
      <w:lvlJc w:val="left"/>
      <w:lvlText w:val="(%1)"/>
      <w:numFmt w:val="lowerLetter"/>
      <w:start w:val="13"/>
    </w:lvl>
  </w:abstractNum>
  <w:abstractNum w:abstractNumId="29">
    <w:nsid w:val="2463B9EA"/>
    <w:multiLevelType w:val="hybridMultilevel"/>
    <w:lvl w:ilvl="0">
      <w:lvlJc w:val="left"/>
      <w:lvlText w:val="(%1)"/>
      <w:numFmt w:val="lowerLetter"/>
      <w:start w:val="15"/>
    </w:lvl>
  </w:abstractNum>
  <w:abstractNum w:abstractNumId="30">
    <w:nsid w:val="5E884ADC"/>
    <w:multiLevelType w:val="hybridMultilevel"/>
    <w:lvl w:ilvl="0">
      <w:lvlJc w:val="left"/>
      <w:lvlText w:val="%1"/>
      <w:numFmt w:val="decimal"/>
      <w:start w:val="1"/>
    </w:lvl>
    <w:lvl w:ilvl="1">
      <w:lvlJc w:val="left"/>
      <w:lvlText w:val="(%2)"/>
      <w:numFmt w:val="lowerLetter"/>
      <w:start w:val="20"/>
    </w:lvl>
  </w:abstractNum>
  <w:abstractNum w:abstractNumId="31">
    <w:nsid w:val="51EAD36B"/>
    <w:multiLevelType w:val="hybridMultilevel"/>
    <w:lvl w:ilvl="0">
      <w:lvlJc w:val="left"/>
      <w:lvlText w:val="%1."/>
      <w:numFmt w:val="decimal"/>
      <w:start w:val="8"/>
    </w:lvl>
    <w:lvl w:ilvl="1">
      <w:lvlJc w:val="left"/>
      <w:lvlText w:val="%2"/>
      <w:numFmt w:val="lowerLetter"/>
      <w:start w:val="1"/>
    </w:lvl>
  </w:abstractNum>
  <w:abstractNum w:abstractNumId="32">
    <w:nsid w:val="2D517796"/>
    <w:multiLevelType w:val="hybridMultilevel"/>
    <w:lvl w:ilvl="0">
      <w:lvlJc w:val="left"/>
      <w:lvlText w:val="%1."/>
      <w:numFmt w:val="decimal"/>
      <w:start w:val="9"/>
    </w:lvl>
    <w:lvl w:ilvl="1">
      <w:lvlJc w:val="left"/>
      <w:lvlText w:val="(%2)"/>
      <w:numFmt w:val="lowerLetter"/>
      <w:start w:val="1"/>
    </w:lvl>
  </w:abstractNum>
  <w:abstractNum w:abstractNumId="33">
    <w:nsid w:val="580BD78F"/>
    <w:multiLevelType w:val="hybridMultilevel"/>
    <w:lvl w:ilvl="0">
      <w:lvlJc w:val="left"/>
      <w:lvlText w:val="(%1)"/>
      <w:numFmt w:val="lowerLetter"/>
      <w:start w:val="3"/>
    </w:lvl>
  </w:abstractNum>
  <w:abstractNum w:abstractNumId="34">
    <w:nsid w:val="153EA438"/>
    <w:multiLevelType w:val="hybridMultilevel"/>
    <w:lvl w:ilvl="0">
      <w:lvlJc w:val="left"/>
      <w:lvlText w:val="%1"/>
      <w:numFmt w:val="decimal"/>
      <w:start w:val="1"/>
    </w:lvl>
    <w:lvl w:ilvl="1">
      <w:lvlJc w:val="left"/>
      <w:lvlText w:val="(%2)"/>
      <w:numFmt w:val="lowerLetter"/>
      <w:start w:val="11"/>
    </w:lvl>
  </w:abstractNum>
  <w:abstractNum w:abstractNumId="35">
    <w:nsid w:val="3855585C"/>
    <w:multiLevelType w:val="hybridMultilevel"/>
    <w:lvl w:ilvl="0">
      <w:lvlJc w:val="left"/>
      <w:lvlText w:val="%1."/>
      <w:numFmt w:val="decimal"/>
      <w:start w:val="10"/>
    </w:lvl>
    <w:lvl w:ilvl="1">
      <w:lvlJc w:val="left"/>
      <w:lvlText w:val="(%2)"/>
      <w:numFmt w:val="lowerLetter"/>
      <w:start w:val="1"/>
    </w:lvl>
  </w:abstractNum>
  <w:abstractNum w:abstractNumId="36">
    <w:nsid w:val="70A64E2A"/>
    <w:multiLevelType w:val="hybridMultilevel"/>
    <w:lvl w:ilvl="0">
      <w:lvlJc w:val="left"/>
      <w:lvlText w:val="(%1)"/>
      <w:numFmt w:val="lowerLetter"/>
      <w:start w:val="2"/>
    </w:lvl>
  </w:abstractNum>
  <w:abstractNum w:abstractNumId="37">
    <w:nsid w:val="6A2342EC"/>
    <w:multiLevelType w:val="hybridMultilevel"/>
    <w:lvl w:ilvl="0">
      <w:lvlJc w:val="left"/>
      <w:lvlText w:val="(%1)"/>
      <w:numFmt w:val="lowerLetter"/>
      <w:start w:val="4"/>
    </w:lvl>
  </w:abstractNum>
  <w:abstractNum w:abstractNumId="38">
    <w:nsid w:val="2A487CB0"/>
    <w:multiLevelType w:val="hybridMultilevel"/>
    <w:lvl w:ilvl="0">
      <w:lvlJc w:val="left"/>
      <w:lvlText w:val="%1."/>
      <w:numFmt w:val="decimal"/>
      <w:start w:val="11"/>
    </w:lvl>
    <w:lvl w:ilvl="1">
      <w:lvlJc w:val="left"/>
      <w:lvlText w:val="(%2)"/>
      <w:numFmt w:val="lowerLetter"/>
      <w:start w:val="1"/>
    </w:lvl>
  </w:abstractNum>
  <w:abstractNum w:abstractNumId="39">
    <w:nsid w:val="1D4ED43B"/>
    <w:multiLevelType w:val="hybridMultilevel"/>
    <w:lvl w:ilvl="0">
      <w:lvlJc w:val="left"/>
      <w:lvlText w:val="(%1)"/>
      <w:numFmt w:val="lowerLetter"/>
      <w:start w:val="2"/>
    </w:lvl>
  </w:abstractNum>
  <w:abstractNum w:abstractNumId="40">
    <w:nsid w:val="725A06FB"/>
    <w:multiLevelType w:val="hybridMultilevel"/>
    <w:lvl w:ilvl="0">
      <w:lvlJc w:val="left"/>
      <w:lvlText w:val="%1."/>
      <w:numFmt w:val="decimal"/>
      <w:start w:val="13"/>
    </w:lvl>
  </w:abstractNum>
  <w:abstractNum w:abstractNumId="41">
    <w:nsid w:val="2CD89A32"/>
    <w:multiLevelType w:val="hybridMultilevel"/>
    <w:lvl w:ilvl="0">
      <w:lvlJc w:val="left"/>
      <w:lvlText w:val="%1."/>
      <w:numFmt w:val="decimal"/>
      <w:start w:val="14"/>
    </w:lvl>
  </w:abstractNum>
  <w:abstractNum w:abstractNumId="42">
    <w:nsid w:val="57E4CCAF"/>
    <w:multiLevelType w:val="hybridMultilevel"/>
    <w:lvl w:ilvl="0">
      <w:lvlJc w:val="left"/>
      <w:lvlText w:val="%1."/>
      <w:numFmt w:val="decimal"/>
      <w:start w:val="19"/>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23"/>
    </w:lvl>
    <w:lvl w:ilvl="1">
      <w:lvlJc w:val="left"/>
      <w:lvlText w:val="%2"/>
      <w:numFmt w:val="lowerLetter"/>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2023-01-06T16:33:24Z</dcterms:created>
  <dcterms:modified xsi:type="dcterms:W3CDTF">2023-01-06T16:33:24Z</dcterms:modified>
</cp:coreProperties>
</file>