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PICKERING GRANT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ATHIRA PHARMA, INC.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 w:right="1700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18706 NORTH CREEK PARKWAY, SUITE 104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BOTHELL  WA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98011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Athira Pharma,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ATHA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52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1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Not Applicable</w:t>
            </w:r>
          </w:p>
        </w:tc>
        <w:tc>
          <w:tcPr>
            <w:tcW w:w="8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1. Not applicable.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Glenna Mileson, Attorney-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01/31/2022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in-fact for Grant Pickering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POWER OF ATTORNEY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95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undersigned, as a Section 16 reporting person of Athira Pharma, Inc. (the Company), hereby constitutes and appoints Glenna Mileson, Vieng Keophilavanh and each of the responsible attorneys and paralegals of Wilson Sonsini Goodrich &amp; Rosati, Professional Corporation, the true and lawful attorney-in-fact of the undersigned to: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tabs>
          <w:tab w:leader="none" w:pos="35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complete and execute Forms ID, 3,4 and 5 and other forms and all amendments thereto as such attorney-in-fact shall in his or her discretion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determine to be required or advisable pursuant to Section 16 of the Securities Exchange Act of 1934 (as amended) and the rules and regulations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739"/>
        <w:spacing w:after="0" w:line="264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promulgated thereunder, or any successor laws and regulations, as a consequence of the ownership, acquisition or disposition of securities of the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Company by the undersigned; and</w:t>
      </w:r>
    </w:p>
    <w:p>
      <w:pPr>
        <w:spacing w:after="0" w:line="230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079"/>
        <w:spacing w:after="0" w:line="236" w:lineRule="auto"/>
        <w:tabs>
          <w:tab w:leader="none" w:pos="351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all acts necessary in order to file such forms with the Securities and Exchange Commission, any securities exchange or national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association, the Company and such other person or agency as the attorney-in-fact shall deem appropriate.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hereby ratifies and confirms all that said attorneys-in-fact and agents shall do or cause to be done by virtue hereof.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0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 acknowledges that the foregoing attorneys-in-fact, in serving in such capacity at the request of the undersigned, are not assuming, nor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is the Company assuming, any of the responsibilities of the undersigned to comply with Section 16 of the Securities Exchange Act of 1934 (as amended).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Power of Attorney shall remain in full force and effect until the undersigned is no longer required to file Forms ID, 3, 4 and 5 with respect to the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holdings of and transactions in securities issued by the Company to the undersigned, unless earlier revoked by the undersigned in a signed writing delivered to the Company and the foregoing attorneys-in-fact.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WITNESS WHEREOF, the undersigned has caused this Power of Attorney to be executed as of January 19, 2022.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Signature: /s/ Grant Pickering</w:t>
      </w:r>
    </w:p>
    <w:sectPr>
      <w:pgSz w:w="11900" w:h="16838" w:orient="portrait"/>
      <w:cols w:equalWidth="0" w:num="1">
        <w:col w:w="9979"/>
      </w:cols>
      <w:pgMar w:left="48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58693" TargetMode="External"/><Relationship Id="rId11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2022-01-31T16:05:36Z</dcterms:created>
  <dcterms:modified xsi:type="dcterms:W3CDTF">2022-01-31T16:05:36Z</dcterms:modified>
</cp:coreProperties>
</file>