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13G/A</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2)*</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$0.0001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04746L104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280" w:right="9660" w:hanging="7"/>
        <w:spacing w:after="0" w:line="291" w:lineRule="auto"/>
        <w:tabs>
          <w:tab w:leader="none" w:pos="55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Rule 13d-1(b) x Rule 13d-1(c)</w:t>
      </w:r>
    </w:p>
    <w:p>
      <w:pPr>
        <w:ind w:left="540" w:hanging="267"/>
        <w:spacing w:after="0"/>
        <w:tabs>
          <w:tab w:leader="none" w:pos="5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10" w:lineRule="exact"/>
        <w:rPr>
          <w:rFonts w:ascii="MS PGothic" w:cs="MS PGothic" w:eastAsia="MS PGothic" w:hAnsi="MS PGothic"/>
          <w:sz w:val="18"/>
          <w:szCs w:val="18"/>
          <w:color w:val="auto"/>
        </w:rPr>
      </w:pPr>
    </w:p>
    <w:p>
      <w:pPr>
        <w:ind w:left="140" w:hanging="122"/>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79"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2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Venrock Healthcare Capital Partners II, L.P.</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80" w:type="dxa"/>
            <w:vAlign w:val="bottom"/>
            <w:gridSpan w:val="2"/>
            <w:vMerge w:val="continue"/>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6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40" w:right="80" w:hanging="33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40" w:right="38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3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VHCP Co-Investment Holdings II, LLC</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80" w:type="dxa"/>
            <w:vAlign w:val="bottom"/>
            <w:gridSpan w:val="2"/>
            <w:vMerge w:val="continue"/>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4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Venrock Healthcare Capital Partners III, L.P.</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5"/>
                <w:szCs w:val="15"/>
                <w:color w:val="auto"/>
              </w:rPr>
            </w:pPr>
          </w:p>
        </w:tc>
        <w:tc>
          <w:tcPr>
            <w:tcW w:w="6980" w:type="dxa"/>
            <w:vAlign w:val="bottom"/>
            <w:gridSpan w:val="2"/>
            <w:vMerge w:val="continue"/>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5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VHCP Co-Investment Holdings III, LLC</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80" w:type="dxa"/>
            <w:vAlign w:val="bottom"/>
            <w:gridSpan w:val="2"/>
            <w:vMerge w:val="continue"/>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6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Venrock Healthcare Capital Partners EG, L.P.</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80" w:type="dxa"/>
            <w:vAlign w:val="bottom"/>
            <w:gridSpan w:val="2"/>
            <w:vMerge w:val="continue"/>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PN</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16"/>
        </w:trPr>
        <w:tc>
          <w:tcPr>
            <w:tcW w:w="870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7 of 17</w:t>
            </w:r>
          </w:p>
        </w:tc>
        <w:tc>
          <w:tcPr>
            <w:tcW w:w="0" w:type="dxa"/>
            <w:vAlign w:val="bottom"/>
          </w:tcPr>
          <w:p>
            <w:pPr>
              <w:spacing w:after="0"/>
              <w:rPr>
                <w:sz w:val="1"/>
                <w:szCs w:val="1"/>
                <w:color w:val="auto"/>
              </w:rPr>
            </w:pPr>
          </w:p>
        </w:tc>
      </w:tr>
      <w:tr>
        <w:trPr>
          <w:trHeight w:val="223"/>
        </w:trPr>
        <w:tc>
          <w:tcPr>
            <w:tcW w:w="62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gridSpan w:val="3"/>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3"/>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3"/>
          </w:tcPr>
          <w:p>
            <w:pPr>
              <w:spacing w:after="0"/>
              <w:rPr>
                <w:sz w:val="20"/>
                <w:szCs w:val="20"/>
                <w:color w:val="auto"/>
              </w:rPr>
            </w:pPr>
            <w:r>
              <w:rPr>
                <w:rFonts w:ascii="Arial" w:cs="Arial" w:eastAsia="Arial" w:hAnsi="Arial"/>
                <w:sz w:val="18"/>
                <w:szCs w:val="18"/>
                <w:color w:val="auto"/>
              </w:rPr>
              <w:t>VHCP Management II, LLC</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3"/>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3"/>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69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3"/>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69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6980" w:type="dxa"/>
            <w:vAlign w:val="bottom"/>
            <w:vMerge w:val="continue"/>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6.</w:t>
            </w:r>
          </w:p>
        </w:tc>
        <w:tc>
          <w:tcPr>
            <w:tcW w:w="69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5"/>
                <w:szCs w:val="15"/>
                <w:color w:val="auto"/>
              </w:rPr>
            </w:pPr>
          </w:p>
        </w:tc>
        <w:tc>
          <w:tcPr>
            <w:tcW w:w="6980" w:type="dxa"/>
            <w:vAlign w:val="bottom"/>
            <w:vMerge w:val="continue"/>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4"/>
                <w:szCs w:val="24"/>
                <w:color w:val="auto"/>
              </w:rPr>
            </w:pPr>
          </w:p>
        </w:tc>
        <w:tc>
          <w:tcPr>
            <w:tcW w:w="698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6980" w:type="dxa"/>
            <w:vAlign w:val="bottom"/>
          </w:tcPr>
          <w:p>
            <w:pPr>
              <w:ind w:left="20"/>
              <w:spacing w:after="0"/>
              <w:rPr>
                <w:sz w:val="20"/>
                <w:szCs w:val="20"/>
                <w:color w:val="auto"/>
              </w:rPr>
            </w:pPr>
            <w:r>
              <w:rPr>
                <w:rFonts w:ascii="Arial" w:cs="Arial" w:eastAsia="Arial" w:hAnsi="Arial"/>
                <w:sz w:val="18"/>
                <w:szCs w:val="18"/>
                <w:color w:val="auto"/>
              </w:rPr>
              <w:t>0</w:t>
            </w: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69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698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6980" w:type="dxa"/>
            <w:vAlign w:val="bottom"/>
            <w:tcBorders>
              <w:bottom w:val="single" w:sz="8" w:color="auto"/>
            </w:tcBorders>
            <w:vMerge w:val="continue"/>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69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3"/>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3"/>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3"/>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8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VHCP Management III, LLC</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160" w:type="dxa"/>
            <w:vAlign w:val="bottom"/>
            <w:tcBorders>
              <w:left w:val="single" w:sz="8" w:color="auto"/>
              <w:right w:val="single" w:sz="8" w:color="auto"/>
            </w:tcBorders>
            <w:gridSpan w:val="2"/>
          </w:tcPr>
          <w:p>
            <w:pPr>
              <w:jc w:val="center"/>
              <w:spacing w:after="0" w:line="176" w:lineRule="exact"/>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5"/>
                <w:szCs w:val="15"/>
                <w:color w:val="auto"/>
              </w:rPr>
            </w:pPr>
          </w:p>
        </w:tc>
        <w:tc>
          <w:tcPr>
            <w:tcW w:w="6980" w:type="dxa"/>
            <w:vAlign w:val="bottom"/>
            <w:gridSpan w:val="2"/>
            <w:vMerge w:val="continue"/>
          </w:tcPr>
          <w:p>
            <w:pPr>
              <w:spacing w:after="0"/>
              <w:rPr>
                <w:sz w:val="15"/>
                <w:szCs w:val="15"/>
                <w:color w:val="auto"/>
              </w:rPr>
            </w:pP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4"/>
                <w:szCs w:val="24"/>
                <w:color w:val="auto"/>
              </w:rPr>
            </w:pPr>
          </w:p>
        </w:tc>
        <w:tc>
          <w:tcPr>
            <w:tcW w:w="3900" w:type="dxa"/>
            <w:vAlign w:val="bottom"/>
            <w:tcBorders>
              <w:bottom w:val="single" w:sz="8" w:color="auto"/>
            </w:tcBorders>
          </w:tcPr>
          <w:p>
            <w:pPr>
              <w:ind w:left="20"/>
              <w:spacing w:after="0" w:line="270"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80" w:type="dxa"/>
            <w:vAlign w:val="bottom"/>
            <w:shd w:val="clear" w:color="auto" w:fill="FEFEFE"/>
          </w:tcPr>
          <w:p>
            <w:pPr>
              <w:spacing w:after="0"/>
              <w:rPr>
                <w:sz w:val="18"/>
                <w:szCs w:val="18"/>
                <w:color w:val="auto"/>
              </w:rPr>
            </w:pPr>
          </w:p>
        </w:tc>
        <w:tc>
          <w:tcPr>
            <w:tcW w:w="2540" w:type="dxa"/>
            <w:vAlign w:val="bottom"/>
            <w:tcBorders>
              <w:right w:val="single" w:sz="8" w:color="FEFEFE"/>
            </w:tcBorders>
            <w:shd w:val="clear" w:color="auto" w:fill="FEFEFE"/>
          </w:tcPr>
          <w:p>
            <w:pPr>
              <w:ind w:left="1620"/>
              <w:spacing w:after="0"/>
              <w:rPr>
                <w:sz w:val="20"/>
                <w:szCs w:val="20"/>
                <w:color w:val="auto"/>
              </w:rPr>
            </w:pPr>
            <w:r>
              <w:rPr>
                <w:rFonts w:ascii="Arial" w:cs="Arial" w:eastAsia="Arial" w:hAnsi="Arial"/>
                <w:sz w:val="18"/>
                <w:szCs w:val="18"/>
                <w:color w:val="auto"/>
                <w:w w:val="86"/>
              </w:rPr>
              <w:t>Page 9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80" w:type="dxa"/>
            <w:vAlign w:val="bottom"/>
            <w:tcBorders>
              <w:bottom w:val="single" w:sz="8" w:color="auto"/>
            </w:tcBorders>
            <w:shd w:val="clear" w:color="auto" w:fill="FEFEFE"/>
          </w:tcPr>
          <w:p>
            <w:pPr>
              <w:spacing w:after="0"/>
              <w:rPr>
                <w:sz w:val="19"/>
                <w:szCs w:val="19"/>
                <w:color w:val="auto"/>
              </w:rPr>
            </w:pPr>
          </w:p>
        </w:tc>
        <w:tc>
          <w:tcPr>
            <w:tcW w:w="254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8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8080" w:type="dxa"/>
            <w:vAlign w:val="bottom"/>
            <w:gridSpan w:val="4"/>
          </w:tcPr>
          <w:p>
            <w:pPr>
              <w:spacing w:after="0"/>
              <w:rPr>
                <w:sz w:val="20"/>
                <w:szCs w:val="20"/>
                <w:color w:val="auto"/>
              </w:rPr>
            </w:pPr>
            <w:r>
              <w:rPr>
                <w:rFonts w:ascii="Arial" w:cs="Arial" w:eastAsia="Arial" w:hAnsi="Arial"/>
                <w:sz w:val="18"/>
                <w:szCs w:val="18"/>
                <w:color w:val="auto"/>
              </w:rPr>
              <w:t>VHCP Management EG, LLC</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80" w:type="dxa"/>
            <w:vAlign w:val="bottom"/>
            <w:tcBorders>
              <w:bottom w:val="single" w:sz="8" w:color="auto"/>
            </w:tcBorders>
            <w:gridSpan w:val="4"/>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gridSpan w:val="2"/>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8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0"/>
                <w:szCs w:val="10"/>
                <w:color w:val="auto"/>
              </w:rPr>
            </w:pP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2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80" w:type="dxa"/>
            <w:vAlign w:val="bottom"/>
            <w:gridSpan w:val="2"/>
            <w:vMerge w:val="continue"/>
          </w:tcPr>
          <w:p>
            <w:pPr>
              <w:spacing w:after="0"/>
              <w:rPr>
                <w:sz w:val="13"/>
                <w:szCs w:val="13"/>
                <w:color w:val="auto"/>
              </w:rPr>
            </w:pPr>
          </w:p>
        </w:tc>
        <w:tc>
          <w:tcPr>
            <w:tcW w:w="25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5"/>
                <w:szCs w:val="5"/>
                <w:color w:val="auto"/>
              </w:rPr>
            </w:pPr>
          </w:p>
        </w:tc>
        <w:tc>
          <w:tcPr>
            <w:tcW w:w="2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25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8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80" w:type="dxa"/>
            <w:vAlign w:val="bottom"/>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8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80" w:type="dxa"/>
            <w:vAlign w:val="bottom"/>
            <w:gridSpan w:val="2"/>
            <w:vMerge w:val="continue"/>
          </w:tcPr>
          <w:p>
            <w:pPr>
              <w:spacing w:after="0"/>
              <w:rPr>
                <w:sz w:val="7"/>
                <w:szCs w:val="7"/>
                <w:color w:val="auto"/>
              </w:rPr>
            </w:pPr>
          </w:p>
        </w:tc>
        <w:tc>
          <w:tcPr>
            <w:tcW w:w="2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80" w:type="dxa"/>
            <w:vAlign w:val="bottom"/>
          </w:tcPr>
          <w:p>
            <w:pPr>
              <w:spacing w:after="0"/>
              <w:rPr>
                <w:sz w:val="12"/>
                <w:szCs w:val="12"/>
                <w:color w:val="auto"/>
              </w:rPr>
            </w:pPr>
          </w:p>
        </w:tc>
        <w:tc>
          <w:tcPr>
            <w:tcW w:w="25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25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8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8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8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OO</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40" w:type="dxa"/>
            <w:vAlign w:val="bottom"/>
            <w:shd w:val="clear" w:color="auto" w:fill="FEFEFE"/>
          </w:tcPr>
          <w:p>
            <w:pPr>
              <w:spacing w:after="0"/>
              <w:rPr>
                <w:sz w:val="18"/>
                <w:szCs w:val="18"/>
                <w:color w:val="auto"/>
              </w:rPr>
            </w:pPr>
          </w:p>
        </w:tc>
        <w:tc>
          <w:tcPr>
            <w:tcW w:w="2580" w:type="dxa"/>
            <w:vAlign w:val="bottom"/>
            <w:tcBorders>
              <w:right w:val="single" w:sz="8" w:color="FEFEFE"/>
            </w:tcBorders>
            <w:shd w:val="clear" w:color="auto" w:fill="FEFEFE"/>
          </w:tcPr>
          <w:p>
            <w:pPr>
              <w:ind w:left="1580"/>
              <w:spacing w:after="0"/>
              <w:rPr>
                <w:sz w:val="20"/>
                <w:szCs w:val="20"/>
                <w:color w:val="auto"/>
              </w:rPr>
            </w:pPr>
            <w:r>
              <w:rPr>
                <w:rFonts w:ascii="Arial" w:cs="Arial" w:eastAsia="Arial" w:hAnsi="Arial"/>
                <w:sz w:val="18"/>
                <w:szCs w:val="18"/>
                <w:color w:val="auto"/>
                <w:w w:val="85"/>
              </w:rPr>
              <w:t>Page 10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40" w:type="dxa"/>
            <w:vAlign w:val="bottom"/>
            <w:tcBorders>
              <w:bottom w:val="single" w:sz="8" w:color="auto"/>
            </w:tcBorders>
            <w:shd w:val="clear" w:color="auto" w:fill="FEFEFE"/>
          </w:tcPr>
          <w:p>
            <w:pPr>
              <w:spacing w:after="0"/>
              <w:rPr>
                <w:sz w:val="19"/>
                <w:szCs w:val="19"/>
                <w:color w:val="auto"/>
              </w:rPr>
            </w:pPr>
          </w:p>
        </w:tc>
        <w:tc>
          <w:tcPr>
            <w:tcW w:w="258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4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8"/>
              </w:rPr>
              <w:t>Shah, Nimish</w:t>
            </w:r>
          </w:p>
        </w:tc>
        <w:tc>
          <w:tcPr>
            <w:tcW w:w="39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tcBorders>
            <w:gridSpan w:val="4"/>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4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4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8"/>
              </w:rPr>
              <w:t>United States</w:t>
            </w:r>
          </w:p>
        </w:tc>
        <w:tc>
          <w:tcPr>
            <w:tcW w:w="39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gridSpan w:val="2"/>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40" w:type="dxa"/>
            <w:vAlign w:val="bottom"/>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40" w:type="dxa"/>
            <w:vAlign w:val="bottom"/>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4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40" w:type="dxa"/>
            <w:vAlign w:val="bottom"/>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4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4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4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40" w:type="dxa"/>
            <w:vAlign w:val="bottom"/>
            <w:gridSpan w:val="2"/>
            <w:vMerge w:val="continue"/>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40" w:type="dxa"/>
            <w:vAlign w:val="bottom"/>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4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4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4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4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6"/>
        </w:trPr>
        <w:tc>
          <w:tcPr>
            <w:tcW w:w="5620" w:type="dxa"/>
            <w:vAlign w:val="bottom"/>
            <w:tcBorders>
              <w:left w:val="single" w:sz="8" w:color="FEFEFE"/>
            </w:tcBorders>
            <w:gridSpan w:val="4"/>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40" w:type="dxa"/>
            <w:vAlign w:val="bottom"/>
            <w:shd w:val="clear" w:color="auto" w:fill="FEFEFE"/>
          </w:tcPr>
          <w:p>
            <w:pPr>
              <w:spacing w:after="0"/>
              <w:rPr>
                <w:sz w:val="18"/>
                <w:szCs w:val="18"/>
                <w:color w:val="auto"/>
              </w:rPr>
            </w:pPr>
          </w:p>
        </w:tc>
        <w:tc>
          <w:tcPr>
            <w:tcW w:w="2580" w:type="dxa"/>
            <w:vAlign w:val="bottom"/>
            <w:tcBorders>
              <w:right w:val="single" w:sz="8" w:color="FEFEFE"/>
            </w:tcBorders>
            <w:shd w:val="clear" w:color="auto" w:fill="FEFEFE"/>
          </w:tcPr>
          <w:p>
            <w:pPr>
              <w:ind w:left="1580"/>
              <w:spacing w:after="0"/>
              <w:rPr>
                <w:sz w:val="20"/>
                <w:szCs w:val="20"/>
                <w:color w:val="auto"/>
              </w:rPr>
            </w:pPr>
            <w:r>
              <w:rPr>
                <w:rFonts w:ascii="Arial" w:cs="Arial" w:eastAsia="Arial" w:hAnsi="Arial"/>
                <w:sz w:val="18"/>
                <w:szCs w:val="18"/>
                <w:color w:val="auto"/>
                <w:w w:val="85"/>
              </w:rPr>
              <w:t>Page 11 of 17</w:t>
            </w:r>
          </w:p>
        </w:tc>
        <w:tc>
          <w:tcPr>
            <w:tcW w:w="0" w:type="dxa"/>
            <w:vAlign w:val="bottom"/>
          </w:tcPr>
          <w:p>
            <w:pPr>
              <w:spacing w:after="0"/>
              <w:rPr>
                <w:sz w:val="1"/>
                <w:szCs w:val="1"/>
                <w:color w:val="auto"/>
              </w:rPr>
            </w:pPr>
          </w:p>
        </w:tc>
      </w:tr>
      <w:tr>
        <w:trPr>
          <w:trHeight w:val="223"/>
        </w:trPr>
        <w:tc>
          <w:tcPr>
            <w:tcW w:w="620" w:type="dxa"/>
            <w:vAlign w:val="bottom"/>
            <w:tcBorders>
              <w:left w:val="single" w:sz="8" w:color="FEFEFE"/>
              <w:bottom w:val="single" w:sz="8" w:color="auto"/>
              <w:right w:val="single" w:sz="8" w:color="FEFEFE"/>
            </w:tcBorders>
            <w:shd w:val="clear" w:color="auto" w:fill="FEFEFE"/>
          </w:tcPr>
          <w:p>
            <w:pPr>
              <w:spacing w:after="0"/>
              <w:rPr>
                <w:sz w:val="19"/>
                <w:szCs w:val="19"/>
                <w:color w:val="auto"/>
              </w:rPr>
            </w:pPr>
          </w:p>
        </w:tc>
        <w:tc>
          <w:tcPr>
            <w:tcW w:w="540" w:type="dxa"/>
            <w:vAlign w:val="bottom"/>
            <w:tcBorders>
              <w:bottom w:val="single" w:sz="8" w:color="auto"/>
              <w:right w:val="single" w:sz="8" w:color="FEFEFE"/>
            </w:tcBorders>
            <w:shd w:val="clear" w:color="auto" w:fill="FEFEFE"/>
          </w:tcPr>
          <w:p>
            <w:pPr>
              <w:spacing w:after="0"/>
              <w:rPr>
                <w:sz w:val="19"/>
                <w:szCs w:val="19"/>
                <w:color w:val="auto"/>
              </w:rPr>
            </w:pPr>
          </w:p>
        </w:tc>
        <w:tc>
          <w:tcPr>
            <w:tcW w:w="560" w:type="dxa"/>
            <w:vAlign w:val="bottom"/>
            <w:tcBorders>
              <w:bottom w:val="single" w:sz="8" w:color="auto"/>
              <w:right w:val="single" w:sz="8" w:color="FEFEFE"/>
            </w:tcBorders>
            <w:shd w:val="clear" w:color="auto" w:fill="FEFEFE"/>
          </w:tcPr>
          <w:p>
            <w:pPr>
              <w:spacing w:after="0"/>
              <w:rPr>
                <w:sz w:val="19"/>
                <w:szCs w:val="19"/>
                <w:color w:val="auto"/>
              </w:rPr>
            </w:pPr>
          </w:p>
        </w:tc>
        <w:tc>
          <w:tcPr>
            <w:tcW w:w="3900" w:type="dxa"/>
            <w:vAlign w:val="bottom"/>
            <w:tcBorders>
              <w:bottom w:val="single" w:sz="8" w:color="auto"/>
            </w:tcBorders>
            <w:shd w:val="clear" w:color="auto" w:fill="FEFEFE"/>
          </w:tcPr>
          <w:p>
            <w:pPr>
              <w:spacing w:after="0"/>
              <w:rPr>
                <w:sz w:val="19"/>
                <w:szCs w:val="19"/>
                <w:color w:val="auto"/>
              </w:rPr>
            </w:pPr>
          </w:p>
        </w:tc>
        <w:tc>
          <w:tcPr>
            <w:tcW w:w="3040" w:type="dxa"/>
            <w:vAlign w:val="bottom"/>
            <w:tcBorders>
              <w:bottom w:val="single" w:sz="8" w:color="auto"/>
            </w:tcBorders>
            <w:shd w:val="clear" w:color="auto" w:fill="FEFEFE"/>
          </w:tcPr>
          <w:p>
            <w:pPr>
              <w:spacing w:after="0"/>
              <w:rPr>
                <w:sz w:val="19"/>
                <w:szCs w:val="19"/>
                <w:color w:val="auto"/>
              </w:rPr>
            </w:pPr>
          </w:p>
        </w:tc>
        <w:tc>
          <w:tcPr>
            <w:tcW w:w="2580" w:type="dxa"/>
            <w:vAlign w:val="bottom"/>
            <w:tcBorders>
              <w:bottom w:val="single" w:sz="8" w:color="auto"/>
              <w:right w:val="single" w:sz="8" w:color="FEFEFE"/>
            </w:tcBorders>
            <w:shd w:val="clear" w:color="auto" w:fill="FEFEF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w:t>
            </w:r>
          </w:p>
        </w:tc>
        <w:tc>
          <w:tcPr>
            <w:tcW w:w="8040" w:type="dxa"/>
            <w:vAlign w:val="bottom"/>
            <w:gridSpan w:val="4"/>
          </w:tcPr>
          <w:p>
            <w:pPr>
              <w:spacing w:after="0"/>
              <w:rPr>
                <w:sz w:val="20"/>
                <w:szCs w:val="20"/>
                <w:color w:val="auto"/>
              </w:rPr>
            </w:pPr>
            <w:r>
              <w:rPr>
                <w:rFonts w:ascii="Arial" w:cs="Arial" w:eastAsia="Arial" w:hAnsi="Arial"/>
                <w:sz w:val="18"/>
                <w:szCs w:val="18"/>
                <w:color w:val="auto"/>
              </w:rPr>
              <w:t>Name of Reporting Persons</w:t>
            </w:r>
          </w:p>
        </w:tc>
        <w:tc>
          <w:tcPr>
            <w:tcW w:w="25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Koh, Bong</w:t>
            </w:r>
          </w:p>
        </w:tc>
        <w:tc>
          <w:tcPr>
            <w:tcW w:w="39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8040" w:type="dxa"/>
            <w:vAlign w:val="bottom"/>
            <w:tcBorders>
              <w:bottom w:val="single" w:sz="8" w:color="auto"/>
            </w:tcBorders>
            <w:gridSpan w:val="4"/>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2.</w:t>
            </w:r>
          </w:p>
        </w:tc>
        <w:tc>
          <w:tcPr>
            <w:tcW w:w="8040" w:type="dxa"/>
            <w:vAlign w:val="bottom"/>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3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3.</w:t>
            </w:r>
          </w:p>
        </w:tc>
        <w:tc>
          <w:tcPr>
            <w:tcW w:w="80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2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4.</w:t>
            </w:r>
          </w:p>
        </w:tc>
        <w:tc>
          <w:tcPr>
            <w:tcW w:w="8040" w:type="dxa"/>
            <w:vAlign w:val="bottom"/>
            <w:gridSpan w:val="4"/>
          </w:tcPr>
          <w:p>
            <w:pPr>
              <w:spacing w:after="0" w:line="201" w:lineRule="exact"/>
              <w:rPr>
                <w:sz w:val="20"/>
                <w:szCs w:val="20"/>
                <w:color w:val="auto"/>
              </w:rPr>
            </w:pPr>
            <w:r>
              <w:rPr>
                <w:rFonts w:ascii="Arial" w:cs="Arial" w:eastAsia="Arial" w:hAnsi="Arial"/>
                <w:sz w:val="18"/>
                <w:szCs w:val="18"/>
                <w:color w:val="auto"/>
              </w:rPr>
              <w:t>Citizenship or Place of Organization</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w w:val="98"/>
              </w:rPr>
              <w:t>United States</w:t>
            </w:r>
          </w:p>
        </w:tc>
        <w:tc>
          <w:tcPr>
            <w:tcW w:w="39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940" w:type="dxa"/>
            <w:vAlign w:val="bottom"/>
            <w:tcBorders>
              <w:bottom w:val="single" w:sz="8" w:color="auto"/>
            </w:tcBorders>
            <w:gridSpan w:val="2"/>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560" w:type="dxa"/>
            <w:vAlign w:val="bottom"/>
            <w:tcBorders>
              <w:right w:val="single" w:sz="8" w:color="auto"/>
            </w:tcBorders>
          </w:tcPr>
          <w:p>
            <w:pPr>
              <w:jc w:val="right"/>
              <w:ind w:right="270"/>
              <w:spacing w:after="0" w:line="201" w:lineRule="exact"/>
              <w:rPr>
                <w:sz w:val="20"/>
                <w:szCs w:val="20"/>
                <w:color w:val="auto"/>
              </w:rPr>
            </w:pPr>
            <w:r>
              <w:rPr>
                <w:rFonts w:ascii="Arial" w:cs="Arial" w:eastAsia="Arial" w:hAnsi="Arial"/>
                <w:sz w:val="18"/>
                <w:szCs w:val="18"/>
                <w:color w:val="auto"/>
              </w:rPr>
              <w:t>5.</w:t>
            </w:r>
          </w:p>
        </w:tc>
        <w:tc>
          <w:tcPr>
            <w:tcW w:w="69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Sole Voting Power</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9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3040" w:type="dxa"/>
            <w:vAlign w:val="bottom"/>
          </w:tcPr>
          <w:p>
            <w:pPr>
              <w:spacing w:after="0"/>
              <w:rPr>
                <w:sz w:val="10"/>
                <w:szCs w:val="10"/>
                <w:color w:val="auto"/>
              </w:rPr>
            </w:pPr>
          </w:p>
        </w:tc>
        <w:tc>
          <w:tcPr>
            <w:tcW w:w="2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4"/>
              </w:rPr>
              <w:t>Shares</w:t>
            </w:r>
          </w:p>
        </w:tc>
        <w:tc>
          <w:tcPr>
            <w:tcW w:w="560" w:type="dxa"/>
            <w:vAlign w:val="bottom"/>
            <w:tcBorders>
              <w:right w:val="single" w:sz="8" w:color="auto"/>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3040" w:type="dxa"/>
            <w:vAlign w:val="bottom"/>
          </w:tcPr>
          <w:p>
            <w:pPr>
              <w:spacing w:after="0"/>
              <w:rPr>
                <w:sz w:val="9"/>
                <w:szCs w:val="9"/>
                <w:color w:val="auto"/>
              </w:rPr>
            </w:pPr>
          </w:p>
        </w:tc>
        <w:tc>
          <w:tcPr>
            <w:tcW w:w="25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1160" w:type="dxa"/>
            <w:vAlign w:val="bottom"/>
            <w:tcBorders>
              <w:left w:val="single" w:sz="8" w:color="auto"/>
              <w:right w:val="single" w:sz="8" w:color="auto"/>
            </w:tcBorders>
            <w:gridSpan w:val="2"/>
            <w:vMerge w:val="continue"/>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
        </w:trPr>
        <w:tc>
          <w:tcPr>
            <w:tcW w:w="1160" w:type="dxa"/>
            <w:vAlign w:val="bottom"/>
            <w:tcBorders>
              <w:left w:val="single" w:sz="8" w:color="auto"/>
              <w:right w:val="single" w:sz="8" w:color="auto"/>
            </w:tcBorders>
            <w:gridSpan w:val="2"/>
            <w:vMerge w:val="continue"/>
          </w:tcPr>
          <w:p>
            <w:pPr>
              <w:spacing w:after="0"/>
              <w:rPr>
                <w:sz w:val="4"/>
                <w:szCs w:val="4"/>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6.</w:t>
            </w:r>
          </w:p>
        </w:tc>
        <w:tc>
          <w:tcPr>
            <w:tcW w:w="694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Voting Power</w:t>
            </w:r>
          </w:p>
        </w:tc>
        <w:tc>
          <w:tcPr>
            <w:tcW w:w="25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560" w:type="dxa"/>
            <w:vAlign w:val="bottom"/>
            <w:tcBorders>
              <w:right w:val="single" w:sz="8" w:color="auto"/>
            </w:tcBorders>
            <w:vMerge w:val="continue"/>
          </w:tcPr>
          <w:p>
            <w:pPr>
              <w:spacing w:after="0"/>
              <w:rPr>
                <w:sz w:val="13"/>
                <w:szCs w:val="13"/>
                <w:color w:val="auto"/>
              </w:rPr>
            </w:pPr>
          </w:p>
        </w:tc>
        <w:tc>
          <w:tcPr>
            <w:tcW w:w="6940" w:type="dxa"/>
            <w:vAlign w:val="bottom"/>
            <w:gridSpan w:val="2"/>
            <w:vMerge w:val="continue"/>
          </w:tcPr>
          <w:p>
            <w:pPr>
              <w:spacing w:after="0"/>
              <w:rPr>
                <w:sz w:val="13"/>
                <w:szCs w:val="13"/>
                <w:color w:val="auto"/>
              </w:rPr>
            </w:pPr>
          </w:p>
        </w:tc>
        <w:tc>
          <w:tcPr>
            <w:tcW w:w="25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60" w:type="dxa"/>
            <w:vAlign w:val="bottom"/>
            <w:tcBorders>
              <w:left w:val="single" w:sz="8" w:color="auto"/>
              <w:right w:val="single" w:sz="8" w:color="auto"/>
            </w:tcBorders>
            <w:gridSpan w:val="2"/>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3900" w:type="dxa"/>
            <w:vAlign w:val="bottom"/>
            <w:vMerge w:val="restart"/>
          </w:tcPr>
          <w:p>
            <w:pPr>
              <w:ind w:left="20"/>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40" w:type="dxa"/>
            <w:vAlign w:val="bottom"/>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Owned by</w:t>
            </w:r>
          </w:p>
        </w:tc>
        <w:tc>
          <w:tcPr>
            <w:tcW w:w="56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tcBorders>
            <w:vMerge w:val="continue"/>
          </w:tcPr>
          <w:p>
            <w:pPr>
              <w:spacing w:after="0"/>
              <w:rPr>
                <w:sz w:val="20"/>
                <w:szCs w:val="20"/>
                <w:color w:val="auto"/>
              </w:rPr>
            </w:pPr>
          </w:p>
        </w:tc>
        <w:tc>
          <w:tcPr>
            <w:tcW w:w="3040" w:type="dxa"/>
            <w:vAlign w:val="bottom"/>
            <w:tcBorders>
              <w:bottom w:val="single" w:sz="8" w:color="auto"/>
            </w:tcBorders>
          </w:tcPr>
          <w:p>
            <w:pPr>
              <w:spacing w:after="0"/>
              <w:rPr>
                <w:sz w:val="20"/>
                <w:szCs w:val="20"/>
                <w:color w:val="auto"/>
              </w:rPr>
            </w:pPr>
          </w:p>
        </w:tc>
        <w:tc>
          <w:tcPr>
            <w:tcW w:w="25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60" w:type="dxa"/>
            <w:vAlign w:val="bottom"/>
            <w:tcBorders>
              <w:left w:val="single" w:sz="8" w:color="auto"/>
              <w:right w:val="single" w:sz="8" w:color="auto"/>
            </w:tcBorders>
            <w:gridSpan w:val="2"/>
          </w:tcPr>
          <w:p>
            <w:pPr>
              <w:jc w:val="center"/>
              <w:spacing w:after="0" w:line="175" w:lineRule="exact"/>
              <w:rPr>
                <w:sz w:val="20"/>
                <w:szCs w:val="20"/>
                <w:color w:val="auto"/>
              </w:rPr>
            </w:pPr>
            <w:r>
              <w:rPr>
                <w:rFonts w:ascii="Arial" w:cs="Arial" w:eastAsia="Arial" w:hAnsi="Arial"/>
                <w:sz w:val="18"/>
                <w:szCs w:val="18"/>
                <w:color w:val="auto"/>
                <w:w w:val="87"/>
              </w:rPr>
              <w:t>Each</w:t>
            </w:r>
          </w:p>
        </w:tc>
        <w:tc>
          <w:tcPr>
            <w:tcW w:w="560" w:type="dxa"/>
            <w:vAlign w:val="bottom"/>
            <w:tcBorders>
              <w:right w:val="single" w:sz="8" w:color="auto"/>
            </w:tcBorders>
          </w:tcPr>
          <w:p>
            <w:pPr>
              <w:jc w:val="right"/>
              <w:ind w:right="270"/>
              <w:spacing w:after="0" w:line="175" w:lineRule="exact"/>
              <w:rPr>
                <w:sz w:val="20"/>
                <w:szCs w:val="20"/>
                <w:color w:val="auto"/>
              </w:rPr>
            </w:pPr>
            <w:r>
              <w:rPr>
                <w:rFonts w:ascii="Arial" w:cs="Arial" w:eastAsia="Arial" w:hAnsi="Arial"/>
                <w:sz w:val="18"/>
                <w:szCs w:val="18"/>
                <w:color w:val="auto"/>
              </w:rPr>
              <w:t>7.</w:t>
            </w:r>
          </w:p>
        </w:tc>
        <w:tc>
          <w:tcPr>
            <w:tcW w:w="694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Sole Dispositive Power</w:t>
            </w:r>
          </w:p>
        </w:tc>
        <w:tc>
          <w:tcPr>
            <w:tcW w:w="2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Reporting</w:t>
            </w:r>
          </w:p>
        </w:tc>
        <w:tc>
          <w:tcPr>
            <w:tcW w:w="560" w:type="dxa"/>
            <w:vAlign w:val="bottom"/>
            <w:tcBorders>
              <w:right w:val="single" w:sz="8" w:color="auto"/>
            </w:tcBorders>
          </w:tcPr>
          <w:p>
            <w:pPr>
              <w:spacing w:after="0"/>
              <w:rPr>
                <w:sz w:val="18"/>
                <w:szCs w:val="18"/>
                <w:color w:val="auto"/>
              </w:rPr>
            </w:pPr>
          </w:p>
        </w:tc>
        <w:tc>
          <w:tcPr>
            <w:tcW w:w="3900" w:type="dxa"/>
            <w:vAlign w:val="bottom"/>
          </w:tcPr>
          <w:p>
            <w:pPr>
              <w:ind w:left="20"/>
              <w:spacing w:after="0"/>
              <w:rPr>
                <w:sz w:val="20"/>
                <w:szCs w:val="20"/>
                <w:color w:val="auto"/>
              </w:rPr>
            </w:pPr>
            <w:r>
              <w:rPr>
                <w:rFonts w:ascii="Arial" w:cs="Arial" w:eastAsia="Arial" w:hAnsi="Arial"/>
                <w:sz w:val="18"/>
                <w:szCs w:val="18"/>
                <w:color w:val="auto"/>
              </w:rPr>
              <w:t>0</w:t>
            </w:r>
          </w:p>
        </w:tc>
        <w:tc>
          <w:tcPr>
            <w:tcW w:w="3040" w:type="dxa"/>
            <w:vAlign w:val="bottom"/>
          </w:tcPr>
          <w:p>
            <w:pPr>
              <w:spacing w:after="0"/>
              <w:rPr>
                <w:sz w:val="18"/>
                <w:szCs w:val="18"/>
                <w:color w:val="auto"/>
              </w:rPr>
            </w:pPr>
          </w:p>
        </w:tc>
        <w:tc>
          <w:tcPr>
            <w:tcW w:w="25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7"/>
              </w:rPr>
              <w:t>Person</w:t>
            </w:r>
          </w:p>
        </w:tc>
        <w:tc>
          <w:tcPr>
            <w:tcW w:w="560" w:type="dxa"/>
            <w:vAlign w:val="bottom"/>
            <w:tcBorders>
              <w:bottom w:val="single" w:sz="8" w:color="auto"/>
              <w:right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3040" w:type="dxa"/>
            <w:vAlign w:val="bottom"/>
            <w:tcBorders>
              <w:bottom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160" w:type="dxa"/>
            <w:vAlign w:val="bottom"/>
            <w:tcBorders>
              <w:left w:val="single" w:sz="8" w:color="auto"/>
              <w:right w:val="single" w:sz="8" w:color="auto"/>
            </w:tcBorders>
            <w:gridSpan w:val="2"/>
            <w:vMerge w:val="continue"/>
          </w:tcPr>
          <w:p>
            <w:pPr>
              <w:spacing w:after="0"/>
              <w:rPr>
                <w:sz w:val="10"/>
                <w:szCs w:val="10"/>
                <w:color w:val="auto"/>
              </w:rPr>
            </w:pPr>
          </w:p>
        </w:tc>
        <w:tc>
          <w:tcPr>
            <w:tcW w:w="560" w:type="dxa"/>
            <w:vAlign w:val="bottom"/>
            <w:tcBorders>
              <w:right w:val="single" w:sz="8" w:color="auto"/>
            </w:tcBorders>
            <w:vMerge w:val="restart"/>
          </w:tcPr>
          <w:p>
            <w:pPr>
              <w:jc w:val="right"/>
              <w:ind w:right="270"/>
              <w:spacing w:after="0" w:line="206" w:lineRule="exact"/>
              <w:rPr>
                <w:sz w:val="20"/>
                <w:szCs w:val="20"/>
                <w:color w:val="auto"/>
              </w:rPr>
            </w:pPr>
            <w:r>
              <w:rPr>
                <w:rFonts w:ascii="Arial" w:cs="Arial" w:eastAsia="Arial" w:hAnsi="Arial"/>
                <w:sz w:val="18"/>
                <w:szCs w:val="18"/>
                <w:color w:val="auto"/>
              </w:rPr>
              <w:t>8.</w:t>
            </w:r>
          </w:p>
        </w:tc>
        <w:tc>
          <w:tcPr>
            <w:tcW w:w="6940" w:type="dxa"/>
            <w:vAlign w:val="bottom"/>
            <w:gridSpan w:val="2"/>
            <w:vMerge w:val="restart"/>
          </w:tcPr>
          <w:p>
            <w:pPr>
              <w:ind w:left="20"/>
              <w:spacing w:after="0" w:line="206" w:lineRule="exact"/>
              <w:rPr>
                <w:sz w:val="20"/>
                <w:szCs w:val="20"/>
                <w:color w:val="auto"/>
              </w:rPr>
            </w:pPr>
            <w:r>
              <w:rPr>
                <w:rFonts w:ascii="Arial" w:cs="Arial" w:eastAsia="Arial" w:hAnsi="Arial"/>
                <w:sz w:val="18"/>
                <w:szCs w:val="18"/>
                <w:color w:val="auto"/>
              </w:rPr>
              <w:t>Shared Dispositive Power</w:t>
            </w:r>
          </w:p>
        </w:tc>
        <w:tc>
          <w:tcPr>
            <w:tcW w:w="25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16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vMerge w:val="continue"/>
          </w:tcPr>
          <w:p>
            <w:pPr>
              <w:spacing w:after="0"/>
              <w:rPr>
                <w:sz w:val="7"/>
                <w:szCs w:val="7"/>
                <w:color w:val="auto"/>
              </w:rPr>
            </w:pPr>
          </w:p>
        </w:tc>
        <w:tc>
          <w:tcPr>
            <w:tcW w:w="6940" w:type="dxa"/>
            <w:vAlign w:val="bottom"/>
            <w:gridSpan w:val="2"/>
            <w:vMerge w:val="continue"/>
          </w:tcPr>
          <w:p>
            <w:pPr>
              <w:spacing w:after="0"/>
              <w:rPr>
                <w:sz w:val="7"/>
                <w:szCs w:val="7"/>
                <w:color w:val="auto"/>
              </w:rPr>
            </w:pPr>
          </w:p>
        </w:tc>
        <w:tc>
          <w:tcPr>
            <w:tcW w:w="25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160" w:type="dxa"/>
            <w:vAlign w:val="bottom"/>
            <w:tcBorders>
              <w:left w:val="single" w:sz="8" w:color="auto"/>
              <w:right w:val="single" w:sz="8" w:color="auto"/>
            </w:tcBorders>
            <w:gridSpan w:val="2"/>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3900" w:type="dxa"/>
            <w:vAlign w:val="bottom"/>
            <w:vMerge w:val="restart"/>
          </w:tcPr>
          <w:p>
            <w:pPr>
              <w:ind w:left="20"/>
              <w:spacing w:after="0" w:line="267"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040" w:type="dxa"/>
            <w:vAlign w:val="bottom"/>
          </w:tcPr>
          <w:p>
            <w:pPr>
              <w:spacing w:after="0"/>
              <w:rPr>
                <w:sz w:val="12"/>
                <w:szCs w:val="12"/>
                <w:color w:val="auto"/>
              </w:rPr>
            </w:pPr>
          </w:p>
        </w:tc>
        <w:tc>
          <w:tcPr>
            <w:tcW w:w="25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20" w:type="dxa"/>
            <w:vAlign w:val="bottom"/>
            <w:tcBorders>
              <w:left w:val="single" w:sz="8" w:color="auto"/>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3900" w:type="dxa"/>
            <w:vAlign w:val="bottom"/>
            <w:tcBorders>
              <w:bottom w:val="single" w:sz="8" w:color="auto"/>
            </w:tcBorders>
            <w:vMerge w:val="continue"/>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25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9.</w:t>
            </w:r>
          </w:p>
        </w:tc>
        <w:tc>
          <w:tcPr>
            <w:tcW w:w="804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line="294" w:lineRule="exact"/>
              <w:rPr>
                <w:sz w:val="20"/>
                <w:szCs w:val="20"/>
                <w:color w:val="auto"/>
              </w:rPr>
            </w:pPr>
            <w:r>
              <w:rPr>
                <w:rFonts w:ascii="Arial" w:cs="Arial" w:eastAsia="Arial" w:hAnsi="Arial"/>
                <w:sz w:val="18"/>
                <w:szCs w:val="18"/>
                <w:color w:val="auto"/>
              </w:rPr>
              <w:t>1,000,000</w:t>
            </w:r>
            <w:r>
              <w:rPr>
                <w:rFonts w:ascii="Arial" w:cs="Arial" w:eastAsia="Arial" w:hAnsi="Arial"/>
                <w:sz w:val="29"/>
                <w:szCs w:val="29"/>
                <w:color w:val="auto"/>
                <w:vertAlign w:val="superscript"/>
              </w:rPr>
              <w:t>2</w:t>
            </w:r>
          </w:p>
        </w:tc>
        <w:tc>
          <w:tcPr>
            <w:tcW w:w="3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 w:type="dxa"/>
            <w:vAlign w:val="bottom"/>
            <w:tcBorders>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10.</w:t>
            </w:r>
          </w:p>
        </w:tc>
        <w:tc>
          <w:tcPr>
            <w:tcW w:w="8040" w:type="dxa"/>
            <w:vAlign w:val="bottom"/>
            <w:tcBorders>
              <w:bottom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25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620" w:type="dxa"/>
            <w:vAlign w:val="bottom"/>
            <w:tcBorders>
              <w:left w:val="single" w:sz="8" w:color="auto"/>
              <w:right w:val="single" w:sz="8" w:color="auto"/>
            </w:tcBorders>
          </w:tcPr>
          <w:p>
            <w:pPr>
              <w:ind w:left="220"/>
              <w:spacing w:after="0" w:line="206" w:lineRule="exact"/>
              <w:rPr>
                <w:sz w:val="20"/>
                <w:szCs w:val="20"/>
                <w:color w:val="auto"/>
              </w:rPr>
            </w:pPr>
            <w:r>
              <w:rPr>
                <w:rFonts w:ascii="Arial" w:cs="Arial" w:eastAsia="Arial" w:hAnsi="Arial"/>
                <w:sz w:val="18"/>
                <w:szCs w:val="18"/>
                <w:color w:val="auto"/>
              </w:rPr>
              <w:t>11.</w:t>
            </w:r>
          </w:p>
        </w:tc>
        <w:tc>
          <w:tcPr>
            <w:tcW w:w="8040" w:type="dxa"/>
            <w:vAlign w:val="bottom"/>
            <w:gridSpan w:val="4"/>
          </w:tcPr>
          <w:p>
            <w:pPr>
              <w:spacing w:after="0" w:line="206" w:lineRule="exact"/>
              <w:rPr>
                <w:sz w:val="20"/>
                <w:szCs w:val="20"/>
                <w:color w:val="auto"/>
              </w:rPr>
            </w:pPr>
            <w:r>
              <w:rPr>
                <w:rFonts w:ascii="Arial" w:cs="Arial" w:eastAsia="Arial" w:hAnsi="Arial"/>
                <w:sz w:val="18"/>
                <w:szCs w:val="18"/>
                <w:color w:val="auto"/>
              </w:rPr>
              <w:t>Percent of Class Represented by Amount in Row (9)</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620" w:type="dxa"/>
            <w:vAlign w:val="bottom"/>
            <w:tcBorders>
              <w:left w:val="single" w:sz="8" w:color="auto"/>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w w:val="96"/>
              </w:rPr>
              <w:t>2.7%</w:t>
            </w:r>
            <w:r>
              <w:rPr>
                <w:rFonts w:ascii="Arial" w:cs="Arial" w:eastAsia="Arial" w:hAnsi="Arial"/>
                <w:sz w:val="29"/>
                <w:szCs w:val="29"/>
                <w:color w:val="auto"/>
                <w:w w:val="96"/>
                <w:vertAlign w:val="superscript"/>
              </w:rPr>
              <w:t>3</w:t>
            </w:r>
          </w:p>
        </w:tc>
        <w:tc>
          <w:tcPr>
            <w:tcW w:w="5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0" w:type="dxa"/>
            <w:vAlign w:val="bottom"/>
            <w:tcBorders>
              <w:left w:val="single" w:sz="8" w:color="auto"/>
              <w:right w:val="single" w:sz="8" w:color="auto"/>
            </w:tcBorders>
          </w:tcPr>
          <w:p>
            <w:pPr>
              <w:ind w:left="220"/>
              <w:spacing w:after="0" w:line="201" w:lineRule="exact"/>
              <w:rPr>
                <w:sz w:val="20"/>
                <w:szCs w:val="20"/>
                <w:color w:val="auto"/>
              </w:rPr>
            </w:pPr>
            <w:r>
              <w:rPr>
                <w:rFonts w:ascii="Arial" w:cs="Arial" w:eastAsia="Arial" w:hAnsi="Arial"/>
                <w:sz w:val="18"/>
                <w:szCs w:val="18"/>
                <w:color w:val="auto"/>
              </w:rPr>
              <w:t>12.</w:t>
            </w:r>
          </w:p>
        </w:tc>
        <w:tc>
          <w:tcPr>
            <w:tcW w:w="8040" w:type="dxa"/>
            <w:vAlign w:val="bottom"/>
            <w:gridSpan w:val="4"/>
          </w:tcPr>
          <w:p>
            <w:pPr>
              <w:spacing w:after="0" w:line="201" w:lineRule="exact"/>
              <w:rPr>
                <w:sz w:val="20"/>
                <w:szCs w:val="20"/>
                <w:color w:val="auto"/>
              </w:rPr>
            </w:pPr>
            <w:r>
              <w:rPr>
                <w:rFonts w:ascii="Arial" w:cs="Arial" w:eastAsia="Arial" w:hAnsi="Arial"/>
                <w:sz w:val="18"/>
                <w:szCs w:val="18"/>
                <w:color w:val="auto"/>
              </w:rPr>
              <w:t>Type of Reporting Person (See Instructions)</w:t>
            </w:r>
          </w:p>
        </w:tc>
        <w:tc>
          <w:tcPr>
            <w:tcW w:w="2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0" w:type="dxa"/>
            <w:vAlign w:val="bottom"/>
            <w:tcBorders>
              <w:left w:val="single" w:sz="8" w:color="auto"/>
              <w:right w:val="single" w:sz="8" w:color="auto"/>
            </w:tcBorders>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IN</w:t>
            </w:r>
          </w:p>
        </w:tc>
        <w:tc>
          <w:tcPr>
            <w:tcW w:w="5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440" w:hanging="343"/>
        <w:spacing w:after="0" w:line="286"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13G/A.</w:t>
      </w:r>
    </w:p>
    <w:p>
      <w:pPr>
        <w:spacing w:after="0" w:line="165" w:lineRule="exact"/>
        <w:rPr>
          <w:sz w:val="20"/>
          <w:szCs w:val="20"/>
          <w:color w:val="auto"/>
        </w:rPr>
      </w:pPr>
    </w:p>
    <w:p>
      <w:pPr>
        <w:ind w:left="360" w:right="60" w:hanging="343"/>
        <w:spacing w:after="0" w:line="263" w:lineRule="auto"/>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w:t>
      </w:r>
    </w:p>
    <w:p>
      <w:pPr>
        <w:spacing w:after="0" w:line="184" w:lineRule="exact"/>
        <w:rPr>
          <w:sz w:val="20"/>
          <w:szCs w:val="20"/>
          <w:color w:val="auto"/>
        </w:rPr>
      </w:pPr>
    </w:p>
    <w:p>
      <w:pPr>
        <w:ind w:left="360" w:right="360" w:hanging="343"/>
        <w:spacing w:after="0" w:line="308" w:lineRule="auto"/>
        <w:tabs>
          <w:tab w:leader="none" w:pos="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This percentage is calculated based upon 37,351,104 shares of the Issuer’s Common Stock outstanding as of November 5, 2021, as reported in the Issuer’s Quarterly Report on Form 10-Q filed with the Securities and Exchange Commission on November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 w:name="page12"/>
    <w:bookmarkEnd w:id="11"/>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Introductory Note: This Schedule 13G/A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 LLC, a limited liability company organized under the laws of the State of Delaware (“VHCP Management II”), VHCP Management III, LLC, a limited liability company organized under the laws of the State of Delaware (“VHCP Management III”), VHCP Management EG, LLC, a limited liability company organized under the laws of the State of Delaware (“VHCP Management EG” and collectively with VHCP II LP, VHCP Co-Investment II, VHCP III LP, VHCP Co-Investment III, VHCP EG, VHCP Management II and VHCP Management III, the “Venrock Entities”), Nimish Shah (“Shah”) and Bong Koh (“Koh”) in respect of Common Stock of Athira Pharma,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Athira Pharma, Inc.</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 Address of Issuer’s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18706 North Creek Parkway, Suite 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Bothell, Washington 98011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EG,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EG,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Nimish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Bong Koh</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 Address of Principal Business Office or, if none, Residence</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Office:</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7 Bryant Park</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23rd Floor</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New York, NY 10018</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Palo Alto Office: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3340 Hillview Avenue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94304</w:t>
      </w:r>
    </w:p>
    <w:p>
      <w:pPr>
        <w:spacing w:after="0" w:line="393" w:lineRule="exact"/>
        <w:rPr>
          <w:sz w:val="20"/>
          <w:szCs w:val="20"/>
          <w:color w:val="auto"/>
        </w:rPr>
      </w:pPr>
    </w:p>
    <w:p>
      <w:pPr>
        <w:sectPr>
          <w:pgSz w:w="11900" w:h="16838" w:orient="portrait"/>
          <w:cols w:equalWidth="0" w:num="2">
            <w:col w:w="4580" w:space="720"/>
            <w:col w:w="5940"/>
          </w:cols>
          <w:pgMar w:left="320" w:top="904" w:right="339" w:bottom="1440" w:gutter="0" w:footer="0" w:header="0"/>
          <w:type w:val="continuous"/>
        </w:sectPr>
      </w:pP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 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 of the Venrock Entities were organized in Delaware. The individuals are both United States citizens.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 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par value $0.0001 per share</w:t>
      </w:r>
    </w:p>
    <w:p>
      <w:pPr>
        <w:spacing w:after="0" w:line="211" w:lineRule="exact"/>
        <w:rPr>
          <w:sz w:val="20"/>
          <w:szCs w:val="20"/>
          <w:color w:val="auto"/>
        </w:rPr>
      </w:pPr>
    </w:p>
    <w:p>
      <w:pPr>
        <w:ind w:right="9680" w:firstLine="170"/>
        <w:spacing w:after="0" w:line="308" w:lineRule="auto"/>
        <w:tabs>
          <w:tab w:leader="none" w:pos="40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CUSIP Number 04746L104</w:t>
      </w:r>
    </w:p>
    <w:p>
      <w:pPr>
        <w:spacing w:after="0" w:line="142"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13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Item 4.   Ownership</w:t>
            </w:r>
          </w:p>
        </w:tc>
        <w:tc>
          <w:tcPr>
            <w:tcW w:w="3040" w:type="dxa"/>
            <w:vAlign w:val="bottom"/>
          </w:tcPr>
          <w:p>
            <w:pPr>
              <w:spacing w:after="0"/>
              <w:rPr>
                <w:sz w:val="20"/>
                <w:szCs w:val="20"/>
                <w:color w:val="auto"/>
              </w:rPr>
            </w:pPr>
          </w:p>
        </w:tc>
      </w:tr>
      <w:tr>
        <w:trPr>
          <w:trHeight w:val="432"/>
        </w:trPr>
        <w:tc>
          <w:tcPr>
            <w:tcW w:w="6780" w:type="dxa"/>
            <w:vAlign w:val="bottom"/>
            <w:gridSpan w:val="2"/>
          </w:tcPr>
          <w:p>
            <w:pPr>
              <w:ind w:left="160"/>
              <w:spacing w:after="0"/>
              <w:rPr>
                <w:sz w:val="20"/>
                <w:szCs w:val="20"/>
                <w:color w:val="auto"/>
              </w:rPr>
            </w:pPr>
            <w:r>
              <w:rPr>
                <w:rFonts w:ascii="Arial" w:cs="Arial" w:eastAsia="Arial" w:hAnsi="Arial"/>
                <w:sz w:val="18"/>
                <w:szCs w:val="18"/>
                <w:color w:val="auto"/>
              </w:rPr>
              <w:t>(a) Amount Beneficially Owned as of December 31, 2021:</w:t>
            </w:r>
          </w:p>
        </w:tc>
        <w:tc>
          <w:tcPr>
            <w:tcW w:w="3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30"/>
        </w:trPr>
        <w:tc>
          <w:tcPr>
            <w:tcW w:w="1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Bong Koh</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418"/>
        </w:trPr>
        <w:tc>
          <w:tcPr>
            <w:tcW w:w="6780" w:type="dxa"/>
            <w:vAlign w:val="bottom"/>
            <w:gridSpan w:val="2"/>
          </w:tcPr>
          <w:p>
            <w:pPr>
              <w:ind w:left="160"/>
              <w:spacing w:after="0"/>
              <w:rPr>
                <w:sz w:val="20"/>
                <w:szCs w:val="20"/>
                <w:color w:val="auto"/>
              </w:rPr>
            </w:pPr>
            <w:r>
              <w:rPr>
                <w:rFonts w:ascii="Arial" w:cs="Arial" w:eastAsia="Arial" w:hAnsi="Arial"/>
                <w:sz w:val="18"/>
                <w:szCs w:val="18"/>
                <w:color w:val="auto"/>
              </w:rPr>
              <w:t>(b) Percent of Class as of December 31, 2021:</w:t>
            </w:r>
          </w:p>
        </w:tc>
        <w:tc>
          <w:tcPr>
            <w:tcW w:w="304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4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40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Bong Koh</w:t>
            </w:r>
          </w:p>
        </w:tc>
        <w:tc>
          <w:tcPr>
            <w:tcW w:w="304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187" w:lineRule="exact"/>
        <w:rPr>
          <w:sz w:val="20"/>
          <w:szCs w:val="20"/>
          <w:color w:val="auto"/>
        </w:rPr>
      </w:pPr>
    </w:p>
    <w:p>
      <w:pPr>
        <w:ind w:left="420" w:hanging="250"/>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the person has, as of December 31, 2021:</w:t>
      </w:r>
    </w:p>
    <w:p>
      <w:pPr>
        <w:spacing w:after="0" w:line="23" w:lineRule="exact"/>
        <w:rPr>
          <w:rFonts w:ascii="Arial" w:cs="Arial" w:eastAsia="Arial" w:hAnsi="Arial"/>
          <w:sz w:val="18"/>
          <w:szCs w:val="18"/>
          <w:color w:val="auto"/>
        </w:rPr>
      </w:pPr>
    </w:p>
    <w:p>
      <w:pPr>
        <w:ind w:left="380" w:hanging="210"/>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Bong Koh</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c>
          <w:tcPr>
            <w:tcW w:w="1400" w:type="dxa"/>
            <w:vAlign w:val="bottom"/>
          </w:tcPr>
          <w:p>
            <w:pPr>
              <w:spacing w:after="0"/>
              <w:rPr>
                <w:sz w:val="20"/>
                <w:szCs w:val="20"/>
                <w:color w:val="auto"/>
              </w:rPr>
            </w:pPr>
          </w:p>
        </w:tc>
      </w:tr>
      <w:tr>
        <w:trPr>
          <w:trHeight w:val="661"/>
        </w:trPr>
        <w:tc>
          <w:tcPr>
            <w:tcW w:w="14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gridSpan w:val="2"/>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040" w:type="dxa"/>
            <w:vAlign w:val="bottom"/>
            <w:shd w:val="clear" w:color="auto" w:fill="FEFEFE"/>
          </w:tcPr>
          <w:p>
            <w:pPr>
              <w:spacing w:after="0"/>
              <w:rPr>
                <w:sz w:val="18"/>
                <w:szCs w:val="18"/>
                <w:color w:val="auto"/>
              </w:rPr>
            </w:pPr>
          </w:p>
        </w:tc>
        <w:tc>
          <w:tcPr>
            <w:tcW w:w="1400" w:type="dxa"/>
            <w:vAlign w:val="bottom"/>
            <w:shd w:val="clear" w:color="auto" w:fill="FEFEFE"/>
          </w:tcPr>
          <w:p>
            <w:pPr>
              <w:ind w:left="400"/>
              <w:spacing w:after="0"/>
              <w:rPr>
                <w:sz w:val="20"/>
                <w:szCs w:val="20"/>
                <w:color w:val="auto"/>
              </w:rPr>
            </w:pPr>
            <w:r>
              <w:rPr>
                <w:rFonts w:ascii="Arial" w:cs="Arial" w:eastAsia="Arial" w:hAnsi="Arial"/>
                <w:sz w:val="18"/>
                <w:szCs w:val="18"/>
                <w:color w:val="auto"/>
                <w:w w:val="87"/>
              </w:rPr>
              <w:t>Page 14 of 17</w:t>
            </w:r>
          </w:p>
        </w:tc>
      </w:tr>
      <w:tr>
        <w:trPr>
          <w:trHeight w:val="432"/>
        </w:trPr>
        <w:tc>
          <w:tcPr>
            <w:tcW w:w="6800" w:type="dxa"/>
            <w:vAlign w:val="bottom"/>
            <w:gridSpan w:val="2"/>
          </w:tcPr>
          <w:p>
            <w:pPr>
              <w:ind w:left="180"/>
              <w:spacing w:after="0"/>
              <w:rPr>
                <w:sz w:val="20"/>
                <w:szCs w:val="20"/>
                <w:color w:val="auto"/>
              </w:rPr>
            </w:pPr>
            <w:r>
              <w:rPr>
                <w:rFonts w:ascii="Arial" w:cs="Arial" w:eastAsia="Arial" w:hAnsi="Arial"/>
                <w:sz w:val="18"/>
                <w:szCs w:val="18"/>
                <w:color w:val="auto"/>
              </w:rPr>
              <w:t>(ii) Shared power to vote or to direct the vote</w:t>
            </w:r>
          </w:p>
        </w:tc>
        <w:tc>
          <w:tcPr>
            <w:tcW w:w="30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14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18"/>
                <w:szCs w:val="18"/>
                <w:color w:val="auto"/>
              </w:rPr>
            </w:pPr>
          </w:p>
        </w:tc>
      </w:tr>
      <w:tr>
        <w:trPr>
          <w:trHeight w:val="230"/>
        </w:trPr>
        <w:tc>
          <w:tcPr>
            <w:tcW w:w="142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Bong Koh</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c>
          <w:tcPr>
            <w:tcW w:w="1400" w:type="dxa"/>
            <w:vAlign w:val="bottom"/>
          </w:tcPr>
          <w:p>
            <w:pPr>
              <w:spacing w:after="0"/>
              <w:rPr>
                <w:sz w:val="20"/>
                <w:szCs w:val="20"/>
                <w:color w:val="auto"/>
              </w:rPr>
            </w:pPr>
          </w:p>
        </w:tc>
      </w:tr>
    </w:tbl>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2660" w:type="dxa"/>
            <w:vAlign w:val="bottom"/>
          </w:tcPr>
          <w:p>
            <w:pPr>
              <w:spacing w:after="0"/>
              <w:rPr>
                <w:sz w:val="20"/>
                <w:szCs w:val="20"/>
                <w:color w:val="auto"/>
              </w:rPr>
            </w:pPr>
          </w:p>
        </w:tc>
      </w:tr>
      <w:tr>
        <w:trPr>
          <w:trHeight w:val="216"/>
        </w:trPr>
        <w:tc>
          <w:tcPr>
            <w:tcW w:w="124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124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1240" w:type="dxa"/>
            <w:vAlign w:val="bottom"/>
          </w:tcPr>
          <w:p>
            <w:pPr>
              <w:spacing w:after="0"/>
              <w:rPr>
                <w:sz w:val="20"/>
                <w:szCs w:val="20"/>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Bong Koh</w:t>
            </w:r>
          </w:p>
        </w:tc>
        <w:tc>
          <w:tcPr>
            <w:tcW w:w="266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3040" w:type="dxa"/>
            <w:vAlign w:val="bottom"/>
          </w:tcPr>
          <w:p>
            <w:pPr>
              <w:spacing w:after="0"/>
              <w:rPr>
                <w:sz w:val="20"/>
                <w:szCs w:val="20"/>
                <w:color w:val="auto"/>
              </w:rPr>
            </w:pPr>
          </w:p>
        </w:tc>
      </w:tr>
      <w:tr>
        <w:trPr>
          <w:trHeight w:val="216"/>
        </w:trPr>
        <w:tc>
          <w:tcPr>
            <w:tcW w:w="12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304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r>
        <w:trPr>
          <w:trHeight w:val="216"/>
        </w:trPr>
        <w:tc>
          <w:tcPr>
            <w:tcW w:w="124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1,000,000(1)</w:t>
            </w:r>
          </w:p>
        </w:tc>
      </w:tr>
      <w:tr>
        <w:trPr>
          <w:trHeight w:val="230"/>
        </w:trPr>
        <w:tc>
          <w:tcPr>
            <w:tcW w:w="12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Bong Koh</w:t>
            </w:r>
          </w:p>
        </w:tc>
        <w:tc>
          <w:tcPr>
            <w:tcW w:w="3040" w:type="dxa"/>
            <w:vAlign w:val="bottom"/>
          </w:tcPr>
          <w:p>
            <w:pPr>
              <w:jc w:val="right"/>
              <w:spacing w:after="0"/>
              <w:rPr>
                <w:sz w:val="20"/>
                <w:szCs w:val="20"/>
                <w:color w:val="auto"/>
              </w:rPr>
            </w:pPr>
            <w:r>
              <w:rPr>
                <w:rFonts w:ascii="Arial" w:cs="Arial" w:eastAsia="Arial" w:hAnsi="Arial"/>
                <w:sz w:val="18"/>
                <w:szCs w:val="18"/>
                <w:color w:val="auto"/>
              </w:rPr>
              <w:t>1,000,000(1)</w:t>
            </w:r>
          </w:p>
        </w:tc>
      </w:tr>
    </w:tbl>
    <w:p>
      <w:pPr>
        <w:spacing w:after="0" w:line="187" w:lineRule="exact"/>
        <w:rPr>
          <w:sz w:val="20"/>
          <w:szCs w:val="20"/>
          <w:color w:val="auto"/>
        </w:rPr>
      </w:pPr>
    </w:p>
    <w:p>
      <w:pPr>
        <w:ind w:left="360" w:right="20" w:hanging="343"/>
        <w:spacing w:after="0" w:line="254" w:lineRule="auto"/>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Consists of (i) 122,802 shares held by Venrock Healthcare Capital Partners II, L.P., (ii) 49,785 shares held by VHCP Co-Investment Holdings II, LLC, (iii) 390,587 shares held by Venrock Healthcare Capital Partners III, L.P., (iv) 39,063 shares held by VHCP Co-Investment Holdings III, LLC and (v) 397,763 shares held by Venrock Healthcare Capital Partners EG, L.P.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 LLC, VHCP Management III, LLC and VHCP Management EG, LLC.</w:t>
      </w:r>
    </w:p>
    <w:p>
      <w:pPr>
        <w:spacing w:after="0" w:line="19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20" w:right="18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800" w:type="dxa"/>
            <w:vAlign w:val="bottom"/>
            <w:gridSpan w:val="2"/>
            <w:shd w:val="clear" w:color="auto" w:fill="FEFEFE"/>
          </w:tcPr>
          <w:p>
            <w:pPr>
              <w:ind w:left="20"/>
              <w:spacing w:after="0"/>
              <w:rPr>
                <w:sz w:val="20"/>
                <w:szCs w:val="20"/>
                <w:color w:val="auto"/>
              </w:rPr>
            </w:pPr>
            <w:r>
              <w:rPr>
                <w:rFonts w:ascii="Arial" w:cs="Arial" w:eastAsia="Arial" w:hAnsi="Arial"/>
                <w:sz w:val="18"/>
                <w:szCs w:val="18"/>
                <w:b w:val="1"/>
                <w:bCs w:val="1"/>
                <w:color w:val="auto"/>
              </w:rPr>
              <w:t>CUSIP No. 04746L104</w:t>
            </w:r>
          </w:p>
        </w:tc>
        <w:tc>
          <w:tcPr>
            <w:tcW w:w="3440" w:type="dxa"/>
            <w:vAlign w:val="bottom"/>
            <w:shd w:val="clear" w:color="auto" w:fill="FEFEFE"/>
          </w:tcPr>
          <w:p>
            <w:pPr>
              <w:ind w:left="2440"/>
              <w:spacing w:after="0"/>
              <w:rPr>
                <w:sz w:val="20"/>
                <w:szCs w:val="20"/>
                <w:color w:val="auto"/>
              </w:rPr>
            </w:pPr>
            <w:r>
              <w:rPr>
                <w:rFonts w:ascii="Arial" w:cs="Arial" w:eastAsia="Arial" w:hAnsi="Arial"/>
                <w:sz w:val="18"/>
                <w:szCs w:val="18"/>
                <w:color w:val="auto"/>
                <w:w w:val="87"/>
              </w:rPr>
              <w:t>Page 15 of 17</w:t>
            </w:r>
          </w:p>
        </w:tc>
      </w:tr>
      <w:tr>
        <w:trPr>
          <w:trHeight w:val="432"/>
        </w:trPr>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Item 8.</w:t>
            </w:r>
          </w:p>
        </w:tc>
        <w:tc>
          <w:tcPr>
            <w:tcW w:w="7060" w:type="dxa"/>
            <w:vAlign w:val="bottom"/>
          </w:tcPr>
          <w:p>
            <w:pPr>
              <w:ind w:left="18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344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 w:name="page16"/>
    <w:bookmarkEnd w:id="15"/>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February 14,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Venrock Healthcare Capital Partners II, L.P.</w:t>
            </w:r>
          </w:p>
        </w:tc>
        <w:tc>
          <w:tcPr>
            <w:tcW w:w="420" w:type="dxa"/>
            <w:vAlign w:val="bottom"/>
          </w:tcPr>
          <w:p>
            <w:pPr>
              <w:spacing w:after="0"/>
              <w:rPr>
                <w:sz w:val="20"/>
                <w:szCs w:val="20"/>
                <w:color w:val="auto"/>
              </w:rPr>
            </w:pPr>
          </w:p>
        </w:tc>
        <w:tc>
          <w:tcPr>
            <w:tcW w:w="5420" w:type="dxa"/>
            <w:vAlign w:val="bottom"/>
            <w:gridSpan w:val="3"/>
          </w:tcPr>
          <w:p>
            <w:pPr>
              <w:ind w:left="20"/>
              <w:spacing w:after="0"/>
              <w:rPr>
                <w:sz w:val="20"/>
                <w:szCs w:val="20"/>
                <w:color w:val="auto"/>
              </w:rPr>
            </w:pPr>
            <w:r>
              <w:rPr>
                <w:rFonts w:ascii="Arial" w:cs="Arial" w:eastAsia="Arial" w:hAnsi="Arial"/>
                <w:sz w:val="18"/>
                <w:szCs w:val="18"/>
                <w:b w:val="1"/>
                <w:bCs w:val="1"/>
                <w:color w:val="auto"/>
              </w:rPr>
              <w:t>Venrock Healthcare Capital Partners III, L.P.</w:t>
            </w:r>
          </w:p>
        </w:tc>
        <w:tc>
          <w:tcPr>
            <w:tcW w:w="0" w:type="dxa"/>
            <w:vAlign w:val="bottom"/>
          </w:tcPr>
          <w:p>
            <w:pPr>
              <w:spacing w:after="0"/>
              <w:rPr>
                <w:sz w:val="1"/>
                <w:szCs w:val="1"/>
                <w:color w:val="auto"/>
              </w:rPr>
            </w:pPr>
          </w:p>
        </w:tc>
      </w:tr>
      <w:tr>
        <w:trPr>
          <w:trHeight w:val="418"/>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VHCP Management II, LLC</w:t>
            </w:r>
          </w:p>
        </w:tc>
        <w:tc>
          <w:tcPr>
            <w:tcW w:w="4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560" w:type="dxa"/>
            <w:vAlign w:val="bottom"/>
          </w:tcPr>
          <w:p>
            <w:pPr>
              <w:ind w:left="20"/>
              <w:spacing w:after="0"/>
              <w:rPr>
                <w:sz w:val="20"/>
                <w:szCs w:val="20"/>
                <w:color w:val="auto"/>
              </w:rPr>
            </w:pPr>
            <w:r>
              <w:rPr>
                <w:rFonts w:ascii="Arial" w:cs="Arial" w:eastAsia="Arial" w:hAnsi="Arial"/>
                <w:sz w:val="18"/>
                <w:szCs w:val="18"/>
                <w:color w:val="auto"/>
              </w:rPr>
              <w:t>Its:</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General Partner</w:t>
            </w:r>
          </w:p>
        </w:tc>
        <w:tc>
          <w:tcPr>
            <w:tcW w:w="4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Its:</w:t>
            </w:r>
          </w:p>
        </w:tc>
        <w:tc>
          <w:tcPr>
            <w:tcW w:w="486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9"/>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L. Stepp</w:t>
            </w:r>
          </w:p>
        </w:tc>
        <w:tc>
          <w:tcPr>
            <w:tcW w:w="4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Name: David L. Stepp</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Its:</w:t>
            </w:r>
          </w:p>
        </w:tc>
        <w:tc>
          <w:tcPr>
            <w:tcW w:w="444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46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Co-Investment Holdings II, LLC</w:t>
            </w:r>
          </w:p>
        </w:tc>
        <w:tc>
          <w:tcPr>
            <w:tcW w:w="420" w:type="dxa"/>
            <w:vAlign w:val="bottom"/>
          </w:tcPr>
          <w:p>
            <w:pPr>
              <w:spacing w:after="0"/>
              <w:rPr>
                <w:sz w:val="24"/>
                <w:szCs w:val="24"/>
                <w:color w:val="auto"/>
              </w:rPr>
            </w:pPr>
          </w:p>
        </w:tc>
        <w:tc>
          <w:tcPr>
            <w:tcW w:w="542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Co-Investment Holdings III, LLC</w:t>
            </w:r>
          </w:p>
        </w:tc>
        <w:tc>
          <w:tcPr>
            <w:tcW w:w="0" w:type="dxa"/>
            <w:vAlign w:val="bottom"/>
          </w:tcPr>
          <w:p>
            <w:pPr>
              <w:spacing w:after="0"/>
              <w:rPr>
                <w:sz w:val="1"/>
                <w:szCs w:val="1"/>
                <w:color w:val="auto"/>
              </w:rPr>
            </w:pPr>
          </w:p>
        </w:tc>
      </w:tr>
      <w:tr>
        <w:trPr>
          <w:trHeight w:val="418"/>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VHCP Management II, LLC</w:t>
            </w:r>
          </w:p>
        </w:tc>
        <w:tc>
          <w:tcPr>
            <w:tcW w:w="4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6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560" w:type="dxa"/>
            <w:vAlign w:val="bottom"/>
          </w:tcPr>
          <w:p>
            <w:pPr>
              <w:ind w:left="20"/>
              <w:spacing w:after="0"/>
              <w:rPr>
                <w:sz w:val="20"/>
                <w:szCs w:val="20"/>
                <w:color w:val="auto"/>
              </w:rPr>
            </w:pPr>
            <w:r>
              <w:rPr>
                <w:rFonts w:ascii="Arial" w:cs="Arial" w:eastAsia="Arial" w:hAnsi="Arial"/>
                <w:sz w:val="18"/>
                <w:szCs w:val="18"/>
                <w:color w:val="auto"/>
              </w:rPr>
              <w:t>Its:</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Manager</w:t>
            </w:r>
          </w:p>
        </w:tc>
        <w:tc>
          <w:tcPr>
            <w:tcW w:w="4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Its:</w:t>
            </w:r>
          </w:p>
        </w:tc>
        <w:tc>
          <w:tcPr>
            <w:tcW w:w="486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9"/>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L. Stepp</w:t>
            </w:r>
          </w:p>
        </w:tc>
        <w:tc>
          <w:tcPr>
            <w:tcW w:w="4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Name: David L. Stepp</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Its:</w:t>
            </w:r>
          </w:p>
        </w:tc>
        <w:tc>
          <w:tcPr>
            <w:tcW w:w="444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46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Management II, LLC</w:t>
            </w:r>
          </w:p>
        </w:tc>
        <w:tc>
          <w:tcPr>
            <w:tcW w:w="420" w:type="dxa"/>
            <w:vAlign w:val="bottom"/>
          </w:tcPr>
          <w:p>
            <w:pPr>
              <w:spacing w:after="0"/>
              <w:rPr>
                <w:sz w:val="24"/>
                <w:szCs w:val="24"/>
                <w:color w:val="auto"/>
              </w:rPr>
            </w:pPr>
          </w:p>
        </w:tc>
        <w:tc>
          <w:tcPr>
            <w:tcW w:w="542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Management III, LLC</w:t>
            </w:r>
          </w:p>
        </w:tc>
        <w:tc>
          <w:tcPr>
            <w:tcW w:w="0" w:type="dxa"/>
            <w:vAlign w:val="bottom"/>
          </w:tcPr>
          <w:p>
            <w:pPr>
              <w:spacing w:after="0"/>
              <w:rPr>
                <w:sz w:val="1"/>
                <w:szCs w:val="1"/>
                <w:color w:val="auto"/>
              </w:rPr>
            </w:pPr>
          </w:p>
        </w:tc>
      </w:tr>
      <w:tr>
        <w:trPr>
          <w:trHeight w:val="439"/>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L. Stepp</w:t>
            </w:r>
          </w:p>
        </w:tc>
        <w:tc>
          <w:tcPr>
            <w:tcW w:w="420" w:type="dxa"/>
            <w:vAlign w:val="bottom"/>
          </w:tcPr>
          <w:p>
            <w:pPr>
              <w:spacing w:after="0"/>
              <w:rPr>
                <w:sz w:val="24"/>
                <w:szCs w:val="24"/>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Name: David L. Stepp</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60" w:type="dxa"/>
            <w:vAlign w:val="bottom"/>
            <w:gridSpan w:val="2"/>
          </w:tcPr>
          <w:p>
            <w:pPr>
              <w:spacing w:after="0" w:line="201"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Its:</w:t>
            </w:r>
          </w:p>
        </w:tc>
        <w:tc>
          <w:tcPr>
            <w:tcW w:w="444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46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400" w:type="dxa"/>
            <w:vAlign w:val="bottom"/>
            <w:gridSpan w:val="3"/>
          </w:tcPr>
          <w:p>
            <w:pPr>
              <w:ind w:left="20"/>
              <w:spacing w:after="0"/>
              <w:rPr>
                <w:sz w:val="20"/>
                <w:szCs w:val="20"/>
                <w:color w:val="auto"/>
              </w:rPr>
            </w:pPr>
            <w:r>
              <w:rPr>
                <w:rFonts w:ascii="Arial" w:cs="Arial" w:eastAsia="Arial" w:hAnsi="Arial"/>
                <w:sz w:val="18"/>
                <w:szCs w:val="18"/>
                <w:b w:val="1"/>
                <w:bCs w:val="1"/>
                <w:color w:val="auto"/>
              </w:rPr>
              <w:t>Venrock Healthcare Capital Partners EG, L.P.</w:t>
            </w:r>
          </w:p>
        </w:tc>
        <w:tc>
          <w:tcPr>
            <w:tcW w:w="420" w:type="dxa"/>
            <w:vAlign w:val="bottom"/>
          </w:tcPr>
          <w:p>
            <w:pPr>
              <w:spacing w:after="0"/>
              <w:rPr>
                <w:sz w:val="24"/>
                <w:szCs w:val="24"/>
                <w:color w:val="auto"/>
              </w:rPr>
            </w:pPr>
          </w:p>
        </w:tc>
        <w:tc>
          <w:tcPr>
            <w:tcW w:w="5420" w:type="dxa"/>
            <w:vAlign w:val="bottom"/>
            <w:gridSpan w:val="3"/>
          </w:tcPr>
          <w:p>
            <w:pPr>
              <w:ind w:left="20"/>
              <w:spacing w:after="0"/>
              <w:rPr>
                <w:sz w:val="20"/>
                <w:szCs w:val="20"/>
                <w:color w:val="auto"/>
              </w:rPr>
            </w:pPr>
            <w:r>
              <w:rPr>
                <w:rFonts w:ascii="Arial" w:cs="Arial" w:eastAsia="Arial" w:hAnsi="Arial"/>
                <w:sz w:val="18"/>
                <w:szCs w:val="18"/>
                <w:b w:val="1"/>
                <w:bCs w:val="1"/>
                <w:color w:val="auto"/>
              </w:rPr>
              <w:t>VHCP Management EG, LLC</w:t>
            </w:r>
          </w:p>
        </w:tc>
        <w:tc>
          <w:tcPr>
            <w:tcW w:w="0" w:type="dxa"/>
            <w:vAlign w:val="bottom"/>
          </w:tcPr>
          <w:p>
            <w:pPr>
              <w:spacing w:after="0"/>
              <w:rPr>
                <w:sz w:val="1"/>
                <w:szCs w:val="1"/>
                <w:color w:val="auto"/>
              </w:rPr>
            </w:pPr>
          </w:p>
        </w:tc>
      </w:tr>
      <w:tr>
        <w:trPr>
          <w:trHeight w:val="439"/>
        </w:trPr>
        <w:tc>
          <w:tcPr>
            <w:tcW w:w="560" w:type="dxa"/>
            <w:vAlign w:val="bottom"/>
          </w:tcPr>
          <w:p>
            <w:pPr>
              <w:ind w:left="20"/>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VHCP Management EG, LLC</w:t>
            </w:r>
          </w:p>
        </w:tc>
        <w:tc>
          <w:tcPr>
            <w:tcW w:w="420" w:type="dxa"/>
            <w:vAlign w:val="bottom"/>
          </w:tcPr>
          <w:p>
            <w:pPr>
              <w:spacing w:after="0"/>
              <w:rPr>
                <w:sz w:val="24"/>
                <w:szCs w:val="24"/>
                <w:color w:val="auto"/>
              </w:rPr>
            </w:pPr>
          </w:p>
        </w:tc>
        <w:tc>
          <w:tcPr>
            <w:tcW w:w="54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202"/>
        </w:trPr>
        <w:tc>
          <w:tcPr>
            <w:tcW w:w="560" w:type="dxa"/>
            <w:vAlign w:val="bottom"/>
          </w:tcPr>
          <w:p>
            <w:pPr>
              <w:ind w:left="20"/>
              <w:spacing w:after="0" w:line="201" w:lineRule="exact"/>
              <w:rPr>
                <w:sz w:val="20"/>
                <w:szCs w:val="20"/>
                <w:color w:val="auto"/>
              </w:rPr>
            </w:pPr>
            <w:r>
              <w:rPr>
                <w:rFonts w:ascii="Arial" w:cs="Arial" w:eastAsia="Arial" w:hAnsi="Arial"/>
                <w:sz w:val="18"/>
                <w:szCs w:val="18"/>
                <w:color w:val="auto"/>
              </w:rPr>
              <w:t>Its:</w:t>
            </w:r>
          </w:p>
        </w:tc>
        <w:tc>
          <w:tcPr>
            <w:tcW w:w="484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General Partner</w:t>
            </w:r>
          </w:p>
        </w:tc>
        <w:tc>
          <w:tcPr>
            <w:tcW w:w="420" w:type="dxa"/>
            <w:vAlign w:val="bottom"/>
          </w:tcPr>
          <w:p>
            <w:pPr>
              <w:spacing w:after="0"/>
              <w:rPr>
                <w:sz w:val="17"/>
                <w:szCs w:val="17"/>
                <w:color w:val="auto"/>
              </w:rPr>
            </w:pPr>
          </w:p>
        </w:tc>
        <w:tc>
          <w:tcPr>
            <w:tcW w:w="542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400" w:type="dxa"/>
            <w:vAlign w:val="bottom"/>
            <w:gridSpan w:val="3"/>
            <w:vMerge w:val="restart"/>
          </w:tcPr>
          <w:p>
            <w:pPr>
              <w:ind w:left="20"/>
              <w:spacing w:after="0"/>
              <w:rPr>
                <w:sz w:val="20"/>
                <w:szCs w:val="20"/>
                <w:color w:val="auto"/>
              </w:rPr>
            </w:pPr>
            <w:r>
              <w:rPr>
                <w:rFonts w:ascii="Arial" w:cs="Arial" w:eastAsia="Arial" w:hAnsi="Arial"/>
                <w:sz w:val="18"/>
                <w:szCs w:val="18"/>
                <w:color w:val="auto"/>
              </w:rPr>
              <w:t>/s/ David L. Stepp</w:t>
            </w:r>
          </w:p>
        </w:tc>
        <w:tc>
          <w:tcPr>
            <w:tcW w:w="42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Its:</w:t>
            </w:r>
          </w:p>
        </w:tc>
        <w:tc>
          <w:tcPr>
            <w:tcW w:w="4860" w:type="dxa"/>
            <w:vAlign w:val="bottom"/>
            <w:gridSpan w:val="2"/>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auto"/>
            </w:tcBorders>
            <w:gridSpan w:val="3"/>
            <w:vMerge w:val="continue"/>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00" w:type="dxa"/>
            <w:vAlign w:val="bottom"/>
            <w:gridSpan w:val="3"/>
          </w:tcPr>
          <w:p>
            <w:pPr>
              <w:ind w:left="20"/>
              <w:spacing w:after="0" w:line="201" w:lineRule="exact"/>
              <w:rPr>
                <w:sz w:val="20"/>
                <w:szCs w:val="20"/>
                <w:color w:val="auto"/>
              </w:rPr>
            </w:pPr>
            <w:r>
              <w:rPr>
                <w:rFonts w:ascii="Arial" w:cs="Arial" w:eastAsia="Arial" w:hAnsi="Arial"/>
                <w:sz w:val="18"/>
                <w:szCs w:val="18"/>
                <w:color w:val="auto"/>
              </w:rPr>
              <w:t>Name: David L. Stepp</w:t>
            </w: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 w:type="dxa"/>
            <w:vAlign w:val="bottom"/>
          </w:tcPr>
          <w:p>
            <w:pPr>
              <w:ind w:left="20"/>
              <w:spacing w:after="0"/>
              <w:rPr>
                <w:sz w:val="20"/>
                <w:szCs w:val="20"/>
                <w:color w:val="auto"/>
              </w:rPr>
            </w:pPr>
            <w:r>
              <w:rPr>
                <w:rFonts w:ascii="Arial" w:cs="Arial" w:eastAsia="Arial" w:hAnsi="Arial"/>
                <w:sz w:val="18"/>
                <w:szCs w:val="18"/>
                <w:color w:val="auto"/>
              </w:rPr>
              <w:t>Its:</w:t>
            </w: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Authorized Signatory</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Bong Koh</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L. Stepp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75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7505" cy="8890"/>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7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20"/>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60" w:hanging="343"/>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Joint Filing Agreement (incorporated by reference to Exhibit A of Schedule 13G filed on November 16, 2020)</w:t>
      </w:r>
    </w:p>
    <w:p>
      <w:pPr>
        <w:spacing w:after="0" w:line="225" w:lineRule="exact"/>
        <w:rPr>
          <w:rFonts w:ascii="Arial" w:cs="Arial" w:eastAsia="Arial" w:hAnsi="Arial"/>
          <w:sz w:val="18"/>
          <w:szCs w:val="18"/>
          <w:color w:val="auto"/>
        </w:rPr>
      </w:pPr>
    </w:p>
    <w:p>
      <w:pPr>
        <w:ind w:left="360" w:hanging="343"/>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Power of Attorney for Nimish Shah (incorporated by reference to Exhibit B of Schedule 13G filed on November 16, 2020)</w:t>
      </w:r>
    </w:p>
    <w:p>
      <w:pPr>
        <w:spacing w:after="0" w:line="225" w:lineRule="exact"/>
        <w:rPr>
          <w:rFonts w:ascii="Arial" w:cs="Arial" w:eastAsia="Arial" w:hAnsi="Arial"/>
          <w:sz w:val="18"/>
          <w:szCs w:val="18"/>
          <w:color w:val="auto"/>
        </w:rPr>
      </w:pPr>
    </w:p>
    <w:p>
      <w:pPr>
        <w:ind w:left="360" w:hanging="343"/>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Power of Attorney for Bong Koh (incorporated by reference to Exhibit C of Schedule 13G filed on 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
      <w:numFmt w:val="bullet"/>
      <w:start w:val="1"/>
    </w:lvl>
  </w:abstractNum>
  <w:abstractNum w:abstractNumId="1">
    <w:nsid w:val="7C83E458"/>
    <w:multiLevelType w:val="hybridMultilevel"/>
    <w:lvl w:ilvl="0">
      <w:lvlJc w:val="left"/>
      <w:lvlText w:val="1"/>
      <w:numFmt w:val="bullet"/>
      <w:start w:val="1"/>
    </w:lvl>
  </w:abstractNum>
  <w:abstractNum w:abstractNumId="2">
    <w:nsid w:val="257130A3"/>
    <w:multiLevelType w:val="hybridMultilevel"/>
    <w:lvl w:ilvl="0">
      <w:lvlJc w:val="left"/>
      <w:lvlText w:val="2"/>
      <w:numFmt w:val="bullet"/>
      <w:start w:val="1"/>
    </w:lvl>
  </w:abstractNum>
  <w:abstractNum w:abstractNumId="3">
    <w:nsid w:val="62BBD95A"/>
    <w:multiLevelType w:val="hybridMultilevel"/>
    <w:lvl w:ilvl="0">
      <w:lvlJc w:val="left"/>
      <w:lvlText w:val="3"/>
      <w:numFmt w:val="bullet"/>
      <w:start w:val="1"/>
    </w:lvl>
  </w:abstractNum>
  <w:abstractNum w:abstractNumId="4">
    <w:nsid w:val="436C6125"/>
    <w:multiLevelType w:val="hybridMultilevel"/>
    <w:lvl w:ilvl="0">
      <w:lvlJc w:val="left"/>
      <w:lvlText w:val="1"/>
      <w:numFmt w:val="bullet"/>
      <w:start w:val="1"/>
    </w:lvl>
  </w:abstractNum>
  <w:abstractNum w:abstractNumId="5">
    <w:nsid w:val="628C895D"/>
    <w:multiLevelType w:val="hybridMultilevel"/>
    <w:lvl w:ilvl="0">
      <w:lvlJc w:val="left"/>
      <w:lvlText w:val="2"/>
      <w:numFmt w:val="bullet"/>
      <w:start w:val="1"/>
    </w:lvl>
  </w:abstractNum>
  <w:abstractNum w:abstractNumId="6">
    <w:nsid w:val="333AB105"/>
    <w:multiLevelType w:val="hybridMultilevel"/>
    <w:lvl w:ilvl="0">
      <w:lvlJc w:val="left"/>
      <w:lvlText w:val="3"/>
      <w:numFmt w:val="bullet"/>
      <w:start w:val="1"/>
    </w:lvl>
  </w:abstractNum>
  <w:abstractNum w:abstractNumId="7">
    <w:nsid w:val="721DA317"/>
    <w:multiLevelType w:val="hybridMultilevel"/>
    <w:lvl w:ilvl="0">
      <w:lvlJc w:val="left"/>
      <w:lvlText w:val="1"/>
      <w:numFmt w:val="bullet"/>
      <w:start w:val="1"/>
    </w:lvl>
  </w:abstractNum>
  <w:abstractNum w:abstractNumId="8">
    <w:nsid w:val="2443A858"/>
    <w:multiLevelType w:val="hybridMultilevel"/>
    <w:lvl w:ilvl="0">
      <w:lvlJc w:val="left"/>
      <w:lvlText w:val="2"/>
      <w:numFmt w:val="bullet"/>
      <w:start w:val="1"/>
    </w:lvl>
  </w:abstractNum>
  <w:abstractNum w:abstractNumId="9">
    <w:nsid w:val="2D1D5AE9"/>
    <w:multiLevelType w:val="hybridMultilevel"/>
    <w:lvl w:ilvl="0">
      <w:lvlJc w:val="left"/>
      <w:lvlText w:val="3"/>
      <w:numFmt w:val="bullet"/>
      <w:start w:val="1"/>
    </w:lvl>
  </w:abstractNum>
  <w:abstractNum w:abstractNumId="10">
    <w:nsid w:val="6763845E"/>
    <w:multiLevelType w:val="hybridMultilevel"/>
    <w:lvl w:ilvl="0">
      <w:lvlJc w:val="left"/>
      <w:lvlText w:val="1"/>
      <w:numFmt w:val="bullet"/>
      <w:start w:val="1"/>
    </w:lvl>
  </w:abstractNum>
  <w:abstractNum w:abstractNumId="11">
    <w:nsid w:val="75A2A8D4"/>
    <w:multiLevelType w:val="hybridMultilevel"/>
    <w:lvl w:ilvl="0">
      <w:lvlJc w:val="left"/>
      <w:lvlText w:val="2"/>
      <w:numFmt w:val="bullet"/>
      <w:start w:val="1"/>
    </w:lvl>
  </w:abstractNum>
  <w:abstractNum w:abstractNumId="12">
    <w:nsid w:val="8EDBDAB"/>
    <w:multiLevelType w:val="hybridMultilevel"/>
    <w:lvl w:ilvl="0">
      <w:lvlJc w:val="left"/>
      <w:lvlText w:val="3"/>
      <w:numFmt w:val="bullet"/>
      <w:start w:val="1"/>
    </w:lvl>
  </w:abstractNum>
  <w:abstractNum w:abstractNumId="13">
    <w:nsid w:val="79838CB2"/>
    <w:multiLevelType w:val="hybridMultilevel"/>
    <w:lvl w:ilvl="0">
      <w:lvlJc w:val="left"/>
      <w:lvlText w:val="1"/>
      <w:numFmt w:val="bullet"/>
      <w:start w:val="1"/>
    </w:lvl>
  </w:abstractNum>
  <w:abstractNum w:abstractNumId="14">
    <w:nsid w:val="4353D0CD"/>
    <w:multiLevelType w:val="hybridMultilevel"/>
    <w:lvl w:ilvl="0">
      <w:lvlJc w:val="left"/>
      <w:lvlText w:val="2"/>
      <w:numFmt w:val="bullet"/>
      <w:start w:val="1"/>
    </w:lvl>
  </w:abstractNum>
  <w:abstractNum w:abstractNumId="15">
    <w:nsid w:val="B03E0C6"/>
    <w:multiLevelType w:val="hybridMultilevel"/>
    <w:lvl w:ilvl="0">
      <w:lvlJc w:val="left"/>
      <w:lvlText w:val="3"/>
      <w:numFmt w:val="bullet"/>
      <w:start w:val="1"/>
    </w:lvl>
  </w:abstractNum>
  <w:abstractNum w:abstractNumId="16">
    <w:nsid w:val="189A769B"/>
    <w:multiLevelType w:val="hybridMultilevel"/>
    <w:lvl w:ilvl="0">
      <w:lvlJc w:val="left"/>
      <w:lvlText w:val="1"/>
      <w:numFmt w:val="bullet"/>
      <w:start w:val="1"/>
    </w:lvl>
  </w:abstractNum>
  <w:abstractNum w:abstractNumId="17">
    <w:nsid w:val="54E49EB4"/>
    <w:multiLevelType w:val="hybridMultilevel"/>
    <w:lvl w:ilvl="0">
      <w:lvlJc w:val="left"/>
      <w:lvlText w:val="2"/>
      <w:numFmt w:val="bullet"/>
      <w:start w:val="1"/>
    </w:lvl>
  </w:abstractNum>
  <w:abstractNum w:abstractNumId="18">
    <w:nsid w:val="71F32454"/>
    <w:multiLevelType w:val="hybridMultilevel"/>
    <w:lvl w:ilvl="0">
      <w:lvlJc w:val="left"/>
      <w:lvlText w:val="3"/>
      <w:numFmt w:val="bullet"/>
      <w:start w:val="1"/>
    </w:lvl>
  </w:abstractNum>
  <w:abstractNum w:abstractNumId="19">
    <w:nsid w:val="2CA88611"/>
    <w:multiLevelType w:val="hybridMultilevel"/>
    <w:lvl w:ilvl="0">
      <w:lvlJc w:val="left"/>
      <w:lvlText w:val="1"/>
      <w:numFmt w:val="bullet"/>
      <w:start w:val="1"/>
    </w:lvl>
  </w:abstractNum>
  <w:abstractNum w:abstractNumId="20">
    <w:nsid w:val="836C40E"/>
    <w:multiLevelType w:val="hybridMultilevel"/>
    <w:lvl w:ilvl="0">
      <w:lvlJc w:val="left"/>
      <w:lvlText w:val="2"/>
      <w:numFmt w:val="bullet"/>
      <w:start w:val="1"/>
    </w:lvl>
  </w:abstractNum>
  <w:abstractNum w:abstractNumId="21">
    <w:nsid w:val="2901D82"/>
    <w:multiLevelType w:val="hybridMultilevel"/>
    <w:lvl w:ilvl="0">
      <w:lvlJc w:val="left"/>
      <w:lvlText w:val="3"/>
      <w:numFmt w:val="bullet"/>
      <w:start w:val="1"/>
    </w:lvl>
  </w:abstractNum>
  <w:abstractNum w:abstractNumId="22">
    <w:nsid w:val="3A95F874"/>
    <w:multiLevelType w:val="hybridMultilevel"/>
    <w:lvl w:ilvl="0">
      <w:lvlJc w:val="left"/>
      <w:lvlText w:val="1"/>
      <w:numFmt w:val="bullet"/>
      <w:start w:val="1"/>
    </w:lvl>
  </w:abstractNum>
  <w:abstractNum w:abstractNumId="23">
    <w:nsid w:val="8138641"/>
    <w:multiLevelType w:val="hybridMultilevel"/>
    <w:lvl w:ilvl="0">
      <w:lvlJc w:val="left"/>
      <w:lvlText w:val="2"/>
      <w:numFmt w:val="bullet"/>
      <w:start w:val="1"/>
    </w:lvl>
  </w:abstractNum>
  <w:abstractNum w:abstractNumId="24">
    <w:nsid w:val="1E7FF521"/>
    <w:multiLevelType w:val="hybridMultilevel"/>
    <w:lvl w:ilvl="0">
      <w:lvlJc w:val="left"/>
      <w:lvlText w:val="3"/>
      <w:numFmt w:val="bullet"/>
      <w:start w:val="1"/>
    </w:lvl>
  </w:abstractNum>
  <w:abstractNum w:abstractNumId="25">
    <w:nsid w:val="7C3DBD3D"/>
    <w:multiLevelType w:val="hybridMultilevel"/>
    <w:lvl w:ilvl="0">
      <w:lvlJc w:val="left"/>
      <w:lvlText w:val="1"/>
      <w:numFmt w:val="bullet"/>
      <w:start w:val="1"/>
    </w:lvl>
  </w:abstractNum>
  <w:abstractNum w:abstractNumId="26">
    <w:nsid w:val="737B8DDC"/>
    <w:multiLevelType w:val="hybridMultilevel"/>
    <w:lvl w:ilvl="0">
      <w:lvlJc w:val="left"/>
      <w:lvlText w:val="2"/>
      <w:numFmt w:val="bullet"/>
      <w:start w:val="1"/>
    </w:lvl>
  </w:abstractNum>
  <w:abstractNum w:abstractNumId="27">
    <w:nsid w:val="6CEAF087"/>
    <w:multiLevelType w:val="hybridMultilevel"/>
    <w:lvl w:ilvl="0">
      <w:lvlJc w:val="left"/>
      <w:lvlText w:val="3"/>
      <w:numFmt w:val="bullet"/>
      <w:start w:val="1"/>
    </w:lvl>
  </w:abstractNum>
  <w:abstractNum w:abstractNumId="28">
    <w:nsid w:val="22221A70"/>
    <w:multiLevelType w:val="hybridMultilevel"/>
    <w:lvl w:ilvl="0">
      <w:lvlJc w:val="left"/>
      <w:lvlText w:val="1"/>
      <w:numFmt w:val="bullet"/>
      <w:start w:val="1"/>
    </w:lvl>
  </w:abstractNum>
  <w:abstractNum w:abstractNumId="29">
    <w:nsid w:val="4516DDE9"/>
    <w:multiLevelType w:val="hybridMultilevel"/>
    <w:lvl w:ilvl="0">
      <w:lvlJc w:val="left"/>
      <w:lvlText w:val="2"/>
      <w:numFmt w:val="bullet"/>
      <w:start w:val="1"/>
    </w:lvl>
  </w:abstractNum>
  <w:abstractNum w:abstractNumId="30">
    <w:nsid w:val="3006C83E"/>
    <w:multiLevelType w:val="hybridMultilevel"/>
    <w:lvl w:ilvl="0">
      <w:lvlJc w:val="left"/>
      <w:lvlText w:val="3"/>
      <w:numFmt w:val="bullet"/>
      <w:start w:val="1"/>
    </w:lvl>
  </w:abstractNum>
  <w:abstractNum w:abstractNumId="31">
    <w:nsid w:val="614FD4A1"/>
    <w:multiLevelType w:val="hybridMultilevel"/>
    <w:lvl w:ilvl="0">
      <w:lvlJc w:val="left"/>
      <w:lvlText w:val="(%1)"/>
      <w:numFmt w:val="lowerLetter"/>
      <w:start w:val="5"/>
    </w:lvl>
  </w:abstractNum>
  <w:abstractNum w:abstractNumId="32">
    <w:nsid w:val="419AC241"/>
    <w:multiLevelType w:val="hybridMultilevel"/>
    <w:lvl w:ilvl="0">
      <w:lvlJc w:val="left"/>
      <w:lvlText w:val="(%1)"/>
      <w:numFmt w:val="lowerLetter"/>
      <w:start w:val="3"/>
    </w:lvl>
  </w:abstractNum>
  <w:abstractNum w:abstractNumId="33">
    <w:nsid w:val="5577F8E1"/>
    <w:multiLevelType w:val="hybridMultilevel"/>
    <w:lvl w:ilvl="0">
      <w:lvlJc w:val="left"/>
      <w:lvlText w:val="(%1)"/>
      <w:numFmt w:val="lowerLetter"/>
      <w:start w:val="9"/>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2022-02-14T15:28:51Z</dcterms:created>
  <dcterms:modified xsi:type="dcterms:W3CDTF">2022-02-14T15:28:51Z</dcterms:modified>
</cp:coreProperties>
</file>