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FLUKE JOHN M JR</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11"/>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Athira Pharma,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ATHA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05/19/2023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7"/>
          </w:tcPr>
          <w:p>
            <w:pPr>
              <w:ind w:left="20"/>
              <w:spacing w:after="0" w:line="183" w:lineRule="exact"/>
              <w:rPr>
                <w:sz w:val="20"/>
                <w:szCs w:val="20"/>
                <w:color w:val="auto"/>
              </w:rPr>
            </w:pPr>
            <w:r>
              <w:rPr>
                <w:rFonts w:ascii="Arial" w:cs="Arial" w:eastAsia="Arial" w:hAnsi="Arial"/>
                <w:sz w:val="17"/>
                <w:szCs w:val="17"/>
                <w:color w:val="0000FF"/>
                <w:w w:val="98"/>
              </w:rPr>
              <w:t>18706 NORTH CREEK PARKWAY, SUITE 104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BOTHELL</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WA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98011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21"/>
          </w:tcPr>
          <w:p>
            <w:pPr>
              <w:ind w:left="3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68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2.89</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05/19/2023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20,900</w:t>
            </w:r>
          </w:p>
        </w:tc>
        <w:tc>
          <w:tcPr>
            <w:tcW w:w="680" w:type="dxa"/>
            <w:vAlign w:val="bottom"/>
            <w:gridSpan w:val="3"/>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05/18/2033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20,900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20,900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8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will vest on the earlier of (i) May 19, 2024, or (ii) the day immediately before the date of the next annual meeting of the Issuer's stockholders that occurs after May 19, 2023. The option reported was granted pursuant to the terms of the Issuer's Outside Director Compensation Policy.</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569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95694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on behalf of</w:t>
      </w:r>
      <w:r>
        <w:rPr>
          <w:sz w:val="20"/>
          <w:szCs w:val="20"/>
          <w:color w:val="auto"/>
        </w:rPr>
        <w:tab/>
      </w:r>
      <w:r>
        <w:rPr>
          <w:rFonts w:ascii="Arial" w:cs="Arial" w:eastAsia="Arial" w:hAnsi="Arial"/>
          <w:sz w:val="15"/>
          <w:szCs w:val="15"/>
          <w:color w:val="0000FF"/>
        </w:rPr>
        <w:t>05/22/2023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John M. Fluke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626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2019"/>
        <w:spacing w:after="0" w:line="257" w:lineRule="auto"/>
        <w:rPr>
          <w:sz w:val="20"/>
          <w:szCs w:val="20"/>
          <w:color w:val="auto"/>
        </w:rPr>
      </w:pPr>
      <w:r>
        <w:rPr>
          <w:rFonts w:ascii="Courier New" w:cs="Courier New" w:eastAsia="Courier New" w:hAnsi="Courier New"/>
          <w:sz w:val="17"/>
          <w:szCs w:val="17"/>
          <w:color w:val="auto"/>
        </w:rPr>
        <w:t>The undersigned, as a Section 16 reporting person of Athira Pharma, Inc. (the "Company"), hereby constitutes and appoints Mark Worthington, Barbara Mery and each of the responsible attorneys and paralegals of Wilson Sonsini Goodrich &amp; Rosati, Professional Corporation, the undersigned's true and lawful attorney-in-fact to:</w:t>
      </w:r>
    </w:p>
    <w:p>
      <w:pPr>
        <w:spacing w:after="0" w:line="144" w:lineRule="exact"/>
        <w:rPr>
          <w:sz w:val="20"/>
          <w:szCs w:val="20"/>
          <w:color w:val="auto"/>
        </w:rPr>
      </w:pPr>
    </w:p>
    <w:p>
      <w:pPr>
        <w:ind w:right="1299" w:firstLine="4"/>
        <w:spacing w:after="0" w:line="250" w:lineRule="auto"/>
        <w:tabs>
          <w:tab w:leader="none" w:pos="81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ID, 3, 4, and 5 and other forms and all amendments thereto as such attorney-in-fact shall in his or her discretion determine to be required or advisable pursuant to Section 16 of the Securities Exchange Act of</w:t>
      </w:r>
    </w:p>
    <w:p>
      <w:pPr>
        <w:spacing w:after="0" w:line="1" w:lineRule="exact"/>
        <w:rPr>
          <w:rFonts w:ascii="Courier New" w:cs="Courier New" w:eastAsia="Courier New" w:hAnsi="Courier New"/>
          <w:sz w:val="17"/>
          <w:szCs w:val="17"/>
          <w:color w:val="auto"/>
        </w:rPr>
      </w:pPr>
    </w:p>
    <w:p>
      <w:pPr>
        <w:ind w:right="1819"/>
        <w:spacing w:after="0" w:line="26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(as amended) and the rules and regulations promulgated thereunder, or any successor laws and regulations, as a consequence of the undersigned's ownership, acquisition or disposition of securities of the Company; and</w:t>
      </w:r>
    </w:p>
    <w:p>
      <w:pPr>
        <w:spacing w:after="0" w:line="141" w:lineRule="exact"/>
        <w:rPr>
          <w:rFonts w:ascii="Courier New" w:cs="Courier New" w:eastAsia="Courier New" w:hAnsi="Courier New"/>
          <w:sz w:val="17"/>
          <w:szCs w:val="17"/>
          <w:color w:val="auto"/>
        </w:rPr>
      </w:pPr>
    </w:p>
    <w:p>
      <w:pPr>
        <w:ind w:right="1719" w:firstLine="4"/>
        <w:spacing w:after="0" w:line="264" w:lineRule="auto"/>
        <w:tabs>
          <w:tab w:leader="none" w:pos="81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344" w:lineRule="exact"/>
        <w:rPr>
          <w:sz w:val="20"/>
          <w:szCs w:val="20"/>
          <w:color w:val="auto"/>
        </w:rPr>
      </w:pPr>
    </w:p>
    <w:p>
      <w:pPr>
        <w:ind w:right="1819"/>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49" w:lineRule="exact"/>
        <w:rPr>
          <w:sz w:val="20"/>
          <w:szCs w:val="20"/>
          <w:color w:val="auto"/>
        </w:rPr>
      </w:pPr>
    </w:p>
    <w:p>
      <w:pPr>
        <w:ind w:right="1819"/>
        <w:spacing w:after="0" w:line="25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44" w:lineRule="exact"/>
        <w:rPr>
          <w:sz w:val="20"/>
          <w:szCs w:val="20"/>
          <w:color w:val="auto"/>
        </w:rPr>
      </w:pPr>
    </w:p>
    <w:p>
      <w:pPr>
        <w:ind w:right="2319"/>
        <w:spacing w:after="0" w:line="29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May 18, 2023.</w:t>
      </w:r>
    </w:p>
    <w:p>
      <w:pPr>
        <w:spacing w:after="0" w:line="200" w:lineRule="exact"/>
        <w:rPr>
          <w:sz w:val="20"/>
          <w:szCs w:val="20"/>
          <w:color w:val="auto"/>
        </w:rPr>
      </w:pPr>
    </w:p>
    <w:p>
      <w:pPr>
        <w:spacing w:after="0" w:line="303"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John M. Fluke, Jr.</w:t>
      </w:r>
    </w:p>
    <w:p>
      <w:pPr>
        <w:spacing w:after="0" w:line="19"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John M. Fluke, Jr.</w:t>
      </w:r>
    </w:p>
    <w:sectPr>
      <w:pgSz w:w="11900" w:h="16838" w:orient="portrait"/>
      <w:cols w:equalWidth="0" w:num="1">
        <w:col w:w="9999"/>
      </w:cols>
      <w:pgMar w:left="460" w:top="2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91906" TargetMode="External"/><Relationship Id="rId9"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2023-05-22T17:09:50Z</dcterms:created>
  <dcterms:modified xsi:type="dcterms:W3CDTF">2023-05-22T17:09:50Z</dcterms:modified>
</cp:coreProperties>
</file>