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September 14, 2020.</w:t>
      </w:r>
    </w:p>
    <w:p>
      <w:pPr>
        <w:spacing w:after="0" w:line="4" w:lineRule="exact"/>
        <w:rPr>
          <w:sz w:val="24"/>
          <w:szCs w:val="24"/>
          <w:color w:val="auto"/>
        </w:rPr>
      </w:pPr>
    </w:p>
    <w:p>
      <w:pPr>
        <w:ind w:left="9220"/>
        <w:spacing w:after="0"/>
        <w:rPr>
          <w:sz w:val="20"/>
          <w:szCs w:val="20"/>
          <w:color w:val="auto"/>
        </w:rPr>
      </w:pPr>
      <w:r>
        <w:rPr>
          <w:rFonts w:ascii="Arial" w:cs="Arial" w:eastAsia="Arial" w:hAnsi="Arial"/>
          <w:sz w:val="13"/>
          <w:szCs w:val="13"/>
          <w:b w:val="1"/>
          <w:bCs w:val="1"/>
          <w:color w:val="auto"/>
        </w:rPr>
        <w:t>Registration No. 333-248428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AMENDMENT NO. 2</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TO</w:t>
      </w:r>
    </w:p>
    <w:p>
      <w:pPr>
        <w:spacing w:after="0" w:line="21" w:lineRule="exact"/>
        <w:rPr>
          <w:sz w:val="24"/>
          <w:szCs w:val="24"/>
          <w:color w:val="auto"/>
        </w:rPr>
      </w:pPr>
    </w:p>
    <w:p>
      <w:pPr>
        <w:jc w:val="center"/>
        <w:ind w:right="-1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color w:val="auto"/>
          <w:strike w:val="1"/>
        </w:rPr>
        <w:t>‑</w:t>
      </w:r>
      <w:r>
        <w:rPr>
          <w:rFonts w:ascii="Arial" w:cs="Arial" w:eastAsia="Arial" w:hAnsi="Arial"/>
          <w:sz w:val="27"/>
          <w:szCs w:val="27"/>
          <w:b w:val="1"/>
          <w:bCs w:val="1"/>
          <w:color w:val="auto"/>
        </w:rPr>
        <w:t>1</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Act of 1933</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ATHIRA PHARMA, INC.</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56"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tcPr>
          <w:p>
            <w:pPr>
              <w:jc w:val="center"/>
              <w:ind w:right="751"/>
              <w:spacing w:after="0"/>
              <w:rPr>
                <w:sz w:val="20"/>
                <w:szCs w:val="20"/>
                <w:color w:val="auto"/>
              </w:rPr>
            </w:pPr>
            <w:r>
              <w:rPr>
                <w:rFonts w:ascii="Arial" w:cs="Arial" w:eastAsia="Arial" w:hAnsi="Arial"/>
                <w:sz w:val="14"/>
                <w:szCs w:val="14"/>
                <w:b w:val="1"/>
                <w:bCs w:val="1"/>
                <w:color w:val="auto"/>
              </w:rPr>
              <w:t>Delaware</w:t>
            </w:r>
          </w:p>
        </w:tc>
        <w:tc>
          <w:tcPr>
            <w:tcW w:w="4140" w:type="dxa"/>
            <w:vAlign w:val="bottom"/>
            <w:gridSpan w:val="2"/>
          </w:tcPr>
          <w:p>
            <w:pPr>
              <w:jc w:val="right"/>
              <w:ind w:right="1312"/>
              <w:spacing w:after="0"/>
              <w:rPr>
                <w:sz w:val="20"/>
                <w:szCs w:val="20"/>
                <w:color w:val="auto"/>
              </w:rPr>
            </w:pPr>
            <w:r>
              <w:rPr>
                <w:rFonts w:ascii="Arial" w:cs="Arial" w:eastAsia="Arial" w:hAnsi="Arial"/>
                <w:sz w:val="14"/>
                <w:szCs w:val="14"/>
                <w:b w:val="1"/>
                <w:bCs w:val="1"/>
                <w:color w:val="auto"/>
              </w:rPr>
              <w:t>2836</w:t>
            </w:r>
          </w:p>
        </w:tc>
        <w:tc>
          <w:tcPr>
            <w:tcW w:w="1120" w:type="dxa"/>
            <w:vAlign w:val="bottom"/>
          </w:tcPr>
          <w:p>
            <w:pPr>
              <w:spacing w:after="0"/>
              <w:rPr>
                <w:sz w:val="14"/>
                <w:szCs w:val="14"/>
                <w:color w:val="auto"/>
              </w:rPr>
            </w:pPr>
          </w:p>
        </w:tc>
        <w:tc>
          <w:tcPr>
            <w:tcW w:w="2280" w:type="dxa"/>
            <w:vAlign w:val="bottom"/>
          </w:tcPr>
          <w:p>
            <w:pPr>
              <w:jc w:val="center"/>
              <w:ind w:left="532"/>
              <w:spacing w:after="0"/>
              <w:rPr>
                <w:sz w:val="20"/>
                <w:szCs w:val="20"/>
                <w:color w:val="auto"/>
              </w:rPr>
            </w:pPr>
            <w:r>
              <w:rPr>
                <w:rFonts w:ascii="Arial" w:cs="Arial" w:eastAsia="Arial" w:hAnsi="Arial"/>
                <w:sz w:val="14"/>
                <w:szCs w:val="14"/>
                <w:b w:val="1"/>
                <w:bCs w:val="1"/>
                <w:color w:val="auto"/>
              </w:rPr>
              <w:t>45-3368487</w:t>
            </w:r>
          </w:p>
        </w:tc>
        <w:tc>
          <w:tcPr>
            <w:tcW w:w="0" w:type="dxa"/>
            <w:vAlign w:val="bottom"/>
          </w:tcPr>
          <w:p>
            <w:pPr>
              <w:spacing w:after="0"/>
              <w:rPr>
                <w:sz w:val="1"/>
                <w:szCs w:val="1"/>
                <w:color w:val="auto"/>
              </w:rPr>
            </w:pPr>
          </w:p>
        </w:tc>
      </w:tr>
      <w:tr>
        <w:trPr>
          <w:trHeight w:val="121"/>
        </w:trPr>
        <w:tc>
          <w:tcPr>
            <w:tcW w:w="2160" w:type="dxa"/>
            <w:vAlign w:val="bottom"/>
          </w:tcPr>
          <w:p>
            <w:pPr>
              <w:jc w:val="center"/>
              <w:ind w:right="771"/>
              <w:spacing w:after="0" w:line="122" w:lineRule="exact"/>
              <w:rPr>
                <w:sz w:val="20"/>
                <w:szCs w:val="20"/>
                <w:color w:val="auto"/>
              </w:rPr>
            </w:pPr>
            <w:r>
              <w:rPr>
                <w:rFonts w:ascii="Times New Roman" w:cs="Times New Roman" w:eastAsia="Times New Roman" w:hAnsi="Times New Roman"/>
                <w:sz w:val="11"/>
                <w:szCs w:val="11"/>
                <w:b w:val="1"/>
                <w:bCs w:val="1"/>
                <w:color w:val="auto"/>
                <w:w w:val="93"/>
              </w:rPr>
              <w:t>(State or other jurisdiction of</w:t>
            </w:r>
          </w:p>
        </w:tc>
        <w:tc>
          <w:tcPr>
            <w:tcW w:w="1060" w:type="dxa"/>
            <w:vAlign w:val="bottom"/>
          </w:tcPr>
          <w:p>
            <w:pPr>
              <w:spacing w:after="0"/>
              <w:rPr>
                <w:sz w:val="10"/>
                <w:szCs w:val="10"/>
                <w:color w:val="auto"/>
              </w:rPr>
            </w:pPr>
          </w:p>
        </w:tc>
        <w:tc>
          <w:tcPr>
            <w:tcW w:w="4200" w:type="dxa"/>
            <w:vAlign w:val="bottom"/>
            <w:gridSpan w:val="2"/>
          </w:tcPr>
          <w:p>
            <w:pPr>
              <w:jc w:val="center"/>
              <w:ind w:right="1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(Primary Standard Industrial</w:t>
            </w:r>
          </w:p>
        </w:tc>
        <w:tc>
          <w:tcPr>
            <w:tcW w:w="2280" w:type="dxa"/>
            <w:vAlign w:val="bottom"/>
          </w:tcPr>
          <w:p>
            <w:pPr>
              <w:jc w:val="center"/>
              <w:ind w:left="512"/>
              <w:spacing w:after="0" w:line="122" w:lineRule="exact"/>
              <w:rPr>
                <w:sz w:val="20"/>
                <w:szCs w:val="20"/>
                <w:color w:val="auto"/>
              </w:rPr>
            </w:pPr>
            <w:r>
              <w:rPr>
                <w:rFonts w:ascii="Times New Roman" w:cs="Times New Roman" w:eastAsia="Times New Roman" w:hAnsi="Times New Roman"/>
                <w:sz w:val="11"/>
                <w:szCs w:val="11"/>
                <w:b w:val="1"/>
                <w:bCs w:val="1"/>
                <w:color w:val="auto"/>
                <w:w w:val="93"/>
              </w:rPr>
              <w:t>(I.R.S. Employer</w:t>
            </w:r>
          </w:p>
        </w:tc>
        <w:tc>
          <w:tcPr>
            <w:tcW w:w="0" w:type="dxa"/>
            <w:vAlign w:val="bottom"/>
          </w:tcPr>
          <w:p>
            <w:pPr>
              <w:spacing w:after="0"/>
              <w:rPr>
                <w:sz w:val="1"/>
                <w:szCs w:val="1"/>
                <w:color w:val="auto"/>
              </w:rPr>
            </w:pPr>
          </w:p>
        </w:tc>
      </w:tr>
      <w:tr>
        <w:trPr>
          <w:trHeight w:val="142"/>
        </w:trPr>
        <w:tc>
          <w:tcPr>
            <w:tcW w:w="2160" w:type="dxa"/>
            <w:vAlign w:val="bottom"/>
          </w:tcPr>
          <w:p>
            <w:pPr>
              <w:jc w:val="center"/>
              <w:ind w:right="731"/>
              <w:spacing w:after="0"/>
              <w:rPr>
                <w:sz w:val="20"/>
                <w:szCs w:val="20"/>
                <w:color w:val="auto"/>
              </w:rPr>
            </w:pPr>
            <w:r>
              <w:rPr>
                <w:rFonts w:ascii="Times New Roman" w:cs="Times New Roman" w:eastAsia="Times New Roman" w:hAnsi="Times New Roman"/>
                <w:sz w:val="11"/>
                <w:szCs w:val="11"/>
                <w:b w:val="1"/>
                <w:bCs w:val="1"/>
                <w:color w:val="auto"/>
                <w:w w:val="94"/>
              </w:rPr>
              <w:t>incorporation or organization)</w:t>
            </w:r>
          </w:p>
        </w:tc>
        <w:tc>
          <w:tcPr>
            <w:tcW w:w="1060" w:type="dxa"/>
            <w:vAlign w:val="bottom"/>
          </w:tcPr>
          <w:p>
            <w:pPr>
              <w:spacing w:after="0"/>
              <w:rPr>
                <w:sz w:val="12"/>
                <w:szCs w:val="12"/>
                <w:color w:val="auto"/>
              </w:rPr>
            </w:pPr>
          </w:p>
        </w:tc>
        <w:tc>
          <w:tcPr>
            <w:tcW w:w="4200" w:type="dxa"/>
            <w:vAlign w:val="bottom"/>
            <w:gridSpan w:val="2"/>
          </w:tcPr>
          <w:p>
            <w:pPr>
              <w:jc w:val="center"/>
              <w:ind w:right="1100"/>
              <w:spacing w:after="0"/>
              <w:rPr>
                <w:sz w:val="20"/>
                <w:szCs w:val="20"/>
                <w:color w:val="auto"/>
              </w:rPr>
            </w:pPr>
            <w:r>
              <w:rPr>
                <w:rFonts w:ascii="Times New Roman" w:cs="Times New Roman" w:eastAsia="Times New Roman" w:hAnsi="Times New Roman"/>
                <w:sz w:val="11"/>
                <w:szCs w:val="11"/>
                <w:b w:val="1"/>
                <w:bCs w:val="1"/>
                <w:color w:val="auto"/>
                <w:w w:val="95"/>
              </w:rPr>
              <w:t>Classification Code Number)</w:t>
            </w:r>
          </w:p>
        </w:tc>
        <w:tc>
          <w:tcPr>
            <w:tcW w:w="2280" w:type="dxa"/>
            <w:vAlign w:val="bottom"/>
          </w:tcPr>
          <w:p>
            <w:pPr>
              <w:jc w:val="center"/>
              <w:ind w:left="532"/>
              <w:spacing w:after="0"/>
              <w:rPr>
                <w:sz w:val="20"/>
                <w:szCs w:val="20"/>
                <w:color w:val="auto"/>
              </w:rPr>
            </w:pPr>
            <w:r>
              <w:rPr>
                <w:rFonts w:ascii="Times New Roman" w:cs="Times New Roman" w:eastAsia="Times New Roman" w:hAnsi="Times New Roman"/>
                <w:sz w:val="11"/>
                <w:szCs w:val="11"/>
                <w:b w:val="1"/>
                <w:bCs w:val="1"/>
                <w:color w:val="auto"/>
                <w:w w:val="95"/>
              </w:rPr>
              <w:t>Identification Number)</w:t>
            </w:r>
          </w:p>
        </w:tc>
        <w:tc>
          <w:tcPr>
            <w:tcW w:w="0" w:type="dxa"/>
            <w:vAlign w:val="bottom"/>
          </w:tcPr>
          <w:p>
            <w:pPr>
              <w:spacing w:after="0"/>
              <w:rPr>
                <w:sz w:val="1"/>
                <w:szCs w:val="1"/>
                <w:color w:val="auto"/>
              </w:rPr>
            </w:pPr>
          </w:p>
        </w:tc>
      </w:tr>
      <w:tr>
        <w:trPr>
          <w:trHeight w:val="385"/>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right"/>
              <w:ind w:right="992"/>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52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w w:val="95"/>
              </w:rPr>
              <w:t>(Address, including zip code, and telephone number, including area code, of Registrant’s principal executive offices)</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9"/>
              </w:rPr>
              <w:t>Leen Kawas, Ph.D.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President and Chief Executive Officer</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Athira Pharma, Inc.</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4140" w:type="dxa"/>
            <w:vAlign w:val="bottom"/>
            <w:gridSpan w:val="2"/>
          </w:tcPr>
          <w:p>
            <w:pPr>
              <w:jc w:val="center"/>
              <w:ind w:left="955"/>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526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w w:val="95"/>
              </w:rPr>
              <w:t>(Name, address, including zip code, and telephone number, including area code, of agent for service)</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1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rPr>
              <w:t>Michael Nordtvedt</w:t>
            </w:r>
          </w:p>
        </w:tc>
        <w:tc>
          <w:tcPr>
            <w:tcW w:w="1060" w:type="dxa"/>
            <w:vAlign w:val="bottom"/>
          </w:tcPr>
          <w:p>
            <w:pPr>
              <w:spacing w:after="0"/>
              <w:rPr>
                <w:sz w:val="22"/>
                <w:szCs w:val="22"/>
                <w:color w:val="auto"/>
              </w:rPr>
            </w:pPr>
          </w:p>
        </w:tc>
        <w:tc>
          <w:tcPr>
            <w:tcW w:w="4200" w:type="dxa"/>
            <w:vAlign w:val="bottom"/>
            <w:gridSpan w:val="2"/>
          </w:tcPr>
          <w:p>
            <w:pPr>
              <w:ind w:left="1260"/>
              <w:spacing w:after="0"/>
              <w:rPr>
                <w:sz w:val="20"/>
                <w:szCs w:val="20"/>
                <w:color w:val="auto"/>
              </w:rPr>
            </w:pPr>
            <w:r>
              <w:rPr>
                <w:rFonts w:ascii="Arial" w:cs="Arial" w:eastAsia="Arial" w:hAnsi="Arial"/>
                <w:sz w:val="14"/>
                <w:szCs w:val="14"/>
                <w:b w:val="1"/>
                <w:bCs w:val="1"/>
                <w:i w:val="1"/>
                <w:iCs w:val="1"/>
                <w:color w:val="auto"/>
              </w:rPr>
              <w:t>Copies to:</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Charles S. Kim</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Bryan D. King</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Alan D. Hambelton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Donna Petkanics</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9"/>
              </w:rPr>
              <w:t>David Peinsipp</w:t>
            </w:r>
          </w:p>
        </w:tc>
        <w:tc>
          <w:tcPr>
            <w:tcW w:w="0" w:type="dxa"/>
            <w:vAlign w:val="bottom"/>
          </w:tcPr>
          <w:p>
            <w:pPr>
              <w:spacing w:after="0"/>
              <w:rPr>
                <w:sz w:val="1"/>
                <w:szCs w:val="1"/>
                <w:color w:val="auto"/>
              </w:rPr>
            </w:pPr>
          </w:p>
        </w:tc>
      </w:tr>
      <w:tr>
        <w:trPr>
          <w:trHeight w:val="162"/>
        </w:trPr>
        <w:tc>
          <w:tcPr>
            <w:tcW w:w="7420" w:type="dxa"/>
            <w:vAlign w:val="bottom"/>
            <w:gridSpan w:val="4"/>
          </w:tcPr>
          <w:p>
            <w:pPr>
              <w:jc w:val="center"/>
              <w:ind w:right="5100"/>
              <w:spacing w:after="0"/>
              <w:rPr>
                <w:sz w:val="20"/>
                <w:szCs w:val="20"/>
                <w:color w:val="auto"/>
              </w:rPr>
            </w:pPr>
            <w:r>
              <w:rPr>
                <w:rFonts w:ascii="Arial" w:cs="Arial" w:eastAsia="Arial" w:hAnsi="Arial"/>
                <w:sz w:val="14"/>
                <w:szCs w:val="14"/>
                <w:b w:val="1"/>
                <w:bCs w:val="1"/>
                <w:color w:val="auto"/>
              </w:rPr>
              <w:t>Wilson Sonsini Goodrich &amp; Rosati,</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Cooley LLP</w:t>
            </w:r>
          </w:p>
        </w:tc>
        <w:tc>
          <w:tcPr>
            <w:tcW w:w="0" w:type="dxa"/>
            <w:vAlign w:val="bottom"/>
          </w:tcPr>
          <w:p>
            <w:pPr>
              <w:spacing w:after="0"/>
              <w:rPr>
                <w:sz w:val="1"/>
                <w:szCs w:val="1"/>
                <w:color w:val="auto"/>
              </w:rPr>
            </w:pPr>
          </w:p>
        </w:tc>
      </w:tr>
      <w:tr>
        <w:trPr>
          <w:trHeight w:val="16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w w:val="99"/>
              </w:rPr>
              <w:t>Professional Corporation</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1700 Seventh Avenue, Suite 1900</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701 Fifth Avenue, Suite 5100</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Seattle, WA 98101</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Seattle, WA 98104</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(206) 452-8700</w:t>
            </w:r>
          </w:p>
        </w:tc>
        <w:tc>
          <w:tcPr>
            <w:tcW w:w="0" w:type="dxa"/>
            <w:vAlign w:val="bottom"/>
          </w:tcPr>
          <w:p>
            <w:pPr>
              <w:spacing w:after="0"/>
              <w:rPr>
                <w:sz w:val="1"/>
                <w:szCs w:val="1"/>
                <w:color w:val="auto"/>
              </w:rPr>
            </w:pPr>
          </w:p>
        </w:tc>
      </w:tr>
      <w:tr>
        <w:trPr>
          <w:trHeight w:val="20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rPr>
              <w:t>(206) 883-2500</w:t>
            </w:r>
          </w:p>
        </w:tc>
        <w:tc>
          <w:tcPr>
            <w:tcW w:w="10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44450</wp:posOffset>
            </wp:positionV>
            <wp:extent cx="195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07" w:lineRule="exact"/>
        <w:rPr>
          <w:sz w:val="24"/>
          <w:szCs w:val="24"/>
          <w:color w:val="auto"/>
        </w:rPr>
      </w:pPr>
    </w:p>
    <w:p>
      <w:pPr>
        <w:ind w:left="5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8"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2" w:lineRule="exact"/>
        <w:rPr>
          <w:sz w:val="24"/>
          <w:szCs w:val="24"/>
          <w:color w:val="auto"/>
        </w:rPr>
      </w:pPr>
    </w:p>
    <w:p>
      <w:pPr>
        <w:ind w:right="120" w:firstLine="510"/>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360" w:firstLine="51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360" w:firstLine="510"/>
        <w:spacing w:after="0" w:line="160"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20" w:firstLine="510"/>
        <w:spacing w:after="0" w:line="2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Accelerated filer</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Smaller reporting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540" w:type="dxa"/>
            <w:vAlign w:val="bottom"/>
          </w:tcPr>
          <w:p>
            <w:pPr>
              <w:spacing w:after="0"/>
              <w:rPr>
                <w:sz w:val="20"/>
                <w:szCs w:val="20"/>
                <w:color w:val="auto"/>
              </w:rPr>
            </w:pPr>
            <w:r>
              <w:rPr>
                <w:rFonts w:ascii="Arial" w:cs="Arial" w:eastAsia="Arial" w:hAnsi="Arial"/>
                <w:sz w:val="13"/>
                <w:szCs w:val="13"/>
                <w:b w:val="1"/>
                <w:bCs w:val="1"/>
                <w:color w:val="auto"/>
              </w:rPr>
              <w:t>Emerging growth company</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-282575</wp:posOffset>
            </wp:positionV>
            <wp:extent cx="60960" cy="61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-282575</wp:posOffset>
            </wp:positionV>
            <wp:extent cx="60960" cy="61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-188595</wp:posOffset>
            </wp:positionV>
            <wp:extent cx="60960" cy="61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-188595</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-93980</wp:posOffset>
            </wp:positionV>
            <wp:extent cx="6096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9" w:lineRule="exact"/>
        <w:rPr>
          <w:sz w:val="24"/>
          <w:szCs w:val="24"/>
          <w:color w:val="auto"/>
        </w:rPr>
      </w:pPr>
    </w:p>
    <w:p>
      <w:pPr>
        <w:ind w:right="420" w:firstLine="51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32385</wp:posOffset>
            </wp:positionV>
            <wp:extent cx="195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CALCULATION OF REGISTRATION FEE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Title of Each Class of</w:t>
            </w:r>
          </w:p>
        </w:tc>
        <w:tc>
          <w:tcPr>
            <w:tcW w:w="2200" w:type="dxa"/>
            <w:vAlign w:val="bottom"/>
            <w:tcBorders>
              <w:top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Shares to be Registered</w:t>
            </w:r>
            <w:r>
              <w:rPr>
                <w:rFonts w:ascii="Arial" w:cs="Arial" w:eastAsia="Arial" w:hAnsi="Arial"/>
                <w:sz w:val="9"/>
                <w:szCs w:val="9"/>
                <w:b w:val="1"/>
                <w:bCs w:val="1"/>
                <w:color w:val="auto"/>
              </w:rPr>
              <w:t>(1)</w:t>
            </w:r>
          </w:p>
        </w:tc>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w w:val="98"/>
              </w:rPr>
              <w:t>Proposed Maximum Offering Price Per</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Proposed Maximum</w:t>
            </w:r>
          </w:p>
        </w:tc>
        <w:tc>
          <w:tcPr>
            <w:tcW w:w="2240" w:type="dxa"/>
            <w:vAlign w:val="bottom"/>
            <w:tcBorders>
              <w:top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8"/>
              </w:rPr>
              <w:t>Amount of</w:t>
            </w:r>
          </w:p>
        </w:tc>
        <w:tc>
          <w:tcPr>
            <w:tcW w:w="0" w:type="dxa"/>
            <w:vAlign w:val="bottom"/>
          </w:tcPr>
          <w:p>
            <w:pPr>
              <w:spacing w:after="0"/>
              <w:rPr>
                <w:sz w:val="1"/>
                <w:szCs w:val="1"/>
                <w:color w:val="auto"/>
              </w:rPr>
            </w:pPr>
          </w:p>
        </w:tc>
      </w:tr>
      <w:tr>
        <w:trPr>
          <w:trHeight w:val="152"/>
        </w:trPr>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Securities to Be Registered</w:t>
            </w:r>
          </w:p>
        </w:tc>
        <w:tc>
          <w:tcPr>
            <w:tcW w:w="22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ind w:left="840"/>
              <w:spacing w:after="0"/>
              <w:rPr>
                <w:sz w:val="20"/>
                <w:szCs w:val="20"/>
                <w:color w:val="auto"/>
              </w:rPr>
            </w:pPr>
            <w:r>
              <w:rPr>
                <w:rFonts w:ascii="Arial" w:cs="Arial" w:eastAsia="Arial" w:hAnsi="Arial"/>
                <w:sz w:val="11"/>
                <w:szCs w:val="11"/>
                <w:b w:val="1"/>
                <w:bCs w:val="1"/>
                <w:color w:val="auto"/>
              </w:rPr>
              <w:t>Share</w:t>
            </w:r>
            <w:r>
              <w:rPr>
                <w:rFonts w:ascii="Arial" w:cs="Arial" w:eastAsia="Arial" w:hAnsi="Arial"/>
                <w:sz w:val="9"/>
                <w:szCs w:val="9"/>
                <w:b w:val="1"/>
                <w:bCs w:val="1"/>
                <w:color w:val="auto"/>
              </w:rPr>
              <w:t>(2)</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Aggregate Offering Price</w:t>
            </w:r>
            <w:r>
              <w:rPr>
                <w:rFonts w:ascii="Times New Roman" w:cs="Times New Roman" w:eastAsia="Times New Roman" w:hAnsi="Times New Roman"/>
                <w:sz w:val="9"/>
                <w:szCs w:val="9"/>
                <w:b w:val="1"/>
                <w:bCs w:val="1"/>
                <w:color w:val="auto"/>
                <w:w w:val="95"/>
              </w:rPr>
              <w:t>(1)(2)</w:t>
            </w:r>
          </w:p>
        </w:tc>
        <w:tc>
          <w:tcPr>
            <w:tcW w:w="2240" w:type="dxa"/>
            <w:vAlign w:val="bottom"/>
          </w:tcPr>
          <w:p>
            <w:pPr>
              <w:jc w:val="center"/>
              <w:ind w:left="86"/>
              <w:spacing w:after="0"/>
              <w:rPr>
                <w:sz w:val="20"/>
                <w:szCs w:val="20"/>
                <w:color w:val="auto"/>
              </w:rPr>
            </w:pPr>
            <w:r>
              <w:rPr>
                <w:rFonts w:ascii="Arial" w:cs="Arial" w:eastAsia="Arial" w:hAnsi="Arial"/>
                <w:sz w:val="11"/>
                <w:szCs w:val="11"/>
                <w:b w:val="1"/>
                <w:bCs w:val="1"/>
                <w:color w:val="auto"/>
                <w:w w:val="96"/>
              </w:rPr>
              <w:t>Registration Fee</w:t>
            </w:r>
            <w:r>
              <w:rPr>
                <w:rFonts w:ascii="Arial" w:cs="Arial" w:eastAsia="Arial" w:hAnsi="Arial"/>
                <w:sz w:val="9"/>
                <w:szCs w:val="9"/>
                <w:b w:val="1"/>
                <w:bCs w:val="1"/>
                <w:color w:val="auto"/>
                <w:w w:val="96"/>
              </w:rPr>
              <w:t>(3)</w:t>
            </w:r>
          </w:p>
        </w:tc>
        <w:tc>
          <w:tcPr>
            <w:tcW w:w="0" w:type="dxa"/>
            <w:vAlign w:val="bottom"/>
          </w:tcPr>
          <w:p>
            <w:pPr>
              <w:spacing w:after="0"/>
              <w:rPr>
                <w:sz w:val="1"/>
                <w:szCs w:val="1"/>
                <w:color w:val="auto"/>
              </w:rPr>
            </w:pPr>
          </w:p>
        </w:tc>
      </w:tr>
      <w:tr>
        <w:trPr>
          <w:trHeight w:val="108"/>
        </w:trPr>
        <w:tc>
          <w:tcPr>
            <w:tcW w:w="258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Common Stock, $0.0001 par value</w:t>
            </w:r>
          </w:p>
        </w:tc>
        <w:tc>
          <w:tcPr>
            <w:tcW w:w="2200" w:type="dxa"/>
            <w:vAlign w:val="bottom"/>
            <w:tcBorders>
              <w:right w:val="single" w:sz="8" w:color="auto"/>
            </w:tcBorders>
          </w:tcPr>
          <w:p>
            <w:pPr>
              <w:jc w:val="right"/>
              <w:ind w:right="1466"/>
              <w:spacing w:after="0"/>
              <w:rPr>
                <w:sz w:val="20"/>
                <w:szCs w:val="20"/>
                <w:color w:val="auto"/>
              </w:rPr>
            </w:pPr>
            <w:r>
              <w:rPr>
                <w:rFonts w:ascii="Arial" w:cs="Arial" w:eastAsia="Arial" w:hAnsi="Arial"/>
                <w:sz w:val="11"/>
                <w:szCs w:val="11"/>
                <w:color w:val="auto"/>
              </w:rPr>
              <w:t>11,500,000</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$17.00</w:t>
            </w:r>
          </w:p>
        </w:tc>
        <w:tc>
          <w:tcPr>
            <w:tcW w:w="2120" w:type="dxa"/>
            <w:vAlign w:val="bottom"/>
            <w:tcBorders>
              <w:right w:val="single" w:sz="8" w:color="auto"/>
            </w:tcBorders>
            <w:vMerge w:val="restart"/>
          </w:tcPr>
          <w:p>
            <w:pPr>
              <w:jc w:val="right"/>
              <w:ind w:right="1346"/>
              <w:spacing w:after="0"/>
              <w:rPr>
                <w:sz w:val="20"/>
                <w:szCs w:val="20"/>
                <w:color w:val="auto"/>
              </w:rPr>
            </w:pPr>
            <w:r>
              <w:rPr>
                <w:rFonts w:ascii="Arial" w:cs="Arial" w:eastAsia="Arial" w:hAnsi="Arial"/>
                <w:sz w:val="11"/>
                <w:szCs w:val="11"/>
                <w:color w:val="auto"/>
              </w:rPr>
              <w:t>$195,500,000</w:t>
            </w:r>
          </w:p>
        </w:tc>
        <w:tc>
          <w:tcPr>
            <w:tcW w:w="2240" w:type="dxa"/>
            <w:vAlign w:val="bottom"/>
            <w:vMerge w:val="restart"/>
          </w:tcPr>
          <w:p>
            <w:pPr>
              <w:jc w:val="right"/>
              <w:ind w:right="1666"/>
              <w:spacing w:after="0"/>
              <w:rPr>
                <w:sz w:val="20"/>
                <w:szCs w:val="20"/>
                <w:color w:val="auto"/>
              </w:rPr>
            </w:pPr>
            <w:r>
              <w:rPr>
                <w:rFonts w:ascii="Arial" w:cs="Arial" w:eastAsia="Arial" w:hAnsi="Arial"/>
                <w:sz w:val="11"/>
                <w:szCs w:val="11"/>
                <w:color w:val="auto"/>
              </w:rPr>
              <w:t>$25,376</w:t>
            </w:r>
          </w:p>
        </w:tc>
        <w:tc>
          <w:tcPr>
            <w:tcW w:w="0" w:type="dxa"/>
            <w:vAlign w:val="bottom"/>
          </w:tcPr>
          <w:p>
            <w:pPr>
              <w:spacing w:after="0"/>
              <w:rPr>
                <w:sz w:val="1"/>
                <w:szCs w:val="1"/>
                <w:color w:val="auto"/>
              </w:rPr>
            </w:pPr>
          </w:p>
        </w:tc>
      </w:tr>
      <w:tr>
        <w:trPr>
          <w:trHeight w:val="67"/>
        </w:trPr>
        <w:tc>
          <w:tcPr>
            <w:tcW w:w="2580" w:type="dxa"/>
            <w:vAlign w:val="bottom"/>
            <w:tcBorders>
              <w:right w:val="single" w:sz="8" w:color="auto"/>
            </w:tcBorders>
            <w:vMerge w:val="continue"/>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2120" w:type="dxa"/>
            <w:vAlign w:val="bottom"/>
            <w:tcBorders>
              <w:right w:val="single" w:sz="8" w:color="auto"/>
            </w:tcBorders>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58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an additional 1,500,000 shares of our common stock that the underwriters have the option to purchase.</w:t>
      </w:r>
    </w:p>
    <w:p>
      <w:pPr>
        <w:spacing w:after="0" w:line="20" w:lineRule="exact"/>
        <w:rPr>
          <w:rFonts w:ascii="Arial" w:cs="Arial" w:eastAsia="Arial" w:hAnsi="Arial"/>
          <w:sz w:val="13"/>
          <w:szCs w:val="13"/>
          <w:color w:val="auto"/>
        </w:rPr>
      </w:pPr>
    </w:p>
    <w:p>
      <w:pPr>
        <w:ind w:left="500" w:hanging="492"/>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457(a) under the Securities Act of 1933, as amended.</w:t>
      </w:r>
    </w:p>
    <w:p>
      <w:pPr>
        <w:spacing w:after="0" w:line="18" w:lineRule="exact"/>
        <w:rPr>
          <w:rFonts w:ascii="Arial" w:cs="Arial" w:eastAsia="Arial" w:hAnsi="Arial"/>
          <w:sz w:val="13"/>
          <w:szCs w:val="13"/>
          <w:color w:val="auto"/>
        </w:rPr>
      </w:pPr>
    </w:p>
    <w:p>
      <w:pPr>
        <w:ind w:left="500" w:hanging="492"/>
        <w:spacing w:after="0"/>
        <w:tabs>
          <w:tab w:leader="none" w:pos="50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$12,980 of the registration fee with the initial filing of this registration statement on August 26, 2020, and the additional amount of $12,396 is being paid herewith.</w:t>
      </w:r>
    </w:p>
    <w:p>
      <w:pPr>
        <w:spacing w:after="0" w:line="76" w:lineRule="exact"/>
        <w:rPr>
          <w:sz w:val="24"/>
          <w:szCs w:val="24"/>
          <w:color w:val="auto"/>
        </w:rPr>
      </w:pPr>
    </w:p>
    <w:p>
      <w:pPr>
        <w:ind w:right="60" w:firstLine="499"/>
        <w:spacing w:after="0" w:line="23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 w:name="page2"/>
    <w:bookmarkEnd w:id="1"/>
    <w:p>
      <w:pPr>
        <w:ind w:right="40"/>
        <w:spacing w:after="0" w:line="230" w:lineRule="auto"/>
        <w:rPr>
          <w:sz w:val="20"/>
          <w:szCs w:val="20"/>
          <w:color w:val="auto"/>
        </w:rPr>
      </w:pPr>
      <w:r>
        <w:rPr>
          <w:rFonts w:ascii="Arial" w:cs="Arial" w:eastAsia="Arial" w:hAnsi="Arial"/>
          <w:sz w:val="18"/>
          <w:szCs w:val="18"/>
          <w:color w:val="C00000"/>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C00000"/>
        </w:rPr>
        <w:t>Subject to Completion, Dated September 14, 2020</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111125</wp:posOffset>
            </wp:positionV>
            <wp:extent cx="2717165" cy="1345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171450</wp:posOffset>
            </wp:positionV>
            <wp:extent cx="1988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is the initial public offering of shares of common stock of Athira Pharma, Inc. We are offering 10,000,000 shares of common stock.</w:t>
      </w:r>
    </w:p>
    <w:p>
      <w:pPr>
        <w:spacing w:after="0" w:line="144" w:lineRule="exact"/>
        <w:rPr>
          <w:sz w:val="20"/>
          <w:szCs w:val="20"/>
          <w:color w:val="auto"/>
        </w:rPr>
      </w:pPr>
    </w:p>
    <w:p>
      <w:pPr>
        <w:ind w:right="80" w:firstLine="499"/>
        <w:spacing w:after="0" w:line="276" w:lineRule="auto"/>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 price will be between $15.00 and $17.00 per share.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applied to list our common stock on the Nasdaq Global Market under the symbol “ATHA.”</w:t>
      </w:r>
    </w:p>
    <w:p>
      <w:pPr>
        <w:spacing w:after="0" w:line="144" w:lineRule="exact"/>
        <w:rPr>
          <w:sz w:val="20"/>
          <w:szCs w:val="20"/>
          <w:color w:val="auto"/>
        </w:rPr>
      </w:pPr>
    </w:p>
    <w:p>
      <w:pPr>
        <w:ind w:right="160" w:firstLine="499"/>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106680</wp:posOffset>
            </wp:positionV>
            <wp:extent cx="1988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43" w:lineRule="exact"/>
        <w:rPr>
          <w:sz w:val="20"/>
          <w:szCs w:val="20"/>
          <w:color w:val="auto"/>
        </w:rPr>
      </w:pPr>
    </w:p>
    <w:p>
      <w:pPr>
        <w:ind w:right="600" w:firstLine="499"/>
        <w:spacing w:after="0" w:line="274" w:lineRule="auto"/>
        <w:rPr>
          <w:sz w:val="20"/>
          <w:szCs w:val="20"/>
          <w:color w:val="auto"/>
        </w:rPr>
      </w:pPr>
      <w:r>
        <w:rPr>
          <w:rFonts w:ascii="Arial" w:cs="Arial" w:eastAsia="Arial" w:hAnsi="Arial"/>
          <w:sz w:val="18"/>
          <w:szCs w:val="18"/>
          <w:i w:val="1"/>
          <w:iCs w:val="1"/>
          <w:color w:val="auto"/>
        </w:rPr>
        <w:t>See the section titled “</w:t>
      </w:r>
      <w:r>
        <w:rPr>
          <w:rFonts w:ascii="Arial" w:cs="Arial" w:eastAsia="Arial" w:hAnsi="Arial"/>
          <w:sz w:val="18"/>
          <w:szCs w:val="18"/>
          <w:i w:val="1"/>
          <w:iCs w:val="1"/>
          <w:u w:val="single" w:color="auto"/>
          <w:color w:val="auto"/>
        </w:rPr>
        <w:t>Risk Factors</w:t>
      </w:r>
      <w:r>
        <w:rPr>
          <w:rFonts w:ascii="Arial" w:cs="Arial" w:eastAsia="Arial" w:hAnsi="Arial"/>
          <w:sz w:val="18"/>
          <w:szCs w:val="18"/>
          <w:i w:val="1"/>
          <w:iCs w:val="1"/>
          <w:color w:val="auto"/>
        </w:rPr>
        <w:t>” beginning on page 18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88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4" w:lineRule="exact"/>
        <w:rPr>
          <w:sz w:val="20"/>
          <w:szCs w:val="20"/>
          <w:color w:val="auto"/>
        </w:rPr>
      </w:pPr>
    </w:p>
    <w:p>
      <w:pPr>
        <w:ind w:right="40" w:firstLine="499"/>
        <w:spacing w:after="0" w:line="31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80010</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1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Initial public offering price</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the section titled “Underwriting” for a description of the compensation payable to the underwriters.</w:t>
      </w:r>
    </w:p>
    <w:p>
      <w:pPr>
        <w:spacing w:after="0" w:line="149" w:lineRule="exact"/>
        <w:rPr>
          <w:sz w:val="20"/>
          <w:szCs w:val="20"/>
          <w:color w:val="auto"/>
        </w:rPr>
      </w:pPr>
    </w:p>
    <w:p>
      <w:pPr>
        <w:ind w:right="40" w:firstLine="499"/>
        <w:spacing w:after="0" w:line="276" w:lineRule="auto"/>
        <w:rPr>
          <w:sz w:val="20"/>
          <w:szCs w:val="20"/>
          <w:color w:val="auto"/>
        </w:rPr>
      </w:pPr>
      <w:r>
        <w:rPr>
          <w:rFonts w:ascii="Arial" w:cs="Arial" w:eastAsia="Arial" w:hAnsi="Arial"/>
          <w:sz w:val="18"/>
          <w:szCs w:val="18"/>
          <w:color w:val="auto"/>
        </w:rPr>
        <w:t>To the extent that the underwriters sell more than 10,000,000 shares of common stock, the underwriters have an option to purchase up to an additional 1,500,000 shares from us at the initial public offering price, less the underwriting discounts and commissions.</w:t>
      </w:r>
    </w:p>
    <w:p>
      <w:pPr>
        <w:spacing w:after="0" w:line="77"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74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125730</wp:posOffset>
            </wp:positionV>
            <wp:extent cx="198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364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2740" w:type="dxa"/>
            <w:vAlign w:val="bottom"/>
          </w:tcPr>
          <w:p>
            <w:pPr>
              <w:jc w:val="center"/>
              <w:ind w:left="1138"/>
              <w:spacing w:after="0"/>
              <w:rPr>
                <w:sz w:val="20"/>
                <w:szCs w:val="20"/>
                <w:color w:val="auto"/>
              </w:rPr>
            </w:pPr>
            <w:r>
              <w:rPr>
                <w:rFonts w:ascii="Arial" w:cs="Arial" w:eastAsia="Arial" w:hAnsi="Arial"/>
                <w:sz w:val="23"/>
                <w:szCs w:val="23"/>
                <w:b w:val="1"/>
                <w:bCs w:val="1"/>
                <w:color w:val="auto"/>
              </w:rPr>
              <w:t>Jefferies</w:t>
            </w:r>
          </w:p>
        </w:tc>
        <w:tc>
          <w:tcPr>
            <w:tcW w:w="4880" w:type="dxa"/>
            <w:vAlign w:val="bottom"/>
          </w:tcPr>
          <w:p>
            <w:pPr>
              <w:jc w:val="right"/>
              <w:spacing w:after="0"/>
              <w:rPr>
                <w:sz w:val="20"/>
                <w:szCs w:val="20"/>
                <w:color w:val="auto"/>
              </w:rPr>
            </w:pPr>
            <w:r>
              <w:rPr>
                <w:rFonts w:ascii="Arial" w:cs="Arial" w:eastAsia="Arial" w:hAnsi="Arial"/>
                <w:sz w:val="23"/>
                <w:szCs w:val="23"/>
                <w:b w:val="1"/>
                <w:bCs w:val="1"/>
                <w:color w:val="auto"/>
              </w:rPr>
              <w:t>Stifel</w:t>
            </w:r>
          </w:p>
        </w:tc>
      </w:tr>
      <w:tr>
        <w:trPr>
          <w:trHeight w:val="326"/>
        </w:trPr>
        <w:tc>
          <w:tcPr>
            <w:tcW w:w="3640" w:type="dxa"/>
            <w:vAlign w:val="bottom"/>
          </w:tcPr>
          <w:p>
            <w:pPr>
              <w:spacing w:after="0"/>
              <w:rPr>
                <w:sz w:val="24"/>
                <w:szCs w:val="24"/>
                <w:color w:val="auto"/>
              </w:rPr>
            </w:pPr>
          </w:p>
        </w:tc>
        <w:tc>
          <w:tcPr>
            <w:tcW w:w="2740" w:type="dxa"/>
            <w:vAlign w:val="bottom"/>
          </w:tcPr>
          <w:p>
            <w:pPr>
              <w:jc w:val="center"/>
              <w:ind w:left="1138"/>
              <w:spacing w:after="0"/>
              <w:rPr>
                <w:sz w:val="20"/>
                <w:szCs w:val="20"/>
                <w:color w:val="auto"/>
              </w:rPr>
            </w:pPr>
            <w:r>
              <w:rPr>
                <w:rFonts w:ascii="Arial" w:cs="Arial" w:eastAsia="Arial" w:hAnsi="Arial"/>
                <w:sz w:val="20"/>
                <w:szCs w:val="20"/>
                <w:b w:val="1"/>
                <w:bCs w:val="1"/>
                <w:color w:val="auto"/>
                <w:w w:val="99"/>
              </w:rPr>
              <w:t>JMP Securities</w:t>
            </w:r>
          </w:p>
        </w:tc>
        <w:tc>
          <w:tcPr>
            <w:tcW w:w="4880" w:type="dxa"/>
            <w:vAlign w:val="bottom"/>
          </w:tcPr>
          <w:p>
            <w:pPr>
              <w:spacing w:after="0"/>
              <w:rPr>
                <w:sz w:val="24"/>
                <w:szCs w:val="24"/>
                <w:color w:val="auto"/>
              </w:rPr>
            </w:pPr>
          </w:p>
        </w:tc>
      </w:tr>
      <w:tr>
        <w:trPr>
          <w:trHeight w:val="578"/>
        </w:trPr>
        <w:tc>
          <w:tcPr>
            <w:tcW w:w="3640" w:type="dxa"/>
            <w:vAlign w:val="bottom"/>
          </w:tcPr>
          <w:p>
            <w:pPr>
              <w:spacing w:after="0"/>
              <w:rPr>
                <w:sz w:val="24"/>
                <w:szCs w:val="24"/>
                <w:color w:val="auto"/>
              </w:rPr>
            </w:pPr>
          </w:p>
        </w:tc>
        <w:tc>
          <w:tcPr>
            <w:tcW w:w="2740" w:type="dxa"/>
            <w:vAlign w:val="bottom"/>
          </w:tcPr>
          <w:p>
            <w:pPr>
              <w:ind w:left="680"/>
              <w:spacing w:after="0"/>
              <w:rPr>
                <w:sz w:val="20"/>
                <w:szCs w:val="20"/>
                <w:color w:val="auto"/>
              </w:rPr>
            </w:pPr>
            <w:r>
              <w:rPr>
                <w:rFonts w:ascii="Arial" w:cs="Arial" w:eastAsia="Arial" w:hAnsi="Arial"/>
                <w:sz w:val="18"/>
                <w:szCs w:val="18"/>
                <w:color w:val="auto"/>
              </w:rPr>
              <w:t>Prospectus dated</w:t>
            </w:r>
          </w:p>
        </w:tc>
        <w:tc>
          <w:tcPr>
            <w:tcW w:w="4880" w:type="dxa"/>
            <w:vAlign w:val="bottom"/>
          </w:tcPr>
          <w:p>
            <w:pPr>
              <w:jc w:val="right"/>
              <w:ind w:right="4237"/>
              <w:spacing w:after="0"/>
              <w:rPr>
                <w:sz w:val="20"/>
                <w:szCs w:val="20"/>
                <w:color w:val="auto"/>
              </w:rPr>
            </w:pPr>
            <w:r>
              <w:rPr>
                <w:rFonts w:ascii="Arial" w:cs="Arial" w:eastAsia="Arial" w:hAnsi="Arial"/>
                <w:sz w:val="18"/>
                <w:szCs w:val="18"/>
                <w:color w:val="auto"/>
              </w:rPr>
              <w:t>, 2020</w:t>
            </w:r>
          </w:p>
        </w:tc>
      </w:tr>
      <w:tr>
        <w:trPr>
          <w:trHeight w:val="759"/>
        </w:trPr>
        <w:tc>
          <w:tcPr>
            <w:tcW w:w="36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624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0300" w:type="dxa"/>
            <w:vAlign w:val="bottom"/>
            <w:gridSpan w:val="3"/>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300" w:type="dxa"/>
            <w:vAlign w:val="bottom"/>
            <w:gridSpan w:val="3"/>
            <w:vMerge w:val="continue"/>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6"/>
        </w:trPr>
        <w:tc>
          <w:tcPr>
            <w:tcW w:w="10300" w:type="dxa"/>
            <w:vAlign w:val="bottom"/>
            <w:gridSpan w:val="3"/>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468"/>
        <w:spacing w:after="0" w:line="261"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0" w:lineRule="exact"/>
        <w:rPr>
          <w:sz w:val="20"/>
          <w:szCs w:val="20"/>
          <w:color w:val="auto"/>
        </w:rPr>
      </w:pPr>
    </w:p>
    <w:p>
      <w:pPr>
        <w:ind w:right="180" w:firstLine="468"/>
        <w:spacing w:after="0" w:line="243"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174" w:lineRule="exact"/>
        <w:rPr>
          <w:sz w:val="20"/>
          <w:szCs w:val="20"/>
          <w:color w:val="auto"/>
        </w:rPr>
      </w:pPr>
    </w:p>
    <w:p>
      <w:pPr>
        <w:ind w:right="600" w:firstLine="562"/>
        <w:spacing w:after="0" w:line="24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117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7117080"/>
                    </a:xfrm>
                    <a:prstGeom prst="rect">
                      <a:avLst/>
                    </a:prstGeom>
                    <a:noFill/>
                  </pic:spPr>
                </pic:pic>
              </a:graphicData>
            </a:graphic>
          </wp:anchor>
        </w:drawing>
        <w:t>PROSPECTUS SUMMARY</w:t>
      </w:r>
    </w:p>
    <w:p>
      <w:pPr>
        <w:spacing w:after="0" w:line="216" w:lineRule="exact"/>
        <w:rPr>
          <w:sz w:val="20"/>
          <w:szCs w:val="20"/>
          <w:color w:val="auto"/>
        </w:rPr>
      </w:pPr>
    </w:p>
    <w:p>
      <w:pPr>
        <w:ind w:right="40" w:firstLine="486"/>
        <w:spacing w:after="0" w:line="242" w:lineRule="auto"/>
        <w:rPr>
          <w:sz w:val="20"/>
          <w:szCs w:val="20"/>
          <w:color w:val="auto"/>
        </w:rPr>
      </w:pPr>
      <w:r>
        <w:rPr>
          <w:rFonts w:ascii="Arial" w:cs="Arial" w:eastAsia="Arial" w:hAnsi="Arial"/>
          <w:sz w:val="18"/>
          <w:szCs w:val="18"/>
          <w:i w:val="1"/>
          <w:iCs w:val="1"/>
          <w:color w:val="auto"/>
          <w:highlight w:val="white"/>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382"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6" w:right="1199" w:bottom="1440" w:gutter="0" w:footer="0" w:header="0"/>
        </w:sectPr>
      </w:pPr>
    </w:p>
    <w:bookmarkStart w:id="4" w:name="page5"/>
    <w:bookmarkEnd w:id="4"/>
    <w:p>
      <w:pPr>
        <w:ind w:right="40" w:firstLine="486"/>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794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794250"/>
                    </a:xfrm>
                    <a:prstGeom prst="rect">
                      <a:avLst/>
                    </a:prstGeom>
                    <a:noFill/>
                  </pic:spPr>
                </pic:pic>
              </a:graphicData>
            </a:graphic>
          </wp:anchor>
        </w:drawing>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79"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We are pioneering the use of small molecules that are designed to promote the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76"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It is our goal to establish in future clinical trials that our ATH platform, which is designed to enhance the body’s repair mechanism of HGF/MET, can potentially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disorders such as depression and anxiety. We are planning to initiate a Phase 2 clinical trial for ATH-1017 for the treatment of PDD by the end of 2021.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for subcutaneous or oral route of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64" w:right="1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477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7477125"/>
                    </a:xfrm>
                    <a:prstGeom prst="rect">
                      <a:avLst/>
                    </a:prstGeom>
                    <a:noFill/>
                  </pic:spPr>
                </pic:pic>
              </a:graphicData>
            </a:graphic>
          </wp:anchor>
        </w:drawing>
        <w:t>Our Pipeline and ATH Platform</w:t>
      </w:r>
    </w:p>
    <w:p>
      <w:pPr>
        <w:spacing w:after="0" w:line="106" w:lineRule="exact"/>
        <w:rPr>
          <w:sz w:val="20"/>
          <w:szCs w:val="20"/>
          <w:color w:val="auto"/>
        </w:rPr>
      </w:pPr>
    </w:p>
    <w:p>
      <w:pPr>
        <w:ind w:right="160" w:firstLine="486"/>
        <w:spacing w:after="0" w:line="245"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hanging="398"/>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33" w:lineRule="exact"/>
        <w:rPr>
          <w:rFonts w:ascii="Arial" w:cs="Arial" w:eastAsia="Arial" w:hAnsi="Arial"/>
          <w:sz w:val="14"/>
          <w:szCs w:val="14"/>
          <w:color w:val="auto"/>
        </w:rPr>
      </w:pPr>
    </w:p>
    <w:p>
      <w:pPr>
        <w:ind w:left="400" w:right="520" w:hanging="398"/>
        <w:spacing w:after="0" w:line="267"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 w:lineRule="exact"/>
        <w:rPr>
          <w:rFonts w:ascii="Arial" w:cs="Arial" w:eastAsia="Arial" w:hAnsi="Arial"/>
          <w:sz w:val="14"/>
          <w:szCs w:val="14"/>
          <w:color w:val="auto"/>
        </w:rPr>
      </w:pPr>
    </w:p>
    <w:p>
      <w:pPr>
        <w:ind w:left="400" w:hanging="398"/>
        <w:spacing w:after="0" w:line="266"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98" w:lineRule="exact"/>
        <w:rPr>
          <w:sz w:val="20"/>
          <w:szCs w:val="20"/>
          <w:color w:val="auto"/>
        </w:rPr>
      </w:pPr>
    </w:p>
    <w:p>
      <w:pPr>
        <w:jc w:val="both"/>
        <w:ind w:right="360" w:firstLine="48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060" w:hanging="343"/>
        <w:spacing w:after="0"/>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small molecule focus;</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efficient and scalable manufacturing process; and</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avoids alteration of target system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370" w:right="1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974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7974330"/>
                    </a:xfrm>
                    <a:prstGeom prst="rect">
                      <a:avLst/>
                    </a:prstGeom>
                    <a:noFill/>
                  </pic:spPr>
                </pic:pic>
              </a:graphicData>
            </a:graphic>
          </wp:anchor>
        </w:drawing>
        <w:t>ATH-1017 for the Potential Treatment of AD</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w:t>
      </w:r>
    </w:p>
    <w:p>
      <w:pPr>
        <w:spacing w:after="0" w:line="62" w:lineRule="exact"/>
        <w:rPr>
          <w:sz w:val="20"/>
          <w:szCs w:val="20"/>
          <w:color w:val="auto"/>
        </w:rPr>
      </w:pPr>
    </w:p>
    <w:p>
      <w:pPr>
        <w:ind w:left="1060" w:right="140" w:hanging="343"/>
        <w:spacing w:after="0" w:line="275" w:lineRule="auto"/>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was well tolerated with no serious adverse events across 88 subjects recruited in the study, including 11 subjects with mild-to-moderate AD, who were assigned to treatment and control groups;</w:t>
      </w:r>
    </w:p>
    <w:p>
      <w:pPr>
        <w:spacing w:after="0" w:line="37" w:lineRule="exact"/>
        <w:rPr>
          <w:rFonts w:ascii="Times New Roman" w:cs="Times New Roman" w:eastAsia="Times New Roman" w:hAnsi="Times New Roman"/>
          <w:sz w:val="18"/>
          <w:szCs w:val="18"/>
          <w:color w:val="auto"/>
        </w:rPr>
      </w:pPr>
    </w:p>
    <w:p>
      <w:pPr>
        <w:ind w:left="1060" w:right="200" w:hanging="343"/>
        <w:spacing w:after="0" w:line="275" w:lineRule="auto"/>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led to improvements in brain network activity that indicated potentially positive effects on brain function; and</w:t>
      </w:r>
    </w:p>
    <w:p>
      <w:pPr>
        <w:spacing w:after="0" w:line="37" w:lineRule="exact"/>
        <w:rPr>
          <w:rFonts w:ascii="Times New Roman" w:cs="Times New Roman" w:eastAsia="Times New Roman" w:hAnsi="Times New Roman"/>
          <w:sz w:val="18"/>
          <w:szCs w:val="18"/>
          <w:color w:val="auto"/>
        </w:rPr>
      </w:pPr>
    </w:p>
    <w:p>
      <w:pPr>
        <w:ind w:left="1060" w:right="40" w:hanging="343"/>
        <w:spacing w:after="0" w:line="275" w:lineRule="auto"/>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significant improvement in P300 latency, a functional measure that is highly correlated with cognition, in the AD subjects with multiple dosing.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Our Phase 1b Clinical Trial</w:t>
      </w:r>
    </w:p>
    <w:p>
      <w:pPr>
        <w:spacing w:after="0" w:line="104" w:lineRule="exact"/>
        <w:rPr>
          <w:sz w:val="20"/>
          <w:szCs w:val="20"/>
          <w:color w:val="auto"/>
        </w:rPr>
      </w:pPr>
    </w:p>
    <w:p>
      <w:pPr>
        <w:ind w:right="60" w:firstLine="486"/>
        <w:spacing w:after="0" w:line="238" w:lineRule="auto"/>
        <w:rPr>
          <w:sz w:val="20"/>
          <w:szCs w:val="20"/>
          <w:color w:val="auto"/>
        </w:rPr>
      </w:pPr>
      <w:r>
        <w:rPr>
          <w:rFonts w:ascii="Arial" w:cs="Arial" w:eastAsia="Arial" w:hAnsi="Arial"/>
          <w:sz w:val="18"/>
          <w:szCs w:val="18"/>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in AD subjects, as shown in the figures below. P300 latency, a functional measure of working memory processing speed and executive function that highly correlates with cognition, was dramatically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the figure below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overall improvement in neuronal health and function.</w:t>
      </w:r>
    </w:p>
    <w:p>
      <w:pPr>
        <w:spacing w:after="0" w:line="177" w:lineRule="exact"/>
        <w:rPr>
          <w:sz w:val="20"/>
          <w:szCs w:val="20"/>
          <w:color w:val="auto"/>
        </w:rPr>
      </w:pPr>
    </w:p>
    <w:p>
      <w:pPr>
        <w:ind w:right="20" w:firstLine="486"/>
        <w:spacing w:after="0" w:line="276" w:lineRule="auto"/>
        <w:rPr>
          <w:sz w:val="20"/>
          <w:szCs w:val="20"/>
          <w:color w:val="auto"/>
        </w:rPr>
      </w:pPr>
      <w:r>
        <w:rPr>
          <w:rFonts w:ascii="Arial" w:cs="Arial" w:eastAsia="Arial" w:hAnsi="Arial"/>
          <w:sz w:val="18"/>
          <w:szCs w:val="18"/>
          <w:i w:val="1"/>
          <w:iCs w:val="1"/>
          <w:color w:val="auto"/>
        </w:rPr>
        <w:t xml:space="preserve">ATH-1017 Treatment Led to Continued and Sustained Improvement in P300 Latency in AD Subjects. </w:t>
      </w:r>
      <w:r>
        <w:rPr>
          <w:rFonts w:ascii="Arial" w:cs="Arial" w:eastAsia="Arial" w:hAnsi="Arial"/>
          <w:sz w:val="18"/>
          <w:szCs w:val="18"/>
          <w:color w:val="auto"/>
        </w:rPr>
        <w:t>The arrows</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 the 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0" w:right="1219" w:bottom="1440" w:gutter="0" w:footer="0" w:header="0"/>
        </w:sectPr>
      </w:pPr>
    </w:p>
    <w:bookmarkStart w:id="7" w:name="page8"/>
    <w:bookmarkEnd w:id="7"/>
    <w:p>
      <w:pPr>
        <w:ind w:right="380" w:firstLine="486"/>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957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7957185"/>
                    </a:xfrm>
                    <a:prstGeom prst="rect">
                      <a:avLst/>
                    </a:prstGeom>
                    <a:noFill/>
                  </pic:spPr>
                </pic:pic>
              </a:graphicData>
            </a:graphic>
          </wp:anchor>
        </w:drawing>
        <w:t xml:space="preserve">Quantification of the Change in P300 Latency from Baseline, ATH-1017 Significantly Reduced P300 Latency Compared to the Placebo Group on Day 8 Recordings. </w:t>
      </w:r>
      <w:r>
        <w:rPr>
          <w:rFonts w:ascii="Arial" w:cs="Arial" w:eastAsia="Arial" w:hAnsi="Arial"/>
          <w:sz w:val="18"/>
          <w:szCs w:val="18"/>
          <w:color w:val="auto"/>
        </w:rPr>
        <w:t>Data show the average of P300 latency values of 7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treated with ATH-1017 vs. 4 AD 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firstLine="486"/>
        <w:spacing w:after="0" w:line="244" w:lineRule="auto"/>
        <w:rPr>
          <w:sz w:val="20"/>
          <w:szCs w:val="20"/>
          <w:color w:val="auto"/>
        </w:rPr>
      </w:pPr>
      <w:r>
        <w:rPr>
          <w:rFonts w:ascii="Arial" w:cs="Arial" w:eastAsia="Arial" w:hAnsi="Arial"/>
          <w:sz w:val="18"/>
          <w:szCs w:val="18"/>
          <w:color w:val="auto"/>
        </w:rPr>
        <w:t xml:space="preserve">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w:t>
      </w:r>
      <w:r>
        <w:rPr>
          <w:rFonts w:ascii="Arial" w:cs="Arial" w:eastAsia="Arial" w:hAnsi="Arial"/>
          <w:sz w:val="19"/>
          <w:szCs w:val="19"/>
          <w:color w:val="auto"/>
        </w:rPr>
        <w:t xml:space="preserve">In September 2020, we began site initiation and patient screening for the LIFT-AD trial and anticipate topline results by the end of 2022. </w:t>
      </w:r>
      <w:r>
        <w:rPr>
          <w:rFonts w:ascii="Arial" w:cs="Arial" w:eastAsia="Arial" w:hAnsi="Arial"/>
          <w:sz w:val="17"/>
          <w:szCs w:val="17"/>
          <w:color w:val="auto"/>
        </w:rPr>
        <w:t>These topline results may provide pivotal data in support of registration, but the FDA or</w:t>
      </w:r>
      <w:r>
        <w:rPr>
          <w:rFonts w:ascii="Arial" w:cs="Arial" w:eastAsia="Arial" w:hAnsi="Arial"/>
          <w:sz w:val="19"/>
          <w:szCs w:val="19"/>
          <w:color w:val="auto"/>
        </w:rPr>
        <w:t xml:space="preserve"> </w:t>
      </w:r>
      <w:r>
        <w:rPr>
          <w:rFonts w:ascii="Arial" w:cs="Arial" w:eastAsia="Arial" w:hAnsi="Arial"/>
          <w:sz w:val="17"/>
          <w:szCs w:val="17"/>
          <w:color w:val="auto"/>
        </w:rPr>
        <w:t>other regulators may still require additional trials even if results from the LIFT-AD trial are positive.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02" w:lineRule="exact"/>
        <w:rPr>
          <w:sz w:val="20"/>
          <w:szCs w:val="20"/>
          <w:color w:val="auto"/>
        </w:rPr>
      </w:pPr>
    </w:p>
    <w:p>
      <w:pPr>
        <w:ind w:right="120" w:firstLine="486"/>
        <w:spacing w:after="0" w:line="245" w:lineRule="auto"/>
        <w:rPr>
          <w:sz w:val="20"/>
          <w:szCs w:val="20"/>
          <w:color w:val="auto"/>
        </w:rPr>
      </w:pPr>
      <w:r>
        <w:rPr>
          <w:rFonts w:ascii="Arial" w:cs="Arial" w:eastAsia="Arial" w:hAnsi="Arial"/>
          <w:sz w:val="18"/>
          <w:szCs w:val="18"/>
          <w:color w:val="auto"/>
        </w:rPr>
        <w:t>In addition to LIFT-AD, we are planning ACT-AD, a randomized, placebo-controlled clinical trial designed to test the same dose levels of ATH-1017 (low and high) in subjects with mild-to-moderate AD compared to placebo. We intend to enroll approximately 60 to 75 mild-to-moderate AD subjects. By the end of 2020, we plan to initiate this ACT-AD P300 Phase 2 clinical trial in mild-to-moderate AD to better understand the overall effects of ATH-1017 on working memory processing speed and cognitive measures, with topline results expected by early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56" w:lineRule="exact"/>
        <w:rPr>
          <w:sz w:val="20"/>
          <w:szCs w:val="20"/>
          <w:color w:val="auto"/>
        </w:rPr>
      </w:pPr>
    </w:p>
    <w:p>
      <w:pPr>
        <w:ind w:left="1060" w:hanging="343"/>
        <w:spacing w:after="0"/>
        <w:tabs>
          <w:tab w:leader="none" w:pos="10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advance ATH-1017 through clinical development for AD;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46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91" w:right="1199" w:bottom="1440" w:gutter="0" w:footer="0" w:header="0"/>
        </w:sectPr>
      </w:pPr>
    </w:p>
    <w:bookmarkStart w:id="8" w:name="page9"/>
    <w:bookmarkEnd w:id="8"/>
    <w:p>
      <w:pPr>
        <w:ind w:left="1060" w:hanging="343"/>
        <w:spacing w:after="0"/>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400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7400290"/>
                    </a:xfrm>
                    <a:prstGeom prst="rect">
                      <a:avLst/>
                    </a:prstGeom>
                    <a:noFill/>
                  </pic:spPr>
                </pic:pic>
              </a:graphicData>
            </a:graphic>
          </wp:anchor>
        </w:drawing>
        <w:t>expand the development of ATH-1017 to include additional indications and delivery methods;</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focus on translational and functional endpoints to efficiently develop product candidates;</w:t>
      </w:r>
    </w:p>
    <w:p>
      <w:pPr>
        <w:spacing w:after="0" w:line="116" w:lineRule="exact"/>
        <w:rPr>
          <w:rFonts w:ascii="Times New Roman" w:cs="Times New Roman" w:eastAsia="Times New Roman" w:hAnsi="Times New Roman"/>
          <w:sz w:val="18"/>
          <w:szCs w:val="18"/>
          <w:color w:val="auto"/>
        </w:rPr>
      </w:pPr>
    </w:p>
    <w:p>
      <w:pPr>
        <w:ind w:left="1060" w:right="120" w:hanging="343"/>
        <w:spacing w:after="0" w:line="275" w:lineRule="auto"/>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developing additional pipeline programs and utilize our ATH platform for further drug discovery; and</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optimize the value of ATH-1017 and other candidates in major markets.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Scientific Data Support HGF/MET’s Role in Maintaining Neuronal Health and Function</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62" w:lineRule="exact"/>
        <w:rPr>
          <w:sz w:val="20"/>
          <w:szCs w:val="20"/>
          <w:color w:val="auto"/>
        </w:rPr>
      </w:pPr>
    </w:p>
    <w:p>
      <w:pPr>
        <w:ind w:left="1060" w:hanging="343"/>
        <w:spacing w:after="0"/>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1060" w:right="120" w:hanging="343"/>
        <w:spacing w:after="0" w:line="275"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1060" w:right="180" w:hanging="343"/>
        <w:spacing w:after="0" w:line="275"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146" w:lineRule="exact"/>
        <w:rPr>
          <w:sz w:val="20"/>
          <w:szCs w:val="20"/>
          <w:color w:val="auto"/>
        </w:rPr>
      </w:pPr>
    </w:p>
    <w:p>
      <w:pPr>
        <w:ind w:right="180" w:firstLine="486"/>
        <w:spacing w:after="0" w:line="24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72" w:lineRule="exact"/>
        <w:rPr>
          <w:sz w:val="20"/>
          <w:szCs w:val="20"/>
          <w:color w:val="auto"/>
        </w:rPr>
      </w:pPr>
    </w:p>
    <w:p>
      <w:pPr>
        <w:ind w:right="120" w:firstLine="486"/>
        <w:spacing w:after="0" w:line="241"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179"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56" w:right="1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228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7228840"/>
                    </a:xfrm>
                    <a:prstGeom prst="rect">
                      <a:avLst/>
                    </a:prstGeom>
                    <a:noFill/>
                  </pic:spPr>
                </pic:pic>
              </a:graphicData>
            </a:graphic>
          </wp:anchor>
        </w:drawing>
        <w:t>Our Differentiated Approach</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62" w:lineRule="exact"/>
        <w:rPr>
          <w:sz w:val="20"/>
          <w:szCs w:val="20"/>
          <w:color w:val="auto"/>
        </w:rPr>
      </w:pPr>
    </w:p>
    <w:p>
      <w:pPr>
        <w:ind w:left="1060" w:right="100" w:hanging="343"/>
        <w:spacing w:after="0" w:line="248"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to a rapid increase in 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1060" w:right="120" w:hanging="343"/>
        <w:spacing w:after="0" w:line="248"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 brain systems that reduce oxidative stress, which is expected to reduce damage and slow down disease progression and improve network activity. Many therapies in development are focused only on slowing disease progression.</w:t>
      </w:r>
    </w:p>
    <w:p>
      <w:pPr>
        <w:spacing w:after="0" w:line="61" w:lineRule="exact"/>
        <w:rPr>
          <w:rFonts w:ascii="Times New Roman" w:cs="Times New Roman" w:eastAsia="Times New Roman" w:hAnsi="Times New Roman"/>
          <w:sz w:val="18"/>
          <w:szCs w:val="18"/>
          <w:color w:val="auto"/>
        </w:rPr>
      </w:pPr>
    </w:p>
    <w:p>
      <w:pPr>
        <w:ind w:left="1060" w:right="660" w:hanging="343"/>
        <w:spacing w:after="0" w:line="305" w:lineRule="auto"/>
        <w:tabs>
          <w:tab w:leader="none" w:pos="106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Improvement in cerebral blood flow, as well as reducing inflammation </w:t>
      </w:r>
      <w:r>
        <w:rPr>
          <w:rFonts w:ascii="Arial" w:cs="Arial" w:eastAsia="Arial" w:hAnsi="Arial"/>
          <w:sz w:val="17"/>
          <w:szCs w:val="17"/>
          <w:color w:val="auto"/>
        </w:rPr>
        <w:t>by modulating inflammatory</w:t>
      </w:r>
      <w:r>
        <w:rPr>
          <w:rFonts w:ascii="Arial" w:cs="Arial" w:eastAsia="Arial" w:hAnsi="Arial"/>
          <w:sz w:val="17"/>
          <w:szCs w:val="17"/>
          <w:i w:val="1"/>
          <w:iCs w:val="1"/>
          <w:color w:val="auto"/>
        </w:rPr>
        <w:t xml:space="preserve"> </w:t>
      </w:r>
      <w:r>
        <w:rPr>
          <w:rFonts w:ascii="Arial" w:cs="Arial" w:eastAsia="Arial" w:hAnsi="Arial"/>
          <w:sz w:val="17"/>
          <w:szCs w:val="17"/>
          <w:color w:val="auto"/>
        </w:rPr>
        <w:t>cytokine expression from the glia. Many other therapies only have a single mode of activity.</w:t>
      </w:r>
    </w:p>
    <w:p>
      <w:pPr>
        <w:spacing w:after="0" w:line="123" w:lineRule="exact"/>
        <w:rPr>
          <w:sz w:val="20"/>
          <w:szCs w:val="20"/>
          <w:color w:val="auto"/>
        </w:rPr>
      </w:pPr>
    </w:p>
    <w:p>
      <w:pPr>
        <w:ind w:right="140" w:firstLine="486"/>
        <w:spacing w:after="0" w:line="248" w:lineRule="auto"/>
        <w:rPr>
          <w:sz w:val="20"/>
          <w:szCs w:val="20"/>
          <w:color w:val="auto"/>
        </w:rPr>
      </w:pPr>
      <w:r>
        <w:rPr>
          <w:rFonts w:ascii="Arial" w:cs="Arial" w:eastAsia="Arial" w:hAnsi="Arial"/>
          <w:sz w:val="18"/>
          <w:szCs w:val="18"/>
          <w:color w:val="auto"/>
        </w:rPr>
        <w:t>It is our goal to establish in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20" w:firstLine="486"/>
        <w:spacing w:after="0" w:line="245"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172" w:lineRule="exact"/>
        <w:rPr>
          <w:sz w:val="20"/>
          <w:szCs w:val="20"/>
          <w:color w:val="auto"/>
        </w:rPr>
      </w:pPr>
    </w:p>
    <w:p>
      <w:pPr>
        <w:ind w:firstLine="486"/>
        <w:spacing w:after="0" w:line="258" w:lineRule="auto"/>
        <w:rPr>
          <w:sz w:val="20"/>
          <w:szCs w:val="20"/>
          <w:color w:val="auto"/>
        </w:rPr>
      </w:pPr>
      <w:r>
        <w:rPr>
          <w:rFonts w:ascii="Arial" w:cs="Arial" w:eastAsia="Arial" w:hAnsi="Arial"/>
          <w:sz w:val="17"/>
          <w:szCs w:val="17"/>
          <w:color w:val="auto"/>
        </w:rPr>
        <w:t>Our focused drug development approach aims to understand the potential clinical benefit of a product candidate at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cognitive processing, we believe we will be able to develop ATH-1017 more efficiently for treatment of AD and broader dementia.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 and Applications to Our ATH Platform</w:t>
      </w:r>
    </w:p>
    <w:p>
      <w:pPr>
        <w:spacing w:after="0" w:line="104"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the table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0" w:right="1219" w:bottom="1440" w:gutter="0" w:footer="0" w:header="0"/>
        </w:sectPr>
      </w:pPr>
    </w:p>
    <w:bookmarkStart w:id="10" w:name="page11"/>
    <w:bookmarkEnd w:id="10"/>
    <w:p>
      <w:pPr>
        <w:ind w:left="4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619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6619875"/>
                    </a:xfrm>
                    <a:prstGeom prst="rect">
                      <a:avLst/>
                    </a:prstGeom>
                    <a:noFill/>
                  </pic:spPr>
                </pic:pic>
              </a:graphicData>
            </a:graphic>
          </wp:anchor>
        </w:drawing>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42"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06" w:lineRule="exact"/>
        <w:rPr>
          <w:sz w:val="20"/>
          <w:szCs w:val="20"/>
          <w:color w:val="auto"/>
        </w:rPr>
      </w:pPr>
    </w:p>
    <w:p>
      <w:pPr>
        <w:ind w:firstLine="486"/>
        <w:spacing w:after="0" w:line="258" w:lineRule="auto"/>
        <w:rPr>
          <w:sz w:val="20"/>
          <w:szCs w:val="20"/>
          <w:color w:val="auto"/>
        </w:rPr>
      </w:pPr>
      <w:r>
        <w:rPr>
          <w:rFonts w:ascii="Arial" w:cs="Arial" w:eastAsia="Arial" w:hAnsi="Arial"/>
          <w:sz w:val="17"/>
          <w:szCs w:val="17"/>
          <w:color w:val="auto"/>
        </w:rPr>
        <w:t>Our leadership team includes experienced neuroscience biotech executives who have both developed and commercialized CNS drugs and founded successful companies. Dr. Leen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163" w:lineRule="exact"/>
        <w:rPr>
          <w:sz w:val="20"/>
          <w:szCs w:val="20"/>
          <w:color w:val="auto"/>
        </w:rPr>
      </w:pPr>
    </w:p>
    <w:p>
      <w:pPr>
        <w:ind w:right="20" w:firstLine="486"/>
        <w:spacing w:after="0" w:line="245" w:lineRule="auto"/>
        <w:rPr>
          <w:sz w:val="20"/>
          <w:szCs w:val="20"/>
          <w:color w:val="auto"/>
        </w:rPr>
      </w:pPr>
      <w:r>
        <w:rPr>
          <w:rFonts w:ascii="Arial" w:cs="Arial" w:eastAsia="Arial" w:hAnsi="Arial"/>
          <w:sz w:val="18"/>
          <w:szCs w:val="18"/>
          <w:color w:val="auto"/>
        </w:rPr>
        <w:t>Our advisory board is a world 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quantitative EEG, or qEEG, ERP P300 latency, and cognitive and behavioral paradigms. Dr. Sabbagh, the director of Cleveland Clinic Lou Ruvo Center for Brain Health, is considered to be one of the leading experts in AD and dementia.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374" w:right="1239" w:bottom="1440" w:gutter="0" w:footer="0" w:header="0"/>
        </w:sectPr>
      </w:pPr>
    </w:p>
    <w:bookmarkStart w:id="11" w:name="page12"/>
    <w:bookmarkEnd w:id="11"/>
    <w:p>
      <w:pPr>
        <w:ind w:right="40" w:firstLine="486"/>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494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7494270"/>
                    </a:xfrm>
                    <a:prstGeom prst="rect">
                      <a:avLst/>
                    </a:prstGeom>
                    <a:noFill/>
                  </pic:spPr>
                </pic:pic>
              </a:graphicData>
            </a:graphic>
          </wp:anchor>
        </w:drawing>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06" w:lineRule="exact"/>
        <w:rPr>
          <w:sz w:val="20"/>
          <w:szCs w:val="20"/>
          <w:color w:val="auto"/>
        </w:rPr>
      </w:pPr>
    </w:p>
    <w:p>
      <w:pPr>
        <w:ind w:right="380" w:firstLine="486"/>
        <w:spacing w:after="0" w:line="255"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56" w:lineRule="exact"/>
        <w:rPr>
          <w:sz w:val="20"/>
          <w:szCs w:val="20"/>
          <w:color w:val="auto"/>
        </w:rPr>
      </w:pPr>
    </w:p>
    <w:p>
      <w:pPr>
        <w:ind w:left="1060" w:hanging="343"/>
        <w:spacing w:after="0"/>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w:t>
      </w:r>
    </w:p>
    <w:p>
      <w:pPr>
        <w:spacing w:after="0" w:line="116" w:lineRule="exact"/>
        <w:rPr>
          <w:rFonts w:ascii="Times New Roman" w:cs="Times New Roman" w:eastAsia="Times New Roman" w:hAnsi="Times New Roman"/>
          <w:sz w:val="18"/>
          <w:szCs w:val="18"/>
          <w:color w:val="auto"/>
        </w:rPr>
      </w:pPr>
    </w:p>
    <w:p>
      <w:pPr>
        <w:ind w:left="1060" w:right="540" w:hanging="343"/>
        <w:spacing w:after="0" w:line="27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37" w:lineRule="exact"/>
        <w:rPr>
          <w:rFonts w:ascii="Times New Roman" w:cs="Times New Roman" w:eastAsia="Times New Roman" w:hAnsi="Times New Roman"/>
          <w:sz w:val="18"/>
          <w:szCs w:val="18"/>
          <w:color w:val="auto"/>
        </w:rPr>
      </w:pPr>
    </w:p>
    <w:p>
      <w:pPr>
        <w:ind w:left="1060" w:right="80" w:hanging="343"/>
        <w:spacing w:after="0" w:line="248"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61" w:lineRule="exact"/>
        <w:rPr>
          <w:rFonts w:ascii="Times New Roman" w:cs="Times New Roman" w:eastAsia="Times New Roman" w:hAnsi="Times New Roman"/>
          <w:sz w:val="18"/>
          <w:szCs w:val="18"/>
          <w:color w:val="auto"/>
        </w:rPr>
      </w:pPr>
    </w:p>
    <w:p>
      <w:pPr>
        <w:ind w:left="1060" w:right="160" w:hanging="343"/>
        <w:spacing w:after="0" w:line="27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ATH-1017 may never lead to a marketable product.</w:t>
      </w:r>
    </w:p>
    <w:p>
      <w:pPr>
        <w:spacing w:after="0" w:line="116" w:lineRule="exact"/>
        <w:rPr>
          <w:rFonts w:ascii="Times New Roman" w:cs="Times New Roman" w:eastAsia="Times New Roman" w:hAnsi="Times New Roman"/>
          <w:sz w:val="18"/>
          <w:szCs w:val="18"/>
          <w:color w:val="auto"/>
        </w:rPr>
      </w:pPr>
    </w:p>
    <w:p>
      <w:pPr>
        <w:ind w:left="1060" w:right="20" w:hanging="343"/>
        <w:spacing w:after="0" w:line="242"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69" w:lineRule="exact"/>
        <w:rPr>
          <w:rFonts w:ascii="Times New Roman" w:cs="Times New Roman" w:eastAsia="Times New Roman" w:hAnsi="Times New Roman"/>
          <w:sz w:val="18"/>
          <w:szCs w:val="18"/>
          <w:color w:val="auto"/>
        </w:rPr>
      </w:pPr>
    </w:p>
    <w:p>
      <w:pPr>
        <w:ind w:left="1060" w:right="220" w:hanging="343"/>
        <w:spacing w:after="0" w:line="248"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CNS and peripheral degenerative disorders, a field that has seen very limited success in product development. Further, our product candidates are based on new approaches and novel technology, which makes it difficult to predict the time and cost of product candidate development and the regulatory approval process.</w:t>
      </w:r>
    </w:p>
    <w:p>
      <w:pPr>
        <w:spacing w:after="0" w:line="61" w:lineRule="exact"/>
        <w:rPr>
          <w:rFonts w:ascii="Times New Roman" w:cs="Times New Roman" w:eastAsia="Times New Roman" w:hAnsi="Times New Roman"/>
          <w:sz w:val="18"/>
          <w:szCs w:val="18"/>
          <w:color w:val="auto"/>
        </w:rPr>
      </w:pPr>
    </w:p>
    <w:p>
      <w:pPr>
        <w:ind w:left="1060" w:hanging="343"/>
        <w:spacing w:after="0" w:line="248"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61" w:lineRule="exact"/>
        <w:rPr>
          <w:rFonts w:ascii="Times New Roman" w:cs="Times New Roman" w:eastAsia="Times New Roman" w:hAnsi="Times New Roman"/>
          <w:sz w:val="18"/>
          <w:szCs w:val="18"/>
          <w:color w:val="auto"/>
        </w:rPr>
      </w:pPr>
    </w:p>
    <w:p>
      <w:pPr>
        <w:ind w:left="1060" w:right="700" w:hanging="343"/>
        <w:spacing w:after="0" w:line="27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37" w:lineRule="exact"/>
        <w:rPr>
          <w:rFonts w:ascii="Times New Roman" w:cs="Times New Roman" w:eastAsia="Times New Roman" w:hAnsi="Times New Roman"/>
          <w:sz w:val="18"/>
          <w:szCs w:val="18"/>
          <w:color w:val="auto"/>
        </w:rPr>
      </w:pPr>
    </w:p>
    <w:p>
      <w:pPr>
        <w:ind w:left="1060" w:right="160" w:hanging="343"/>
        <w:spacing w:after="0" w:line="25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54" w:lineRule="exact"/>
        <w:rPr>
          <w:rFonts w:ascii="Times New Roman" w:cs="Times New Roman" w:eastAsia="Times New Roman" w:hAnsi="Times New Roman"/>
          <w:sz w:val="18"/>
          <w:szCs w:val="18"/>
          <w:color w:val="auto"/>
        </w:rPr>
      </w:pPr>
    </w:p>
    <w:p>
      <w:pPr>
        <w:jc w:val="both"/>
        <w:ind w:left="1060" w:right="180" w:hanging="343"/>
        <w:spacing w:after="0" w:line="25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264" w:right="1239" w:bottom="1440" w:gutter="0" w:footer="0" w:header="0"/>
        </w:sectPr>
      </w:pPr>
    </w:p>
    <w:bookmarkStart w:id="12" w:name="page13"/>
    <w:bookmarkEnd w:id="12"/>
    <w:p>
      <w:pPr>
        <w:ind w:left="1060" w:hanging="343"/>
        <w:spacing w:after="0"/>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905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7905750"/>
                    </a:xfrm>
                    <a:prstGeom prst="rect">
                      <a:avLst/>
                    </a:prstGeom>
                    <a:noFill/>
                  </pic:spPr>
                </pic:pic>
              </a:graphicData>
            </a:graphic>
          </wp:anchor>
        </w:drawing>
        <w:t>Our success depends on our ability to protect our intellectual property and our proprietary technologies.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right="100" w:firstLine="486"/>
        <w:spacing w:after="0" w:line="243"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4000 Mason Road, Suite 300, Seattle, Washington 98195. Our telephone number is (206) 221-8112.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06" w:lineRule="exact"/>
        <w:rPr>
          <w:sz w:val="20"/>
          <w:szCs w:val="20"/>
          <w:color w:val="auto"/>
        </w:rPr>
      </w:pPr>
    </w:p>
    <w:p>
      <w:pPr>
        <w:ind w:right="80" w:firstLine="486"/>
        <w:spacing w:after="0" w:line="241"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56" w:lineRule="exact"/>
        <w:rPr>
          <w:sz w:val="20"/>
          <w:szCs w:val="20"/>
          <w:color w:val="auto"/>
        </w:rPr>
      </w:pPr>
    </w:p>
    <w:p>
      <w:pPr>
        <w:ind w:left="1060" w:hanging="343"/>
        <w:spacing w:after="0"/>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16" w:lineRule="exact"/>
        <w:rPr>
          <w:rFonts w:ascii="Times New Roman" w:cs="Times New Roman" w:eastAsia="Times New Roman" w:hAnsi="Times New Roman"/>
          <w:sz w:val="18"/>
          <w:szCs w:val="18"/>
          <w:color w:val="auto"/>
        </w:rPr>
      </w:pPr>
    </w:p>
    <w:p>
      <w:pPr>
        <w:ind w:left="1060" w:right="820" w:hanging="343"/>
        <w:spacing w:after="0" w:line="275"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have our registered independent public accounting firm attest to management's assessment of our internal control over financial reporting;</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reduced disclosure about our executive compensation arrangements; and</w:t>
      </w:r>
    </w:p>
    <w:p>
      <w:pPr>
        <w:spacing w:after="0" w:line="116" w:lineRule="exact"/>
        <w:rPr>
          <w:rFonts w:ascii="Times New Roman" w:cs="Times New Roman" w:eastAsia="Times New Roman" w:hAnsi="Times New Roman"/>
          <w:sz w:val="18"/>
          <w:szCs w:val="18"/>
          <w:color w:val="auto"/>
        </w:rPr>
      </w:pPr>
    </w:p>
    <w:p>
      <w:pPr>
        <w:ind w:left="1060" w:right="320" w:hanging="343"/>
        <w:spacing w:after="0" w:line="275"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hold non-binding advisory votes on executive compensation or golden parachute arrangements.</w:t>
      </w:r>
    </w:p>
    <w:p>
      <w:pPr>
        <w:spacing w:after="0" w:line="146"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179" w:lineRule="exact"/>
        <w:rPr>
          <w:sz w:val="20"/>
          <w:szCs w:val="20"/>
          <w:color w:val="auto"/>
        </w:rPr>
      </w:pPr>
    </w:p>
    <w:p>
      <w:pPr>
        <w:ind w:right="100" w:firstLine="486"/>
        <w:spacing w:after="0"/>
        <w:rPr>
          <w:sz w:val="20"/>
          <w:szCs w:val="20"/>
          <w:color w:val="auto"/>
        </w:rPr>
      </w:pPr>
      <w:r>
        <w:rPr>
          <w:rFonts w:ascii="Arial" w:cs="Arial" w:eastAsia="Arial" w:hAnsi="Arial"/>
          <w:sz w:val="18"/>
          <w:szCs w:val="18"/>
          <w:color w:val="auto"/>
          <w:highlight w:val="white"/>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have different effective dates for public and private companies until the earlier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56" w:right="1219" w:bottom="1440" w:gutter="0" w:footer="0" w:header="0"/>
        </w:sectPr>
      </w:pPr>
    </w:p>
    <w:bookmarkStart w:id="13" w:name="page14"/>
    <w:bookmarkEnd w:id="13"/>
    <w:p>
      <w:pPr>
        <w:ind w:right="160"/>
        <w:spacing w:after="0" w:line="255" w:lineRule="auto"/>
        <w:rPr>
          <w:sz w:val="20"/>
          <w:szCs w:val="20"/>
          <w:color w:val="auto"/>
        </w:rPr>
      </w:pPr>
      <w:r>
        <w:rPr>
          <w:rFonts w:ascii="Arial" w:cs="Arial" w:eastAsia="Arial" w:hAnsi="Arial"/>
          <w:sz w:val="18"/>
          <w:szCs w:val="18"/>
          <w:color w:val="auto"/>
          <w:highlight w:val="whit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3794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3379470"/>
                    </a:xfrm>
                    <a:prstGeom prst="rect">
                      <a:avLst/>
                    </a:prstGeom>
                    <a:noFill/>
                  </pic:spPr>
                </pic:pic>
              </a:graphicData>
            </a:graphic>
          </wp:anchor>
        </w:drawing>
        <w:t>that we are no longer an emerging growth company or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64"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In addition, we are also a “smaller reporting company” because the market value of our stock held by non-affiliates plus the proposed aggregate amount of gross proceeds to us as a result of this offering is less than $700 million as of June 30, 2019 and our annual revenue was less than $ 100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264" w:right="1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156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6156960"/>
                    </a:xfrm>
                    <a:prstGeom prst="rect">
                      <a:avLst/>
                    </a:prstGeom>
                    <a:noFill/>
                  </pic:spPr>
                </pic:pic>
              </a:graphicData>
            </a:graphic>
          </wp:anchor>
        </w:drawing>
        <w:t>The Offering</w:t>
      </w:r>
    </w:p>
    <w:p>
      <w:pPr>
        <w:sectPr>
          <w:pgSz w:w="11900" w:h="16838" w:orient="portrait"/>
          <w:cols w:equalWidth="0" w:num="1">
            <w:col w:w="9460"/>
          </w:cols>
          <w:pgMar w:left="1220" w:top="1046" w:right="121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10,000,000 shares.</w:t>
      </w:r>
    </w:p>
    <w:p>
      <w:pPr>
        <w:spacing w:after="0" w:line="211"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granted the underwriters an option to purchase up to 1,500,000 additional shares of common stock from us. The underwriters can exercise this option at any time within 30 days from the date of this prospectus.</w:t>
      </w:r>
    </w:p>
    <w:p>
      <w:pPr>
        <w:spacing w:after="0" w:line="197"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ind w:right="1200"/>
        <w:spacing w:after="0" w:line="276" w:lineRule="auto"/>
        <w:rPr>
          <w:sz w:val="20"/>
          <w:szCs w:val="20"/>
          <w:color w:val="auto"/>
        </w:rPr>
      </w:pPr>
      <w:r>
        <w:rPr>
          <w:rFonts w:ascii="Arial" w:cs="Arial" w:eastAsia="Arial" w:hAnsi="Arial"/>
          <w:sz w:val="18"/>
          <w:szCs w:val="18"/>
          <w:color w:val="auto"/>
        </w:rPr>
        <w:t>Common stock to be outstanding after the offering</w:t>
      </w:r>
    </w:p>
    <w:p>
      <w:pPr>
        <w:spacing w:after="0" w:line="20" w:lineRule="exact"/>
        <w:rPr>
          <w:sz w:val="20"/>
          <w:szCs w:val="20"/>
          <w:color w:val="auto"/>
        </w:rPr>
      </w:pPr>
      <w:r>
        <w:rPr>
          <w:sz w:val="20"/>
          <w:szCs w:val="20"/>
          <w:color w:val="auto"/>
        </w:rPr>
        <w:br w:type="column"/>
      </w:r>
    </w:p>
    <w:p>
      <w:pPr>
        <w:ind w:right="120"/>
        <w:spacing w:after="0" w:line="306" w:lineRule="auto"/>
        <w:rPr>
          <w:sz w:val="20"/>
          <w:szCs w:val="20"/>
          <w:color w:val="auto"/>
        </w:rPr>
      </w:pPr>
      <w:r>
        <w:rPr>
          <w:rFonts w:ascii="Arial" w:cs="Arial" w:eastAsia="Arial" w:hAnsi="Arial"/>
          <w:sz w:val="17"/>
          <w:szCs w:val="17"/>
          <w:color w:val="auto"/>
        </w:rPr>
        <w:t>28,814,575 shares (or 30,314,575 shares if the underwriters exercise in full their option to purchase additional shares).</w:t>
      </w:r>
    </w:p>
    <w:p>
      <w:pPr>
        <w:spacing w:after="0" w:line="150"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7"/>
          <w:szCs w:val="17"/>
          <w:color w:val="auto"/>
        </w:rPr>
        <w:t>We estimate that the net proceeds from this offering will be approximately $145.5 million, or $167.8 million if the underwriters exercise in full their option to purchase additional shares of common stock, assuming an initial public offering price of $16.00 per share, which is the midpoint of the price range set forth on the cover page of this prospectus, and after deducting underwriting discounts and commissions and estimated offering expenses payable by us.</w:t>
      </w:r>
    </w:p>
    <w:p>
      <w:pPr>
        <w:spacing w:after="0" w:line="141"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ind w:left="4560" w:right="20"/>
        <w:spacing w:after="0" w:line="206" w:lineRule="exact"/>
        <w:rPr>
          <w:sz w:val="20"/>
          <w:szCs w:val="20"/>
          <w:color w:val="auto"/>
        </w:rPr>
      </w:pPr>
      <w:r>
        <w:rPr>
          <w:rFonts w:ascii="Arial" w:cs="Arial" w:eastAsia="Arial" w:hAnsi="Arial"/>
          <w:sz w:val="18"/>
          <w:szCs w:val="18"/>
          <w:color w:val="auto"/>
        </w:rPr>
        <w:t>We currently intend to use the net proceeds from this offering for the following purposes: (1) approximately $75.0 million to fund the clinical development of ATH</w:t>
      </w:r>
      <w:r>
        <w:rPr>
          <w:rFonts w:ascii="MS PGothic" w:cs="MS PGothic" w:eastAsia="MS PGothic" w:hAnsi="MS PGothic"/>
          <w:sz w:val="18"/>
          <w:szCs w:val="18"/>
          <w:color w:val="auto"/>
        </w:rPr>
        <w:t>‑</w:t>
      </w:r>
      <w:r>
        <w:rPr>
          <w:rFonts w:ascii="Arial" w:cs="Arial" w:eastAsia="Arial" w:hAnsi="Arial"/>
          <w:sz w:val="18"/>
          <w:szCs w:val="18"/>
          <w:color w:val="auto"/>
        </w:rPr>
        <w:t>1017 including the LIFT</w:t>
      </w:r>
      <w:r>
        <w:rPr>
          <w:rFonts w:ascii="MS PGothic" w:cs="MS PGothic" w:eastAsia="MS PGothic" w:hAnsi="MS PGothic"/>
          <w:sz w:val="18"/>
          <w:szCs w:val="18"/>
          <w:color w:val="auto"/>
        </w:rPr>
        <w:t>‑</w:t>
      </w:r>
      <w:r>
        <w:rPr>
          <w:rFonts w:ascii="Arial" w:cs="Arial" w:eastAsia="Arial" w:hAnsi="Arial"/>
          <w:sz w:val="18"/>
          <w:szCs w:val="18"/>
          <w:color w:val="auto"/>
        </w:rPr>
        <w:t>AD trial and the ACT</w:t>
      </w:r>
      <w:r>
        <w:rPr>
          <w:rFonts w:ascii="MS PGothic" w:cs="MS PGothic" w:eastAsia="MS PGothic" w:hAnsi="MS PGothic"/>
          <w:sz w:val="18"/>
          <w:szCs w:val="18"/>
          <w:color w:val="auto"/>
        </w:rPr>
        <w:t>‑</w:t>
      </w:r>
      <w:r>
        <w:rPr>
          <w:rFonts w:ascii="Arial" w:cs="Arial" w:eastAsia="Arial" w:hAnsi="Arial"/>
          <w:sz w:val="18"/>
          <w:szCs w:val="18"/>
          <w:color w:val="auto"/>
        </w:rPr>
        <w:t>AD P300 Phase 2 trial for the treatment of mild-to-moderate Alzheimer’s disease; (2) approximately $ 20.0 million to fund our planned Phase 2 trial of ATH-1017 for the treatment of Parkinson’s disease dementia; (3) approximately $ 30.0 million to fund our IND-enabling studies of ATH-1019 for the treatment of neuropsychiatric indications and ATH-1018 for the treatment of neuropathy; and (4) the remainder for our other research and development activities, as well as for working capital and other general corporate purposes.</w:t>
      </w:r>
    </w:p>
    <w:p>
      <w:pPr>
        <w:spacing w:after="0" w:line="140" w:lineRule="exact"/>
        <w:rPr>
          <w:sz w:val="20"/>
          <w:szCs w:val="20"/>
          <w:color w:val="auto"/>
        </w:rPr>
      </w:pPr>
    </w:p>
    <w:p>
      <w:pPr>
        <w:ind w:left="4560"/>
        <w:spacing w:after="0" w:line="255" w:lineRule="auto"/>
        <w:rPr>
          <w:sz w:val="20"/>
          <w:szCs w:val="20"/>
          <w:color w:val="auto"/>
        </w:rPr>
      </w:pPr>
      <w:r>
        <w:rPr>
          <w:rFonts w:ascii="Arial" w:cs="Arial" w:eastAsia="Arial" w:hAnsi="Arial"/>
          <w:sz w:val="18"/>
          <w:szCs w:val="18"/>
          <w:color w:val="auto"/>
        </w:rPr>
        <w:t>For a more complete description of our intended use of the proceeds from this offering, see the section of this prospectus titled “Use of Proceeds.”</w:t>
      </w:r>
    </w:p>
    <w:p>
      <w:pPr>
        <w:sectPr>
          <w:pgSz w:w="11900" w:h="16838" w:orient="portrait"/>
          <w:cols w:equalWidth="0" w:num="1">
            <w:col w:w="9460"/>
          </w:cols>
          <w:pgMar w:left="1220" w:top="1046"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87630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6" w:right="12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 our request, the underwriters have reserved up to 5%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-708025</wp:posOffset>
            </wp:positionV>
            <wp:extent cx="7153275" cy="9003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9003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shares of common stock to be offered by this prospectus</w:t>
      </w:r>
    </w:p>
    <w:p>
      <w:pPr>
        <w:spacing w:after="0" w:line="234" w:lineRule="auto"/>
        <w:rPr>
          <w:sz w:val="20"/>
          <w:szCs w:val="20"/>
          <w:color w:val="auto"/>
        </w:rPr>
      </w:pPr>
      <w:r>
        <w:rPr>
          <w:rFonts w:ascii="Arial" w:cs="Arial" w:eastAsia="Arial" w:hAnsi="Arial"/>
          <w:sz w:val="18"/>
          <w:szCs w:val="18"/>
          <w:color w:val="auto"/>
        </w:rPr>
        <w:t>for sale, at the initial public offering price, to directors,</w:t>
      </w:r>
    </w:p>
    <w:p>
      <w:pPr>
        <w:spacing w:after="0" w:line="235" w:lineRule="auto"/>
        <w:rPr>
          <w:sz w:val="20"/>
          <w:szCs w:val="20"/>
          <w:color w:val="auto"/>
        </w:rPr>
      </w:pPr>
      <w:r>
        <w:rPr>
          <w:rFonts w:ascii="Arial" w:cs="Arial" w:eastAsia="Arial" w:hAnsi="Arial"/>
          <w:sz w:val="18"/>
          <w:szCs w:val="18"/>
          <w:color w:val="auto"/>
        </w:rPr>
        <w:t>officers, employees, business associates and other persons</w:t>
      </w:r>
    </w:p>
    <w:p>
      <w:pPr>
        <w:spacing w:after="0" w:line="235" w:lineRule="auto"/>
        <w:rPr>
          <w:sz w:val="20"/>
          <w:szCs w:val="20"/>
          <w:color w:val="auto"/>
        </w:rPr>
      </w:pPr>
      <w:r>
        <w:rPr>
          <w:rFonts w:ascii="Arial" w:cs="Arial" w:eastAsia="Arial" w:hAnsi="Arial"/>
          <w:sz w:val="18"/>
          <w:szCs w:val="18"/>
          <w:color w:val="auto"/>
        </w:rPr>
        <w:t>related to us. If purchased by these persons, these shares</w:t>
      </w:r>
    </w:p>
    <w:p>
      <w:pPr>
        <w:spacing w:after="0" w:line="235" w:lineRule="auto"/>
        <w:rPr>
          <w:sz w:val="20"/>
          <w:szCs w:val="20"/>
          <w:color w:val="auto"/>
        </w:rPr>
      </w:pPr>
      <w:r>
        <w:rPr>
          <w:rFonts w:ascii="Arial" w:cs="Arial" w:eastAsia="Arial" w:hAnsi="Arial"/>
          <w:sz w:val="18"/>
          <w:szCs w:val="18"/>
          <w:color w:val="auto"/>
        </w:rPr>
        <w:t>will not be subject to a lock-up restriction, except in the case</w:t>
      </w:r>
    </w:p>
    <w:p>
      <w:pPr>
        <w:spacing w:after="0" w:line="235" w:lineRule="auto"/>
        <w:rPr>
          <w:sz w:val="20"/>
          <w:szCs w:val="20"/>
          <w:color w:val="auto"/>
        </w:rPr>
      </w:pPr>
      <w:r>
        <w:rPr>
          <w:rFonts w:ascii="Arial" w:cs="Arial" w:eastAsia="Arial" w:hAnsi="Arial"/>
          <w:sz w:val="18"/>
          <w:szCs w:val="18"/>
          <w:color w:val="auto"/>
        </w:rPr>
        <w:t>of shares purchased by any director, executive officer or</w:t>
      </w:r>
    </w:p>
    <w:p>
      <w:pPr>
        <w:spacing w:after="0" w:line="234" w:lineRule="auto"/>
        <w:rPr>
          <w:sz w:val="20"/>
          <w:szCs w:val="20"/>
          <w:color w:val="auto"/>
        </w:rPr>
      </w:pPr>
      <w:r>
        <w:rPr>
          <w:rFonts w:ascii="Arial" w:cs="Arial" w:eastAsia="Arial" w:hAnsi="Arial"/>
          <w:sz w:val="18"/>
          <w:szCs w:val="18"/>
          <w:color w:val="auto"/>
        </w:rPr>
        <w:t>employee. The number of shares of common stock available</w:t>
      </w:r>
    </w:p>
    <w:p>
      <w:pPr>
        <w:spacing w:after="0" w:line="235" w:lineRule="auto"/>
        <w:rPr>
          <w:sz w:val="20"/>
          <w:szCs w:val="20"/>
          <w:color w:val="auto"/>
        </w:rPr>
      </w:pPr>
      <w:r>
        <w:rPr>
          <w:rFonts w:ascii="Arial" w:cs="Arial" w:eastAsia="Arial" w:hAnsi="Arial"/>
          <w:sz w:val="18"/>
          <w:szCs w:val="18"/>
          <w:color w:val="auto"/>
        </w:rPr>
        <w:t>for sale to the general public will be reduced to the extent</w:t>
      </w:r>
    </w:p>
    <w:p>
      <w:pPr>
        <w:spacing w:after="0"/>
        <w:tabs>
          <w:tab w:leader="none" w:pos="580" w:val="left"/>
          <w:tab w:leader="none" w:pos="1560" w:val="left"/>
          <w:tab w:leader="none" w:pos="2460" w:val="left"/>
          <w:tab w:leader="none" w:pos="2980" w:val="left"/>
          <w:tab w:leader="none" w:pos="3840" w:val="left"/>
          <w:tab w:leader="none" w:pos="4580" w:val="left"/>
        </w:tabs>
        <w:rPr>
          <w:sz w:val="20"/>
          <w:szCs w:val="20"/>
          <w:color w:val="auto"/>
        </w:rPr>
      </w:pPr>
      <w:r>
        <w:rPr>
          <w:rFonts w:ascii="Arial" w:cs="Arial" w:eastAsia="Arial" w:hAnsi="Arial"/>
          <w:sz w:val="18"/>
          <w:szCs w:val="18"/>
          <w:color w:val="auto"/>
        </w:rPr>
        <w:t>these</w:t>
        <w:tab/>
        <w:t>individuals</w:t>
        <w:tab/>
        <w:t>purchase</w:t>
        <w:tab/>
        <w:t>such</w:t>
        <w:tab/>
        <w:t>reserved</w:t>
        <w:tab/>
        <w:t>shares.</w:t>
      </w:r>
      <w:r>
        <w:rPr>
          <w:sz w:val="20"/>
          <w:szCs w:val="20"/>
          <w:color w:val="auto"/>
        </w:rPr>
        <w:tab/>
      </w:r>
      <w:r>
        <w:rPr>
          <w:rFonts w:ascii="Arial" w:cs="Arial" w:eastAsia="Arial" w:hAnsi="Arial"/>
          <w:sz w:val="17"/>
          <w:szCs w:val="17"/>
          <w:color w:val="auto"/>
        </w:rPr>
        <w:t>Any</w:t>
      </w:r>
    </w:p>
    <w:p>
      <w:pPr>
        <w:spacing w:after="0" w:line="235" w:lineRule="auto"/>
        <w:rPr>
          <w:sz w:val="20"/>
          <w:szCs w:val="20"/>
          <w:color w:val="auto"/>
        </w:rPr>
      </w:pPr>
      <w:r>
        <w:rPr>
          <w:rFonts w:ascii="Arial" w:cs="Arial" w:eastAsia="Arial" w:hAnsi="Arial"/>
          <w:sz w:val="18"/>
          <w:szCs w:val="18"/>
          <w:color w:val="auto"/>
        </w:rPr>
        <w:t>reserved shares that are not so purchased</w:t>
      </w:r>
    </w:p>
    <w:p>
      <w:pPr>
        <w:spacing w:after="0" w:line="235" w:lineRule="auto"/>
        <w:rPr>
          <w:sz w:val="20"/>
          <w:szCs w:val="20"/>
          <w:color w:val="auto"/>
        </w:rPr>
      </w:pPr>
      <w:r>
        <w:rPr>
          <w:rFonts w:ascii="Arial" w:cs="Arial" w:eastAsia="Arial" w:hAnsi="Arial"/>
          <w:sz w:val="18"/>
          <w:szCs w:val="18"/>
          <w:color w:val="auto"/>
        </w:rPr>
        <w:t>will be offered by the underwriters to the general public on</w:t>
      </w:r>
    </w:p>
    <w:p>
      <w:pPr>
        <w:spacing w:after="0"/>
        <w:tabs>
          <w:tab w:leader="none" w:pos="400" w:val="left"/>
          <w:tab w:leader="none" w:pos="980" w:val="left"/>
          <w:tab w:leader="none" w:pos="1560" w:val="left"/>
          <w:tab w:leader="none" w:pos="1900" w:val="left"/>
          <w:tab w:leader="none" w:pos="2300" w:val="left"/>
          <w:tab w:leader="none" w:pos="2860" w:val="left"/>
          <w:tab w:leader="none" w:pos="3560" w:val="left"/>
          <w:tab w:leader="none" w:pos="4260" w:val="left"/>
          <w:tab w:leader="none" w:pos="4600" w:val="left"/>
        </w:tabs>
        <w:rPr>
          <w:sz w:val="20"/>
          <w:szCs w:val="20"/>
          <w:color w:val="auto"/>
        </w:rPr>
      </w:pPr>
      <w:r>
        <w:rPr>
          <w:rFonts w:ascii="Arial" w:cs="Arial" w:eastAsia="Arial" w:hAnsi="Arial"/>
          <w:sz w:val="18"/>
          <w:szCs w:val="18"/>
          <w:color w:val="auto"/>
        </w:rPr>
        <w:t>the</w:t>
        <w:tab/>
        <w:t>same</w:t>
        <w:tab/>
        <w:t>basis</w:t>
        <w:tab/>
        <w:t>as</w:t>
        <w:tab/>
        <w:t>the</w:t>
        <w:tab/>
        <w:t>other</w:t>
        <w:tab/>
        <w:t>shares</w:t>
        <w:tab/>
        <w:t>offered</w:t>
        <w:tab/>
        <w:t>by</w:t>
      </w:r>
      <w:r>
        <w:rPr>
          <w:sz w:val="20"/>
          <w:szCs w:val="20"/>
          <w:color w:val="auto"/>
        </w:rPr>
        <w:tab/>
      </w:r>
      <w:r>
        <w:rPr>
          <w:rFonts w:ascii="Arial" w:cs="Arial" w:eastAsia="Arial" w:hAnsi="Arial"/>
          <w:sz w:val="17"/>
          <w:szCs w:val="17"/>
          <w:color w:val="auto"/>
        </w:rPr>
        <w:t>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ectPr>
          <w:pgSz w:w="11900" w:h="16838" w:orient="portrait"/>
          <w:cols w:equalWidth="0" w:num="2">
            <w:col w:w="3840" w:space="720"/>
            <w:col w:w="4900"/>
          </w:cols>
          <w:pgMar w:left="1220" w:top="1048" w:right="12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160"/>
        <w:spacing w:after="0" w:line="245" w:lineRule="auto"/>
        <w:rPr>
          <w:sz w:val="20"/>
          <w:szCs w:val="20"/>
          <w:color w:val="auto"/>
        </w:rPr>
      </w:pPr>
      <w:r>
        <w:rPr>
          <w:rFonts w:ascii="Arial" w:cs="Arial" w:eastAsia="Arial" w:hAnsi="Arial"/>
          <w:sz w:val="18"/>
          <w:szCs w:val="18"/>
          <w:color w:val="auto"/>
        </w:rPr>
        <w:t>See the section of this prospectus titled “Risk Factors” beginning on page 18 and other information included in this prospectus for a discussion of factors you should carefully consider before deciding to invest in shares of our common stock.</w:t>
      </w:r>
    </w:p>
    <w:p>
      <w:pPr>
        <w:spacing w:after="0" w:line="199" w:lineRule="exact"/>
        <w:rPr>
          <w:sz w:val="20"/>
          <w:szCs w:val="20"/>
          <w:color w:val="auto"/>
        </w:rPr>
      </w:pPr>
    </w:p>
    <w:p>
      <w:pPr>
        <w:sectPr>
          <w:pgSz w:w="11900" w:h="16838" w:orient="portrait"/>
          <w:cols w:equalWidth="0" w:num="2">
            <w:col w:w="3840" w:space="720"/>
            <w:col w:w="4900"/>
          </w:cols>
          <w:pgMar w:left="1220" w:top="1048" w:right="1219" w:bottom="1440" w:gutter="0" w:footer="0" w:header="0"/>
          <w:type w:val="continuous"/>
        </w:sectPr>
      </w:pPr>
    </w:p>
    <w:p>
      <w:pPr>
        <w:spacing w:after="0"/>
        <w:rPr>
          <w:sz w:val="20"/>
          <w:szCs w:val="20"/>
          <w:color w:val="auto"/>
        </w:rPr>
      </w:pPr>
      <w:r>
        <w:rPr>
          <w:rFonts w:ascii="Arial" w:cs="Arial" w:eastAsia="Arial" w:hAnsi="Arial"/>
          <w:sz w:val="18"/>
          <w:szCs w:val="18"/>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“ATHA”</w:t>
      </w:r>
    </w:p>
    <w:p>
      <w:pPr>
        <w:spacing w:after="0" w:line="200" w:lineRule="exact"/>
        <w:rPr>
          <w:sz w:val="20"/>
          <w:szCs w:val="20"/>
          <w:color w:val="auto"/>
        </w:rPr>
      </w:pPr>
    </w:p>
    <w:p>
      <w:pPr>
        <w:sectPr>
          <w:pgSz w:w="11900" w:h="16838" w:orient="portrait"/>
          <w:cols w:equalWidth="0" w:num="2">
            <w:col w:w="3840" w:space="720"/>
            <w:col w:w="4900"/>
          </w:cols>
          <w:pgMar w:left="1220" w:top="1048" w:right="1219" w:bottom="1440" w:gutter="0" w:footer="0" w:header="0"/>
          <w:type w:val="continuous"/>
        </w:sectPr>
      </w:pPr>
    </w:p>
    <w:p>
      <w:pPr>
        <w:spacing w:after="0" w:line="12" w:lineRule="exact"/>
        <w:rPr>
          <w:sz w:val="20"/>
          <w:szCs w:val="20"/>
          <w:color w:val="auto"/>
        </w:rPr>
      </w:pPr>
    </w:p>
    <w:p>
      <w:pPr>
        <w:jc w:val="both"/>
        <w:ind w:right="320" w:firstLine="486"/>
        <w:spacing w:after="0" w:line="255" w:lineRule="auto"/>
        <w:rPr>
          <w:sz w:val="20"/>
          <w:szCs w:val="20"/>
          <w:color w:val="auto"/>
        </w:rPr>
      </w:pPr>
      <w:r>
        <w:rPr>
          <w:rFonts w:ascii="Arial" w:cs="Arial" w:eastAsia="Arial" w:hAnsi="Arial"/>
          <w:sz w:val="18"/>
          <w:szCs w:val="18"/>
          <w:color w:val="auto"/>
        </w:rPr>
        <w:t>The number of shares of our common stock outstanding after this offering is based on 18,814,575 shares of common stock outstanding as of June 30, 2020 (including our convertible preferred stock on an as-converted basis and the net exercise of outstanding warrants), and excludes:</w:t>
      </w:r>
    </w:p>
    <w:p>
      <w:pPr>
        <w:spacing w:after="0" w:line="56" w:lineRule="exact"/>
        <w:rPr>
          <w:sz w:val="20"/>
          <w:szCs w:val="20"/>
          <w:color w:val="auto"/>
        </w:rPr>
      </w:pPr>
    </w:p>
    <w:p>
      <w:pPr>
        <w:ind w:left="1060" w:right="420" w:hanging="343"/>
        <w:spacing w:after="0" w:line="275" w:lineRule="auto"/>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37" w:lineRule="exact"/>
        <w:rPr>
          <w:rFonts w:ascii="Times New Roman" w:cs="Times New Roman" w:eastAsia="Times New Roman" w:hAnsi="Times New Roman"/>
          <w:sz w:val="18"/>
          <w:szCs w:val="18"/>
          <w:color w:val="auto"/>
        </w:rPr>
      </w:pPr>
    </w:p>
    <w:p>
      <w:pPr>
        <w:ind w:left="1060" w:right="20" w:hanging="343"/>
        <w:spacing w:after="0" w:line="275" w:lineRule="auto"/>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37" w:lineRule="exact"/>
        <w:rPr>
          <w:rFonts w:ascii="Times New Roman" w:cs="Times New Roman" w:eastAsia="Times New Roman" w:hAnsi="Times New Roman"/>
          <w:sz w:val="18"/>
          <w:szCs w:val="18"/>
          <w:color w:val="auto"/>
        </w:rPr>
      </w:pPr>
    </w:p>
    <w:p>
      <w:pPr>
        <w:ind w:left="1060" w:right="180" w:hanging="343"/>
        <w:spacing w:after="0" w:line="242" w:lineRule="auto"/>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will become effective on the business day immediately prior to the date of effectiveness of the registration statement of which this prospectus forms a part (we anticipate granting options to purchase an aggregate of 943,223 shares of common stock on the date of effectiveness of the registration statement of which this prospectus forms a part, with an exercise price equal to the initial public offering price as of the effective date of the registration statement);</w:t>
      </w:r>
    </w:p>
    <w:p>
      <w:pPr>
        <w:spacing w:after="0" w:line="69" w:lineRule="exact"/>
        <w:rPr>
          <w:rFonts w:ascii="Times New Roman" w:cs="Times New Roman" w:eastAsia="Times New Roman" w:hAnsi="Times New Roman"/>
          <w:sz w:val="18"/>
          <w:szCs w:val="18"/>
          <w:color w:val="auto"/>
        </w:rPr>
      </w:pPr>
    </w:p>
    <w:p>
      <w:pPr>
        <w:jc w:val="both"/>
        <w:ind w:left="1060" w:hanging="343"/>
        <w:spacing w:after="0" w:line="255" w:lineRule="auto"/>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will become effective on the business day immediately prior to the date of effectiveness of the registration statement of which this prospectus forms a part; and</w:t>
      </w:r>
    </w:p>
    <w:p>
      <w:pPr>
        <w:spacing w:after="0" w:line="54" w:lineRule="exact"/>
        <w:rPr>
          <w:rFonts w:ascii="Times New Roman" w:cs="Times New Roman" w:eastAsia="Times New Roman" w:hAnsi="Times New Roman"/>
          <w:sz w:val="18"/>
          <w:szCs w:val="18"/>
          <w:color w:val="auto"/>
        </w:rPr>
      </w:pPr>
    </w:p>
    <w:p>
      <w:pPr>
        <w:ind w:left="1060" w:hanging="343"/>
        <w:spacing w:after="0" w:line="248" w:lineRule="auto"/>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2,810 shares of common stock upon the automatic net exercise of a warrant to purchase common stock we issued in August 2020, which exercise will occur immediately prior to the closing of this offering at an exercise price of $9.52 per share (assuming an initial public offering price of $16.00 per share, which is the midpoint of the price range set forth on the cover page of this prospectus).</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104" w:lineRule="exact"/>
        <w:rPr>
          <w:sz w:val="20"/>
          <w:szCs w:val="20"/>
          <w:color w:val="auto"/>
        </w:rPr>
      </w:pPr>
    </w:p>
    <w:p>
      <w:pPr>
        <w:ind w:left="1060" w:right="80" w:hanging="343"/>
        <w:spacing w:after="0" w:line="275" w:lineRule="auto"/>
        <w:tabs>
          <w:tab w:leader="none" w:pos="10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automatic conversion of our outstanding shares of convertible preferred stock as of June 30, 2020 into an aggregate of 12,503,009 shares of common stock immediately prior to the closing of this offering;</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outstanding options described above;</w:t>
      </w:r>
    </w:p>
    <w:p>
      <w:pPr>
        <w:spacing w:after="0" w:line="116" w:lineRule="exact"/>
        <w:rPr>
          <w:rFonts w:ascii="Times New Roman" w:cs="Times New Roman" w:eastAsia="Times New Roman" w:hAnsi="Times New Roman"/>
          <w:sz w:val="18"/>
          <w:szCs w:val="18"/>
          <w:color w:val="auto"/>
        </w:rPr>
      </w:pPr>
    </w:p>
    <w:p>
      <w:pPr>
        <w:ind w:left="1060" w:right="200" w:hanging="343"/>
        <w:spacing w:after="0" w:line="248" w:lineRule="auto"/>
        <w:tabs>
          <w:tab w:leader="none" w:pos="10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54,818 shares of common stock upon the automatic net exercise of a warrant to purchase shares of our Series B convertible preferred stock we issued in May 2020, which exercise will occur immediately prior to the closing of this offering at an exercise price of $9.12 per share (assuming an initial public offering price of $16.00 per share);</w:t>
      </w:r>
    </w:p>
    <w:p>
      <w:pPr>
        <w:spacing w:after="0" w:line="61" w:lineRule="exact"/>
        <w:rPr>
          <w:rFonts w:ascii="Times New Roman" w:cs="Times New Roman" w:eastAsia="Times New Roman" w:hAnsi="Times New Roman"/>
          <w:sz w:val="18"/>
          <w:szCs w:val="18"/>
          <w:color w:val="auto"/>
        </w:rPr>
      </w:pPr>
    </w:p>
    <w:p>
      <w:pPr>
        <w:ind w:left="1060" w:right="100" w:hanging="343"/>
        <w:spacing w:after="0" w:line="248" w:lineRule="auto"/>
        <w:tabs>
          <w:tab w:leader="none" w:pos="10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2,309 shares of common stock upon the automatic net exercise of a warrant to purchase common stock we issued in April 2013, which exercise will occur immediately prior to the closing of this offering at an exercise price of $4.84 per share (assuming an initial public offering price of $16.00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8" w:right="1219" w:bottom="1440" w:gutter="0" w:footer="0" w:header="0"/>
          <w:type w:val="continuous"/>
        </w:sectPr>
      </w:pPr>
    </w:p>
    <w:bookmarkStart w:id="16" w:name="page17"/>
    <w:bookmarkEnd w:id="16"/>
    <w:p>
      <w:pPr>
        <w:ind w:left="840" w:hanging="343"/>
        <w:spacing w:after="0" w:line="248" w:lineRule="auto"/>
        <w:tabs>
          <w:tab w:leader="none" w:pos="8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496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496820"/>
                    </a:xfrm>
                    <a:prstGeom prst="rect">
                      <a:avLst/>
                    </a:prstGeom>
                    <a:noFill/>
                  </pic:spPr>
                </pic:pic>
              </a:graphicData>
            </a:graphic>
          </wp:anchor>
        </w:drawing>
        <w:t>the issuance of 1,646,874 shares of common stock upon the automatic net exercise of warrants to purchase common stock outstanding as of June 30, 2020, which exercise will occur immediately prior to the closing of this offering at an exercise price of $0.08 per share (assuming an initial public offering price of $16.00 per share);</w:t>
      </w:r>
    </w:p>
    <w:p>
      <w:pPr>
        <w:spacing w:after="0" w:line="61" w:lineRule="exact"/>
        <w:rPr>
          <w:rFonts w:ascii="Times New Roman" w:cs="Times New Roman" w:eastAsia="Times New Roman" w:hAnsi="Times New Roman"/>
          <w:sz w:val="18"/>
          <w:szCs w:val="18"/>
          <w:color w:val="auto"/>
        </w:rPr>
      </w:pPr>
    </w:p>
    <w:p>
      <w:pPr>
        <w:ind w:left="840" w:right="160" w:hanging="343"/>
        <w:spacing w:after="0" w:line="275" w:lineRule="auto"/>
        <w:tabs>
          <w:tab w:leader="none" w:pos="8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immediately prior to the closing of this offering;</w:t>
      </w:r>
    </w:p>
    <w:p>
      <w:pPr>
        <w:spacing w:after="0" w:line="37" w:lineRule="exact"/>
        <w:rPr>
          <w:rFonts w:ascii="Times New Roman" w:cs="Times New Roman" w:eastAsia="Times New Roman" w:hAnsi="Times New Roman"/>
          <w:sz w:val="18"/>
          <w:szCs w:val="18"/>
          <w:color w:val="auto"/>
        </w:rPr>
      </w:pPr>
    </w:p>
    <w:p>
      <w:pPr>
        <w:ind w:left="840" w:hanging="343"/>
        <w:spacing w:after="0"/>
        <w:tabs>
          <w:tab w:leader="none" w:pos="8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the underwriters’ option to purchase additional shares; and</w:t>
      </w:r>
    </w:p>
    <w:p>
      <w:pPr>
        <w:spacing w:after="0" w:line="116" w:lineRule="exact"/>
        <w:rPr>
          <w:rFonts w:ascii="Times New Roman" w:cs="Times New Roman" w:eastAsia="Times New Roman" w:hAnsi="Times New Roman"/>
          <w:sz w:val="18"/>
          <w:szCs w:val="18"/>
          <w:color w:val="auto"/>
        </w:rPr>
      </w:pPr>
    </w:p>
    <w:p>
      <w:pPr>
        <w:ind w:left="840" w:right="260" w:hanging="343"/>
        <w:spacing w:after="0" w:line="275" w:lineRule="auto"/>
        <w:tabs>
          <w:tab w:leader="none" w:pos="8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7.9302-for-1 reverse stock split of our common stock and preferred stock effected on September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00"/>
          </w:cols>
          <w:pgMar w:left="1440" w:top="1156" w:right="1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168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7168515"/>
                    </a:xfrm>
                    <a:prstGeom prst="rect">
                      <a:avLst/>
                    </a:prstGeom>
                    <a:noFill/>
                  </pic:spPr>
                </pic:pic>
              </a:graphicData>
            </a:graphic>
          </wp:anchor>
        </w:drawing>
        <w:t>Summary Financial Data</w:t>
      </w:r>
    </w:p>
    <w:p>
      <w:pPr>
        <w:spacing w:after="0" w:line="214"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six months ended June 30, 2019 and 2020 and the summary balance sheet data as of June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six months ended June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gridSpan w:val="14"/>
          </w:tcPr>
          <w:p>
            <w:pPr>
              <w:jc w:val="right"/>
              <w:ind w:right="7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50"/>
        </w:trPr>
        <w:tc>
          <w:tcPr>
            <w:tcW w:w="436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4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4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in computing net loss per share attributable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4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3,550,184</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Pro forma net loss per share attributable to</w:t>
            </w: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common stockholders, basic and diluted</w:t>
            </w: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used in computing pro forma net loss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per share attributable to common stockholders,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6,186,544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0" w:right="160" w:hanging="398"/>
        <w:spacing w:after="0" w:line="258" w:lineRule="auto"/>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for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6" w:right="11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24"/>
                <w:szCs w:val="24"/>
                <w:b w:val="1"/>
                <w:bCs w:val="1"/>
                <w:color w:val="auto"/>
                <w:w w:val="95"/>
                <w:vertAlign w:val="superscript"/>
              </w:rPr>
              <w:t>(1)</w:t>
            </w:r>
          </w:p>
        </w:tc>
        <w:tc>
          <w:tcPr>
            <w:tcW w:w="220" w:type="dxa"/>
            <w:vAlign w:val="bottom"/>
          </w:tcPr>
          <w:p>
            <w:pPr>
              <w:spacing w:after="0"/>
              <w:rPr>
                <w:sz w:val="13"/>
                <w:szCs w:val="13"/>
                <w:color w:val="auto"/>
              </w:rPr>
            </w:pPr>
          </w:p>
        </w:tc>
        <w:tc>
          <w:tcPr>
            <w:tcW w:w="980" w:type="dxa"/>
            <w:vAlign w:val="bottom"/>
          </w:tcPr>
          <w:p>
            <w:pPr>
              <w:jc w:val="right"/>
              <w:ind w:right="132"/>
              <w:spacing w:after="0" w:line="151"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gridSpan w:val="3"/>
          </w:tcPr>
          <w:p>
            <w:pPr>
              <w:ind w:left="1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85,166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83,666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80,961</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79,461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86,931</w:t>
            </w:r>
          </w:p>
        </w:tc>
        <w:tc>
          <w:tcPr>
            <w:tcW w:w="2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85,431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6,923</w:t>
            </w:r>
          </w:p>
        </w:tc>
        <w:tc>
          <w:tcPr>
            <w:tcW w:w="2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5,512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92,537</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(12,529)</w:t>
            </w:r>
          </w:p>
        </w:tc>
        <w:tc>
          <w:tcPr>
            <w:tcW w:w="24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79,919</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171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5171440"/>
                    </a:xfrm>
                    <a:prstGeom prst="rect">
                      <a:avLst/>
                    </a:prstGeom>
                    <a:noFill/>
                  </pic:spPr>
                </pic:pic>
              </a:graphicData>
            </a:graphic>
          </wp:anchor>
        </w:drawing>
      </w:r>
    </w:p>
    <w:p>
      <w:pPr>
        <w:ind w:left="400" w:right="140" w:hanging="398"/>
        <w:spacing w:after="0" w:line="256"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on a pro forma basis, (a) the automatic conversion of our convertible preferred stock into an aggregate of 12,503,009 shares of common stock as of June 30, 2020; (b) the issuance of an aggregate of 1,704,001 shares of our common stock upon the net exercise of outstanding warrants immediately prior to the closing of this offering; (c) the repayment of $1.5 million in grant liability; and (d) the filing of our amended and restated certificate of incorporation, each of which will occur immediately prior to the closing of this offering.</w:t>
      </w:r>
    </w:p>
    <w:p>
      <w:pPr>
        <w:spacing w:after="0" w:line="1" w:lineRule="exact"/>
        <w:rPr>
          <w:rFonts w:ascii="Arial" w:cs="Arial" w:eastAsia="Arial" w:hAnsi="Arial"/>
          <w:sz w:val="14"/>
          <w:szCs w:val="14"/>
          <w:color w:val="auto"/>
        </w:rPr>
      </w:pPr>
    </w:p>
    <w:p>
      <w:pPr>
        <w:ind w:left="400" w:right="40" w:hanging="398"/>
        <w:spacing w:after="0" w:line="244"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on a pro forma as adjusted basis, the pro forma adjustments described in footnote (1) above, as well as the sale and issuance by us of 10,000,000 shares of common stock in this offering at the assumed initial public offering price of $16.00 per share, which is the midpoint of the price range reflected on the cover page of this prospectus, after deducting underwriting discounts and commissions and estimated offering expenses paid and payable by us. Each $1.00 increase or decrease in the assumed initial public offering price of $16.00 per share would increase or decrease, as applicable, each of our cash and cash equivalents, working capital, total assets and total stockholders’ (deficit) equity by $9.3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in the number of shares offered by us would increase or decrease, as applicable, each of our cash and cash equivalents, working capital, total assets and total stockholders’ (deficit) equity by</w:t>
      </w:r>
    </w:p>
    <w:p>
      <w:pPr>
        <w:spacing w:after="0" w:line="2" w:lineRule="exact"/>
        <w:rPr>
          <w:rFonts w:ascii="Arial" w:cs="Arial" w:eastAsia="Arial" w:hAnsi="Arial"/>
          <w:sz w:val="14"/>
          <w:szCs w:val="14"/>
          <w:color w:val="auto"/>
        </w:rPr>
      </w:pPr>
    </w:p>
    <w:p>
      <w:pPr>
        <w:ind w:left="400" w:right="180"/>
        <w:spacing w:after="0" w:line="252" w:lineRule="auto"/>
        <w:rPr>
          <w:rFonts w:ascii="Arial" w:cs="Arial" w:eastAsia="Arial" w:hAnsi="Arial"/>
          <w:sz w:val="14"/>
          <w:szCs w:val="14"/>
          <w:color w:val="auto"/>
        </w:rPr>
      </w:pPr>
      <w:r>
        <w:rPr>
          <w:rFonts w:ascii="Arial" w:cs="Arial" w:eastAsia="Arial" w:hAnsi="Arial"/>
          <w:sz w:val="14"/>
          <w:szCs w:val="14"/>
          <w:color w:val="auto"/>
        </w:rPr>
        <w:t>$14.9 million, assuming that the assumed initial public offering price remains the same, and after deducting the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 w:lineRule="exact"/>
        <w:rPr>
          <w:rFonts w:ascii="Arial" w:cs="Arial" w:eastAsia="Arial" w:hAnsi="Arial"/>
          <w:sz w:val="14"/>
          <w:szCs w:val="14"/>
          <w:color w:val="auto"/>
        </w:rPr>
      </w:pPr>
    </w:p>
    <w:p>
      <w:pPr>
        <w:ind w:left="400" w:right="20" w:hanging="398"/>
        <w:spacing w:after="0" w:line="291"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339" w:right="11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76"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84"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1"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$5.2 million and $3.8 million for year ended December 31, 2019 and the six months ended June 30, 2020, respectively, and an accumulated deficit of $24.9 million as of June 30, 2020.</w:t>
      </w:r>
    </w:p>
    <w:p>
      <w:pPr>
        <w:spacing w:after="0" w:line="164" w:lineRule="exact"/>
        <w:rPr>
          <w:sz w:val="20"/>
          <w:szCs w:val="20"/>
          <w:color w:val="auto"/>
        </w:rPr>
      </w:pPr>
    </w:p>
    <w:p>
      <w:pPr>
        <w:jc w:val="both"/>
        <w:ind w:right="340" w:firstLine="576"/>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convertible preferred stock and convertible notes, and to a lesser extent from grant income and stock option exercises.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 w:name="page21"/>
    <w:bookmarkEnd w:id="20"/>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224"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145"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22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332"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7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Alzheimer’s disease, or AD, Parkinson’s disease dementias, or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upon the closing of this offering, we expect to incur additional costs associated with operating as a public company.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1" w:name="page22"/>
    <w:bookmarkEnd w:id="21"/>
    <w:p>
      <w:pPr>
        <w:ind w:right="120" w:firstLine="576"/>
        <w:spacing w:after="0" w:line="260" w:lineRule="auto"/>
        <w:rPr>
          <w:sz w:val="20"/>
          <w:szCs w:val="20"/>
          <w:color w:val="auto"/>
        </w:rPr>
      </w:pPr>
      <w:r>
        <w:rPr>
          <w:rFonts w:ascii="Arial" w:cs="Arial" w:eastAsia="Arial" w:hAnsi="Arial"/>
          <w:sz w:val="17"/>
          <w:szCs w:val="17"/>
          <w:color w:val="auto"/>
        </w:rPr>
        <w:t>Accordingly, we will need to obtain substantial additional funding in connection with our continuing operations. As of June 30, 2020, we had cash and cash equivalents of $85.2 million. Based upon our current operating plan, we estimate that our existing cash and cash equivalents, together with the anticipated net proceeds from this offering,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60"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37" w:lineRule="exact"/>
        <w:rPr>
          <w:sz w:val="20"/>
          <w:szCs w:val="20"/>
          <w:color w:val="auto"/>
        </w:rPr>
      </w:pPr>
    </w:p>
    <w:p>
      <w:pPr>
        <w:ind w:left="1300" w:right="600" w:hanging="442"/>
        <w:spacing w:after="0" w:line="27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6" w:lineRule="exact"/>
        <w:rPr>
          <w:rFonts w:ascii="Times New Roman" w:cs="Times New Roman" w:eastAsia="Times New Roman" w:hAnsi="Times New Roman"/>
          <w:sz w:val="18"/>
          <w:szCs w:val="18"/>
          <w:color w:val="auto"/>
        </w:rPr>
      </w:pPr>
    </w:p>
    <w:p>
      <w:pPr>
        <w:ind w:left="1300" w:right="60" w:hanging="442"/>
        <w:spacing w:after="0" w:line="25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4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64" w:lineRule="exact"/>
        <w:rPr>
          <w:sz w:val="20"/>
          <w:szCs w:val="20"/>
          <w:color w:val="auto"/>
        </w:rPr>
      </w:pPr>
    </w:p>
    <w:p>
      <w:pPr>
        <w:ind w:left="1300" w:right="60" w:hanging="442"/>
        <w:spacing w:after="0" w:line="25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the COVID-19 pandemic or other causes;</w:t>
      </w:r>
    </w:p>
    <w:p>
      <w:pPr>
        <w:spacing w:after="0" w:line="54" w:lineRule="exact"/>
        <w:rPr>
          <w:rFonts w:ascii="Times New Roman" w:cs="Times New Roman" w:eastAsia="Times New Roman" w:hAnsi="Times New Roman"/>
          <w:sz w:val="18"/>
          <w:szCs w:val="18"/>
          <w:color w:val="auto"/>
        </w:rPr>
      </w:pPr>
    </w:p>
    <w:p>
      <w:pPr>
        <w:ind w:left="1300" w:right="220" w:hanging="442"/>
        <w:spacing w:after="0" w:line="305" w:lineRule="auto"/>
        <w:tabs>
          <w:tab w:leader="none" w:pos="130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15" w:lineRule="exact"/>
        <w:rPr>
          <w:rFonts w:ascii="Times New Roman" w:cs="Times New Roman" w:eastAsia="Times New Roman" w:hAnsi="Times New Roman"/>
          <w:sz w:val="17"/>
          <w:szCs w:val="17"/>
          <w:color w:val="auto"/>
        </w:rPr>
      </w:pPr>
    </w:p>
    <w:p>
      <w:pPr>
        <w:ind w:left="1300" w:right="70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37" w:lineRule="exact"/>
        <w:rPr>
          <w:rFonts w:ascii="Times New Roman" w:cs="Times New Roman" w:eastAsia="Times New Roman" w:hAnsi="Times New Roman"/>
          <w:sz w:val="18"/>
          <w:szCs w:val="18"/>
          <w:color w:val="auto"/>
        </w:rPr>
      </w:pPr>
    </w:p>
    <w:p>
      <w:pPr>
        <w:jc w:val="both"/>
        <w:ind w:left="1300" w:right="100" w:hanging="442"/>
        <w:spacing w:after="0" w:line="25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54"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16"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3" w:name="page24"/>
    <w:bookmarkEnd w:id="23"/>
    <w:p>
      <w:pPr>
        <w:ind w:right="80" w:firstLine="576"/>
        <w:spacing w:after="0" w:line="24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70"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17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104"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spacing w:after="0" w:line="247"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55"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AD and other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79" w:lineRule="exact"/>
        <w:rPr>
          <w:sz w:val="20"/>
          <w:szCs w:val="20"/>
          <w:color w:val="auto"/>
        </w:rPr>
      </w:pPr>
    </w:p>
    <w:p>
      <w:pPr>
        <w:ind w:right="40" w:firstLine="576"/>
        <w:spacing w:after="0" w:line="252" w:lineRule="auto"/>
        <w:rPr>
          <w:sz w:val="20"/>
          <w:szCs w:val="20"/>
          <w:color w:val="auto"/>
        </w:rPr>
      </w:pPr>
      <w:r>
        <w:rPr>
          <w:rFonts w:ascii="Arial" w:cs="Arial" w:eastAsia="Arial" w:hAnsi="Arial"/>
          <w:sz w:val="17"/>
          <w:szCs w:val="17"/>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we cannot be certain that future trials involving a larger number of subjects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1"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right="100"/>
        <w:spacing w:after="0" w:line="260"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43"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Our lead product candidate, ATH-1017, is in clinical development for the potential treatment of AD and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16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clinical trials may not be predictive of eventual safety or effectiveness in large-scale pivotal clinical trials.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parallel to LIFT-AD,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91"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right="60" w:firstLine="576"/>
        <w:spacing w:after="0"/>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56" w:lineRule="exact"/>
        <w:rPr>
          <w:sz w:val="20"/>
          <w:szCs w:val="20"/>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product candidate;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1300" w:right="74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14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0"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0"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If the results of our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56" w:lineRule="exact"/>
        <w:rPr>
          <w:sz w:val="20"/>
          <w:szCs w:val="20"/>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1300" w:right="80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33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ind w:right="240" w:firstLine="576"/>
        <w:spacing w:after="0" w:line="27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37" w:lineRule="exact"/>
        <w:rPr>
          <w:sz w:val="20"/>
          <w:szCs w:val="20"/>
          <w:color w:val="auto"/>
        </w:rPr>
      </w:pPr>
    </w:p>
    <w:p>
      <w:pPr>
        <w:jc w:val="both"/>
        <w:ind w:left="1300" w:right="260" w:hanging="442"/>
        <w:spacing w:after="0" w:line="25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54"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7" w:lineRule="exact"/>
        <w:rPr>
          <w:rFonts w:ascii="Times New Roman" w:cs="Times New Roman" w:eastAsia="Times New Roman" w:hAnsi="Times New Roman"/>
          <w:sz w:val="18"/>
          <w:szCs w:val="18"/>
          <w:color w:val="auto"/>
        </w:rPr>
      </w:pPr>
    </w:p>
    <w:p>
      <w:pPr>
        <w:ind w:left="1300" w:right="20" w:hanging="442"/>
        <w:spacing w:after="0" w:line="248"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37"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6" w:lineRule="exact"/>
        <w:rPr>
          <w:rFonts w:ascii="Times New Roman" w:cs="Times New Roman" w:eastAsia="Times New Roman" w:hAnsi="Times New Roman"/>
          <w:sz w:val="18"/>
          <w:szCs w:val="18"/>
          <w:color w:val="auto"/>
        </w:rPr>
      </w:pPr>
    </w:p>
    <w:p>
      <w:pPr>
        <w:jc w:val="both"/>
        <w:ind w:left="1300" w:right="380" w:hanging="442"/>
        <w:spacing w:after="0" w:line="25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6" w:lineRule="exact"/>
        <w:rPr>
          <w:sz w:val="20"/>
          <w:szCs w:val="20"/>
          <w:color w:val="auto"/>
        </w:rPr>
      </w:pPr>
    </w:p>
    <w:p>
      <w:pPr>
        <w:jc w:val="both"/>
        <w:ind w:right="20" w:firstLine="576"/>
        <w:spacing w:after="0" w:line="255"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jc w:val="both"/>
        <w:ind w:right="140"/>
        <w:spacing w:after="0" w:line="255" w:lineRule="auto"/>
        <w:rPr>
          <w:sz w:val="20"/>
          <w:szCs w:val="20"/>
          <w:color w:val="auto"/>
        </w:rPr>
      </w:pPr>
      <w:r>
        <w:rPr>
          <w:rFonts w:ascii="Arial" w:cs="Arial" w:eastAsia="Arial" w:hAnsi="Arial"/>
          <w:sz w:val="18"/>
          <w:szCs w:val="18"/>
          <w:color w:val="auto"/>
        </w:rPr>
        <w:t>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ind w:right="60" w:firstLine="576"/>
        <w:spacing w:after="0"/>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parallel to our LIFT-AD clinical trial,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 w:lineRule="exact"/>
        <w:rPr>
          <w:sz w:val="20"/>
          <w:szCs w:val="20"/>
          <w:color w:val="auto"/>
        </w:rPr>
      </w:pPr>
    </w:p>
    <w:p>
      <w:pPr>
        <w:ind w:right="580" w:firstLine="576"/>
        <w:spacing w:after="0" w:line="25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56" w:lineRule="exact"/>
        <w:rPr>
          <w:sz w:val="20"/>
          <w:szCs w:val="20"/>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left="1300" w:right="260" w:hanging="442"/>
        <w:spacing w:after="0" w:line="275" w:lineRule="auto"/>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7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8"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179"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32" w:name="page33"/>
    <w:bookmarkEnd w:id="32"/>
    <w:p>
      <w:pPr>
        <w:ind w:right="80" w:firstLine="576"/>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4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179"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88" w:lineRule="exact"/>
        <w:rPr>
          <w:sz w:val="20"/>
          <w:szCs w:val="20"/>
          <w:color w:val="auto"/>
        </w:rPr>
      </w:pPr>
    </w:p>
    <w:p>
      <w:pPr>
        <w:ind w:right="620"/>
        <w:spacing w:after="0" w:line="28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0"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88"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4"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4" w:name="page35"/>
    <w:bookmarkEnd w:id="34"/>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24" w:lineRule="exact"/>
        <w:rPr>
          <w:sz w:val="20"/>
          <w:szCs w:val="20"/>
          <w:color w:val="auto"/>
        </w:rPr>
      </w:pPr>
    </w:p>
    <w:p>
      <w:pPr>
        <w:ind w:right="220" w:firstLine="576"/>
        <w:spacing w:after="0" w:line="24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5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78" w:lineRule="exact"/>
        <w:rPr>
          <w:sz w:val="20"/>
          <w:szCs w:val="20"/>
          <w:color w:val="auto"/>
        </w:rPr>
      </w:pPr>
    </w:p>
    <w:p>
      <w:pPr>
        <w:ind w:right="146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2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6" w:name="page37"/>
    <w:bookmarkEnd w:id="36"/>
    <w:p>
      <w:pPr>
        <w:spacing w:after="0" w:line="241" w:lineRule="auto"/>
        <w:rPr>
          <w:sz w:val="20"/>
          <w:szCs w:val="20"/>
          <w:color w:val="auto"/>
        </w:rPr>
      </w:pPr>
      <w:r>
        <w:rPr>
          <w:rFonts w:ascii="Arial" w:cs="Arial" w:eastAsia="Arial" w:hAnsi="Arial"/>
          <w:sz w:val="18"/>
          <w:szCs w:val="18"/>
          <w:color w:val="auto"/>
        </w:rPr>
        <w:t>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71" w:lineRule="exact"/>
        <w:rPr>
          <w:sz w:val="20"/>
          <w:szCs w:val="20"/>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79"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7" w:name="page38"/>
    <w:bookmarkEnd w:id="37"/>
    <w:p>
      <w:pPr>
        <w:ind w:firstLine="576"/>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180" w:lineRule="exact"/>
        <w:rPr>
          <w:sz w:val="20"/>
          <w:szCs w:val="20"/>
          <w:color w:val="auto"/>
        </w:rPr>
      </w:pPr>
    </w:p>
    <w:p>
      <w:pPr>
        <w:jc w:val="both"/>
        <w:ind w:right="320" w:firstLine="576"/>
        <w:spacing w:after="0" w:line="255" w:lineRule="auto"/>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line="239" w:lineRule="auto"/>
        <w:rPr>
          <w:sz w:val="20"/>
          <w:szCs w:val="20"/>
          <w:color w:val="auto"/>
        </w:rPr>
      </w:pPr>
      <w:r>
        <w:rPr>
          <w:rFonts w:ascii="Arial" w:cs="Arial" w:eastAsia="Arial" w:hAnsi="Arial"/>
          <w:sz w:val="18"/>
          <w:szCs w:val="18"/>
          <w:color w:val="auto"/>
        </w:rPr>
        <w:t>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6"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170"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30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left="1300" w:right="20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37"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Times New Roman" w:cs="Times New Roman" w:eastAsia="Times New Roman" w:hAnsi="Times New Roman"/>
          <w:sz w:val="17"/>
          <w:szCs w:val="17"/>
          <w:color w:val="auto"/>
        </w:rPr>
      </w:pPr>
    </w:p>
    <w:p>
      <w:pPr>
        <w:ind w:left="1300" w:right="4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4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78"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2" w:lineRule="exact"/>
        <w:rPr>
          <w:sz w:val="20"/>
          <w:szCs w:val="20"/>
          <w:color w:val="auto"/>
        </w:rPr>
      </w:pPr>
    </w:p>
    <w:p>
      <w:pPr>
        <w:ind w:right="160" w:firstLine="576"/>
        <w:spacing w:after="0" w:line="241"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0" w:name="page41"/>
    <w:bookmarkEnd w:id="40"/>
    <w:p>
      <w:pPr>
        <w:jc w:val="both"/>
        <w:ind w:right="20"/>
        <w:spacing w:after="0" w:line="306" w:lineRule="auto"/>
        <w:rPr>
          <w:sz w:val="20"/>
          <w:szCs w:val="20"/>
          <w:color w:val="auto"/>
        </w:rPr>
      </w:pPr>
      <w:r>
        <w:rPr>
          <w:rFonts w:ascii="Arial" w:cs="Arial" w:eastAsia="Arial" w:hAnsi="Arial"/>
          <w:sz w:val="17"/>
          <w:szCs w:val="17"/>
          <w:color w:val="auto"/>
        </w:rPr>
        <w:t>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2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80"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37" w:lineRule="exact"/>
        <w:rPr>
          <w:sz w:val="20"/>
          <w:szCs w:val="20"/>
          <w:color w:val="auto"/>
        </w:rPr>
      </w:pPr>
    </w:p>
    <w:p>
      <w:pPr>
        <w:ind w:left="1300" w:right="8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37"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ind w:right="760" w:firstLine="576"/>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right="36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or GLP, regulations and 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300" w:right="52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37"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37"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43" w:name="page44"/>
    <w:bookmarkEnd w:id="43"/>
    <w:p>
      <w:pPr>
        <w:ind w:right="20" w:firstLine="57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1"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4" w:name="page45"/>
    <w:bookmarkEnd w:id="44"/>
    <w:p>
      <w:pPr>
        <w:ind w:right="420"/>
        <w:spacing w:after="0" w:line="244"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1"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1" w:lineRule="exact"/>
        <w:rPr>
          <w:sz w:val="20"/>
          <w:szCs w:val="20"/>
          <w:color w:val="auto"/>
        </w:rPr>
      </w:pPr>
    </w:p>
    <w:p>
      <w:pPr>
        <w:ind w:right="380" w:firstLine="576"/>
        <w:spacing w:after="0" w:line="24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62" w:lineRule="exact"/>
        <w:rPr>
          <w:sz w:val="20"/>
          <w:szCs w:val="20"/>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product labeling;</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45" w:name="page46"/>
    <w:bookmarkEnd w:id="45"/>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products; or</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4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has allocated one hour for oral arguments, which are expected to occur in the fall. It is unclear how such litigation and other efforts to repeal and replace the ACA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77"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6" w:name="page47"/>
    <w:bookmarkEnd w:id="46"/>
    <w:p>
      <w:pPr>
        <w:spacing w:after="0" w:line="248" w:lineRule="auto"/>
        <w:rPr>
          <w:sz w:val="20"/>
          <w:szCs w:val="20"/>
          <w:color w:val="auto"/>
        </w:rPr>
      </w:pPr>
      <w:r>
        <w:rPr>
          <w:rFonts w:ascii="Arial" w:cs="Arial" w:eastAsia="Arial" w:hAnsi="Arial"/>
          <w:sz w:val="18"/>
          <w:szCs w:val="18"/>
          <w:color w:val="auto"/>
        </w:rPr>
        <w:t>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70"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78"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w:t>
      </w:r>
    </w:p>
    <w:p>
      <w:pPr>
        <w:spacing w:after="0" w:line="176"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firstLine="576"/>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4" w:lineRule="exact"/>
        <w:rPr>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product candidates, if we obtain regulatory approval;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-1053465</wp:posOffset>
            </wp:positionV>
            <wp:extent cx="317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8" w:name="page49"/>
    <w:bookmarkEnd w:id="48"/>
    <w:p>
      <w:pPr>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55"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300" w:right="40" w:hanging="442"/>
        <w:spacing w:after="0" w:line="238"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74" w:lineRule="exact"/>
        <w:rPr>
          <w:rFonts w:ascii="Times New Roman" w:cs="Times New Roman" w:eastAsia="Times New Roman" w:hAnsi="Times New Roman"/>
          <w:sz w:val="18"/>
          <w:szCs w:val="18"/>
          <w:color w:val="auto"/>
        </w:rPr>
      </w:pPr>
    </w:p>
    <w:p>
      <w:pPr>
        <w:ind w:left="1300" w:right="60" w:hanging="442"/>
        <w:spacing w:after="0" w:line="238"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and ownership interests held during the previous year to certain non-physician providers such as physician assistants and nurse practitioners.</w:t>
      </w:r>
    </w:p>
    <w:p>
      <w:pPr>
        <w:spacing w:after="0" w:line="7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37" w:lineRule="exact"/>
        <w:rPr>
          <w:rFonts w:ascii="Times New Roman" w:cs="Times New Roman" w:eastAsia="Times New Roman" w:hAnsi="Times New Roman"/>
          <w:sz w:val="18"/>
          <w:szCs w:val="18"/>
          <w:color w:val="auto"/>
        </w:rPr>
      </w:pPr>
    </w:p>
    <w:p>
      <w:pPr>
        <w:ind w:left="1300" w:hanging="442"/>
        <w:spacing w:after="0" w:line="238"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0" w:name="page51"/>
    <w:bookmarkEnd w:id="50"/>
    <w:p>
      <w:pPr>
        <w:ind w:right="44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4" w:lineRule="exact"/>
        <w:rPr>
          <w:sz w:val="20"/>
          <w:szCs w:val="20"/>
          <w:color w:val="auto"/>
        </w:rPr>
      </w:pPr>
    </w:p>
    <w:p>
      <w:pPr>
        <w:ind w:right="78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recent decision by the Court of Justice for the European Union that invalidated the EU-U.S. Privacy Shield. This may increase the complexity of transferring personal data across borders.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ind w:firstLine="576"/>
        <w:spacing w:after="0" w:line="241" w:lineRule="auto"/>
        <w:rPr>
          <w:sz w:val="20"/>
          <w:szCs w:val="20"/>
          <w:color w:val="auto"/>
        </w:rPr>
      </w:pPr>
      <w:r>
        <w:rPr>
          <w:rFonts w:ascii="Arial" w:cs="Arial" w:eastAsia="Arial" w:hAnsi="Arial"/>
          <w:sz w:val="18"/>
          <w:szCs w:val="18"/>
          <w:color w:val="auto"/>
        </w:rPr>
        <w:t>Further, the vote in the United Kingdom, or UK, in favor of exiting the EU, referred to as Brexit, has created uncertainty with regard to data protection regulation in the UK. Specifically, while the Data Protection Act of 2018, that “implements” and complements the GDPR achieved Royal Assent on May 23, 2018 and is now effective in the UK, aspects of data protection in the UK, such as the transfer of data from the EEA to the UK, remain uncertain.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79"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Moreover, a new privacy law, the California Privacy Rights Act, or CPRA, was recently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an effort to comply. The CCPA and, if it goes into effect, the CPRA, may impact our business activities and exemplifies the vulnerability of our business to the evolving regulatory environment related to personal data and protected health information.</w:t>
      </w:r>
    </w:p>
    <w:p>
      <w:pPr>
        <w:spacing w:after="0" w:line="17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4"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ind w:right="520" w:firstLine="576"/>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8"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212529"/>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ability to use net operating losses to offset future taxable income may be subject to certain limitations.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212529"/>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ind w:right="100"/>
        <w:spacing w:after="0" w:line="241" w:lineRule="auto"/>
        <w:rPr>
          <w:sz w:val="20"/>
          <w:szCs w:val="20"/>
          <w:color w:val="auto"/>
        </w:rPr>
      </w:pPr>
      <w:r>
        <w:rPr>
          <w:rFonts w:ascii="Arial" w:cs="Arial" w:eastAsia="Arial" w:hAnsi="Arial"/>
          <w:sz w:val="18"/>
          <w:szCs w:val="18"/>
          <w:color w:val="212529"/>
        </w:rPr>
        <w:t>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 and Jobs Act amendments to the Code. We have recorded a full valuation allowance related to our NOLs and other deferred tax assets due to the uncertainty of the ultimate realization of the future benefits of those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4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4" w:name="page55"/>
    <w:bookmarkEnd w:id="54"/>
    <w:p>
      <w:pPr>
        <w:ind w:right="160" w:firstLine="576"/>
        <w:spacing w:after="0" w:line="255"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5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ind w:left="1300" w:right="140" w:hanging="442"/>
        <w:spacing w:after="0" w:line="25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5" w:name="page56"/>
    <w:bookmarkEnd w:id="55"/>
    <w:p>
      <w:pPr>
        <w:ind w:right="40" w:firstLine="576"/>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96"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ind w:right="40"/>
        <w:spacing w:after="0" w:line="255" w:lineRule="auto"/>
        <w:rPr>
          <w:sz w:val="20"/>
          <w:szCs w:val="20"/>
          <w:color w:val="auto"/>
        </w:rPr>
      </w:pPr>
      <w:r>
        <w:rPr>
          <w:rFonts w:ascii="Arial" w:cs="Arial" w:eastAsia="Arial" w:hAnsi="Arial"/>
          <w:sz w:val="18"/>
          <w:szCs w:val="18"/>
          <w:color w:val="auto"/>
        </w:rPr>
        <w:t>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72" w:lineRule="exact"/>
        <w:rPr>
          <w:sz w:val="20"/>
          <w:szCs w:val="20"/>
          <w:color w:val="auto"/>
        </w:rPr>
      </w:pPr>
    </w:p>
    <w:p>
      <w:pPr>
        <w:ind w:right="180"/>
        <w:spacing w:after="0" w:line="314" w:lineRule="auto"/>
        <w:rPr>
          <w:sz w:val="20"/>
          <w:szCs w:val="20"/>
          <w:color w:val="auto"/>
        </w:rPr>
      </w:pPr>
      <w:r>
        <w:rPr>
          <w:rFonts w:ascii="Arial" w:cs="Arial" w:eastAsia="Arial" w:hAnsi="Arial"/>
          <w:sz w:val="17"/>
          <w:szCs w:val="17"/>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17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37" w:lineRule="exact"/>
        <w:rPr>
          <w:sz w:val="20"/>
          <w:szCs w:val="20"/>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48"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300" w:right="320" w:hanging="442"/>
        <w:spacing w:after="0" w:line="305" w:lineRule="auto"/>
        <w:tabs>
          <w:tab w:leader="none" w:pos="130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 w:lineRule="exact"/>
        <w:rPr>
          <w:rFonts w:ascii="Times New Roman" w:cs="Times New Roman" w:eastAsia="Times New Roman" w:hAnsi="Times New Roman"/>
          <w:sz w:val="17"/>
          <w:szCs w:val="17"/>
          <w:color w:val="auto"/>
        </w:rPr>
      </w:pPr>
    </w:p>
    <w:p>
      <w:pPr>
        <w:ind w:left="1300" w:right="12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7" w:name="page58"/>
    <w:bookmarkEnd w:id="57"/>
    <w:p>
      <w:pPr>
        <w:ind w:left="1300" w:right="60" w:hanging="442"/>
        <w:spacing w:after="0" w:line="25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6" w:lineRule="exact"/>
        <w:rPr>
          <w:sz w:val="20"/>
          <w:szCs w:val="20"/>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6" w:lineRule="exact"/>
        <w:rPr>
          <w:sz w:val="20"/>
          <w:szCs w:val="20"/>
          <w:color w:val="auto"/>
        </w:rPr>
      </w:pPr>
    </w:p>
    <w:p>
      <w:pPr>
        <w:ind w:right="260" w:firstLine="576"/>
        <w:spacing w:after="0" w:line="27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7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We own or in-license nine U.S. issued patents, own or in-license one U.S. pending patent application, own or in-license 12 patents issued in jurisdictions outside of the United States, and own or in-license nine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56" w:lineRule="exact"/>
        <w:rPr>
          <w:sz w:val="20"/>
          <w:szCs w:val="20"/>
          <w:color w:val="auto"/>
        </w:rPr>
      </w:pPr>
    </w:p>
    <w:p>
      <w:pPr>
        <w:ind w:left="1300" w:right="380" w:hanging="442"/>
        <w:spacing w:after="0" w:line="248"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37"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682" w:right="539" w:bottom="1440" w:gutter="0" w:footer="0" w:header="0"/>
        </w:sectPr>
      </w:pPr>
    </w:p>
    <w:bookmarkStart w:id="59" w:name="page60"/>
    <w:bookmarkEnd w:id="59"/>
    <w:p>
      <w:pPr>
        <w:ind w:left="1300" w:hanging="442"/>
        <w:spacing w:after="0" w:line="25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170"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70" w:lineRule="exact"/>
        <w:rPr>
          <w:sz w:val="20"/>
          <w:szCs w:val="20"/>
          <w:color w:val="auto"/>
        </w:rPr>
      </w:pPr>
    </w:p>
    <w:p>
      <w:pPr>
        <w:ind w:right="200" w:firstLine="576"/>
        <w:spacing w:after="0" w:line="255"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7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 w:lineRule="exact"/>
        <w:rPr>
          <w:sz w:val="20"/>
          <w:szCs w:val="20"/>
          <w:color w:val="auto"/>
        </w:rPr>
      </w:pPr>
    </w:p>
    <w:p>
      <w:pPr>
        <w:ind w:right="120" w:firstLine="576"/>
        <w:spacing w:after="0" w:line="268"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5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180"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60" w:name="page61"/>
    <w:bookmarkEnd w:id="60"/>
    <w:p>
      <w:pPr>
        <w:spacing w:after="0" w:line="239" w:lineRule="auto"/>
        <w:rPr>
          <w:sz w:val="20"/>
          <w:szCs w:val="20"/>
          <w:color w:val="auto"/>
        </w:rPr>
      </w:pPr>
      <w:r>
        <w:rPr>
          <w:rFonts w:ascii="Arial" w:cs="Arial" w:eastAsia="Arial" w:hAnsi="Arial"/>
          <w:sz w:val="18"/>
          <w:szCs w:val="18"/>
          <w:color w:val="auto"/>
        </w:rPr>
        <w:t>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7" w:lineRule="exact"/>
        <w:rPr>
          <w:sz w:val="20"/>
          <w:szCs w:val="20"/>
          <w:color w:val="auto"/>
        </w:rPr>
      </w:pPr>
    </w:p>
    <w:p>
      <w:pPr>
        <w:ind w:left="1300" w:right="20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1300" w:right="90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300" w:right="106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1" w:name="page62"/>
    <w:bookmarkEnd w:id="61"/>
    <w:p>
      <w:pPr>
        <w:ind w:right="120"/>
        <w:spacing w:after="0" w:line="260"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3" w:lineRule="exact"/>
        <w:rPr>
          <w:sz w:val="20"/>
          <w:szCs w:val="20"/>
          <w:color w:val="auto"/>
        </w:rPr>
      </w:pPr>
    </w:p>
    <w:p>
      <w:pPr>
        <w:ind w:right="140" w:firstLine="576"/>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8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5" w:lineRule="exact"/>
        <w:rPr>
          <w:sz w:val="20"/>
          <w:szCs w:val="20"/>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ind w:right="20"/>
        <w:spacing w:after="0" w:line="241" w:lineRule="auto"/>
        <w:rPr>
          <w:sz w:val="20"/>
          <w:szCs w:val="20"/>
          <w:color w:val="auto"/>
        </w:rPr>
      </w:pPr>
      <w:r>
        <w:rPr>
          <w:rFonts w:ascii="Arial" w:cs="Arial" w:eastAsia="Arial" w:hAnsi="Arial"/>
          <w:sz w:val="18"/>
          <w:szCs w:val="18"/>
          <w:color w:val="auto"/>
        </w:rPr>
        <w:t>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79"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8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 w:lineRule="exact"/>
        <w:rPr>
          <w:sz w:val="20"/>
          <w:szCs w:val="20"/>
          <w:color w:val="auto"/>
        </w:rPr>
      </w:pPr>
    </w:p>
    <w:p>
      <w:pPr>
        <w:ind w:right="360" w:firstLine="576"/>
        <w:spacing w:after="0" w:line="262"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3" w:name="page64"/>
    <w:bookmarkEnd w:id="63"/>
    <w:p>
      <w:pPr>
        <w:ind w:right="20" w:firstLine="576"/>
        <w:spacing w:after="0"/>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7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2"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4" w:name="page65"/>
    <w:bookmarkEnd w:id="64"/>
    <w:p>
      <w:pPr>
        <w:ind w:right="52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88" w:lineRule="exact"/>
        <w:rPr>
          <w:sz w:val="20"/>
          <w:szCs w:val="20"/>
          <w:color w:val="auto"/>
        </w:rPr>
      </w:pPr>
    </w:p>
    <w:p>
      <w:pPr>
        <w:ind w:right="20"/>
        <w:spacing w:after="0" w:line="314" w:lineRule="auto"/>
        <w:rPr>
          <w:sz w:val="20"/>
          <w:szCs w:val="20"/>
          <w:color w:val="auto"/>
        </w:rPr>
      </w:pPr>
      <w:r>
        <w:rPr>
          <w:rFonts w:ascii="Arial" w:cs="Arial" w:eastAsia="Arial" w:hAnsi="Arial"/>
          <w:sz w:val="17"/>
          <w:szCs w:val="17"/>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183"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5" w:name="page66"/>
    <w:bookmarkEnd w:id="65"/>
    <w:p>
      <w:pPr>
        <w:ind w:right="20"/>
        <w:spacing w:after="0" w:line="243" w:lineRule="auto"/>
        <w:rPr>
          <w:sz w:val="20"/>
          <w:szCs w:val="20"/>
          <w:color w:val="auto"/>
        </w:rPr>
      </w:pPr>
      <w:r>
        <w:rPr>
          <w:rFonts w:ascii="Arial" w:cs="Arial" w:eastAsia="Arial" w:hAnsi="Arial"/>
          <w:sz w:val="18"/>
          <w:szCs w:val="18"/>
          <w:color w:val="auto"/>
        </w:rPr>
        <w:t>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82"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79"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0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own or in-license nine U.S. issued patents and own one U.S. pending patent application, as well as 12 in-licensed patents issued in jurisdictions outside of the United States, two in-licensed pending patent applications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right="120" w:firstLine="576"/>
        <w:spacing w:after="0" w:line="24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0"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ind w:right="200" w:firstLine="576"/>
        <w:spacing w:after="0" w:line="243"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80"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0"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8"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1"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ind w:right="240" w:firstLine="576"/>
        <w:spacing w:after="0" w:line="24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79"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84"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37" w:lineRule="exact"/>
        <w:rPr>
          <w:sz w:val="20"/>
          <w:szCs w:val="20"/>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ind w:right="40"/>
        <w:spacing w:after="0" w:line="245" w:lineRule="auto"/>
        <w:rPr>
          <w:sz w:val="20"/>
          <w:szCs w:val="20"/>
          <w:color w:val="auto"/>
        </w:rPr>
      </w:pPr>
      <w:r>
        <w:rPr>
          <w:rFonts w:ascii="Arial" w:cs="Arial" w:eastAsia="Arial" w:hAnsi="Arial"/>
          <w:sz w:val="18"/>
          <w:szCs w:val="18"/>
          <w:color w:val="auto"/>
        </w:rPr>
        <w:t>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2"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w:t>
      </w:r>
    </w:p>
    <w:p>
      <w:pPr>
        <w:spacing w:after="0" w:line="1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in” rights, certain reporting requirements and a preference for U.S.-based companies. Compliance with such regulations may limit our exclusive rights and limit our ability to contract with non-U.S. manufacturers.</w:t>
      </w:r>
    </w:p>
    <w:p>
      <w:pPr>
        <w:spacing w:after="0" w:line="4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spacing w:after="0" w:line="248" w:lineRule="auto"/>
        <w:rPr>
          <w:sz w:val="20"/>
          <w:szCs w:val="20"/>
          <w:color w:val="auto"/>
        </w:rPr>
      </w:pPr>
      <w:r>
        <w:rPr>
          <w:rFonts w:ascii="Arial" w:cs="Arial" w:eastAsia="Arial" w:hAnsi="Arial"/>
          <w:sz w:val="18"/>
          <w:szCs w:val="18"/>
          <w:color w:val="auto"/>
        </w:rPr>
        <w:t>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 and Ownership of Our Common Stock</w:t>
      </w:r>
    </w:p>
    <w:p>
      <w:pPr>
        <w:spacing w:after="0" w:line="106"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Before this offering, there was no public trading market for our common stock. 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80"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21"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62" w:lineRule="exact"/>
        <w:rPr>
          <w:sz w:val="20"/>
          <w:szCs w:val="20"/>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ongoing COVID-19 pandemic on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candidates;</w:t>
      </w:r>
    </w:p>
    <w:p>
      <w:pPr>
        <w:spacing w:after="0" w:line="116" w:lineRule="exact"/>
        <w:rPr>
          <w:rFonts w:ascii="Times New Roman" w:cs="Times New Roman" w:eastAsia="Times New Roman" w:hAnsi="Times New Roman"/>
          <w:sz w:val="18"/>
          <w:szCs w:val="18"/>
          <w:color w:val="auto"/>
        </w:rPr>
      </w:pPr>
    </w:p>
    <w:p>
      <w:pPr>
        <w:ind w:left="1300" w:right="120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of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2" w:name="page73"/>
    <w:bookmarkEnd w:id="72"/>
    <w:p>
      <w:pPr>
        <w:ind w:left="1300" w:right="24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22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conversion of all outstanding shares of our convertible preferred stock and the exercise of outstanding warrants into an aggregate of 1,704,001 shares of our common stock, 28,814,575 shares of our common stock will be outstanding, or 30,314,575 shares of common stock if the underwriters exercise their option to purchase additional shares in full, based on our shares outstanding as of June 30, 2020. Of these shares, the 10,000,000 shares we are selling in this offering, or 11,500,000 shares if the underwriters exercise their option to purchase additional shares in full, may be resold in the public market immediately, except for any shares purchased by our directors, executive officers and employees in our directed share program. The remaining 18,814,575 shares, or 65% of our outstanding shares after this offering, or 62% of our outstanding shares after this offering if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3" w:name="page74"/>
    <w:bookmarkEnd w:id="73"/>
    <w:p>
      <w:pPr>
        <w:ind w:right="180"/>
        <w:spacing w:after="0"/>
        <w:rPr>
          <w:sz w:val="20"/>
          <w:szCs w:val="20"/>
          <w:color w:val="auto"/>
        </w:rPr>
      </w:pPr>
      <w:r>
        <w:rPr>
          <w:rFonts w:ascii="Arial" w:cs="Arial" w:eastAsia="Arial" w:hAnsi="Arial"/>
          <w:sz w:val="18"/>
          <w:szCs w:val="18"/>
          <w:color w:val="auto"/>
        </w:rPr>
        <w:t>underwriters exercise their option to purchase additional shares in full,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 public market beginning 180 days after the date of this prospectus.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176"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Moreover, upon completion of this offering, the holders of approximately 17,410,842 shares of our common stock will be eligible to exercise certain rights, subject to various conditions and limitations,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8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21"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 affiliates will beneficially own shares representing approximately 28.6% of our outstanding common stock, or 27.2% of our common stock if the underwriters exercise their option to purchase additional shares in full (and without giving effect to any purchases that certain of these holders may make through our directed share program).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7"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4" w:name="page75"/>
    <w:bookmarkEnd w:id="74"/>
    <w:p>
      <w:pPr>
        <w:ind w:right="720"/>
        <w:spacing w:after="0" w:line="28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21"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6"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As a public company, we will operate in an increasingly demanding regulatory environment, which requires us to comply with the Sarbanes-Oxley Act of 2002, or the Sarbanes-Oxley Act, the regulations of the Nasdaq Global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this offering is completed,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180"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5" w:name="page76"/>
    <w:bookmarkEnd w:id="75"/>
    <w:p>
      <w:pPr>
        <w:ind w:right="20" w:firstLine="576"/>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78"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1"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As a public company, we will be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6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72"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will have broad discretion in the application of the net proceeds, including for any of the purposes described in the section of this prospectus titled “Use of Proceeds.” We may spend a portion or all of the net proceeds from this offering in ways that our stockholders may not desire or that may not yield a favorable return. Any failure by us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82"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Provisions of our certificate of incorporation and bylaws that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64" w:lineRule="exact"/>
        <w:rPr>
          <w:sz w:val="20"/>
          <w:szCs w:val="20"/>
          <w:color w:val="auto"/>
        </w:rPr>
      </w:pPr>
    </w:p>
    <w:p>
      <w:pPr>
        <w:ind w:left="130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6" w:name="page77"/>
    <w:bookmarkEnd w:id="76"/>
    <w:p>
      <w:pPr>
        <w:ind w:left="1300" w:right="2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37" w:lineRule="exact"/>
        <w:rPr>
          <w:rFonts w:ascii="Times New Roman" w:cs="Times New Roman" w:eastAsia="Times New Roman" w:hAnsi="Times New Roman"/>
          <w:sz w:val="18"/>
          <w:szCs w:val="18"/>
          <w:color w:val="auto"/>
        </w:rPr>
      </w:pPr>
    </w:p>
    <w:p>
      <w:pPr>
        <w:ind w:left="1300" w:right="540" w:hanging="442"/>
        <w:spacing w:after="0" w:line="25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37" w:lineRule="exact"/>
        <w:rPr>
          <w:rFonts w:ascii="Times New Roman" w:cs="Times New Roman" w:eastAsia="Times New Roman" w:hAnsi="Times New Roman"/>
          <w:sz w:val="18"/>
          <w:szCs w:val="18"/>
          <w:color w:val="auto"/>
        </w:rPr>
      </w:pPr>
    </w:p>
    <w:p>
      <w:pPr>
        <w:jc w:val="both"/>
        <w:ind w:left="1300" w:right="60" w:hanging="442"/>
        <w:spacing w:after="0" w:line="25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6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Our bylaws that will become effective immediately prior to the closing of this offering provides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7" w:name="page78"/>
    <w:bookmarkEnd w:id="77"/>
    <w:p>
      <w:pPr>
        <w:ind w:right="20" w:firstLine="576"/>
        <w:spacing w:after="0" w:line="243" w:lineRule="auto"/>
        <w:rPr>
          <w:sz w:val="20"/>
          <w:szCs w:val="20"/>
          <w:color w:val="auto"/>
        </w:rPr>
      </w:pPr>
      <w:r>
        <w:rPr>
          <w:rFonts w:ascii="Arial" w:cs="Arial" w:eastAsia="Arial" w:hAnsi="Arial"/>
          <w:sz w:val="18"/>
          <w:szCs w:val="18"/>
          <w:color w:val="auto"/>
        </w:rPr>
        <w:t>Our bylaws that will become effective immediately prior to the closing of this offering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7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129"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This prospectus contains forward-looking statements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179"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64" w:lineRule="exact"/>
        <w:rPr>
          <w:sz w:val="20"/>
          <w:szCs w:val="20"/>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224"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and cash equivalents to fund our future operating expenses and capital expenditure requirements;</w:t>
      </w:r>
    </w:p>
    <w:p>
      <w:pPr>
        <w:spacing w:after="0" w:line="145"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product candidates, if approved;</w:t>
      </w:r>
    </w:p>
    <w:p>
      <w:pPr>
        <w:spacing w:after="0" w:line="22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224"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58" w:right="419" w:bottom="1440" w:gutter="0" w:footer="0" w:header="0"/>
        </w:sectPr>
      </w:pPr>
    </w:p>
    <w:bookmarkStart w:id="79" w:name="page80"/>
    <w:bookmarkEnd w:id="79"/>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224"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45"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45"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impact of the COVID-19 pandemic on our business;</w:t>
      </w:r>
    </w:p>
    <w:p>
      <w:pPr>
        <w:spacing w:after="0" w:line="224"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anticipated use of the proceeds from this offering;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332"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1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While we believe such information included in this prospectus is generally reliable, we have not independently verified any third-party information.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estimate that the net proceeds from this offering will be approximately $145.5 million (or $ 167.8 million if the underwriters exercise their option to purchase additional shares in full), assuming an initial offering price of $16.00 per share, which is the midpoint of the price range set forth on the cover page of this prospectus, and after deducting underwriting discounts and commissions and offering expenses payable by us.</w:t>
      </w:r>
    </w:p>
    <w:p>
      <w:pPr>
        <w:spacing w:after="0" w:line="17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Each $1.00 increase or decrease in the assumed initial public offering price of $16.00 per share would increase or decrease, as applicable, the net proceeds to us from this offering by $9.3 million, assuming the number of shares offered by us, as set forth on the cover page of this prospectus, remains the same and after deducting the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$14.9 million, assuming that the assumed initial public offering price remains the same and after deducting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when we need to seek additional capital.</w:t>
      </w:r>
    </w:p>
    <w:p>
      <w:pPr>
        <w:spacing w:after="0" w:line="176"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establish a public market for our common stock and to facilitate future access to the public equity markets by us, our employees and our stockholders, obtain additional capital to support our operations and increase our visibility in the marketplace. We currently intend to use the net proceeds from this offering together with our existing cash and cash equivalents as follows:</w:t>
      </w:r>
    </w:p>
    <w:p>
      <w:pPr>
        <w:spacing w:after="0" w:line="62" w:lineRule="exact"/>
        <w:rPr>
          <w:sz w:val="20"/>
          <w:szCs w:val="20"/>
          <w:color w:val="auto"/>
        </w:rPr>
      </w:pPr>
    </w:p>
    <w:p>
      <w:pPr>
        <w:ind w:left="1300" w:right="20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$75.0 million to fund the clinical development of ATH-1017 including the LIFT-AD trial and the ACT-AD P300 Phase 2 trial for the treatment of mild-to-moderate Alzheimer’s disease;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approximately $20.0 million to fund our planned Phase 2 trial of ATH-1017 for the treatment of Parkinson’s disease dementia;</w:t>
      </w:r>
    </w:p>
    <w:p>
      <w:pPr>
        <w:spacing w:after="0" w:line="127" w:lineRule="exact"/>
        <w:rPr>
          <w:rFonts w:ascii="Times New Roman" w:cs="Times New Roman" w:eastAsia="Times New Roman" w:hAnsi="Times New Roman"/>
          <w:sz w:val="17"/>
          <w:szCs w:val="17"/>
          <w:color w:val="auto"/>
        </w:rPr>
      </w:pPr>
    </w:p>
    <w:p>
      <w:pPr>
        <w:ind w:left="1300" w:right="26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$30.0 million to fund our IND-enabling studies of ATH-1019 for the treatment of neuropsychiatric indications and ATH-1018 for the treatment of neuropathy; and</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146" w:lineRule="exact"/>
        <w:rPr>
          <w:sz w:val="20"/>
          <w:szCs w:val="20"/>
          <w:color w:val="auto"/>
        </w:rPr>
      </w:pPr>
    </w:p>
    <w:p>
      <w:pPr>
        <w:ind w:right="260" w:firstLine="576"/>
        <w:spacing w:after="0" w:line="248" w:lineRule="auto"/>
        <w:rPr>
          <w:sz w:val="20"/>
          <w:szCs w:val="20"/>
          <w:color w:val="auto"/>
        </w:rPr>
      </w:pPr>
      <w:r>
        <w:rPr>
          <w:rFonts w:ascii="Arial" w:cs="Arial" w:eastAsia="Arial" w:hAnsi="Arial"/>
          <w:sz w:val="18"/>
          <w:szCs w:val="18"/>
          <w:color w:val="auto"/>
        </w:rPr>
        <w:t>The estimated amounts set forth above do not include any related payments that may be due under our collaboration and grant agreements, including the $1.5 million payable to Washington Life Sciences Discovery Fund upon the completion of this offering. For additional details regarding our collaboration and grant agreements, see the section of this prospectus titled “Business—Our Collaboration and Grant Agreements,” as well as our financial statements and related notes included elsewhere in this prospectus.</w:t>
      </w:r>
    </w:p>
    <w:p>
      <w:pPr>
        <w:spacing w:after="0" w:line="170"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2" w:name="page83"/>
    <w:bookmarkEnd w:id="82"/>
    <w:p>
      <w:pPr>
        <w:ind w:firstLine="576"/>
        <w:spacing w:after="0" w:line="238" w:lineRule="auto"/>
        <w:rPr>
          <w:sz w:val="20"/>
          <w:szCs w:val="20"/>
          <w:color w:val="auto"/>
        </w:rPr>
      </w:pPr>
      <w:r>
        <w:rPr>
          <w:rFonts w:ascii="Arial" w:cs="Arial" w:eastAsia="Arial" w:hAnsi="Arial"/>
          <w:sz w:val="18"/>
          <w:szCs w:val="18"/>
          <w:color w:val="auto"/>
        </w:rPr>
        <w:t>Based upon our current operating plan, we estimate that our existing cash and cash equivalents and the anticipated net proceeds from this offering, will be sufficient to fund our operating expenses and capital expenditure requirements at least through 2022. In particular, we expect that the net proceeds from this offering will fund us through receipt of topline data readouts for our LIFT-AD trial of ATH-1017 and our planned ACT-AD P300 Phase 2 trial of ATH-1017, each for the treatment of mild-to-moderate AD, as well as IND-enabling studies and IND applications for ATH-1019 for the treatment of neuropsychiatric indications including depression and anxiety and ATH-1018 for the treatment of neuropathy. In addition, if the data from our LIFT-AD clinical trial, our planned ACT-AD P300 clinical trial, or both lead us to decide to initiate additional trials for ATH-1017 for the treatment of AD, we expect to incur substantial additional expenses relating to those trials. However,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 capital requirements, including factors that could cause actual costs to vary from the estimates set forth above, see the section of this prospectus titled “Risk Factors.”</w:t>
      </w:r>
    </w:p>
    <w:p>
      <w:pPr>
        <w:spacing w:after="0" w:line="183"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and cash equivalents and capitalization as of June 30, 2020:</w:t>
      </w:r>
    </w:p>
    <w:p>
      <w:pPr>
        <w:spacing w:after="0" w:line="104" w:lineRule="exact"/>
        <w:rPr>
          <w:sz w:val="20"/>
          <w:szCs w:val="20"/>
          <w:color w:val="auto"/>
        </w:rPr>
      </w:pPr>
    </w:p>
    <w:p>
      <w:pPr>
        <w:ind w:left="1300" w:hanging="442"/>
        <w:spacing w:after="0"/>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on an actual basis;</w:t>
      </w:r>
    </w:p>
    <w:p>
      <w:pPr>
        <w:spacing w:after="0" w:line="224" w:lineRule="exact"/>
        <w:rPr>
          <w:rFonts w:ascii="Times New Roman" w:cs="Times New Roman" w:eastAsia="Times New Roman" w:hAnsi="Times New Roman"/>
          <w:sz w:val="18"/>
          <w:szCs w:val="18"/>
          <w:color w:val="auto"/>
        </w:rPr>
      </w:pPr>
    </w:p>
    <w:p>
      <w:pPr>
        <w:ind w:left="1300" w:right="260" w:hanging="442"/>
        <w:spacing w:after="0" w:line="244" w:lineRule="auto"/>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on a pro forma basis to reflect (1) the automatic conversion of our convertible preferred stock into an aggregate of 12,503,009 shares of our common stock as of June 30, 2020, (2) the issuance of an aggregate of 1,704,001 shares of our common stock upon the net exercise of outstanding warrants immediately prior to the closing of this offering, (3) the repayment of $1.5 million in grant liability, and (4) the filing of our amended and restated certificate of incorporation, which will occur immediately prior to the closing of this offering; and</w:t>
      </w:r>
    </w:p>
    <w:p>
      <w:pPr>
        <w:spacing w:after="0" w:line="175" w:lineRule="exact"/>
        <w:rPr>
          <w:rFonts w:ascii="Times New Roman" w:cs="Times New Roman" w:eastAsia="Times New Roman" w:hAnsi="Times New Roman"/>
          <w:sz w:val="18"/>
          <w:szCs w:val="18"/>
          <w:color w:val="auto"/>
        </w:rPr>
      </w:pPr>
    </w:p>
    <w:p>
      <w:pPr>
        <w:ind w:left="1300" w:right="60" w:hanging="442"/>
        <w:spacing w:after="0" w:line="248" w:lineRule="auto"/>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on a pro forma as adjusted basis to reflect (1) the pro forma adjustments set forth above and (2) the sale and issuance by us of 10,000,000 shares of common stock in this offering at the assumed initial public offering price of $16.00 per share, which is the midpoint of the price range reflected on the cover page of this prospectus, after deducting underwriting discounts and commissions and estimated offering expenses payable by us.</w:t>
      </w:r>
    </w:p>
    <w:p>
      <w:pPr>
        <w:spacing w:after="0" w:line="278" w:lineRule="exact"/>
        <w:rPr>
          <w:sz w:val="20"/>
          <w:szCs w:val="20"/>
          <w:color w:val="auto"/>
        </w:rPr>
      </w:pPr>
    </w:p>
    <w:p>
      <w:pPr>
        <w:jc w:val="both"/>
        <w:ind w:right="580" w:firstLine="576"/>
        <w:spacing w:after="0" w:line="255" w:lineRule="auto"/>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249"/>
              <w:spacing w:after="0" w:line="151"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5"/>
                <w:szCs w:val="15"/>
                <w:color w:val="auto"/>
              </w:rPr>
            </w:pPr>
          </w:p>
        </w:tc>
        <w:tc>
          <w:tcPr>
            <w:tcW w:w="1320" w:type="dxa"/>
            <w:vAlign w:val="bottom"/>
            <w:gridSpan w:val="2"/>
          </w:tcPr>
          <w:p>
            <w:pPr>
              <w:jc w:val="right"/>
              <w:ind w:right="28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54"/>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85,166</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83,666</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229,375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Grant liability</w:t>
            </w: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vMerge w:val="continue"/>
          </w:tcPr>
          <w:p>
            <w:pPr>
              <w:spacing w:after="0"/>
              <w:rPr>
                <w:sz w:val="13"/>
                <w:szCs w:val="13"/>
                <w:color w:val="auto"/>
              </w:rPr>
            </w:pPr>
          </w:p>
        </w:tc>
        <w:tc>
          <w:tcPr>
            <w:tcW w:w="118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1,047</w:t>
            </w:r>
          </w:p>
        </w:tc>
        <w:tc>
          <w:tcPr>
            <w:tcW w:w="140" w:type="dxa"/>
            <w:vAlign w:val="bottom"/>
          </w:tcPr>
          <w:p>
            <w:pPr>
              <w:spacing w:after="0"/>
              <w:rPr>
                <w:sz w:val="13"/>
                <w:szCs w:val="13"/>
                <w:color w:val="auto"/>
              </w:rPr>
            </w:pPr>
          </w:p>
        </w:tc>
        <w:tc>
          <w:tcPr>
            <w:tcW w:w="240" w:type="dxa"/>
            <w:vAlign w:val="bottom"/>
            <w:gridSpan w:val="2"/>
          </w:tcPr>
          <w:p>
            <w:pPr>
              <w:ind w:left="100"/>
              <w:spacing w:after="0" w:line="156"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per share; 12,646,147</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authorized; 12,503,009 shares issued and outstanding,</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actual; no shares authorized, no shares issued and outstanding,</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 forma and pro forma as adjusted</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92,537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40" w:type="dxa"/>
            <w:vAlign w:val="bottom"/>
          </w:tcPr>
          <w:p>
            <w:pPr>
              <w:spacing w:after="0"/>
              <w:rPr>
                <w:sz w:val="20"/>
                <w:szCs w:val="20"/>
                <w:color w:val="auto"/>
              </w:rPr>
            </w:pPr>
            <w:r>
              <w:rPr>
                <w:rFonts w:ascii="Arial" w:cs="Arial" w:eastAsia="Arial" w:hAnsi="Arial"/>
                <w:sz w:val="14"/>
                <w:szCs w:val="14"/>
                <w:color w:val="auto"/>
              </w:rPr>
              <w:t>Stockholders’ (deficit) equity:</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$0.0001 par value per share; no shares</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authorized and no shares issued and outstanding, actual;</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100,000,000 shares authorized and no shares issued and</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outstanding, pro forma and pro forma as adjusted</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Common stock, $0.0001 par value per share, 23,076,341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380"/>
              <w:spacing w:after="0"/>
              <w:rPr>
                <w:sz w:val="20"/>
                <w:szCs w:val="20"/>
                <w:color w:val="auto"/>
              </w:rPr>
            </w:pPr>
            <w:r>
              <w:rPr>
                <w:rFonts w:ascii="Arial" w:cs="Arial" w:eastAsia="Arial" w:hAnsi="Arial"/>
                <w:sz w:val="14"/>
                <w:szCs w:val="14"/>
                <w:color w:val="auto"/>
              </w:rPr>
              <w:t>shares authorized, 4,607,565 shares issued and outstanding,</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380"/>
              <w:spacing w:after="0"/>
              <w:rPr>
                <w:sz w:val="20"/>
                <w:szCs w:val="20"/>
                <w:color w:val="auto"/>
              </w:rPr>
            </w:pPr>
            <w:r>
              <w:rPr>
                <w:rFonts w:ascii="Arial" w:cs="Arial" w:eastAsia="Arial" w:hAnsi="Arial"/>
                <w:sz w:val="14"/>
                <w:szCs w:val="14"/>
                <w:color w:val="auto"/>
              </w:rPr>
              <w:t>actual; 900,000,000 shares authorized, 18,814,575 shares issued and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380"/>
              <w:spacing w:after="0"/>
              <w:rPr>
                <w:sz w:val="20"/>
                <w:szCs w:val="20"/>
                <w:color w:val="auto"/>
              </w:rPr>
            </w:pPr>
            <w:r>
              <w:rPr>
                <w:rFonts w:ascii="Arial" w:cs="Arial" w:eastAsia="Arial" w:hAnsi="Arial"/>
                <w:sz w:val="14"/>
                <w:szCs w:val="14"/>
                <w:color w:val="auto"/>
              </w:rPr>
              <w:t>outstanding, pro forma; 900,000,000 shares authorized, 28,814,575</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380"/>
              <w:spacing w:after="0"/>
              <w:rPr>
                <w:sz w:val="20"/>
                <w:szCs w:val="20"/>
                <w:color w:val="auto"/>
              </w:rPr>
            </w:pPr>
            <w:r>
              <w:rPr>
                <w:rFonts w:ascii="Arial" w:cs="Arial" w:eastAsia="Arial" w:hAnsi="Arial"/>
                <w:sz w:val="14"/>
                <w:szCs w:val="14"/>
                <w:color w:val="auto"/>
              </w:rPr>
              <w:t>shares issued and outstanding, pro forma as adjusted</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105,254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250,753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(24,884)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(25,337)</w:t>
            </w:r>
          </w:p>
        </w:tc>
        <w:tc>
          <w:tcPr>
            <w:tcW w:w="12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(25,337)</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Total stockholders’ (deficit) equity</w:t>
            </w: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(12,529)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79,919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225,419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60"/>
              <w:spacing w:after="0"/>
              <w:rPr>
                <w:sz w:val="20"/>
                <w:szCs w:val="20"/>
                <w:color w:val="auto"/>
              </w:rPr>
            </w:pPr>
            <w:r>
              <w:rPr>
                <w:rFonts w:ascii="Arial" w:cs="Arial" w:eastAsia="Arial" w:hAnsi="Arial"/>
                <w:sz w:val="14"/>
                <w:szCs w:val="14"/>
                <w:color w:val="auto"/>
              </w:rPr>
              <w:t>Total capitalization</w:t>
            </w:r>
          </w:p>
        </w:tc>
        <w:tc>
          <w:tcPr>
            <w:tcW w:w="9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81,055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79,919</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10" w:lineRule="exact"/>
        <w:rPr>
          <w:sz w:val="20"/>
          <w:szCs w:val="20"/>
          <w:color w:val="auto"/>
        </w:rPr>
      </w:pPr>
    </w:p>
    <w:p>
      <w:pPr>
        <w:ind w:left="480" w:right="240" w:hanging="472"/>
        <w:spacing w:after="0"/>
        <w:tabs>
          <w:tab w:leader="none" w:pos="480" w:val="left"/>
        </w:tabs>
        <w:numPr>
          <w:ilvl w:val="0"/>
          <w:numId w:val="57"/>
        </w:numPr>
        <w:rPr>
          <w:rFonts w:ascii="Arial" w:cs="Arial" w:eastAsia="Arial" w:hAnsi="Arial"/>
          <w:sz w:val="29"/>
          <w:szCs w:val="29"/>
          <w:color w:val="auto"/>
          <w:vertAlign w:val="superscript"/>
        </w:rPr>
      </w:pPr>
      <w:r>
        <w:rPr>
          <w:rFonts w:ascii="Arial" w:cs="Arial" w:eastAsia="Arial" w:hAnsi="Arial"/>
          <w:sz w:val="14"/>
          <w:szCs w:val="14"/>
          <w:color w:val="auto"/>
        </w:rPr>
        <w:t>Each $1.00 increase or decrease in the assumed initial public offering price of $16.00 per share, the midpoint of the price range reflected on the cover page of this prospectus, would increase or decrease, as applicable, each of our cash and cash equivalents, additional paid-in capital, total stockholders’ (deficit) equity and total capitalization by $9.3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each of our cash and cash equivalents, additional paid-in capital, total stockholders’ (deficit) equity and total capitalization by $14.9 million, assuming that the assumed initial public offering price remains the same, and after deducting underwriting discounts and commissions and estimated offering expenses payable by us. The pro forma and pro forma as adjusted information discussed above is illustrative only and will change based on the actual initial public offering price and other terms of this offering determined at pricing.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5" w:name="page86"/>
    <w:bookmarkEnd w:id="85"/>
    <w:p>
      <w:pPr>
        <w:jc w:val="both"/>
        <w:ind w:right="80" w:firstLine="576"/>
        <w:spacing w:after="0" w:line="255"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18,814,575 shares of common stock outstanding as of June 30, 2020 (including our convertible preferred stock on an as-converted basis and the net exercise of outstanding warrants), and excludes:</w:t>
      </w:r>
    </w:p>
    <w:p>
      <w:pPr>
        <w:spacing w:after="0" w:line="56" w:lineRule="exact"/>
        <w:rPr>
          <w:sz w:val="20"/>
          <w:szCs w:val="20"/>
          <w:color w:val="auto"/>
        </w:rPr>
      </w:pPr>
    </w:p>
    <w:p>
      <w:pPr>
        <w:ind w:left="1300" w:right="180" w:hanging="442"/>
        <w:spacing w:after="0" w:line="275"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224" w:lineRule="exact"/>
        <w:rPr>
          <w:rFonts w:ascii="Times New Roman" w:cs="Times New Roman" w:eastAsia="Times New Roman" w:hAnsi="Times New Roman"/>
          <w:sz w:val="18"/>
          <w:szCs w:val="18"/>
          <w:color w:val="auto"/>
        </w:rPr>
      </w:pPr>
    </w:p>
    <w:p>
      <w:pPr>
        <w:ind w:left="1300" w:right="20" w:hanging="442"/>
        <w:spacing w:after="0" w:line="244"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will become effective on the business day immediately prior to the date of effectiveness of the registration statement of which this prospectus forms a part (we anticipate granting options to purchase an aggregate of 943,223 shares of common stock on the date of effectiveness of the registration statement of which this prospectus forms a part, with an exercise price equal to the initial public offering price as of the effective date of the registration statement);</w:t>
      </w:r>
    </w:p>
    <w:p>
      <w:pPr>
        <w:spacing w:after="0" w:line="175"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will become effective on the business day immediately prior to the date of effectiveness of the registration statement of which this prospectus forms a part; and</w:t>
      </w:r>
    </w:p>
    <w:p>
      <w:pPr>
        <w:spacing w:after="0" w:line="162" w:lineRule="exact"/>
        <w:rPr>
          <w:rFonts w:ascii="Times New Roman" w:cs="Times New Roman" w:eastAsia="Times New Roman" w:hAnsi="Times New Roman"/>
          <w:sz w:val="18"/>
          <w:szCs w:val="18"/>
          <w:color w:val="auto"/>
        </w:rPr>
      </w:pPr>
    </w:p>
    <w:p>
      <w:pPr>
        <w:ind w:left="1300" w:right="100" w:hanging="442"/>
        <w:spacing w:after="0" w:line="248"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2,810 shares of common stock upon the automatic net exercise of a warrant to purchase common stock we issued in August 2020, which exercise will occur immediately prior to the closing of this offering at an exercise price of $9.52 per share (assuming an initial public offering price of $16.00 per share, which is the midpoint of the price range set forth on the cover page of this prospectus).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If you invest in our common stock you will experience immediate and substantial dilution in the pro forma net tangible book value of your shares of common stock. Dilution in pro forma net tangible book value represents the difference between the initial public offering price per share of our common stock and the pro forma as adjusted net tangible book value per share of our common stock.</w:t>
      </w:r>
    </w:p>
    <w:p>
      <w:pPr>
        <w:spacing w:after="0" w:line="16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Historical net tangible book value (deficit) represents our total tangible assets (total assets less deferred offering costs) less total liabilities and our convertible preferred stock. As of June 30, 2020, our historical net tangible book deficit was $12.9 million and our historical net tangible book deficit per share was $2.81.</w:t>
      </w:r>
    </w:p>
    <w:p>
      <w:pPr>
        <w:spacing w:after="0" w:line="164" w:lineRule="exact"/>
        <w:rPr>
          <w:sz w:val="20"/>
          <w:szCs w:val="20"/>
          <w:color w:val="auto"/>
        </w:rPr>
      </w:pPr>
    </w:p>
    <w:p>
      <w:pPr>
        <w:ind w:right="180" w:firstLine="576"/>
        <w:spacing w:after="0" w:line="268" w:lineRule="auto"/>
        <w:rPr>
          <w:sz w:val="20"/>
          <w:szCs w:val="20"/>
          <w:color w:val="auto"/>
        </w:rPr>
      </w:pPr>
      <w:r>
        <w:rPr>
          <w:rFonts w:ascii="Arial" w:cs="Arial" w:eastAsia="Arial" w:hAnsi="Arial"/>
          <w:sz w:val="17"/>
          <w:szCs w:val="17"/>
          <w:color w:val="auto"/>
        </w:rPr>
        <w:t>On a pro forma basis, after giving effect to the automatic conversion of all outstanding shares of convertible preferred stock into an aggregate of 12,503,009 shares of our common stock in connection with this offering and the issuance of an aggregate of 1,704,001 shares of our common stock upon the net exercise of outstanding warrants immediately prior to the closing of this offering, and the repayment of $1.5 million in grant liability, our pro forma net tangible book value as of June 30, 2020 would have been $79.5 million, or $4.23 per share.</w:t>
      </w:r>
    </w:p>
    <w:p>
      <w:pPr>
        <w:spacing w:after="0" w:line="153"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On a pro forma basis, after giving further effect to the sale and issuance of 10,000,000 shares of our common stock in this offering at the assumed initial public offering price of $16.00 per share, which is the midpoint of the price range reflected on the cover page of this prospectus, after deducting underwriting discounts and commissions and estimated offering expenses payable by us, our pro forma as adjusted net tangible book value as of June 30, 2020 would have been $225.4 million, or $7.82 per share. This represents an immediate increase in pro forma net tangible book value of $3.59 per share to existing stockholders and an immediate dilution of the pro forma net tangible book value of $8.18 per share to new investors purchasing common stock in this offering.</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Assumed initial public offering price per share</w:t>
            </w:r>
          </w:p>
        </w:tc>
        <w:tc>
          <w:tcPr>
            <w:tcW w:w="2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140"/>
              <w:spacing w:after="0" w:line="193" w:lineRule="exact"/>
              <w:rPr>
                <w:sz w:val="20"/>
                <w:szCs w:val="20"/>
                <w:color w:val="auto"/>
              </w:rPr>
            </w:pPr>
            <w:r>
              <w:rPr>
                <w:rFonts w:ascii="Arial" w:cs="Arial" w:eastAsia="Arial" w:hAnsi="Arial"/>
                <w:sz w:val="18"/>
                <w:szCs w:val="18"/>
                <w:color w:val="auto"/>
              </w:rPr>
              <w:t>Historical net tangible book value (deficit) per share</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80"/>
              <w:spacing w:after="0"/>
              <w:rPr>
                <w:sz w:val="20"/>
                <w:szCs w:val="20"/>
                <w:color w:val="auto"/>
              </w:rPr>
            </w:pPr>
            <w:r>
              <w:rPr>
                <w:rFonts w:ascii="Arial" w:cs="Arial" w:eastAsia="Arial" w:hAnsi="Arial"/>
                <w:sz w:val="18"/>
                <w:szCs w:val="18"/>
                <w:color w:val="auto"/>
              </w:rPr>
              <w:t>as of June 30, 2020</w:t>
            </w:r>
          </w:p>
        </w:tc>
        <w:tc>
          <w:tcPr>
            <w:tcW w:w="2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Pro forma increase in historical net tangible book deficit per share</w:t>
            </w:r>
          </w:p>
        </w:tc>
        <w:tc>
          <w:tcPr>
            <w:tcW w:w="23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as of June 30, 2020 attributable to the pro forma adjustments</w:t>
            </w:r>
          </w:p>
        </w:tc>
        <w:tc>
          <w:tcPr>
            <w:tcW w:w="2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identified above</w:t>
            </w:r>
          </w:p>
        </w:tc>
        <w:tc>
          <w:tcPr>
            <w:tcW w:w="23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June 30, 2020</w:t>
            </w:r>
          </w:p>
        </w:tc>
        <w:tc>
          <w:tcPr>
            <w:tcW w:w="2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Increase in pro forma net tangible book value per share</w:t>
            </w:r>
          </w:p>
        </w:tc>
        <w:tc>
          <w:tcPr>
            <w:tcW w:w="23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attributable to new investors participating in the offering</w:t>
            </w:r>
          </w:p>
        </w:tc>
        <w:tc>
          <w:tcPr>
            <w:tcW w:w="23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line="187" w:lineRule="exact"/>
              <w:rPr>
                <w:sz w:val="20"/>
                <w:szCs w:val="20"/>
                <w:color w:val="auto"/>
              </w:rPr>
            </w:pPr>
            <w:r>
              <w:rPr>
                <w:rFonts w:ascii="Arial" w:cs="Arial" w:eastAsia="Arial" w:hAnsi="Arial"/>
                <w:sz w:val="18"/>
                <w:szCs w:val="18"/>
                <w:color w:val="auto"/>
              </w:rPr>
              <w:t>Pro forma as adjusted net tangible book value per share</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after this offering</w:t>
            </w:r>
          </w:p>
        </w:tc>
        <w:tc>
          <w:tcPr>
            <w:tcW w:w="23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300" w:type="dxa"/>
            <w:vAlign w:val="bottom"/>
            <w:vMerge w:val="restart"/>
          </w:tcPr>
          <w:p>
            <w:pPr>
              <w:jc w:val="right"/>
              <w:ind w:right="1830"/>
              <w:spacing w:after="0"/>
              <w:rPr>
                <w:sz w:val="20"/>
                <w:szCs w:val="20"/>
                <w:color w:val="auto"/>
              </w:rPr>
            </w:pPr>
            <w:r>
              <w:rPr>
                <w:rFonts w:ascii="Arial" w:cs="Arial" w:eastAsia="Arial" w:hAnsi="Arial"/>
                <w:sz w:val="18"/>
                <w:szCs w:val="18"/>
                <w:color w:val="auto"/>
              </w:rPr>
              <w:t>-85-</w:t>
            </w: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4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40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87" w:name="page88"/>
    <w:bookmarkEnd w:id="87"/>
    <w:p>
      <w:pPr>
        <w:ind w:right="20" w:firstLine="576"/>
        <w:spacing w:after="0" w:line="238" w:lineRule="auto"/>
        <w:rPr>
          <w:sz w:val="20"/>
          <w:szCs w:val="20"/>
          <w:color w:val="auto"/>
        </w:rPr>
      </w:pPr>
      <w:r>
        <w:rPr>
          <w:rFonts w:ascii="Arial" w:cs="Arial" w:eastAsia="Arial" w:hAnsi="Arial"/>
          <w:sz w:val="18"/>
          <w:szCs w:val="18"/>
          <w:color w:val="auto"/>
        </w:rPr>
        <w:t>Each $1.00 increase or decrease in the assumed initial public offering price of $16.00 per share would increase or decrease, as applicable, our pro forma as adjusted net tangible book value by $9.3 million, or $ 0.33 per share, and increase or decrease, as applicable, the dilution per share to investors participating in this offering by $0.67 per share,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of 1.0 million in the number of shares offered by us would increase our pro forma as adjusted net tangible book value by $14.9 million, or $0.24 per share, and the dilution per share to investors participating in this offering would be $0.24 per share, assuming that the assumed initial public offering price remains the same, and after deducting underwriting discounts and commissions and estimated offering expenses payable by us. Similarly, each decrease of 1.0 million shares in the number of shares offered by us would decrease our pro forma as adjusted net tangible book value by $14.9 million, or $0.25 per share, and the dilution per share to investors participating in this offering would be $0.25 per share, assuming that the assumed initial public offering price remains the same, and after deducting underwriting discounts and commissions and estimated offering expenses payable by us. The pro forma as adjusted information discussed above is illustrative only and will change based on the actual initial public offering price and other terms of this offering determined at pricing.</w:t>
      </w:r>
    </w:p>
    <w:p>
      <w:pPr>
        <w:spacing w:after="0" w:line="180"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If the underwriters exercise their option in full to purchase 1,500,000 additional shares of common stock in this offering, the pro forma as adjusted net tangible book value per share after the offering would be $8.17 per share, the increase in the pro forma net tangible book value per share to existing stockholders would be $0.35 per share, and the pro forma as adjusted dilution to new investors purchasing common stock in this offering would be $7.83 per share.</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following table summarizes, on a pro forma as adjusted basis as described above as of June 30, 2020, the differences between the number of shares of common stock purchased from us, the total consideration and the weighted-average price per share paid by existing stockholders and by investors participating in this offering at the initial public offering price of $16.00 per share, before deducting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r>
      <w:tr>
        <w:trPr>
          <w:trHeight w:val="177"/>
        </w:trPr>
        <w:tc>
          <w:tcPr>
            <w:tcW w:w="4980" w:type="dxa"/>
            <w:vAlign w:val="bottom"/>
          </w:tcPr>
          <w:p>
            <w:pPr>
              <w:spacing w:after="0"/>
              <w:rPr>
                <w:sz w:val="15"/>
                <w:szCs w:val="15"/>
                <w:color w:val="auto"/>
              </w:rPr>
            </w:pPr>
          </w:p>
        </w:tc>
        <w:tc>
          <w:tcPr>
            <w:tcW w:w="25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276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Total Consideration</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r>
      <w:tr>
        <w:trPr>
          <w:trHeight w:val="169"/>
        </w:trPr>
        <w:tc>
          <w:tcPr>
            <w:tcW w:w="498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FF0FC"/>
            </w:tcBorders>
          </w:tcPr>
          <w:p>
            <w:pPr>
              <w:spacing w:after="0"/>
              <w:rPr>
                <w:sz w:val="14"/>
                <w:szCs w:val="14"/>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18,814,575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$ 102,427,000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28,814,575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$ 262,427,000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Each $1.00 increase or decrease in the assumed initial public offering price of $16.00 per share would increase or decrease, as applicable, total consideration paid by new investors by $10.0 million, assuming that the number of shares offered by us, as set forth on the cover page of this prospectus, remains the same, after deducting underwriting discounts and commissions and estimated offering expenses payable by us. We may also increase or decrease the number of shares we are offering. An increase or decrease of 1.0 million in the number of shares offered by us would increase or decrease, as applicable, total consideration paid by new investors by $16.0 million, assuming that the assumed initial public offering price remains the same, and after deducting underwriting discounts and commissions and estimated offering expenses payable by us.</w:t>
      </w:r>
    </w:p>
    <w:p>
      <w:pPr>
        <w:spacing w:after="0" w:line="179"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 18,814,575 shares of common stock outstanding as of June 30, 2020 (including our convertible preferred stock on an as-converted basis and the net exercise of outstanding warrants), which excludes:</w:t>
      </w:r>
    </w:p>
    <w:p>
      <w:pPr>
        <w:spacing w:after="0" w:line="56" w:lineRule="exact"/>
        <w:rPr>
          <w:sz w:val="20"/>
          <w:szCs w:val="20"/>
          <w:color w:val="auto"/>
        </w:rPr>
      </w:pPr>
    </w:p>
    <w:p>
      <w:pPr>
        <w:ind w:left="1300" w:right="180" w:hanging="442"/>
        <w:spacing w:after="0" w:line="275" w:lineRule="auto"/>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ind w:left="1300" w:hanging="442"/>
        <w:spacing w:after="0"/>
        <w:tabs>
          <w:tab w:leader="none" w:pos="13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224" w:lineRule="exact"/>
        <w:rPr>
          <w:rFonts w:ascii="Times New Roman" w:cs="Times New Roman" w:eastAsia="Times New Roman" w:hAnsi="Times New Roman"/>
          <w:sz w:val="18"/>
          <w:szCs w:val="18"/>
          <w:color w:val="auto"/>
        </w:rPr>
      </w:pPr>
    </w:p>
    <w:p>
      <w:pPr>
        <w:ind w:left="1300" w:right="20" w:hanging="442"/>
        <w:spacing w:after="0" w:line="244" w:lineRule="auto"/>
        <w:tabs>
          <w:tab w:leader="none" w:pos="13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will become effective on the business day immediately prior to the date of effectiveness of the registration statement of which this prospectus forms a part (we anticipate granting options to purchase an aggregate of 943,223 shares of common stock on the date of effectiveness of the registration statement of which this prospectus forms a part, with an exercise price equal to the initial public offering price as of the effective date of the registration statement);</w:t>
      </w:r>
    </w:p>
    <w:p>
      <w:pPr>
        <w:spacing w:after="0" w:line="175"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will become effective on the business day immediately prior to the date of effectiveness of the registration statement of which this prospectus forms a part; and</w:t>
      </w:r>
    </w:p>
    <w:p>
      <w:pPr>
        <w:spacing w:after="0" w:line="162" w:lineRule="exact"/>
        <w:rPr>
          <w:rFonts w:ascii="Times New Roman" w:cs="Times New Roman" w:eastAsia="Times New Roman" w:hAnsi="Times New Roman"/>
          <w:sz w:val="18"/>
          <w:szCs w:val="18"/>
          <w:color w:val="auto"/>
        </w:rPr>
      </w:pPr>
    </w:p>
    <w:p>
      <w:pPr>
        <w:ind w:left="1300" w:right="100" w:hanging="442"/>
        <w:spacing w:after="0" w:line="248" w:lineRule="auto"/>
        <w:tabs>
          <w:tab w:leader="none" w:pos="13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2,810 shares of common stock upon the automatic net exercise of a warrant to purchase common stock we issued in August 2020, which exercise will occur immediately prior to the closing of this offering at an exercise price of $9.52 per share (assuming an initial public offering price of $16.00 per share, which is the midpoint of the price range set forth on the cover page of this prospectus).</w:t>
      </w:r>
    </w:p>
    <w:p>
      <w:pPr>
        <w:spacing w:after="0" w:line="278"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4"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six months ended June 30, 2019 and</w:t>
      </w:r>
    </w:p>
    <w:p>
      <w:pPr>
        <w:spacing w:after="0" w:line="235" w:lineRule="auto"/>
        <w:rPr>
          <w:sz w:val="20"/>
          <w:szCs w:val="20"/>
          <w:color w:val="auto"/>
        </w:rPr>
      </w:pPr>
      <w:r>
        <w:rPr>
          <w:rFonts w:ascii="Arial" w:cs="Arial" w:eastAsia="Arial" w:hAnsi="Arial"/>
          <w:sz w:val="18"/>
          <w:szCs w:val="18"/>
          <w:color w:val="auto"/>
        </w:rPr>
        <w:t>2020 and the selected balance sheet data as of June 30, 2020 are derived from our unaudited interim condensed financial statements</w:t>
      </w:r>
    </w:p>
    <w:p>
      <w:pPr>
        <w:spacing w:after="0" w:line="235" w:lineRule="auto"/>
        <w:rPr>
          <w:sz w:val="20"/>
          <w:szCs w:val="20"/>
          <w:color w:val="auto"/>
        </w:rPr>
      </w:pPr>
      <w:r>
        <w:rPr>
          <w:rFonts w:ascii="Arial" w:cs="Arial" w:eastAsia="Arial" w:hAnsi="Arial"/>
          <w:sz w:val="18"/>
          <w:szCs w:val="18"/>
          <w:color w:val="auto"/>
        </w:rPr>
        <w:t>included elsewhere in this prospectus. Our unaudited interim condensed financial statements have been prepared on a basis similar to our</w:t>
      </w:r>
    </w:p>
    <w:p>
      <w:pPr>
        <w:spacing w:after="0" w:line="235" w:lineRule="auto"/>
        <w:rPr>
          <w:sz w:val="20"/>
          <w:szCs w:val="20"/>
          <w:color w:val="auto"/>
        </w:rPr>
      </w:pPr>
      <w:r>
        <w:rPr>
          <w:rFonts w:ascii="Arial" w:cs="Arial" w:eastAsia="Arial" w:hAnsi="Arial"/>
          <w:sz w:val="18"/>
          <w:szCs w:val="18"/>
          <w:color w:val="auto"/>
        </w:rPr>
        <w:t>audited financial statements and, in the opinion of management, reflect all adjustments, consisting solely of normal recurring adjustments,</w:t>
      </w:r>
    </w:p>
    <w:p>
      <w:pPr>
        <w:spacing w:after="0" w:line="235" w:lineRule="auto"/>
        <w:rPr>
          <w:sz w:val="20"/>
          <w:szCs w:val="20"/>
          <w:color w:val="auto"/>
        </w:rPr>
      </w:pPr>
      <w:r>
        <w:rPr>
          <w:rFonts w:ascii="Arial" w:cs="Arial" w:eastAsia="Arial" w:hAnsi="Arial"/>
          <w:sz w:val="18"/>
          <w:szCs w:val="18"/>
          <w:color w:val="auto"/>
        </w:rPr>
        <w:t>necessary for the fair presentation of the financial information in those statements. You should read this selected data together with our</w:t>
      </w:r>
    </w:p>
    <w:p>
      <w:pPr>
        <w:spacing w:after="0" w:line="234" w:lineRule="auto"/>
        <w:rPr>
          <w:sz w:val="20"/>
          <w:szCs w:val="20"/>
          <w:color w:val="auto"/>
        </w:rPr>
      </w:pPr>
      <w:r>
        <w:rPr>
          <w:rFonts w:ascii="Arial" w:cs="Arial" w:eastAsia="Arial" w:hAnsi="Arial"/>
          <w:sz w:val="18"/>
          <w:szCs w:val="18"/>
          <w:color w:val="auto"/>
        </w:rPr>
        <w:t>financial statements and related notes appearing elsewhere in this prospectus and the information in the section of this prospectus titled</w:t>
      </w:r>
    </w:p>
    <w:p>
      <w:pPr>
        <w:spacing w:after="0" w:line="235" w:lineRule="auto"/>
        <w:rPr>
          <w:sz w:val="20"/>
          <w:szCs w:val="20"/>
          <w:color w:val="auto"/>
        </w:rPr>
      </w:pPr>
      <w:r>
        <w:rPr>
          <w:rFonts w:ascii="Arial" w:cs="Arial" w:eastAsia="Arial" w:hAnsi="Arial"/>
          <w:sz w:val="18"/>
          <w:szCs w:val="18"/>
          <w:color w:val="auto"/>
        </w:rPr>
        <w:t>“Management’s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six months ended June 30, 2020 are not necessarily indicative of the</w:t>
      </w:r>
    </w:p>
    <w:p>
      <w:pPr>
        <w:spacing w:after="0" w:line="235" w:lineRule="auto"/>
        <w:rPr>
          <w:sz w:val="20"/>
          <w:szCs w:val="20"/>
          <w:color w:val="auto"/>
        </w:rPr>
      </w:pPr>
      <w:r>
        <w:rPr>
          <w:rFonts w:ascii="Arial" w:cs="Arial" w:eastAsia="Arial" w:hAnsi="Arial"/>
          <w:sz w:val="18"/>
          <w:szCs w:val="18"/>
          <w:color w:val="auto"/>
        </w:rPr>
        <w:t>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ectPr>
          <w:pgSz w:w="11900" w:h="16838" w:orient="portrait"/>
          <w:cols w:equalWidth="0" w:num="1">
            <w:col w:w="11240"/>
          </w:cols>
          <w:pgMar w:left="320" w:top="358" w:right="339" w:bottom="1440" w:gutter="0" w:footer="0" w:header="0"/>
        </w:sectPr>
      </w:pPr>
    </w:p>
    <w:p>
      <w:pPr>
        <w:spacing w:after="0" w:line="265"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10160</wp:posOffset>
            </wp:positionV>
            <wp:extent cx="16116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6220"/>
        <w:spacing w:after="0"/>
        <w:tabs>
          <w:tab w:leader="none" w:pos="7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10160</wp:posOffset>
            </wp:positionV>
            <wp:extent cx="16116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3" w:lineRule="exact"/>
        <w:rPr>
          <w:sz w:val="20"/>
          <w:szCs w:val="20"/>
          <w:color w:val="auto"/>
        </w:rPr>
      </w:pPr>
    </w:p>
    <w:p>
      <w:pPr>
        <w:sectPr>
          <w:pgSz w:w="11900" w:h="16838" w:orient="portrait"/>
          <w:cols w:equalWidth="0" w:num="2">
            <w:col w:w="8200" w:space="720"/>
            <w:col w:w="232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5820" w:type="dxa"/>
            <w:vAlign w:val="bottom"/>
            <w:gridSpan w:val="2"/>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(0.75)</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used in computing net loss per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82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3,550,184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5820" w:type="dxa"/>
            <w:vAlign w:val="bottom"/>
            <w:gridSpan w:val="2"/>
            <w:shd w:val="clear" w:color="auto" w:fill="CFF0FC"/>
          </w:tcPr>
          <w:p>
            <w:pPr>
              <w:spacing w:after="0" w:line="174" w:lineRule="exact"/>
              <w:rPr>
                <w:sz w:val="20"/>
                <w:szCs w:val="20"/>
                <w:color w:val="auto"/>
              </w:rPr>
            </w:pPr>
            <w:r>
              <w:rPr>
                <w:rFonts w:ascii="Arial" w:cs="Arial" w:eastAsia="Arial" w:hAnsi="Arial"/>
                <w:sz w:val="18"/>
                <w:szCs w:val="18"/>
                <w:color w:val="auto"/>
              </w:rPr>
              <w:t>Pro forma net loss per share attributable</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to common stockholders, basic and diluted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 computing pro forma net loss per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gridSpan w:val="2"/>
          </w:tcPr>
          <w:p>
            <w:pPr>
              <w:ind w:left="16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6,186,544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80" w:right="340" w:hanging="472"/>
        <w:spacing w:after="0" w:line="266" w:lineRule="auto"/>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tor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77"/>
        </w:trPr>
        <w:tc>
          <w:tcPr>
            <w:tcW w:w="5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(14,887)</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80" w:right="200" w:hanging="472"/>
        <w:spacing w:after="0" w:line="291" w:lineRule="auto"/>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92" w:name="page93"/>
    <w:bookmarkEnd w:id="92"/>
    <w:p>
      <w:pPr>
        <w:ind w:right="80" w:firstLine="576"/>
        <w:spacing w:after="0" w:line="24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6240780" cy="3403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40780" cy="340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20" w:hanging="432"/>
        <w:spacing w:after="0" w:line="266" w:lineRule="auto"/>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57" w:lineRule="exact"/>
        <w:rPr>
          <w:sz w:val="20"/>
          <w:szCs w:val="20"/>
          <w:color w:val="auto"/>
        </w:rPr>
      </w:pPr>
    </w:p>
    <w:p>
      <w:pPr>
        <w:ind w:right="840" w:firstLine="576"/>
        <w:spacing w:after="0" w:line="27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17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common stock warrants, and convertible notes, and to a lesser extent from grant income and stock option exercises. From inception to June 30, 2020, we have raised aggregate net cash proceeds of $100.4 million primarily from the issuance of our convertible preferred stock, common stock warrants, and convertible notes. We have incurred significant operating losses to date. Our net losses were $5.1 million and $5.2 million for the years ended December 31, 2018 and 2019, respectively. Our net losses were $2.7 million and $3.8 million for the six months ended June 30, 2019 and 2020, respectively. As of June 30, 2020, we had an accumulated deficit of $24.9 million and cash and cash equivalents of $85.2 million.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300" w:right="160" w:hanging="442"/>
        <w:spacing w:after="0" w:line="275" w:lineRule="auto"/>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planned Phase 2/3 clinical trial for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operational, financial and management information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4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45"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4" w:name="page95"/>
    <w:bookmarkEnd w:id="94"/>
    <w:p>
      <w:pPr>
        <w:spacing w:after="0" w:line="239" w:lineRule="auto"/>
        <w:rPr>
          <w:sz w:val="20"/>
          <w:szCs w:val="20"/>
          <w:color w:val="auto"/>
        </w:rPr>
      </w:pPr>
      <w:r>
        <w:rPr>
          <w:rFonts w:ascii="Arial" w:cs="Arial" w:eastAsia="Arial" w:hAnsi="Arial"/>
          <w:sz w:val="18"/>
          <w:szCs w:val="18"/>
          <w:color w:val="auto"/>
        </w:rPr>
        <w:t>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and cash equivalents and the net proceeds from this offering, will be sufficient to fund our operating expenses and capital expenditure requirements at least through 2022.</w:t>
      </w:r>
    </w:p>
    <w:p>
      <w:pPr>
        <w:spacing w:after="0" w:line="176"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420" w:firstLine="576"/>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40" w:hanging="442"/>
        <w:spacing w:after="0" w:line="275" w:lineRule="auto"/>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5" w:name="page96"/>
    <w:bookmarkEnd w:id="95"/>
    <w:p>
      <w:pPr>
        <w:ind w:right="20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2.0 times the amounts received, or $1.5 million, upon the occurrence of specified triggering events, including completion of this offering.</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In September 2020, we received a grant from the National Institutes of Health, or NIH, for Alzheimer’s research in the amount of approximately $ 7.8 million with the potential for additional $7.4 million up to an aggregate of $15.2 million, subject to the availability of funds and satisfactory progress of the research. For additional information regarding this grant, see the section of this prospectus titled “Business— Our Collaboration and Grant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17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7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ind w:right="300"/>
        <w:spacing w:after="0" w:line="276" w:lineRule="auto"/>
        <w:rPr>
          <w:sz w:val="20"/>
          <w:szCs w:val="20"/>
          <w:color w:val="auto"/>
        </w:rPr>
      </w:pPr>
      <w:r>
        <w:rPr>
          <w:rFonts w:ascii="Arial" w:cs="Arial" w:eastAsia="Arial" w:hAnsi="Arial"/>
          <w:sz w:val="18"/>
          <w:szCs w:val="18"/>
          <w:color w:val="auto"/>
        </w:rPr>
        <w:t>particular, we expect our research and development expenses will increase substantially as we initiate and conduct planned Phase 2 and Phase 2/3 clinical trials for ATH-1017.</w:t>
      </w:r>
    </w:p>
    <w:p>
      <w:pPr>
        <w:spacing w:after="0" w:line="145"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56" w:lineRule="exact"/>
        <w:rPr>
          <w:sz w:val="20"/>
          <w:szCs w:val="20"/>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1300" w:right="500" w:hanging="442"/>
        <w:spacing w:after="0" w:line="275" w:lineRule="auto"/>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 and</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46" w:lineRule="exact"/>
        <w:rPr>
          <w:sz w:val="20"/>
          <w:szCs w:val="20"/>
          <w:color w:val="auto"/>
        </w:rPr>
      </w:pPr>
    </w:p>
    <w:p>
      <w:pPr>
        <w:ind w:right="940" w:firstLine="576"/>
        <w:spacing w:after="0" w:line="27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7" w:name="page98"/>
    <w:bookmarkEnd w:id="97"/>
    <w:p>
      <w:pPr>
        <w:ind w:right="220" w:firstLine="576"/>
        <w:spacing w:after="0" w:line="243"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Following the completion of this offering,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Other income (expense), net consists of interest earned on our cash, cash equivalents, and short-term investments, grant income, periodic mark to market gains and losses on the derivative and grant liabilities carried at fair value, and interest expense on our convertible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Dollar</w:t>
            </w: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8"/>
                <w:szCs w:val="18"/>
                <w:color w:val="auto"/>
              </w:rPr>
            </w:pPr>
          </w:p>
        </w:tc>
      </w:tr>
      <w:tr>
        <w:trPr>
          <w:trHeight w:val="210"/>
        </w:trPr>
        <w:tc>
          <w:tcPr>
            <w:tcW w:w="42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8"/>
                <w:szCs w:val="18"/>
                <w:color w:val="auto"/>
              </w:rPr>
            </w:pPr>
          </w:p>
        </w:tc>
      </w:tr>
      <w:tr>
        <w:trPr>
          <w:trHeight w:val="20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4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5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27"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4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4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7" w:lineRule="exact"/>
              <w:rPr>
                <w:sz w:val="20"/>
                <w:szCs w:val="20"/>
                <w:color w:val="auto"/>
              </w:rPr>
            </w:pPr>
            <w:r>
              <w:rPr>
                <w:rFonts w:ascii="Arial" w:cs="Arial" w:eastAsia="Arial" w:hAnsi="Arial"/>
                <w:sz w:val="18"/>
                <w:szCs w:val="18"/>
                <w:color w:val="auto"/>
              </w:rPr>
              <w:t>Total research and development</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2,110</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3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3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98" w:name="page99"/>
    <w:bookmarkEnd w:id="98"/>
    <w:p>
      <w:pPr>
        <w:ind w:right="100" w:firstLine="576"/>
        <w:spacing w:after="0" w:line="248" w:lineRule="auto"/>
        <w:rPr>
          <w:sz w:val="20"/>
          <w:szCs w:val="20"/>
          <w:color w:val="auto"/>
        </w:rPr>
      </w:pPr>
      <w:r>
        <w:rPr>
          <w:rFonts w:ascii="Arial" w:cs="Arial" w:eastAsia="Arial" w:hAnsi="Arial"/>
          <w:sz w:val="18"/>
          <w:szCs w:val="18"/>
          <w:color w:val="auto"/>
        </w:rPr>
        <w:t>Research and development expenses increased by $0.2 million, or 8%, from $2.1 million for the six months ended June 30, 2019 to $2.3 million for the six months ended June 30, 2020. The increase was driven primarily by an increase in expenses for ATH-1017 of $0.2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General and administrative expenses increased by $0.6 million, or 82%, from $0.7 million for the six months ended June 30, 2019 to $1.3 million for the six months ended June 30, 2020. The increase was primarily due to an increase in accounting, technical and consulting services of $0.5 million not pertaining to this offering and an increase in personnel-related costs of $0.1 million to support our continued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 xml:space="preserve">Other income (expense), net, changed from income of $0.1 million for the six months ended June 30, 2019 to expense of $0.3 million for the six months ended June 30, 2020. The change was primarily due to a decrease in grant income due to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$0.3 million received in 2019 with no corresponding grant received in 2020, an increase of $0.2 million in interest expense and accretion of discounts related to the convertible notes, and an increase of $0.1 million from increases in liabilities recorded at fair value. This was offset by a gain of $0.2 million on the extinguishment of convertible notes in connection with our Series B convertible preferred stock financing in the second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10"/>
        </w:trPr>
        <w:tc>
          <w:tcPr>
            <w:tcW w:w="576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1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0"/>
        </w:trPr>
        <w:tc>
          <w:tcPr>
            <w:tcW w:w="57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9"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Not meaningful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r>
      <w:tr>
        <w:trPr>
          <w:trHeight w:val="209"/>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1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193"/>
        </w:trPr>
        <w:tc>
          <w:tcPr>
            <w:tcW w:w="45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5"/>
        </w:trPr>
        <w:tc>
          <w:tcPr>
            <w:tcW w:w="45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June 30, 2020, we have raised aggregate net cash proceeds of $100.4 million primarily from the issuance of our convertible preferred stock, common stock warrants, and convertible notes. As of June 30, 2020, we had $85.2 million in cash and cash equivalents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Based upon our current operating plan, we estimate that our $85.2 million of cash and cash equivalents at June 30, 2020 will be sufficient to fund our operating expenses and capital expenditure requirements through at least the 12 months following the date of this prospectus. However, we believe our cash and cash equivalents as of the date of this prospectus, together with the net proceeds from this offering, will be sufficient to fund our operating expenses and capital expenditure requirements at least through 2022.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178"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37" w:lineRule="exact"/>
        <w:rPr>
          <w:rFonts w:ascii="Times New Roman" w:cs="Times New Roman" w:eastAsia="Times New Roman" w:hAnsi="Times New Roman"/>
          <w:sz w:val="18"/>
          <w:szCs w:val="18"/>
          <w:color w:val="auto"/>
        </w:rPr>
      </w:pPr>
    </w:p>
    <w:p>
      <w:pPr>
        <w:jc w:val="both"/>
        <w:ind w:left="1300" w:right="400" w:hanging="442"/>
        <w:spacing w:after="0" w:line="305" w:lineRule="auto"/>
        <w:tabs>
          <w:tab w:leader="none" w:pos="130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6"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01" w:name="page102"/>
    <w:bookmarkEnd w:id="101"/>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ectPr>
          <w:pgSz w:w="11900" w:h="16838" w:orient="portrait"/>
          <w:cols w:equalWidth="0" w:num="1">
            <w:col w:w="11240"/>
          </w:cols>
          <w:pgMar w:left="320" w:top="468" w:right="339" w:bottom="1440" w:gutter="0" w:footer="0" w:header="0"/>
        </w:sectPr>
      </w:pPr>
    </w:p>
    <w:p>
      <w:pPr>
        <w:spacing w:after="0" w:line="287"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10160</wp:posOffset>
            </wp:positionV>
            <wp:extent cx="16116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6260"/>
        <w:spacing w:after="0"/>
        <w:tabs>
          <w:tab w:leader="none" w:pos="7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wp:posOffset>
            </wp:positionV>
            <wp:extent cx="16116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10160</wp:posOffset>
            </wp:positionV>
            <wp:extent cx="15944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1905</wp:posOffset>
            </wp:positionV>
            <wp:extent cx="15944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(unaudited)</w:t>
      </w:r>
    </w:p>
    <w:p>
      <w:pPr>
        <w:spacing w:after="0" w:line="18" w:lineRule="exact"/>
        <w:rPr>
          <w:sz w:val="20"/>
          <w:szCs w:val="20"/>
          <w:color w:val="auto"/>
        </w:rPr>
      </w:pPr>
    </w:p>
    <w:p>
      <w:pPr>
        <w:sectPr>
          <w:pgSz w:w="11900" w:h="16838" w:orient="portrait"/>
          <w:cols w:equalWidth="0" w:num="2">
            <w:col w:w="8220" w:space="720"/>
            <w:col w:w="2300"/>
          </w:cols>
          <w:pgMar w:left="320" w:top="468"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provided by (used in):</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(4,483)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(3,713)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(4,037)</w:t>
            </w: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87,144</w:t>
            </w:r>
          </w:p>
        </w:tc>
        <w:tc>
          <w:tcPr>
            <w:tcW w:w="100" w:type="dxa"/>
            <w:vAlign w:val="bottom"/>
            <w:tcBorders>
              <w:bottom w:val="single" w:sz="8" w:color="CFF0FC"/>
            </w:tcBorders>
          </w:tcPr>
          <w:p>
            <w:pPr>
              <w:spacing w:after="0"/>
              <w:rPr>
                <w:sz w:val="19"/>
                <w:szCs w:val="19"/>
                <w:color w:val="auto"/>
              </w:rPr>
            </w:pPr>
          </w:p>
        </w:tc>
      </w:tr>
      <w:tr>
        <w:trPr>
          <w:trHeight w:val="187"/>
        </w:trPr>
        <w:tc>
          <w:tcPr>
            <w:tcW w:w="440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Net (decrease) increase in cash and</w:t>
            </w:r>
          </w:p>
        </w:tc>
        <w:tc>
          <w:tcPr>
            <w:tcW w:w="14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equivalents</w:t>
            </w: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(1,261)</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(1,033)</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83,110</w:t>
            </w:r>
          </w:p>
        </w:tc>
        <w:tc>
          <w:tcPr>
            <w:tcW w:w="100" w:type="dxa"/>
            <w:vAlign w:val="bottom"/>
            <w:shd w:val="clear" w:color="auto" w:fill="CFF0FC"/>
          </w:tcPr>
          <w:p>
            <w:pPr>
              <w:spacing w:after="0"/>
              <w:rPr>
                <w:sz w:val="19"/>
                <w:szCs w:val="19"/>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During the six months ended June 30, 2020, net cash used in operating activities was $4.0 million. This consisted primarily of a net loss of $3.8 million, partially offset by non-cash charges of $0.4 million and an increase in our net operating assets of $0.6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an increase in accounts payable and accrued expenses.</w:t>
      </w:r>
    </w:p>
    <w:p>
      <w:pPr>
        <w:spacing w:after="0" w:line="17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During the six months ended June 30, 2019, net cash used in operating activities was $1.8 million. This consisted primarily of a net loss of $2.7 million, partially offset by non-cash charges of $0.3 million and a decrease in our net operating assets of $0.6 million. The non-cash charges primarily consisted of stock-based compensation expense, non-cash interest expense and accretion of discounts on our convertible notes, and changes in the carrying value of liabilities stated at fair value. The decrease in our net operating assets was due to an increase in accounts payable and accrued expenses.</w:t>
      </w:r>
    </w:p>
    <w:p>
      <w:pPr>
        <w:spacing w:after="0" w:line="172"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172"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02" w:name="page103"/>
    <w:bookmarkEnd w:id="102"/>
    <w:p>
      <w:pPr>
        <w:ind w:right="480"/>
        <w:spacing w:after="0" w:line="276" w:lineRule="auto"/>
        <w:rPr>
          <w:sz w:val="20"/>
          <w:szCs w:val="20"/>
          <w:color w:val="auto"/>
        </w:rPr>
      </w:pPr>
      <w:r>
        <w:rPr>
          <w:rFonts w:ascii="Arial" w:cs="Arial" w:eastAsia="Arial" w:hAnsi="Arial"/>
          <w:sz w:val="18"/>
          <w:szCs w:val="18"/>
          <w:color w:val="auto"/>
        </w:rPr>
        <w:t>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800" w:firstLine="576"/>
        <w:spacing w:after="0" w:line="276" w:lineRule="auto"/>
        <w:rPr>
          <w:sz w:val="20"/>
          <w:szCs w:val="20"/>
          <w:color w:val="auto"/>
        </w:rPr>
      </w:pPr>
      <w:r>
        <w:rPr>
          <w:rFonts w:ascii="Arial" w:cs="Arial" w:eastAsia="Arial" w:hAnsi="Arial"/>
          <w:sz w:val="18"/>
          <w:szCs w:val="18"/>
          <w:color w:val="auto"/>
        </w:rPr>
        <w:t>During the six months ended June 30, 2020, net cash provided by investing activities was $3,000. This consisted of principal payments received from related party note receivable.</w:t>
      </w:r>
    </w:p>
    <w:p>
      <w:pPr>
        <w:spacing w:after="0" w:line="145"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During the six months ended June 30, 2019, net cash provided by investing activities was $0.5 million. This consisted primarily of $1.5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During the year ended December 31, 2018, net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During the six months ended June 30, 2020, net cash provided by financing activities was $87.1 million. This consisted primarily of net proceeds received from the issuance of our Series B convertible preferred stock and common stock warrants of $85.4 million, $1.7 million from the issuance of our convertible notes, and to a lesser extent from exercises of stock options.</w:t>
      </w:r>
    </w:p>
    <w:p>
      <w:pPr>
        <w:spacing w:after="0" w:line="164"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During the six months ended June 30, 2019, net cash provided by financing activities of $0.2 million. This consisted primarily of proceeds from the issuance of our convertible notes.</w:t>
      </w:r>
    </w:p>
    <w:p>
      <w:pPr>
        <w:spacing w:after="0" w:line="145"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During the year ended December 31, 2019, net cash provided in financing activities was $0.9 million. This consisted primarily of net proceeds received from the issuance of our convertible notes of $0.9 million and to a lesser extent from exercises of stock options.</w:t>
      </w:r>
    </w:p>
    <w:p>
      <w:pPr>
        <w:spacing w:after="0" w:line="145"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During the year ended December 31, 2018, net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3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800" w:type="dxa"/>
            <w:vAlign w:val="bottom"/>
          </w:tcPr>
          <w:p>
            <w:pPr>
              <w:jc w:val="right"/>
              <w:ind w:right="241"/>
              <w:spacing w:after="0" w:line="154"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440"/>
              <w:spacing w:after="0" w:line="154" w:lineRule="exact"/>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More than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promissory notes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82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3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77"/>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38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103" w:name="page104"/>
    <w:bookmarkEnd w:id="103"/>
    <w:p>
      <w:pPr>
        <w:ind w:right="60" w:firstLine="576"/>
        <w:spacing w:after="0" w:line="245" w:lineRule="auto"/>
        <w:rPr>
          <w:sz w:val="20"/>
          <w:szCs w:val="20"/>
          <w:color w:val="auto"/>
        </w:rPr>
      </w:pPr>
      <w:r>
        <w:rPr>
          <w:rFonts w:ascii="Arial" w:cs="Arial" w:eastAsia="Arial" w:hAnsi="Arial"/>
          <w:sz w:val="18"/>
          <w:szCs w:val="18"/>
          <w:color w:val="auto"/>
        </w:rPr>
        <w:t>We issued unsecured convertible promissory notes with aggregate principal amounts of $1.3 million and $0.9 million in 2018 and 2019, respectively. The convertible notes accrued interest at 5.0% per year with principal and interest due at maturity. The convertible notes automatically convert upon a qualified financing event at a conversion price equal to 85% of the price per share of the qualified financing. In May 2020, the outstanding principal balance of the convertible notes of $2.2 million and accrued interest of $0.1 million converted into 294,197 shares of our Series B-1 convertible preferred stock.</w:t>
      </w:r>
    </w:p>
    <w:p>
      <w:pPr>
        <w:spacing w:after="0" w:line="172" w:lineRule="exact"/>
        <w:rPr>
          <w:sz w:val="20"/>
          <w:szCs w:val="20"/>
          <w:color w:val="auto"/>
        </w:rPr>
      </w:pPr>
    </w:p>
    <w:p>
      <w:pPr>
        <w:jc w:val="both"/>
        <w:ind w:right="400" w:firstLine="576"/>
        <w:spacing w:after="0" w:line="255" w:lineRule="auto"/>
        <w:rPr>
          <w:sz w:val="20"/>
          <w:szCs w:val="20"/>
          <w:color w:val="auto"/>
        </w:rPr>
      </w:pPr>
      <w:r>
        <w:rPr>
          <w:rFonts w:ascii="Arial" w:cs="Arial" w:eastAsia="Arial" w:hAnsi="Arial"/>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received an aggregate of $0.8 million in grants from the LSDF. In connection with the agreements, LSDF retained the right to receive cash payments of up to 2.0 times the amounts received, or $1.5 million, upon the occurrence of specified triggering events, including an initial public offering. We carry a liability on our balance sheet equal to the fair value of this repayment obligation. As of December 31, 2019 and June 30, 2020, we were unable to estimate with certainty the timing or likelihood of achieving any such milestones or triggering events, or making future product sales and, therefore, any related payments are not separately presented within our contractual obligations. For additional information regarding these agreements, including our payment obligations thereunder, see the sections of this prospectus titled “—Our Collaboration and Grant Agreements,” “Business—Our Collaboration and Grant Agreements,” as well as our financial statements and related notes included elsewhere in this prospectus.</w:t>
      </w:r>
    </w:p>
    <w:p>
      <w:pPr>
        <w:spacing w:after="0" w:line="180" w:lineRule="exact"/>
        <w:rPr>
          <w:sz w:val="20"/>
          <w:szCs w:val="20"/>
          <w:color w:val="auto"/>
        </w:rPr>
      </w:pPr>
    </w:p>
    <w:p>
      <w:pPr>
        <w:jc w:val="both"/>
        <w:ind w:right="660" w:firstLine="576"/>
        <w:spacing w:after="0" w:line="255" w:lineRule="auto"/>
        <w:rPr>
          <w:sz w:val="20"/>
          <w:szCs w:val="20"/>
          <w:color w:val="auto"/>
        </w:rPr>
      </w:pPr>
      <w:r>
        <w:rPr>
          <w:rFonts w:ascii="Arial" w:cs="Arial" w:eastAsia="Arial" w:hAnsi="Arial"/>
          <w:sz w:val="18"/>
          <w:szCs w:val="18"/>
          <w:color w:val="auto"/>
        </w:rPr>
        <w:t>We enter into agreements in the normal course of business with contract manufacturing organizations and contract research organizations for clinical trials, preclinical studies, manufacturing, and other services and products for operating purposes, which are generally cancelable upon written notice. These obligations and commitments are also not are not separately presented here within.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104" w:name="page105"/>
    <w:bookmarkEnd w:id="104"/>
    <w:p>
      <w:pPr>
        <w:spacing w:after="0" w:line="255" w:lineRule="auto"/>
        <w:rPr>
          <w:sz w:val="20"/>
          <w:szCs w:val="20"/>
          <w:color w:val="auto"/>
        </w:rPr>
      </w:pPr>
      <w:r>
        <w:rPr>
          <w:rFonts w:ascii="Arial" w:cs="Arial" w:eastAsia="Arial" w:hAnsi="Arial"/>
          <w:sz w:val="18"/>
          <w:szCs w:val="18"/>
          <w:color w:val="auto"/>
        </w:rPr>
        <w:t>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Freestanding warrants to purchase shares of our convertible preferred stock are accounted for as liabilities at fair value, because the shares underlying the warrants contain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We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audited financial statements and Note 6 to our unaudited interim condensed financial statements included elsewhere in this prospectus,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However, total payments under the agreements will not exceed $1.5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 During the six months ended June 30, 2020, we recognized $22,000 in grant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45"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2"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37" w:lineRule="exact"/>
        <w:rPr>
          <w:sz w:val="20"/>
          <w:szCs w:val="20"/>
          <w:color w:val="auto"/>
        </w:rPr>
      </w:pPr>
    </w:p>
    <w:p>
      <w:pPr>
        <w:ind w:left="1300" w:hanging="442"/>
        <w:spacing w:after="0"/>
        <w:tabs>
          <w:tab w:leader="none" w:pos="13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have been privately held and do not have any trading history for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67"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54"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46" w:lineRule="exact"/>
        <w:rPr>
          <w:sz w:val="20"/>
          <w:szCs w:val="20"/>
          <w:color w:val="auto"/>
        </w:rPr>
      </w:pPr>
    </w:p>
    <w:p>
      <w:pPr>
        <w:ind w:right="300" w:firstLine="576"/>
        <w:spacing w:after="0" w:line="245" w:lineRule="auto"/>
        <w:rPr>
          <w:sz w:val="20"/>
          <w:szCs w:val="20"/>
          <w:color w:val="auto"/>
        </w:rPr>
      </w:pPr>
      <w:r>
        <w:rPr>
          <w:rFonts w:ascii="Arial" w:cs="Arial" w:eastAsia="Arial" w:hAnsi="Arial"/>
          <w:sz w:val="18"/>
          <w:szCs w:val="18"/>
          <w:color w:val="auto"/>
        </w:rPr>
        <w:t>See Note 12 to our audited financial statements and Note 11 to our unaudited interim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2"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We recorded stock-based compensation expense of $0.2 million and $ 0.3 million for the years ended December 31, 2018 and 2019, respectively, and $0.1 million for each of the six months ended June 30, 2019 and 2020. As of June 30, 2020, there was $ 0.3 million of total unrecognized stock-based compensation expense related to unvested stock options which we expect to recognize over a remaining weighted-average period of 1.23 years. We expect to continue to grant stock options and other equity-based awards in the future, and to the extent that we do, our stock-based compensation expense recognized in future periods will likely increase.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ind w:firstLine="576"/>
        <w:spacing w:after="0" w:line="255" w:lineRule="auto"/>
        <w:rPr>
          <w:sz w:val="20"/>
          <w:szCs w:val="20"/>
          <w:color w:val="auto"/>
        </w:rPr>
      </w:pPr>
      <w:r>
        <w:rPr>
          <w:rFonts w:ascii="Arial" w:cs="Arial" w:eastAsia="Arial" w:hAnsi="Arial"/>
          <w:sz w:val="18"/>
          <w:szCs w:val="18"/>
          <w:color w:val="auto"/>
        </w:rPr>
        <w:t>The intrinsic value of all outstanding options as of June 30, 2020 was $18.8 million based on an assumed initial public offering price of $16.00 per share, the midpoint of the price range set forth on the cover of this prospectus, of which approximately $12.0 million is related to vested options and approximately $6.8 million is related to unvested options.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 xml:space="preserve">Historically, for all periods prior to this offering, since there has been no public market of our common stock to date,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 but are not limited to:</w:t>
      </w:r>
    </w:p>
    <w:p>
      <w:pPr>
        <w:spacing w:after="0" w:line="71" w:lineRule="exact"/>
        <w:rPr>
          <w:sz w:val="20"/>
          <w:szCs w:val="20"/>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our stage of development and material risks related to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conditions and projections;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as a private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of key personnel and the experience of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developments in our industry;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17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7" w:name="page108"/>
    <w:bookmarkEnd w:id="107"/>
    <w:p>
      <w:pPr>
        <w:ind w:right="340" w:firstLine="576"/>
        <w:spacing w:after="0" w:line="276" w:lineRule="auto"/>
        <w:rPr>
          <w:sz w:val="20"/>
          <w:szCs w:val="20"/>
          <w:color w:val="auto"/>
        </w:rPr>
      </w:pPr>
      <w:r>
        <w:rPr>
          <w:rFonts w:ascii="Arial" w:cs="Arial" w:eastAsia="Arial" w:hAnsi="Arial"/>
          <w:sz w:val="18"/>
          <w:szCs w:val="18"/>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4" w:lineRule="exact"/>
        <w:rPr>
          <w:sz w:val="20"/>
          <w:szCs w:val="20"/>
          <w:color w:val="auto"/>
        </w:rPr>
      </w:pPr>
    </w:p>
    <w:p>
      <w:pPr>
        <w:ind w:right="120" w:firstLine="576"/>
        <w:spacing w:after="0" w:line="306"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23"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See Note 2 to our audited financial statements and our unaudited interim condensed financial statements included elsewhere in this prospectus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had cash and cash equivalents of $85.2 million as of June 30, 2020, respectively. Our exposure to interest rate risk is not significant and a hypothetical 10% change in interest rates during any of the periods presented would not have had a material impact on our financial statements included elsewhere in this prospectus.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280" w:firstLine="576"/>
        <w:spacing w:after="0" w:line="245" w:lineRule="auto"/>
        <w:rPr>
          <w:sz w:val="20"/>
          <w:szCs w:val="20"/>
          <w:color w:val="auto"/>
        </w:rPr>
      </w:pPr>
      <w:r>
        <w:rPr>
          <w:rFonts w:ascii="Arial" w:cs="Arial" w:eastAsia="Arial" w:hAnsi="Arial"/>
          <w:sz w:val="18"/>
          <w:szCs w:val="18"/>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08" w:name="page109"/>
    <w:bookmarkEnd w:id="108"/>
    <w:p>
      <w:pPr>
        <w:ind w:right="100"/>
        <w:spacing w:after="0" w:line="276" w:lineRule="auto"/>
        <w:rPr>
          <w:sz w:val="20"/>
          <w:szCs w:val="20"/>
          <w:color w:val="auto"/>
        </w:rPr>
      </w:pPr>
      <w:r>
        <w:rPr>
          <w:rFonts w:ascii="Arial" w:cs="Arial" w:eastAsia="Arial" w:hAnsi="Arial"/>
          <w:sz w:val="18"/>
          <w:szCs w:val="18"/>
          <w:color w:val="auto"/>
        </w:rPr>
        <w:t>quarter of 2020, we established an Australian subsidiary to facilitate the ACT-AD P300 Phase 2 clinical trial. As a result, our exposure to the foreign currencies, particularly the Australian dollar, will increase.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4"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191"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211"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183"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10" w:name="page111"/>
    <w:bookmarkEnd w:id="110"/>
    <w:p>
      <w:pPr>
        <w:ind w:right="340" w:firstLine="576"/>
        <w:spacing w:after="0" w:line="24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170"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are pioneering the use of small molecules that are designed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It is our goal to establish in future clinical trials that our ATH platform, which is designed to enhance the body’s repair mechanism of HGF/MET, can potentially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disorders such as depression and anxiety.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are suitable for subcutaneous or oral route of administration.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06"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Our leadership team includes experienced neuroscience biotech executives who have both developed and commercialized CNS drugs and founded successful companies. Dr.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17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Our advisory board is a world-class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qEEG, ERP P300 latency, and cognitive and behavioral paradigms. Dr. Sabbagh, the Director of Cleveland Clinic Lou Ruvo Center for Brain Health, is considered to be one of the leading experts in AD and dementia.</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Our Pipeline</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308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4035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RoA: route of administration; SC: subcutaneous; PO: oral.</w:t>
      </w:r>
    </w:p>
    <w:p>
      <w:pPr>
        <w:spacing w:after="0" w:line="103" w:lineRule="exact"/>
        <w:rPr>
          <w:rFonts w:ascii="Arial" w:cs="Arial" w:eastAsia="Arial" w:hAnsi="Arial"/>
          <w:sz w:val="18"/>
          <w:szCs w:val="18"/>
          <w:color w:val="auto"/>
        </w:rPr>
      </w:pPr>
    </w:p>
    <w:p>
      <w:pPr>
        <w:ind w:left="440" w:right="100" w:hanging="432"/>
        <w:spacing w:after="0" w:line="276" w:lineRule="auto"/>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ATH-1017 for AD is moving from Phase 1b to a Phase 2/3 clinical trial that may provide pivotal data in support of registration based on discussions with FDA.</w:t>
      </w:r>
    </w:p>
    <w:p>
      <w:pPr>
        <w:spacing w:after="0" w:line="36" w:lineRule="exact"/>
        <w:rPr>
          <w:rFonts w:ascii="Arial" w:cs="Arial" w:eastAsia="Arial" w:hAnsi="Arial"/>
          <w:sz w:val="18"/>
          <w:szCs w:val="18"/>
          <w:color w:val="auto"/>
        </w:rPr>
      </w:pPr>
    </w:p>
    <w:p>
      <w:pPr>
        <w:ind w:left="440" w:right="40" w:hanging="432"/>
        <w:spacing w:after="0" w:line="255" w:lineRule="auto"/>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972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50" w:lineRule="exact"/>
        <w:rPr>
          <w:sz w:val="20"/>
          <w:szCs w:val="20"/>
          <w:color w:val="auto"/>
        </w:rPr>
      </w:pPr>
    </w:p>
    <w:p>
      <w:pPr>
        <w:ind w:left="1300" w:hanging="442"/>
        <w:spacing w:after="0" w:line="248"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ATH-1017 through clinical development for AD</w:t>
      </w:r>
      <w:r>
        <w:rPr>
          <w:rFonts w:ascii="Arial" w:cs="Arial" w:eastAsia="Arial" w:hAnsi="Arial"/>
          <w:sz w:val="18"/>
          <w:szCs w:val="18"/>
          <w:color w:val="auto"/>
        </w:rPr>
        <w:t>. We believe ATH-1017 has the potential to rapidly improve 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durably improve the lives of the millions of people suffering from AD who currently have limited therapeutic options. We have initiated one clinical trial for AD in September 2020 and plan to initiate an additional clinical trial for AD by the end of 2020 to potentially accelerate our development timelines and further inform our</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12" w:name="page113"/>
    <w:bookmarkEnd w:id="112"/>
    <w:p>
      <w:pPr>
        <w:ind w:left="1300" w:right="20"/>
        <w:spacing w:after="0" w:line="211" w:lineRule="exact"/>
        <w:rPr>
          <w:sz w:val="20"/>
          <w:szCs w:val="20"/>
          <w:color w:val="auto"/>
        </w:rPr>
      </w:pPr>
      <w:r>
        <w:rPr>
          <w:rFonts w:ascii="Arial" w:cs="Arial" w:eastAsia="Arial" w:hAnsi="Arial"/>
          <w:sz w:val="18"/>
          <w:szCs w:val="18"/>
          <w:color w:val="auto"/>
        </w:rPr>
        <w:t>development decisions. The first of these clinical trials is LIFT-AD, our Phase 2/3 clinical trial evaluating the holistic impact of ATH-1017, initiated in September 2020 with topline results expected by the end of 2022, which results may provide pivotal data in support of registration. The second clinical trial will be our ACT</w:t>
      </w:r>
      <w:r>
        <w:rPr>
          <w:rFonts w:ascii="MS PGothic" w:cs="MS PGothic" w:eastAsia="MS PGothic" w:hAnsi="MS PGothic"/>
          <w:sz w:val="18"/>
          <w:szCs w:val="18"/>
          <w:color w:val="auto"/>
        </w:rPr>
        <w:t>‑</w:t>
      </w:r>
      <w:r>
        <w:rPr>
          <w:rFonts w:ascii="Arial" w:cs="Arial" w:eastAsia="Arial" w:hAnsi="Arial"/>
          <w:sz w:val="18"/>
          <w:szCs w:val="18"/>
          <w:color w:val="auto"/>
        </w:rPr>
        <w:t xml:space="preserve"> AD P300 Phase 2 clinical trial for AD evaluating the overall effects of ATH-1017 on working memory processing speed and cognitive measures, expected to be initiated by the end of 2020 with topline results expected by early 2022.</w:t>
      </w:r>
    </w:p>
    <w:p>
      <w:pPr>
        <w:spacing w:after="0" w:line="176" w:lineRule="exact"/>
        <w:rPr>
          <w:sz w:val="20"/>
          <w:szCs w:val="20"/>
          <w:color w:val="auto"/>
        </w:rPr>
      </w:pPr>
    </w:p>
    <w:p>
      <w:pPr>
        <w:ind w:left="1300" w:hanging="442"/>
        <w:spacing w:after="0" w:line="241" w:lineRule="auto"/>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177" w:lineRule="exact"/>
        <w:rPr>
          <w:rFonts w:ascii="Times New Roman" w:cs="Times New Roman" w:eastAsia="Times New Roman" w:hAnsi="Times New Roman"/>
          <w:sz w:val="18"/>
          <w:szCs w:val="18"/>
          <w:color w:val="auto"/>
        </w:rPr>
      </w:pPr>
    </w:p>
    <w:p>
      <w:pPr>
        <w:ind w:left="1300" w:right="120" w:hanging="442"/>
        <w:spacing w:after="0" w:line="244" w:lineRule="auto"/>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cognitive processing and function, coupled with measures of brain function with EEG and ERP, allowing for more efficient and cost-effective clinical trials.</w:t>
      </w:r>
    </w:p>
    <w:p>
      <w:pPr>
        <w:spacing w:after="0" w:line="17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179" w:lineRule="exact"/>
        <w:rPr>
          <w:rFonts w:ascii="Times New Roman" w:cs="Times New Roman" w:eastAsia="Times New Roman" w:hAnsi="Times New Roman"/>
          <w:sz w:val="18"/>
          <w:szCs w:val="18"/>
          <w:color w:val="auto"/>
        </w:rPr>
      </w:pPr>
    </w:p>
    <w:p>
      <w:pPr>
        <w:ind w:left="1300" w:hanging="442"/>
        <w:spacing w:after="0" w:line="248" w:lineRule="auto"/>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164" w:lineRule="exact"/>
        <w:rPr>
          <w:sz w:val="20"/>
          <w:szCs w:val="20"/>
          <w:color w:val="auto"/>
        </w:rPr>
      </w:pPr>
    </w:p>
    <w:p>
      <w:pPr>
        <w:ind w:right="40" w:firstLine="576"/>
        <w:spacing w:after="0" w:line="268"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13" w:name="page114"/>
    <w:bookmarkEnd w:id="113"/>
    <w:p>
      <w:pPr>
        <w:ind w:right="200" w:firstLine="576"/>
        <w:spacing w:after="0" w:line="243"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17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04" w:lineRule="exact"/>
        <w:rPr>
          <w:sz w:val="20"/>
          <w:szCs w:val="20"/>
          <w:color w:val="auto"/>
        </w:rPr>
      </w:pPr>
    </w:p>
    <w:p>
      <w:pPr>
        <w:ind w:right="240" w:firstLine="576"/>
        <w:spacing w:after="0" w:line="268"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14" w:name="page115"/>
    <w:bookmarkEnd w:id="114"/>
    <w:p>
      <w:pPr>
        <w:ind w:firstLine="576"/>
        <w:spacing w:after="0" w:line="243"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 downstream effects of the HGF/MET system play critical roles in maintaining healthy connectivity and brain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-12065</wp:posOffset>
            </wp:positionV>
            <wp:extent cx="4543425" cy="6420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43425" cy="642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5" w:name="page116"/>
    <w:bookmarkEnd w:id="115"/>
    <w:p>
      <w:pPr>
        <w:ind w:firstLine="576"/>
        <w:spacing w:after="0" w:line="24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17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74"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1847215</wp:posOffset>
            </wp:positionV>
            <wp:extent cx="7283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227330</wp:posOffset>
            </wp:positionV>
            <wp:extent cx="814070" cy="1534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407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Hokama et al., 2014</w:t>
      </w:r>
      <w:r>
        <w:rPr>
          <w:rFonts w:ascii="Arial" w:cs="Arial" w:eastAsia="Arial" w:hAnsi="Arial"/>
          <w:sz w:val="14"/>
          <w:szCs w:val="14"/>
          <w:color w:val="auto"/>
        </w:rPr>
        <w:t>.</w:t>
      </w:r>
    </w:p>
    <w:p>
      <w:pPr>
        <w:spacing w:after="0" w:line="207"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16" w:name="page117"/>
    <w:bookmarkEnd w:id="116"/>
    <w:p>
      <w:pPr>
        <w:ind w:right="20" w:firstLine="576"/>
        <w:spacing w:after="0" w:line="245"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20"/>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20"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tcPr>
          <w:p>
            <w:pPr>
              <w:spacing w:after="0"/>
              <w:rPr>
                <w:sz w:val="11"/>
                <w:szCs w:val="11"/>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27"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2"/>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193"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7" w:name="page118"/>
    <w:bookmarkEnd w:id="117"/>
    <w:p>
      <w:pPr>
        <w:ind w:firstLine="57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56" w:lineRule="exact"/>
        <w:rPr>
          <w:sz w:val="20"/>
          <w:szCs w:val="20"/>
          <w:color w:val="auto"/>
        </w:rPr>
      </w:pPr>
    </w:p>
    <w:p>
      <w:pPr>
        <w:ind w:left="1300" w:hanging="442"/>
        <w:spacing w:after="0" w:line="248"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169" w:lineRule="exact"/>
        <w:rPr>
          <w:rFonts w:ascii="Times New Roman" w:cs="Times New Roman" w:eastAsia="Times New Roman" w:hAnsi="Times New Roman"/>
          <w:sz w:val="18"/>
          <w:szCs w:val="18"/>
          <w:color w:val="auto"/>
        </w:rPr>
      </w:pPr>
    </w:p>
    <w:p>
      <w:pPr>
        <w:ind w:left="1300" w:right="100" w:hanging="442"/>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162"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46" w:lineRule="exact"/>
        <w:rPr>
          <w:sz w:val="20"/>
          <w:szCs w:val="20"/>
          <w:color w:val="auto"/>
        </w:rPr>
      </w:pPr>
    </w:p>
    <w:p>
      <w:pPr>
        <w:jc w:val="both"/>
        <w:ind w:right="180" w:firstLine="576"/>
        <w:spacing w:after="0" w:line="255" w:lineRule="auto"/>
        <w:rPr>
          <w:sz w:val="20"/>
          <w:szCs w:val="20"/>
          <w:color w:val="auto"/>
        </w:rPr>
      </w:pPr>
      <w:r>
        <w:rPr>
          <w:rFonts w:ascii="Arial" w:cs="Arial" w:eastAsia="Arial" w:hAnsi="Arial"/>
          <w:sz w:val="18"/>
          <w:szCs w:val="18"/>
          <w:color w:val="auto"/>
        </w:rPr>
        <w:t>It is our goal to establish in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164" w:lineRule="exact"/>
        <w:rPr>
          <w:sz w:val="20"/>
          <w:szCs w:val="20"/>
          <w:color w:val="auto"/>
        </w:rPr>
      </w:pPr>
    </w:p>
    <w:p>
      <w:pPr>
        <w:jc w:val="both"/>
        <w:ind w:right="180" w:firstLine="576"/>
        <w:spacing w:after="0" w:line="27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8" w:name="page119"/>
    <w:bookmarkEnd w:id="118"/>
    <w:p>
      <w:pPr>
        <w:ind w:right="360" w:firstLine="576"/>
        <w:spacing w:after="0" w:line="274" w:lineRule="auto"/>
        <w:rPr>
          <w:sz w:val="20"/>
          <w:szCs w:val="20"/>
          <w:color w:val="auto"/>
        </w:rPr>
      </w:pPr>
      <w:r>
        <w:rPr>
          <w:rFonts w:ascii="Arial" w:cs="Arial" w:eastAsia="Arial" w:hAnsi="Arial"/>
          <w:sz w:val="18"/>
          <w:szCs w:val="18"/>
          <w:i w:val="1"/>
          <w:iCs w:val="1"/>
          <w:color w:val="auto"/>
        </w:rPr>
        <w:t>Figure 5.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107315</wp:posOffset>
            </wp:positionV>
            <wp:extent cx="5340350" cy="40462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035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6 below illustrates the typical timing of the different beneficial effects as an outcome of activating the HGF/MET system.</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86" w:right="459" w:bottom="1440" w:gutter="0" w:footer="0" w:header="0"/>
        </w:sectPr>
      </w:pPr>
    </w:p>
    <w:bookmarkStart w:id="119" w:name="page120"/>
    <w:bookmarkEnd w:id="119"/>
    <w:p>
      <w:pPr>
        <w:ind w:right="100" w:firstLine="576"/>
        <w:spacing w:after="0" w:line="247" w:lineRule="auto"/>
        <w:rPr>
          <w:sz w:val="20"/>
          <w:szCs w:val="20"/>
          <w:color w:val="auto"/>
        </w:rPr>
      </w:pPr>
      <w:r>
        <w:rPr>
          <w:rFonts w:ascii="Arial" w:cs="Arial" w:eastAsia="Arial" w:hAnsi="Arial"/>
          <w:sz w:val="18"/>
          <w:szCs w:val="18"/>
          <w:i w:val="1"/>
          <w:iCs w:val="1"/>
          <w:color w:val="auto"/>
        </w:rPr>
        <w:t xml:space="preserve">Figure 6. Our ATH Candidates Are Designed to Promote the HGF/MET System Which May Lead to Both Rapid and Long-term Beneficial Effects. </w:t>
      </w:r>
      <w:r>
        <w:rPr>
          <w:rFonts w:ascii="Arial" w:cs="Arial" w:eastAsia="Arial" w:hAnsi="Arial"/>
          <w:sz w:val="18"/>
          <w:szCs w:val="18"/>
          <w:color w:val="auto"/>
        </w:rPr>
        <w:t>We believe that following administration of ATH-1017, the HGF/MET system will activate and lead to several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We anticipate that these effects 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123825</wp:posOffset>
            </wp:positionV>
            <wp:extent cx="5340350" cy="22371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035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20" w:name="page121"/>
    <w:bookmarkEnd w:id="120"/>
    <w:p>
      <w:pPr>
        <w:ind w:right="60" w:firstLine="576"/>
        <w:spacing w:after="0" w:line="24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cognitive processing, we believe we will be able to develop ATH-1017 more efficiently for treatment of AD and broader dementia.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02"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7630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035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1" w:name="page122"/>
    <w:bookmarkEnd w:id="121"/>
    <w:p>
      <w:pPr>
        <w:ind w:right="320"/>
        <w:spacing w:after="0" w:line="255" w:lineRule="auto"/>
        <w:rPr>
          <w:sz w:val="20"/>
          <w:szCs w:val="20"/>
          <w:color w:val="auto"/>
        </w:rPr>
      </w:pPr>
      <w:r>
        <w:rPr>
          <w:rFonts w:ascii="Arial" w:cs="Arial" w:eastAsia="Arial" w:hAnsi="Arial"/>
          <w:sz w:val="18"/>
          <w:szCs w:val="18"/>
          <w:color w:val="auto"/>
        </w:rPr>
        <w:t>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7630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035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bookmarkStart w:id="122" w:name="page123"/>
    <w:bookmarkEnd w:id="122"/>
    <w:p>
      <w:pPr>
        <w:spacing w:after="0" w:line="255" w:lineRule="auto"/>
        <w:rPr>
          <w:sz w:val="20"/>
          <w:szCs w:val="20"/>
          <w:color w:val="auto"/>
        </w:rPr>
      </w:pPr>
      <w:r>
        <w:rPr>
          <w:rFonts w:ascii="Arial" w:cs="Arial" w:eastAsia="Arial" w:hAnsi="Arial"/>
          <w:sz w:val="18"/>
          <w:szCs w:val="18"/>
          <w:color w:val="auto"/>
        </w:rPr>
        <w:t>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147320</wp:posOffset>
            </wp:positionV>
            <wp:extent cx="4663440" cy="3008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634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10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10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ATH-1017 study. Both drugs showed a modest improvement in P300 latency, with donepezil demonstrating an improvement of 16 ms and rivastigmine demonstrating an improvement of 22 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123" w:name="page124"/>
    <w:bookmarkEnd w:id="123"/>
    <w:p>
      <w:pPr>
        <w:ind w:left="580"/>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6240780" cy="5589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4078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Adapted from Thomas et al., 2001.</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Figure 11, below, summarizes the correlation between P300 latency and changes in cognition in studies involving approved therapies.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24" w:name="page125"/>
    <w:bookmarkEnd w:id="124"/>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14745" cy="18948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14745"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recruited in the study, including 11 subjects with mild-to-moderate AD, who were assigned to treatment and control groups. Additionally, ATH-1017 treatment led to improvements in brain network activity that indicated potentially positive effects on brain function. In the AD subjects, multiple dosing of ATH-1017 significantly improved P300 latency. P300 latency is a functional measure that is highly correlated with cognition. It is our goal to establish in future clinical trials that administration of ATH-1017 is effective in promoting cognitive improvement. We identified ATH-1017 in 2016 and less than five years later, we are planning to initiate our Phase 2/3 LIFT-AD trial, which has the potential to provide pivotal data in support of registration. In September 2020, we began site initiation and patient screening for our LIFT-AD clinical trial for ATH-1017 for the treatment of mild-to-moderate AD, with topline results expected by the end of 2022. By the end of 2020, we also plan to initiate ACT-AD,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ATH-1017 has the potential to provide meaningful benefit to individuals impacted by AD and substantially enhance overall quality of life for the subjects and their families.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64" w:lineRule="exact"/>
        <w:rPr>
          <w:sz w:val="20"/>
          <w:szCs w:val="20"/>
          <w:color w:val="auto"/>
        </w:rPr>
      </w:pPr>
    </w:p>
    <w:p>
      <w:pPr>
        <w:ind w:left="1300" w:hanging="442"/>
        <w:spacing w:after="0"/>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224"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56" w:lineRule="exact"/>
        <w:rPr>
          <w:sz w:val="20"/>
          <w:szCs w:val="20"/>
          <w:color w:val="auto"/>
        </w:rPr>
      </w:pPr>
    </w:p>
    <w:p>
      <w:pPr>
        <w:ind w:right="160" w:firstLine="576"/>
        <w:spacing w:after="0" w:line="274" w:lineRule="auto"/>
        <w:rPr>
          <w:sz w:val="20"/>
          <w:szCs w:val="20"/>
          <w:color w:val="auto"/>
        </w:rPr>
      </w:pPr>
      <w:r>
        <w:rPr>
          <w:rFonts w:ascii="Arial" w:cs="Arial" w:eastAsia="Arial" w:hAnsi="Arial"/>
          <w:sz w:val="18"/>
          <w:szCs w:val="18"/>
          <w:i w:val="1"/>
          <w:iCs w:val="1"/>
          <w:color w:val="auto"/>
        </w:rPr>
        <w:t>Figure 12.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107315</wp:posOffset>
            </wp:positionV>
            <wp:extent cx="5340350" cy="3068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03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13.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qEEG and ERP as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13.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32095" cy="21170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3209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as shown in Figure 14, the PK profile is compelling, with linear dose relationship, no accumulation, and no sex or age effect. We did not have any subject dropout due to serious adverse events during these clinical trials.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14.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164465</wp:posOffset>
            </wp:positionV>
            <wp:extent cx="5332095" cy="16459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3209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 standards, and who were determined at the investigators’ discretion to be generally in good health as determined by medical history, vital signs, and physical and clinical examination.</w:t>
      </w:r>
    </w:p>
    <w:p>
      <w:pPr>
        <w:spacing w:after="0" w:line="199"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 decreased in AD subjects. ATH-1017 showed dose-dependent and consistent changes in gamma brain activity signals across all treated cohorts, consistent with the changes observed in non-clinical models.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15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15 below was excluded from analysis due to an inability to capture or analyze data as a result of technical issues such as electrode placement or subject movement. All AD subjects’ data were captured at all data points.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164465</wp:posOffset>
            </wp:positionV>
            <wp:extent cx="4594860" cy="17487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9486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16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147320</wp:posOffset>
            </wp:positionV>
            <wp:extent cx="4526280" cy="21088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262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17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17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17.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164465</wp:posOffset>
            </wp:positionV>
            <wp:extent cx="3042920" cy="4972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429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0" w:right="39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1588135</wp:posOffset>
            </wp:positionH>
            <wp:positionV relativeFrom="page">
              <wp:posOffset>243205</wp:posOffset>
            </wp:positionV>
            <wp:extent cx="4337685" cy="1688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433768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0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18-20. P300 latency, a functional measure of working memory processing speed and executive function that highly correlates with cognition, was dramatically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Figure 18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183"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i w:val="1"/>
          <w:iCs w:val="1"/>
          <w:color w:val="auto"/>
        </w:rPr>
        <w:t xml:space="preserve">Figure 18.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106680</wp:posOffset>
            </wp:positionV>
            <wp:extent cx="5332095" cy="2168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320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jc w:val="both"/>
        <w:ind w:firstLine="576"/>
        <w:spacing w:after="0" w:line="254" w:lineRule="auto"/>
        <w:rPr>
          <w:sz w:val="20"/>
          <w:szCs w:val="20"/>
          <w:color w:val="auto"/>
        </w:rPr>
      </w:pPr>
      <w:r>
        <w:rPr>
          <w:rFonts w:ascii="Arial" w:cs="Arial" w:eastAsia="Arial" w:hAnsi="Arial"/>
          <w:sz w:val="18"/>
          <w:szCs w:val="18"/>
          <w:i w:val="1"/>
          <w:iCs w:val="1"/>
          <w:color w:val="auto"/>
        </w:rPr>
        <w:t xml:space="preserve">Figure 19.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135890</wp:posOffset>
            </wp:positionV>
            <wp:extent cx="5109210" cy="26657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0921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0" w:firstLine="576"/>
        <w:spacing w:after="0" w:line="254" w:lineRule="auto"/>
        <w:rPr>
          <w:sz w:val="20"/>
          <w:szCs w:val="20"/>
          <w:color w:val="auto"/>
        </w:rPr>
      </w:pPr>
      <w:r>
        <w:rPr>
          <w:rFonts w:ascii="Arial" w:cs="Arial" w:eastAsia="Arial" w:hAnsi="Arial"/>
          <w:sz w:val="18"/>
          <w:szCs w:val="18"/>
          <w:i w:val="1"/>
          <w:iCs w:val="1"/>
          <w:color w:val="auto"/>
        </w:rPr>
        <w:t>Figure 20.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135890</wp:posOffset>
            </wp:positionV>
            <wp:extent cx="3840480" cy="29832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4048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02" w:right="3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i w:val="1"/>
          <w:iCs w:val="1"/>
          <w:color w:val="auto"/>
        </w:rPr>
        <w:t>Safety</w:t>
      </w:r>
    </w:p>
    <w:p>
      <w:pPr>
        <w:spacing w:after="0" w:line="10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recruited in the study, including 11 subjects with mild-to-moderate AD, who were assigned to treatment and control groups.</w:t>
      </w:r>
    </w:p>
    <w:p>
      <w:pPr>
        <w:spacing w:after="0" w:line="16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172"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 easy to administer for patients and/or caregivers while being generally well tolerated. With the progression of neurodegenerative disorders, oral administration can become challenging as:</w:t>
      </w:r>
    </w:p>
    <w:p>
      <w:pPr>
        <w:spacing w:after="0" w:line="66" w:lineRule="exact"/>
        <w:rPr>
          <w:sz w:val="20"/>
          <w:szCs w:val="20"/>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safe swallowing often becomes increasingly difficult;</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resistance to care can also impact compliance.</w:t>
      </w:r>
    </w:p>
    <w:p>
      <w:pPr>
        <w:spacing w:after="0" w:line="22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32" w:name="page133"/>
    <w:bookmarkEnd w:id="132"/>
    <w:p>
      <w:pPr>
        <w:ind w:right="80"/>
        <w:spacing w:after="0" w:line="241" w:lineRule="auto"/>
        <w:rPr>
          <w:sz w:val="20"/>
          <w:szCs w:val="20"/>
          <w:color w:val="auto"/>
        </w:rPr>
      </w:pPr>
      <w:r>
        <w:rPr>
          <w:rFonts w:ascii="Arial" w:cs="Arial" w:eastAsia="Arial" w:hAnsi="Arial"/>
          <w:sz w:val="18"/>
          <w:szCs w:val="18"/>
          <w:color w:val="auto"/>
        </w:rPr>
        <w:t>1017 (low and high) in subjects with mild-to-moderate AD compared to placebo. The clinical trial is intended to enroll approximately 240 to 300 AD subjects. Subjects enrolled in the clinical trial will have a severity range within the conventional boundaries for mild-to-moderate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179"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176" w:lineRule="exact"/>
        <w:rPr>
          <w:sz w:val="20"/>
          <w:szCs w:val="20"/>
          <w:color w:val="auto"/>
        </w:rPr>
      </w:pPr>
    </w:p>
    <w:p>
      <w:pPr>
        <w:ind w:right="300" w:firstLine="576"/>
        <w:spacing w:after="0" w:line="255" w:lineRule="auto"/>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164"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45" w:lineRule="exact"/>
        <w:rPr>
          <w:sz w:val="20"/>
          <w:szCs w:val="20"/>
          <w:color w:val="auto"/>
        </w:rPr>
      </w:pPr>
    </w:p>
    <w:p>
      <w:pPr>
        <w:ind w:right="800" w:firstLine="576"/>
        <w:spacing w:after="0" w:line="255" w:lineRule="auto"/>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77" w:lineRule="exact"/>
        <w:rPr>
          <w:sz w:val="20"/>
          <w:szCs w:val="20"/>
          <w:color w:val="auto"/>
        </w:rPr>
      </w:pPr>
    </w:p>
    <w:p>
      <w:pPr>
        <w:ind w:right="120" w:firstLine="576"/>
        <w:spacing w:after="0" w:line="224" w:lineRule="exact"/>
        <w:rPr>
          <w:sz w:val="20"/>
          <w:szCs w:val="20"/>
          <w:color w:val="auto"/>
        </w:rPr>
      </w:pPr>
      <w:r>
        <w:rPr>
          <w:rFonts w:ascii="Arial" w:cs="Arial" w:eastAsia="Arial" w:hAnsi="Arial"/>
          <w:sz w:val="17"/>
          <w:szCs w:val="17"/>
          <w:color w:val="auto"/>
        </w:rPr>
        <w:t>In addition to LIFT-AD, we are planning ACT</w:t>
      </w:r>
      <w:r>
        <w:rPr>
          <w:rFonts w:ascii="MS PGothic" w:cs="MS PGothic" w:eastAsia="MS PGothic" w:hAnsi="MS PGothic"/>
          <w:sz w:val="17"/>
          <w:szCs w:val="17"/>
          <w:color w:val="auto"/>
        </w:rPr>
        <w:t>‑</w:t>
      </w:r>
      <w:r>
        <w:rPr>
          <w:rFonts w:ascii="Arial" w:cs="Arial" w:eastAsia="Arial" w:hAnsi="Arial"/>
          <w:sz w:val="17"/>
          <w:szCs w:val="17"/>
          <w:color w:val="auto"/>
        </w:rPr>
        <w:t>AD, a randomized, placebo-controlled P300 Phase 2 clinical trial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3" w:name="page134"/>
    <w:bookmarkEnd w:id="133"/>
    <w:p>
      <w:pPr>
        <w:ind w:firstLine="576"/>
        <w:spacing w:after="0" w:line="207" w:lineRule="exact"/>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do not meet our expectations. By the end of 2020, we plan to initiate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in mild-to-moderate AD to better understand the overall effects of ATH-1017 on working memory processing speed and cognitive measures, with topline results expected by early 2022.</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02"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02"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2 and 3, who will receive 40 mg ATH-1017 versus placebo. Endpoints will include P300 latency and Parkinson’s Disease-Cognitive Rating Scale, or PD-CRS.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 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17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21. Changes in gamma brain activity signals are highly translatable which helped guide our selection of the clinical doses.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4" w:name="page135"/>
    <w:bookmarkEnd w:id="134"/>
    <w:p>
      <w:pPr>
        <w:ind w:right="620" w:firstLine="576"/>
        <w:spacing w:after="0" w:line="274" w:lineRule="auto"/>
        <w:rPr>
          <w:sz w:val="20"/>
          <w:szCs w:val="20"/>
          <w:color w:val="auto"/>
        </w:rPr>
      </w:pPr>
      <w:r>
        <w:rPr>
          <w:rFonts w:ascii="Arial" w:cs="Arial" w:eastAsia="Arial" w:hAnsi="Arial"/>
          <w:sz w:val="18"/>
          <w:szCs w:val="18"/>
          <w:i w:val="1"/>
          <w:iCs w:val="1"/>
          <w:color w:val="auto"/>
        </w:rPr>
        <w:t>Figure 21.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180"/>
          </w:cols>
          <w:pgMar w:left="320" w:top="686" w:right="399" w:bottom="1440" w:gutter="0" w:footer="0" w:header="0"/>
        </w:sectPr>
      </w:pPr>
    </w:p>
    <w:p>
      <w:pPr>
        <w:spacing w:after="0" w:line="144" w:lineRule="exact"/>
        <w:rPr>
          <w:sz w:val="20"/>
          <w:szCs w:val="20"/>
          <w:color w:val="auto"/>
        </w:rPr>
      </w:pPr>
    </w:p>
    <w:p>
      <w:pPr>
        <w:jc w:val="center"/>
        <w:ind w:left="60"/>
        <w:spacing w:after="0" w:line="287"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95885</wp:posOffset>
            </wp:positionV>
            <wp:extent cx="2254250" cy="1929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54250" cy="1929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40"/>
        <w:spacing w:after="0" w:line="287"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95885</wp:posOffset>
            </wp:positionV>
            <wp:extent cx="2871470" cy="18942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71470" cy="1894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6040"/>
          </w:cols>
          <w:pgMar w:left="320" w:top="68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04"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300" w:right="100" w:hanging="442"/>
        <w:spacing w:after="0" w:line="255" w:lineRule="auto"/>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162"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145"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63"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104" w:lineRule="exact"/>
        <w:rPr>
          <w:sz w:val="20"/>
          <w:szCs w:val="20"/>
          <w:color w:val="auto"/>
        </w:rPr>
      </w:pPr>
    </w:p>
    <w:p>
      <w:pPr>
        <w:ind w:left="1300" w:right="40" w:hanging="442"/>
        <w:spacing w:after="0" w:line="255" w:lineRule="auto"/>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162"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and optimize for drug-like characteristics with medicinal chemistry and structure-activity relationship studies to produce candidates ready for further development.</w:t>
      </w:r>
    </w:p>
    <w:p>
      <w:pPr>
        <w:spacing w:after="0" w:line="162" w:lineRule="exact"/>
        <w:rPr>
          <w:rFonts w:ascii="Times New Roman" w:cs="Times New Roman" w:eastAsia="Times New Roman" w:hAnsi="Times New Roman"/>
          <w:sz w:val="18"/>
          <w:szCs w:val="18"/>
          <w:color w:val="auto"/>
        </w:rPr>
      </w:pPr>
    </w:p>
    <w:p>
      <w:pPr>
        <w:jc w:val="both"/>
        <w:ind w:left="1300" w:right="280" w:hanging="442"/>
        <w:spacing w:after="0" w:line="305" w:lineRule="auto"/>
        <w:tabs>
          <w:tab w:leader="none" w:pos="130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123"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disorders, as well as in peripheral indications such as peripheral neuropathy. We are also actively exploring the potential of expanding the focus of our discovery engine to multiple molecular targets relevant to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Neuropsychiatric Program (ATH-1019)</w:t>
      </w:r>
    </w:p>
    <w:p>
      <w:pPr>
        <w:spacing w:after="0" w:line="10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We are currently developing ATH compounds for neuropsychiatric conditions including depression and anxiety.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 with a fast onset of action that may help to reduce disease burden on multiple levels. ATH-1019 is a novel, orally active candidate that is designed to activate the HGF/MET system, and distribute to the CNS, and is neuroactive in animal models.</w:t>
      </w:r>
    </w:p>
    <w:p>
      <w:pPr>
        <w:spacing w:after="0" w:line="179"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We believe the stimulating activity of ATH-1019 on the HGF/MET system is well-suited to address neuropsychiatric conditions because:</w:t>
      </w:r>
    </w:p>
    <w:p>
      <w:pPr>
        <w:spacing w:after="0" w:line="37" w:lineRule="exact"/>
        <w:rPr>
          <w:sz w:val="20"/>
          <w:szCs w:val="20"/>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4"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36" w:name="page137"/>
    <w:bookmarkEnd w:id="136"/>
    <w:p>
      <w:pPr>
        <w:ind w:left="580"/>
        <w:spacing w:after="0"/>
        <w:rPr>
          <w:sz w:val="20"/>
          <w:szCs w:val="20"/>
          <w:color w:val="auto"/>
        </w:rPr>
      </w:pPr>
      <w:r>
        <w:rPr>
          <w:rFonts w:ascii="Arial" w:cs="Arial" w:eastAsia="Arial" w:hAnsi="Arial"/>
          <w:sz w:val="18"/>
          <w:szCs w:val="18"/>
          <w:i w:val="1"/>
          <w:iCs w:val="1"/>
          <w:color w:val="auto"/>
        </w:rPr>
        <w:t>Figure 22. ATH-1019 Has the Potential to Rescue HGF/MET Signaling and Promote Activity to Address Depression and Anxiety.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600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03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576"/>
        <w:spacing w:after="0" w:line="255" w:lineRule="auto"/>
        <w:rPr>
          <w:sz w:val="20"/>
          <w:szCs w:val="20"/>
          <w:color w:val="auto"/>
        </w:rPr>
      </w:pPr>
      <w:r>
        <w:rPr>
          <w:rFonts w:ascii="Arial" w:cs="Arial" w:eastAsia="Arial" w:hAnsi="Arial"/>
          <w:sz w:val="17"/>
          <w:szCs w:val="17"/>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Our HGF activator for the treatment of AD, ATH-1017,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to further development for neuropsychiatric indications including depression and anxiety and are targeting an IND submission to the FDA for depression and/or anxiety in the first half of 2022.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Neuropathy Program (ATH-1018)</w:t>
      </w:r>
    </w:p>
    <w:p>
      <w:pPr>
        <w:spacing w:after="0" w:line="104"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We have initiated a discovery program to evaluate ATH compounds for peripheral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neuropathy by promoting the regenerative power of the HGF/MET system with a small molecule therapy. Consideration of HGF/MET activators as a therapeutic approach for neuropathy was initiated following review of studies demonstrating that HGF/MET activating treatment repaired peripheral nerve injury and reduced neuropathy.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137" w:name="page138"/>
    <w:bookmarkEnd w:id="137"/>
    <w:p>
      <w:pPr>
        <w:ind w:right="20" w:firstLine="576"/>
        <w:spacing w:after="0" w:line="245" w:lineRule="auto"/>
        <w:rPr>
          <w:sz w:val="20"/>
          <w:szCs w:val="20"/>
          <w:color w:val="auto"/>
        </w:rPr>
      </w:pPr>
      <w:r>
        <w:rPr>
          <w:rFonts w:ascii="Arial" w:cs="Arial" w:eastAsia="Arial" w:hAnsi="Arial"/>
          <w:sz w:val="18"/>
          <w:szCs w:val="18"/>
          <w:color w:val="auto"/>
        </w:rPr>
        <w:t>Despite a reported prevalence of up to 10% of the population, neuropathy has proven difficult to manage, and clinical outcomes are unsatisfactory. Management of pain symptoms with opiates serves as a common form of pain therapy and the only reliable one but is palliative only. As well, opiates are fraught with major clinical liabilities. Nerve injury and subsequent neuropathy are typically caused by lesion or disease, commonly diabetes, MS, or stroke. The nerve injury is then followed by an inflammatory response and upregulation of pain signaling factors, which lead to chronic neuropathy.</w:t>
      </w:r>
    </w:p>
    <w:p>
      <w:pPr>
        <w:spacing w:after="0" w:line="172"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neuropathy given that HGF/MET signaling has been shown to:</w:t>
      </w:r>
    </w:p>
    <w:p>
      <w:pPr>
        <w:spacing w:after="0" w:line="37" w:lineRule="exact"/>
        <w:rPr>
          <w:sz w:val="20"/>
          <w:szCs w:val="20"/>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334" w:lineRule="exact"/>
        <w:rPr>
          <w:sz w:val="20"/>
          <w:szCs w:val="20"/>
          <w:color w:val="auto"/>
        </w:rPr>
      </w:pPr>
    </w:p>
    <w:p>
      <w:pPr>
        <w:ind w:right="220" w:firstLine="576"/>
        <w:spacing w:after="0" w:line="274" w:lineRule="auto"/>
        <w:rPr>
          <w:sz w:val="20"/>
          <w:szCs w:val="20"/>
          <w:color w:val="auto"/>
        </w:rPr>
      </w:pPr>
      <w:r>
        <w:rPr>
          <w:rFonts w:ascii="Arial" w:cs="Arial" w:eastAsia="Arial" w:hAnsi="Arial"/>
          <w:sz w:val="18"/>
          <w:szCs w:val="18"/>
          <w:i w:val="1"/>
          <w:iCs w:val="1"/>
          <w:color w:val="auto"/>
        </w:rPr>
        <w:t>Figure 23. ATH-1018 Activity Has the Potential Both to Block Several Processes that Lead to Neuropathy and to Promote Neuronal Regeneration.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107315</wp:posOffset>
            </wp:positionV>
            <wp:extent cx="4671695" cy="44062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67169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8" w:name="page139"/>
    <w:bookmarkEnd w:id="138"/>
    <w:p>
      <w:pPr>
        <w:ind w:firstLine="576"/>
        <w:spacing w:after="0" w:line="241"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neuropathy is supported by both preclinical and clinical research, and we are evaluating the next generation oral ATH compounds for activity to address neuropathy. Validated methods for the assessment of peripheral nerve function (neurography) and pain (VAS rating) are well established. We are advancing ATH-1018 to further development for neuropathy indications and are targeting an IND submission to the FDA by the end of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04" w:lineRule="exact"/>
        <w:rPr>
          <w:sz w:val="20"/>
          <w:szCs w:val="20"/>
          <w:color w:val="auto"/>
        </w:rPr>
      </w:pPr>
    </w:p>
    <w:p>
      <w:pPr>
        <w:ind w:right="260" w:firstLine="576"/>
        <w:spacing w:after="0" w:line="245"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172"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82" w:lineRule="exact"/>
        <w:rPr>
          <w:sz w:val="20"/>
          <w:szCs w:val="20"/>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4"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39" w:name="page140"/>
    <w:bookmarkEnd w:id="139"/>
    <w:p>
      <w:pPr>
        <w:ind w:right="80" w:firstLine="576"/>
        <w:spacing w:after="0" w:line="255" w:lineRule="auto"/>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149" w:lineRule="exact"/>
        <w:rPr>
          <w:sz w:val="20"/>
          <w:szCs w:val="20"/>
          <w:color w:val="auto"/>
        </w:rPr>
      </w:pPr>
    </w:p>
    <w:p>
      <w:pPr>
        <w:ind w:firstLine="576"/>
        <w:spacing w:after="0" w:line="215" w:lineRule="exact"/>
        <w:rPr>
          <w:sz w:val="20"/>
          <w:szCs w:val="20"/>
          <w:color w:val="auto"/>
        </w:rPr>
      </w:pPr>
      <w:r>
        <w:rPr>
          <w:rFonts w:ascii="Arial" w:cs="Arial" w:eastAsia="Arial" w:hAnsi="Arial"/>
          <w:sz w:val="18"/>
          <w:szCs w:val="18"/>
          <w:color w:val="auto"/>
        </w:rPr>
        <w:t>We have enough ATH-1017 supply to begin our LIFT-AD and our planned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17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174" w:lineRule="exact"/>
        <w:rPr>
          <w:sz w:val="20"/>
          <w:szCs w:val="20"/>
          <w:color w:val="auto"/>
        </w:rPr>
      </w:pPr>
    </w:p>
    <w:p>
      <w:pPr>
        <w:ind w:right="420" w:firstLine="576"/>
        <w:spacing w:after="0" w:line="27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40" w:name="page141"/>
    <w:bookmarkEnd w:id="140"/>
    <w:p>
      <w:pPr>
        <w:ind w:right="20"/>
        <w:spacing w:after="0" w:line="241" w:lineRule="auto"/>
        <w:rPr>
          <w:sz w:val="20"/>
          <w:szCs w:val="20"/>
          <w:color w:val="auto"/>
        </w:rPr>
      </w:pPr>
      <w:r>
        <w:rPr>
          <w:rFonts w:ascii="Arial" w:cs="Arial" w:eastAsia="Arial" w:hAnsi="Arial"/>
          <w:sz w:val="18"/>
          <w:szCs w:val="18"/>
          <w:color w:val="auto"/>
        </w:rPr>
        <w:t>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179"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172"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 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179"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Intellectual Property</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45"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As of June 30, 2020, our patent portfolio consisted of nine owned or in-licensed U.S. issued patents, one owned or in-licensed U.S. pending patent application, 12 owned or in-licensed patents issued in jurisdictions outside of the United States, and nine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66" w:lineRule="exact"/>
        <w:rPr>
          <w:sz w:val="20"/>
          <w:szCs w:val="20"/>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ATH-1017 and related compounds;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ATH-1017;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related compounds.</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164"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70"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38"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We do not expect WSU’s joint ownership of the patent with Pacific Northwest Biotechnology, Inc. will materially affect our license of such patent or the development of any of our product candidates to which the patent relates.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20" w:hanging="442"/>
        <w:spacing w:after="0" w:line="275" w:lineRule="auto"/>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3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6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prospectus,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twice the amounts received, or $1.5 million, upon the occurrence of specified triggering events, including the completion of this offering.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In September 2020, we received a grant from the National Institutes of Health, or NIH, for Alzheimer’s research in the amount of approximately $ 7.8 million with the potential for additional $7.4 million up to an aggregate of $15.2 million, subject to the availability of funds and satisfactory progress of the research. As this grant involves federally funded research, per the Bayh-Dole Act, we are obligated to (1) report each new invention to the government, (2) decide whether to retain ownership, (3) file for patent protection to retain title, and (4) provide a license to the government to practice the invention. We are expected to commercialize any inventions we file patent protection on for the benefit of public health. For more information see the section of this prospectus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6"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0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4"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145"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44" w:name="page145"/>
    <w:bookmarkEnd w:id="144"/>
    <w:p>
      <w:pPr>
        <w:ind w:left="1300" w:hanging="442"/>
        <w:spacing w:after="0"/>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224"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162"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300" w:right="100" w:hanging="442"/>
        <w:spacing w:after="0" w:line="262" w:lineRule="auto"/>
        <w:tabs>
          <w:tab w:leader="none" w:pos="130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60" w:lineRule="exact"/>
        <w:rPr>
          <w:rFonts w:ascii="Times New Roman" w:cs="Times New Roman" w:eastAsia="Times New Roman" w:hAnsi="Times New Roman"/>
          <w:sz w:val="17"/>
          <w:szCs w:val="17"/>
          <w:color w:val="auto"/>
        </w:rPr>
      </w:pPr>
    </w:p>
    <w:p>
      <w:pPr>
        <w:ind w:left="1300" w:right="320" w:hanging="442"/>
        <w:spacing w:after="0" w:line="248"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5" w:name="page146"/>
    <w:bookmarkEnd w:id="145"/>
    <w:p>
      <w:pPr>
        <w:ind w:left="1300" w:hanging="442"/>
        <w:spacing w:after="0" w:line="248"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right="180" w:firstLine="576"/>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6" w:name="page147"/>
    <w:bookmarkEnd w:id="146"/>
    <w:p>
      <w:pPr>
        <w:ind w:firstLine="576"/>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76"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76"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0"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300" w:right="4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224"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24" w:lineRule="exact"/>
        <w:rPr>
          <w:rFonts w:ascii="Times New Roman" w:cs="Times New Roman" w:eastAsia="Times New Roman" w:hAnsi="Times New Roman"/>
          <w:sz w:val="18"/>
          <w:szCs w:val="18"/>
          <w:color w:val="auto"/>
        </w:rPr>
      </w:pPr>
    </w:p>
    <w:p>
      <w:pPr>
        <w:ind w:left="1300" w:right="66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7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0" w:lineRule="exact"/>
        <w:rPr>
          <w:sz w:val="20"/>
          <w:szCs w:val="20"/>
          <w:color w:val="auto"/>
        </w:rPr>
      </w:pPr>
    </w:p>
    <w:p>
      <w:pPr>
        <w:jc w:val="both"/>
        <w:ind w:right="460" w:firstLine="576"/>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50" w:name="page151"/>
    <w:bookmarkEnd w:id="150"/>
    <w:p>
      <w:pPr>
        <w:ind w:right="100"/>
        <w:spacing w:after="0" w:line="276" w:lineRule="auto"/>
        <w:rPr>
          <w:sz w:val="20"/>
          <w:szCs w:val="20"/>
          <w:color w:val="auto"/>
        </w:rPr>
      </w:pPr>
      <w:r>
        <w:rPr>
          <w:rFonts w:ascii="Arial" w:cs="Arial" w:eastAsia="Arial" w:hAnsi="Arial"/>
          <w:sz w:val="18"/>
          <w:szCs w:val="18"/>
          <w:color w:val="auto"/>
        </w:rPr>
        <w:t>the privacy and security of health information in some circumstances, many of which differ from each other in significant ways and often are not preempted by HIPAA, thus complicating compliance efforts.</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8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9"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51" w:name="page152"/>
    <w:bookmarkEnd w:id="151"/>
    <w:p>
      <w:pPr>
        <w:ind w:right="740"/>
        <w:spacing w:after="0" w:line="276" w:lineRule="auto"/>
        <w:rPr>
          <w:sz w:val="20"/>
          <w:szCs w:val="20"/>
          <w:color w:val="auto"/>
        </w:rPr>
      </w:pPr>
      <w:r>
        <w:rPr>
          <w:rFonts w:ascii="Arial" w:cs="Arial" w:eastAsia="Arial" w:hAnsi="Arial"/>
          <w:sz w:val="18"/>
          <w:szCs w:val="18"/>
          <w:color w:val="auto"/>
        </w:rPr>
        <w:t>established even if coverage is available, or that the third-party payors’ reimbursement policies will not adversely affect the ability for manufacturers to sell products profitably.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8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and which is designed to provide financial support and resources to individuals and businesses affected by the COVID-19 pandemic, suspended the 2% Medicare sequester from May 1, 2020, through December 31, 2020, and extended the end date of the sequester by one year, through 2030, in order to offset the 2020 suspension.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2" w:name="page153"/>
    <w:bookmarkEnd w:id="152"/>
    <w:p>
      <w:pPr>
        <w:spacing w:after="0" w:line="237" w:lineRule="auto"/>
        <w:rPr>
          <w:sz w:val="20"/>
          <w:szCs w:val="20"/>
          <w:color w:val="auto"/>
        </w:rPr>
      </w:pPr>
      <w:r>
        <w:rPr>
          <w:rFonts w:ascii="Arial" w:cs="Arial" w:eastAsia="Arial" w:hAnsi="Arial"/>
          <w:sz w:val="18"/>
          <w:szCs w:val="18"/>
          <w:color w:val="auto"/>
        </w:rPr>
        <w:t>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0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As of June 30, 2020, we had 15 employees, 14 of whom were full-time and eight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06"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Our corporate headquarters are located in Seattle, Washington, where we currently lease approximately 1,270 square feet of laboratory and office space. Our Seattle lease expires in June 2021. We intend to relocate to facilities in Bothell, Washington starting in September 2020 as we add employees and scale our operations. We believe these facilities will be adequate for the foreseeable future and that suitable additional or substitute space will be available as and when needed.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September 4,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34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4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77</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972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9" w:lineRule="exact"/>
        <w:rPr>
          <w:sz w:val="20"/>
          <w:szCs w:val="20"/>
          <w:color w:val="auto"/>
        </w:rPr>
      </w:pPr>
    </w:p>
    <w:p>
      <w:pPr>
        <w:ind w:left="480" w:hanging="472"/>
        <w:spacing w:after="0"/>
        <w:tabs>
          <w:tab w:leader="none" w:pos="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79"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76"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4" w:name="page155"/>
    <w:bookmarkEnd w:id="154"/>
    <w:p>
      <w:pPr>
        <w:spacing w:after="0" w:line="239" w:lineRule="auto"/>
        <w:rPr>
          <w:sz w:val="20"/>
          <w:szCs w:val="20"/>
          <w:color w:val="auto"/>
        </w:rPr>
      </w:pPr>
      <w:r>
        <w:rPr>
          <w:rFonts w:ascii="Arial" w:cs="Arial" w:eastAsia="Arial" w:hAnsi="Arial"/>
          <w:sz w:val="18"/>
          <w:szCs w:val="18"/>
          <w:color w:val="auto"/>
        </w:rPr>
        <w:t>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76"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since April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76"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i w:val="1"/>
          <w:iCs w:val="1"/>
          <w:color w:val="auto"/>
        </w:rPr>
        <w:t xml:space="preserve">Kevin Church, Ph.D., </w:t>
      </w:r>
      <w:r>
        <w:rPr>
          <w:rFonts w:ascii="Arial" w:cs="Arial" w:eastAsia="Arial" w:hAnsi="Arial"/>
          <w:sz w:val="18"/>
          <w:szCs w:val="18"/>
          <w:color w:val="auto"/>
        </w:rPr>
        <w:t>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7"/>
          <w:szCs w:val="17"/>
          <w:i w:val="1"/>
          <w:iCs w:val="1"/>
          <w:color w:val="auto"/>
        </w:rPr>
        <w:t>Tadataka Yamada, M.D.</w:t>
      </w:r>
      <w:r>
        <w:rPr>
          <w:rFonts w:ascii="Arial" w:cs="Arial" w:eastAsia="Arial" w:hAnsi="Arial"/>
          <w:sz w:val="17"/>
          <w:szCs w:val="17"/>
          <w:color w:val="auto"/>
        </w:rPr>
        <w:t>, has served on our board of directors since June 2019 and as the chair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 and a B.A. in history from Stanford University 1967. In recognition of his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8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7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7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Family Relationships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board of directors is currently composed of five members. Each of our directors other than Dr. Kawas is independent within the meaning of the independent director guidelines of the Nasdaq Global Market. All of the directors other than Dr. Kawas were elected to our board of directors pursuant to a voting agreement that will terminate automatically by its terms upon the completion of a qualified initial public offering. Our certificate of incorporation and bylaws to be in effect upon the completion of this offering provide that the number of our directors shall be at least one and will be fixed from time to time by resolution of our board of directors.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Immediately prior to the completion of this offering, our board of directors will be divided into three classes of directors. At each annual meeting of stockholders, a class of directors will be elected for a three -year term to succeed the class whose terms are then expiring. The terms of the directors will expire upon the election and qualification of successor directors at the annual meeting of stockholders to be held during the years 2021 for the Class I directors, 2022 for the Class II directors and 2023 for the Class III director.</w:t>
      </w:r>
    </w:p>
    <w:p>
      <w:pPr>
        <w:spacing w:after="0" w:line="62" w:lineRule="exact"/>
        <w:rPr>
          <w:sz w:val="20"/>
          <w:szCs w:val="20"/>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 directors will be Tadataka Yamada and Leen Kawas.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 directors will be Joseph Edelman and John M. Fluke, Jr.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III director will be James A. Johnson.</w:t>
      </w:r>
    </w:p>
    <w:p>
      <w:pPr>
        <w:spacing w:after="0" w:line="224" w:lineRule="exact"/>
        <w:rPr>
          <w:sz w:val="20"/>
          <w:szCs w:val="20"/>
          <w:color w:val="auto"/>
        </w:rPr>
      </w:pPr>
    </w:p>
    <w:p>
      <w:pPr>
        <w:ind w:right="260" w:firstLine="576"/>
        <w:spacing w:after="0" w:line="24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17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6"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Market. Under the rules of the Nasdaq Global Market, independent directors must comprise a majority of a listed company’s board of directors within a specified period of the completion of this offering. In addition, the rules of the Nasdaq Global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7" w:name="page158"/>
    <w:bookmarkEnd w:id="157"/>
    <w:p>
      <w:pPr>
        <w:ind w:right="80" w:firstLine="576"/>
        <w:spacing w:after="0" w:line="24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August 2020, our board of directors undertook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Market. In August 2020, our board of directors also determined that Messrs. Johnson and Fluke, who comprise our audit committee; Dr. Yamada and Messrs. Edelman and Johnson, who comprise our compensation committee; and Dr. Yamada and Messrs. Edelman and Fluke, who comprise our nominating and corporate governance committee, satisfy the independence standards for those committees established by applicable SEC rules and the rules of the Nasdaq Global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06"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0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The members of our audit committee are Messrs. Johnson and Fluke,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Market. Our board of directors has determined that each of Messrs. Johnson and Fluke is independent for audit committee purposes, as that term is defined in the rules of the SEC and the applicable Nasdaq rules, and have sufficient knowledge in financial and auditing matters to serve on the audit committee. We intend to rely on the phase-in provisions of Rule 10A-3 of the Exchange Act and the Nasdaq transition rules applicable to companies completing an initial public offering, and we plan to have an audit committee comprised entirely of at least three directors that are independent for purposes of serving on an audit committee within one year after our listing.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8" w:name="page159"/>
    <w:bookmarkEnd w:id="158"/>
    <w:p>
      <w:pPr>
        <w:ind w:left="580"/>
        <w:spacing w:after="0"/>
        <w:rPr>
          <w:sz w:val="20"/>
          <w:szCs w:val="20"/>
          <w:color w:val="auto"/>
        </w:rPr>
      </w:pPr>
      <w:r>
        <w:rPr>
          <w:rFonts w:ascii="Arial" w:cs="Arial" w:eastAsia="Arial" w:hAnsi="Arial"/>
          <w:sz w:val="18"/>
          <w:szCs w:val="18"/>
          <w:color w:val="auto"/>
        </w:rPr>
        <w:t>Our audit committee will:</w:t>
      </w:r>
    </w:p>
    <w:p>
      <w:pPr>
        <w:spacing w:after="0" w:line="104" w:lineRule="exact"/>
        <w:rPr>
          <w:sz w:val="20"/>
          <w:szCs w:val="20"/>
          <w:color w:val="auto"/>
        </w:rPr>
      </w:pPr>
    </w:p>
    <w:p>
      <w:pPr>
        <w:ind w:left="1300" w:right="86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37"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audit;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internal controls and integrity of financial statements;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financial information presentation, earnings press releases and guidance;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116" w:lineRule="exact"/>
        <w:rPr>
          <w:rFonts w:ascii="Times New Roman" w:cs="Times New Roman" w:eastAsia="Times New Roman" w:hAnsi="Times New Roman"/>
          <w:sz w:val="18"/>
          <w:szCs w:val="18"/>
          <w:color w:val="auto"/>
        </w:rPr>
      </w:pPr>
    </w:p>
    <w:p>
      <w:pPr>
        <w:ind w:left="1300" w:right="48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set hiring policies with regard to the hiring of employees and former employees of our independent auditor and oversee compliance with such policies;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approve and monitor related party transactions;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adopt and oversee procedures to address complaints regarding accounting, internal accounting controls or auditing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with our management and the independent auditor our compliance with various laws;</w:t>
      </w:r>
    </w:p>
    <w:p>
      <w:pPr>
        <w:spacing w:after="0" w:line="116" w:lineRule="exact"/>
        <w:rPr>
          <w:rFonts w:ascii="Times New Roman" w:cs="Times New Roman" w:eastAsia="Times New Roman" w:hAnsi="Times New Roman"/>
          <w:sz w:val="18"/>
          <w:szCs w:val="18"/>
          <w:color w:val="auto"/>
        </w:rPr>
      </w:pPr>
    </w:p>
    <w:p>
      <w:pPr>
        <w:ind w:left="1300" w:right="56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with management our independent auditor guidelines and policies to identify, monitor, and address enterprise risks;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engage independent legal, accounting and other advisors;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provide appropriate funding for compensation to independent registered accounting firm, advisors and related expenses;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audit committee charter and recommend any proposed changes to our board of directors.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members of our compensation committee are Dr. Yamada and Messrs. Edelman and Johnson. Dr. Yamada is the chairman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Market. The compensation committee will:</w:t>
      </w:r>
    </w:p>
    <w:p>
      <w:pPr>
        <w:spacing w:after="0" w:line="62" w:lineRule="exact"/>
        <w:rPr>
          <w:sz w:val="20"/>
          <w:szCs w:val="20"/>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corporate goals and objectives applicable to the compensation of our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compensation and benefits for our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 approve, and administer employee compensation plans;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advise on proposals to stockholders on executive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oversee compensation plans and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our compensation policies and practices and the risks related thereto;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monitor compliance with any stock ownership guidelines;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approve the creation or revision of any clawback policy allowing us to recoup compensation paid to employees;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9" w:name="page160"/>
    <w:bookmarkEnd w:id="159"/>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oversee regulatory compliance with respect to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retain or obtain the advice of compensation consultants; and</w:t>
      </w:r>
    </w:p>
    <w:p>
      <w:pPr>
        <w:spacing w:after="0" w:line="116"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compensation committee charter and recommend any proposed changes to our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 members of our nominating and corporate governance committee are Dr. Yamada and Messrs. Edelman and Fluke. Dr. Yamada is the chairman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Market. The nominating and corporate governance committee will:</w:t>
      </w:r>
    </w:p>
    <w:p>
      <w:pPr>
        <w:spacing w:after="0" w:line="64" w:lineRule="exact"/>
        <w:rPr>
          <w:sz w:val="20"/>
          <w:szCs w:val="20"/>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procedures for the submission of candidates for election to our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conduct a periodic review of our succession planning process for the executive management team;</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structure and composition of each committee of our board of directors and make recommendations for changes to the committees;</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recommend to the board of directors corporate governance guidelines and annually review the corporate governance guidelines and their application;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oversee governance practices;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oversee our director orientation and continuing education;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oversee the evaluation of our board of directors and its committees;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develop, approve, review and monitor compliance with our Code of Business Conduct and Ethics;</w:t>
      </w:r>
    </w:p>
    <w:p>
      <w:pPr>
        <w:spacing w:after="0" w:line="116"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 policies and procedures for various constituencies that are involved with us to communicate with the non-management members of our board of directors;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nominating and corporate governance committee charter and recommend any proposed changes to our board of directors.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220" w:firstLine="576"/>
        <w:spacing w:after="0" w:line="219" w:lineRule="exact"/>
        <w:rPr>
          <w:sz w:val="20"/>
          <w:szCs w:val="20"/>
          <w:color w:val="auto"/>
        </w:rPr>
      </w:pPr>
      <w:r>
        <w:rPr>
          <w:rFonts w:ascii="Arial" w:cs="Arial" w:eastAsia="Arial" w:hAnsi="Arial"/>
          <w:sz w:val="18"/>
          <w:szCs w:val="18"/>
          <w:color w:val="auto"/>
        </w:rPr>
        <w:t>Prior to this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2019 Director Compensation</w:t>
      </w:r>
    </w:p>
    <w:p>
      <w:pPr>
        <w:spacing w:after="0" w:line="106" w:lineRule="exact"/>
        <w:rPr>
          <w:sz w:val="20"/>
          <w:szCs w:val="20"/>
          <w:color w:val="auto"/>
        </w:rPr>
      </w:pPr>
    </w:p>
    <w:p>
      <w:pPr>
        <w:ind w:right="240" w:firstLine="576"/>
        <w:spacing w:after="0" w:line="258"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2019.</w:t>
      </w:r>
    </w:p>
    <w:tbl>
      <w:tblPr>
        <w:tblLayout w:type="fixed"/>
        <w:tblInd w:w="0" w:type="dxa"/>
        <w:tblCellMar>
          <w:top w:w="0" w:type="dxa"/>
          <w:left w:w="0" w:type="dxa"/>
          <w:bottom w:w="0" w:type="dxa"/>
          <w:right w:w="0" w:type="dxa"/>
        </w:tblCellMar>
      </w:tblPr>
      <w:tr>
        <w:trPr>
          <w:trHeight w:val="143"/>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Option Awards</w:t>
            </w:r>
          </w:p>
        </w:tc>
        <w:tc>
          <w:tcPr>
            <w:tcW w:w="1680" w:type="dxa"/>
            <w:vAlign w:val="bottom"/>
            <w:gridSpan w:val="2"/>
          </w:tcPr>
          <w:p>
            <w:pPr>
              <w:ind w:left="600"/>
              <w:spacing w:after="0" w:line="143" w:lineRule="exact"/>
              <w:rPr>
                <w:sz w:val="20"/>
                <w:szCs w:val="20"/>
                <w:color w:val="auto"/>
              </w:rPr>
            </w:pPr>
            <w:r>
              <w:rPr>
                <w:rFonts w:ascii="Arial" w:cs="Arial" w:eastAsia="Arial" w:hAnsi="Arial"/>
                <w:sz w:val="14"/>
                <w:szCs w:val="14"/>
                <w:b w:val="1"/>
                <w:bCs w:val="1"/>
                <w:color w:val="auto"/>
              </w:rPr>
              <w:t>Total</w:t>
            </w:r>
          </w:p>
        </w:tc>
      </w:tr>
      <w:tr>
        <w:trPr>
          <w:trHeight w:val="177"/>
        </w:trPr>
        <w:tc>
          <w:tcPr>
            <w:tcW w:w="7720" w:type="dxa"/>
            <w:vAlign w:val="bottom"/>
            <w:gridSpan w:val="2"/>
          </w:tcPr>
          <w:p>
            <w:pPr>
              <w:ind w:left="358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ind w:right="515"/>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1560" w:type="dxa"/>
            <w:vAlign w:val="bottom"/>
          </w:tcPr>
          <w:p>
            <w:pPr>
              <w:jc w:val="right"/>
              <w:ind w:right="6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209"/>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6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22,140</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7" w:lineRule="exact"/>
        <w:rPr>
          <w:sz w:val="20"/>
          <w:szCs w:val="20"/>
          <w:color w:val="auto"/>
        </w:rPr>
      </w:pPr>
    </w:p>
    <w:p>
      <w:pPr>
        <w:jc w:val="both"/>
        <w:ind w:left="480" w:right="140" w:hanging="472"/>
        <w:spacing w:after="0" w:line="261"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 accordance with SEC rules, the amount in this column reflects the aggregate grant date fair value of stock options granted during 2019 computed in accordance with Accounting Standards Codification (ASC) Topic 718, rather than the amount paid or realized by the director. We provide information regarding the assumptions used to calculate the value of all stock options granted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right="120" w:hanging="472"/>
        <w:spacing w:after="0" w:line="256"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Dr. Yamada became a member of our board of directors in June 2019. As of December 31, 2019, Dr. Yamada held stock options to purchase 50,440 shares of our common stock. 25,220 shares subject to the options vest over two years, with 1/2 vesting on each anniversary of the vesting commencement date, subject to continued service with us through the applicable vesting date. 25,220 shares subject to the options vest over three years, with 1/3 vesting on the first anniversary of the vesting commencement date and 1/36 vesting in monthly installments thereafter, subject to continued service with us through the applicable vesting date.</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Mr. Edelman became a member of our board of directors in May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Mr. Fluke became a member of our board of directors in December 2014.</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Mr. Johnson became a member of our board of directors in August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Dr. Harding resigned from our board of directors in August 2020.</w:t>
      </w:r>
    </w:p>
    <w:p>
      <w:pPr>
        <w:spacing w:after="0" w:line="207" w:lineRule="exact"/>
        <w:rPr>
          <w:sz w:val="20"/>
          <w:szCs w:val="20"/>
          <w:color w:val="auto"/>
        </w:rPr>
      </w:pPr>
    </w:p>
    <w:p>
      <w:pPr>
        <w:ind w:right="20" w:firstLine="576"/>
        <w:spacing w:after="0" w:line="209"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77" w:lineRule="exact"/>
        <w:rPr>
          <w:sz w:val="20"/>
          <w:szCs w:val="20"/>
          <w:color w:val="auto"/>
        </w:rPr>
      </w:pPr>
    </w:p>
    <w:p>
      <w:pPr>
        <w:ind w:right="180" w:firstLine="576"/>
        <w:spacing w:after="0" w:line="235" w:lineRule="exact"/>
        <w:rPr>
          <w:sz w:val="20"/>
          <w:szCs w:val="20"/>
          <w:color w:val="auto"/>
        </w:rPr>
      </w:pPr>
      <w:r>
        <w:rPr>
          <w:rFonts w:ascii="Arial" w:cs="Arial" w:eastAsia="Arial" w:hAnsi="Arial"/>
          <w:sz w:val="18"/>
          <w:szCs w:val="18"/>
          <w:color w:val="auto"/>
        </w:rPr>
        <w:t>The Outside Director Compensation Policy will provide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the effective date of the registration statement of which this prospectus forms a part:</w:t>
      </w:r>
    </w:p>
    <w:p>
      <w:pPr>
        <w:spacing w:after="0" w:line="44" w:lineRule="exact"/>
        <w:rPr>
          <w:sz w:val="20"/>
          <w:szCs w:val="20"/>
          <w:color w:val="auto"/>
        </w:rPr>
      </w:pPr>
    </w:p>
    <w:p>
      <w:pPr>
        <w:ind w:left="1300" w:hanging="442"/>
        <w:spacing w:after="0" w:line="208" w:lineRule="exact"/>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0"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$30,000 per year for service as chair of the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$15,000 per year for service as chair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$7,500 per year for service as a member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1" w:name="page162"/>
    <w:bookmarkEnd w:id="161"/>
    <w:p>
      <w:pPr>
        <w:ind w:right="40" w:firstLine="576"/>
        <w:spacing w:after="0" w:line="215"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will receive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will be paid quarterly in arrears on a prorated basis. Under our Outside Director Compensation Policy, we also will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firstLine="576"/>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non-employee director will receive,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registration statement of which this prospectus forms a part, an award, or the IPO Award, of stock options to purchase 27,742 shares of our common stock. For each non-employee director other than Mr. Johnson, each IPO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56" w:lineRule="exact"/>
        <w:rPr>
          <w:sz w:val="20"/>
          <w:szCs w:val="20"/>
          <w:color w:val="auto"/>
        </w:rPr>
      </w:pPr>
    </w:p>
    <w:p>
      <w:pPr>
        <w:ind w:right="200" w:firstLine="576"/>
        <w:spacing w:after="0" w:line="212"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policy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54" w:lineRule="exact"/>
        <w:rPr>
          <w:sz w:val="20"/>
          <w:szCs w:val="20"/>
          <w:color w:val="auto"/>
        </w:rPr>
      </w:pPr>
    </w:p>
    <w:p>
      <w:pPr>
        <w:ind w:firstLine="576"/>
        <w:spacing w:after="0" w:line="214"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will receive, on the first trading day immediately after the date of each annual meeting of our stockholders that occurs following the effective date of our Outside Director Compensation Policy, an annual award (or, the Annual Award) of stock options to purchase 13,871 shares of our common stock. Each Annual Award will be scheduled to vest on the earlier of the one-year anniversary of the grant date, or the day immediately before the day of the next annual meeting of stockholders that occurs after the grant date of the Annual Award, subject to continued services to us through the applicable vesting date.</w:t>
      </w:r>
    </w:p>
    <w:p>
      <w:pPr>
        <w:spacing w:after="0" w:line="153" w:lineRule="exact"/>
        <w:rPr>
          <w:sz w:val="20"/>
          <w:szCs w:val="20"/>
          <w:color w:val="auto"/>
        </w:rPr>
      </w:pPr>
    </w:p>
    <w:p>
      <w:pPr>
        <w:ind w:right="80" w:firstLine="576"/>
        <w:spacing w:after="0" w:line="229"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62" w:lineRule="exact"/>
        <w:rPr>
          <w:sz w:val="20"/>
          <w:szCs w:val="20"/>
          <w:color w:val="auto"/>
        </w:rPr>
      </w:pPr>
    </w:p>
    <w:p>
      <w:pPr>
        <w:jc w:val="both"/>
        <w:ind w:right="160" w:firstLine="576"/>
        <w:spacing w:after="0" w:line="248"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62" w:name="page163"/>
    <w:bookmarkEnd w:id="162"/>
    <w:p>
      <w:pPr>
        <w:ind w:right="20" w:firstLine="576"/>
        <w:spacing w:after="0" w:line="212"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will provide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its grant date fair value determined in accordance with U.S. Generally Accepted Accounting Principles for purposes of 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of which this prospectus forms a part, will not count toward this annual limit.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6"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In August 2020, we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will become effective on the date of effectiveness of the registration statement of which this prospectus forms a part. Following this offering, a copy of the code will be posted on the investor section of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6"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The members of our compensation committee are Dr. Yamada and Messrs. Edelman and Johnson. None of the members of our compensation 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17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Delaware General Corporation Law.</w:t>
      </w:r>
    </w:p>
    <w:p>
      <w:pPr>
        <w:spacing w:after="0" w:line="179" w:lineRule="exact"/>
        <w:rPr>
          <w:sz w:val="20"/>
          <w:szCs w:val="20"/>
          <w:color w:val="auto"/>
        </w:rPr>
      </w:pPr>
    </w:p>
    <w:p>
      <w:pPr>
        <w:jc w:val="both"/>
        <w:ind w:right="200" w:firstLine="576"/>
        <w:spacing w:after="0" w:line="255"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“—2019 Summary Compensation Table” below. For 2019, our “named executive officers” and their positions were as follows:</w:t>
      </w:r>
    </w:p>
    <w:p>
      <w:pPr>
        <w:spacing w:after="0" w:line="56" w:lineRule="exact"/>
        <w:rPr>
          <w:sz w:val="20"/>
          <w:szCs w:val="20"/>
          <w:color w:val="auto"/>
        </w:rPr>
      </w:pPr>
    </w:p>
    <w:p>
      <w:pPr>
        <w:ind w:left="1300" w:hanging="442"/>
        <w:spacing w:after="0"/>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Leen Kawas, Ph.D., our president and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Mark Litton, Ph.D., our chief operating officer;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Kevin Church, Ph.D., our vice president of discovery.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06" w:lineRule="exact"/>
        <w:rPr>
          <w:sz w:val="20"/>
          <w:szCs w:val="20"/>
          <w:color w:val="auto"/>
        </w:rPr>
      </w:pPr>
    </w:p>
    <w:p>
      <w:pPr>
        <w:ind w:right="280" w:firstLine="576"/>
        <w:spacing w:after="0" w:line="27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during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Salary</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Awards</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77"/>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88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78"/>
        </w:trPr>
        <w:tc>
          <w:tcPr>
            <w:tcW w:w="4540" w:type="dxa"/>
            <w:vAlign w:val="bottom"/>
            <w:tcBorders>
              <w:top w:val="single" w:sz="8" w:color="auto"/>
            </w:tcBorders>
            <w:shd w:val="clear" w:color="auto" w:fill="CFF0FC"/>
          </w:tcPr>
          <w:p>
            <w:pPr>
              <w:spacing w:after="0" w:line="178" w:lineRule="exact"/>
              <w:rPr>
                <w:sz w:val="20"/>
                <w:szCs w:val="20"/>
                <w:color w:val="auto"/>
              </w:rPr>
            </w:pPr>
            <w:r>
              <w:rPr>
                <w:rFonts w:ascii="Arial" w:cs="Arial" w:eastAsia="Arial" w:hAnsi="Arial"/>
                <w:sz w:val="16"/>
                <w:szCs w:val="16"/>
                <w:color w:val="auto"/>
              </w:rPr>
              <w:t>Leen Kawas, Ph.D., President</w:t>
            </w:r>
          </w:p>
        </w:tc>
        <w:tc>
          <w:tcPr>
            <w:tcW w:w="10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7"/>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and Chief Executive Officer</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284,999</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CFF0FC"/>
          </w:tcPr>
          <w:p>
            <w:pPr>
              <w:jc w:val="right"/>
              <w:ind w:right="184"/>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287,015</w:t>
            </w:r>
          </w:p>
        </w:tc>
        <w:tc>
          <w:tcPr>
            <w:tcW w:w="100" w:type="dxa"/>
            <w:vAlign w:val="bottom"/>
            <w:shd w:val="clear" w:color="auto" w:fill="CFF0FC"/>
          </w:tcPr>
          <w:p>
            <w:pPr>
              <w:spacing w:after="0"/>
              <w:rPr>
                <w:sz w:val="18"/>
                <w:szCs w:val="18"/>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Mark Litton, Ph.D., Chief Operating Officer</w:t>
            </w:r>
          </w:p>
        </w:tc>
        <w:tc>
          <w:tcPr>
            <w:tcW w:w="100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880" w:type="dxa"/>
            <w:vAlign w:val="bottom"/>
          </w:tcPr>
          <w:p>
            <w:pPr>
              <w:jc w:val="center"/>
              <w:ind w:left="23"/>
              <w:spacing w:after="0"/>
              <w:rPr>
                <w:sz w:val="20"/>
                <w:szCs w:val="20"/>
                <w:color w:val="auto"/>
              </w:rPr>
            </w:pPr>
            <w:r>
              <w:rPr>
                <w:rFonts w:ascii="Arial" w:cs="Arial" w:eastAsia="Arial" w:hAnsi="Arial"/>
                <w:sz w:val="16"/>
                <w:szCs w:val="16"/>
                <w:color w:val="auto"/>
              </w:rPr>
              <w:t>12,000</w:t>
            </w:r>
          </w:p>
        </w:tc>
        <w:tc>
          <w:tcPr>
            <w:tcW w:w="22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180,480</w:t>
            </w:r>
          </w:p>
        </w:tc>
        <w:tc>
          <w:tcPr>
            <w:tcW w:w="2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192,480</w:t>
            </w:r>
          </w:p>
        </w:tc>
        <w:tc>
          <w:tcPr>
            <w:tcW w:w="100" w:type="dxa"/>
            <w:vAlign w:val="bottom"/>
          </w:tcPr>
          <w:p>
            <w:pPr>
              <w:spacing w:after="0"/>
              <w:rPr>
                <w:sz w:val="17"/>
                <w:szCs w:val="17"/>
                <w:color w:val="auto"/>
              </w:rPr>
            </w:pPr>
          </w:p>
        </w:tc>
      </w:tr>
      <w:tr>
        <w:trPr>
          <w:trHeight w:val="184"/>
        </w:trPr>
        <w:tc>
          <w:tcPr>
            <w:tcW w:w="4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 Vice President of</w:t>
            </w: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7"/>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Discovery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113,666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11,650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135,316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right="180" w:hanging="472"/>
        <w:spacing w:after="0" w:line="261" w:lineRule="auto"/>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computed in accordance with Accounting Standards Codification (ASC) Topic 718, rather than the amounts paid or realized by the named executive officer. We provide information regarding the assumptions used to calculate the value of all stock options made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Reflects a discretionary bonus paid to Dr. Church.</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amounts in this column represent reimbursements paid to Dr. Kawas to cover parking fees.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table shows grants of stock options and stock awards to each of our named executive officers outstanding at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center"/>
              <w:ind w:right="440"/>
              <w:spacing w:after="0" w:line="154" w:lineRule="exact"/>
              <w:rPr>
                <w:sz w:val="20"/>
                <w:szCs w:val="20"/>
                <w:color w:val="auto"/>
              </w:rPr>
            </w:pPr>
            <w:r>
              <w:rPr>
                <w:rFonts w:ascii="Arial" w:cs="Arial" w:eastAsia="Arial" w:hAnsi="Arial"/>
                <w:sz w:val="14"/>
                <w:szCs w:val="14"/>
                <w:b w:val="1"/>
                <w:bCs w:val="1"/>
                <w:color w:val="auto"/>
              </w:rPr>
              <w:t>Option Exercise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460" w:type="dxa"/>
            <w:vAlign w:val="bottom"/>
          </w:tcPr>
          <w:p>
            <w:pPr>
              <w:jc w:val="right"/>
              <w:ind w:right="501"/>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7"/>
        </w:trPr>
        <w:tc>
          <w:tcPr>
            <w:tcW w:w="266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jc w:val="right"/>
              <w:ind w:right="561"/>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Leen Kawas, Ph.D.</w:t>
            </w:r>
          </w:p>
        </w:tc>
        <w:tc>
          <w:tcPr>
            <w:tcW w:w="16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1/20/2014</w:t>
            </w:r>
          </w:p>
        </w:tc>
        <w:tc>
          <w:tcPr>
            <w:tcW w:w="1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25,220</w:t>
            </w:r>
          </w:p>
        </w:tc>
        <w:tc>
          <w:tcPr>
            <w:tcW w:w="28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08/29/2014</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50,440</w:t>
            </w:r>
          </w:p>
        </w:tc>
        <w:tc>
          <w:tcPr>
            <w:tcW w:w="280" w:type="dxa"/>
            <w:vAlign w:val="bottom"/>
          </w:tcPr>
          <w:p>
            <w:pPr>
              <w:spacing w:after="0"/>
              <w:rPr>
                <w:sz w:val="17"/>
                <w:szCs w:val="17"/>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0.16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10/24/2015</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226,980</w:t>
            </w:r>
          </w:p>
        </w:tc>
        <w:tc>
          <w:tcPr>
            <w:tcW w:w="2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10/23/2025</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12/01/2017</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63,050</w:t>
            </w:r>
          </w:p>
        </w:tc>
        <w:tc>
          <w:tcPr>
            <w:tcW w:w="280" w:type="dxa"/>
            <w:vAlign w:val="bottom"/>
          </w:tcPr>
          <w:p>
            <w:pPr>
              <w:spacing w:after="0"/>
              <w:rPr>
                <w:sz w:val="17"/>
                <w:szCs w:val="17"/>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01/21/2023</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31,525</w:t>
            </w:r>
            <w:r>
              <w:rPr>
                <w:rFonts w:ascii="Arial" w:cs="Arial" w:eastAsia="Arial" w:hAnsi="Arial"/>
                <w:sz w:val="27"/>
                <w:szCs w:val="27"/>
                <w:color w:val="auto"/>
                <w:vertAlign w:val="superscript"/>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12/17/2023</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6"/>
                <w:szCs w:val="16"/>
                <w:color w:val="auto"/>
              </w:rPr>
              <w:t>Mark Litton, Ph.D.</w:t>
            </w:r>
          </w:p>
        </w:tc>
        <w:tc>
          <w:tcPr>
            <w:tcW w:w="1580" w:type="dxa"/>
            <w:vAlign w:val="bottom"/>
          </w:tcPr>
          <w:p>
            <w:pPr>
              <w:jc w:val="right"/>
              <w:spacing w:after="0"/>
              <w:rPr>
                <w:sz w:val="20"/>
                <w:szCs w:val="20"/>
                <w:color w:val="auto"/>
              </w:rPr>
            </w:pPr>
            <w:r>
              <w:rPr>
                <w:rFonts w:ascii="Arial" w:cs="Arial" w:eastAsia="Arial" w:hAnsi="Arial"/>
                <w:sz w:val="16"/>
                <w:szCs w:val="16"/>
                <w:color w:val="auto"/>
              </w:rPr>
              <w:t>07/01/2019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line="242" w:lineRule="exact"/>
              <w:rPr>
                <w:sz w:val="20"/>
                <w:szCs w:val="20"/>
                <w:color w:val="auto"/>
              </w:rPr>
            </w:pPr>
            <w:r>
              <w:rPr>
                <w:rFonts w:ascii="Arial" w:cs="Arial" w:eastAsia="Arial" w:hAnsi="Arial"/>
                <w:sz w:val="16"/>
                <w:szCs w:val="16"/>
                <w:color w:val="auto"/>
              </w:rPr>
              <w:t>201,760</w:t>
            </w:r>
            <w:r>
              <w:rPr>
                <w:rFonts w:ascii="Arial" w:cs="Arial" w:eastAsia="Arial" w:hAnsi="Arial"/>
                <w:sz w:val="27"/>
                <w:szCs w:val="27"/>
                <w:color w:val="auto"/>
                <w:vertAlign w:val="superscript"/>
              </w:rPr>
              <w:t>(2)</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08/14/2029</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07/01/2016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28,372</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9,457</w:t>
            </w:r>
            <w:r>
              <w:rPr>
                <w:rFonts w:ascii="Arial" w:cs="Arial" w:eastAsia="Arial" w:hAnsi="Arial"/>
                <w:sz w:val="27"/>
                <w:szCs w:val="27"/>
                <w:color w:val="auto"/>
                <w:vertAlign w:val="superscript"/>
              </w:rPr>
              <w:t>(2)</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06/19/2026</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09/01/2016</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6,305</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08/30/2026</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06/19/2017</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06/19/2027</w:t>
            </w:r>
          </w:p>
        </w:tc>
        <w:tc>
          <w:tcPr>
            <w:tcW w:w="0" w:type="dxa"/>
            <w:vAlign w:val="bottom"/>
          </w:tcPr>
          <w:p>
            <w:pPr>
              <w:spacing w:after="0"/>
              <w:rPr>
                <w:sz w:val="1"/>
                <w:szCs w:val="1"/>
                <w:color w:val="auto"/>
              </w:rPr>
            </w:pPr>
          </w:p>
        </w:tc>
      </w:tr>
      <w:tr>
        <w:trPr>
          <w:trHeight w:val="406"/>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12,610</w:t>
            </w:r>
            <w:r>
              <w:rPr>
                <w:rFonts w:ascii="Arial" w:cs="Arial" w:eastAsia="Arial" w:hAnsi="Arial"/>
                <w:sz w:val="27"/>
                <w:szCs w:val="27"/>
                <w:color w:val="auto"/>
                <w:vertAlign w:val="superscript"/>
              </w:rPr>
              <w:t>(2)</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83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ind w:left="480" w:right="20" w:hanging="472"/>
        <w:spacing w:after="0" w:line="271"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w:t>
      </w:r>
    </w:p>
    <w:p>
      <w:pPr>
        <w:ind w:left="480" w:right="100" w:hanging="472"/>
        <w:spacing w:after="0" w:line="291"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10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 September 2020, our board of directors authorized the grant of option awards to our named executive officers to provide them additional incentives to remain with us and to promote further alignment between their interests and those of our stockholders. The number of shares subject to each authorized option award was determined, with input from Radford, as follows: 209,956 (Dr. Kawas), 46,657 (Dr. Litton) and 69,985 (Dr. Church). These awards will be issued under our 2020 Equity Incentive Plan and will be subject to and become effective upon the effectiveness of the registration statement of which this prospectus forms a part. The per share exercise price of each option will be equal to the initial price of a share of our common stock to the public as of the effective date of the registration statement, which price will be the same as the price set forth on the cover page of this prospectus. Each of the options is scheduled to vest as to 25% of the shares subject to the option on the one-, two-, three- and four-year anniversaries of August 26, 2020, in each case subject to continued service with us through each applicable vesting date, and further subject to vesting acceleration under certain circumstances as described under the subsection titled “—Change in Control and Severance Agreements.”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06"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Dr. Kawas’s current annual base salary is $285,000 and she is eligible for an annual target cash incentive payment equal to 50% of her annual base salary. Provided Dr. Kawas remains employed by us through the effective date of this offering, her annual base salary will be increased to $510,000.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04"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Litton, our chief operating officer. The confirmatory employment letter has no specific term and provides that Dr. Litton is an at-will employee and supersedes all prior employment agreements between Dr. Litton and us. Dr. Litton’s current annual base salary is $250,000 and he is eligible for an annual target cash incentive payment equal to 40% of his annual base salary. Provided Dr. Litton remains employed by us through the effective date of this offering, his annual base salary will be increased to $430,000.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Kevin Church</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Kevin Church, our vice president of discovery. The confirmatory employment letter has no specific term and provides that Dr. Church is an at-will employee and supersedes all prior employment agreements between Dr. Church and us. Dr. Church’s current annual base salary is $121,000 and he is eligible for an annual target cash incentive payment equal to 25% of his annual base salary. Provided Dr. Church remains employed by us through the effective date of this offering, his annual base salary will be increased to $230,000.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In September 2020, we entered into change in control and severance agreements with Dr. Kawas and Dr. Litton, which agreements provide for certain severance and change in control benefits as described below.</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he or she timely signs and does not revoke a release of claims in our favor:</w:t>
      </w:r>
    </w:p>
    <w:p>
      <w:pPr>
        <w:spacing w:after="0" w:line="66" w:lineRule="exact"/>
        <w:rPr>
          <w:sz w:val="20"/>
          <w:szCs w:val="20"/>
          <w:color w:val="auto"/>
        </w:rPr>
      </w:pPr>
    </w:p>
    <w:p>
      <w:pPr>
        <w:ind w:left="1300" w:right="220" w:hanging="442"/>
        <w:spacing w:after="0" w:line="25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54" w:lineRule="exact"/>
        <w:rPr>
          <w:rFonts w:ascii="Times New Roman" w:cs="Times New Roman" w:eastAsia="Times New Roman" w:hAnsi="Times New Roman"/>
          <w:sz w:val="18"/>
          <w:szCs w:val="18"/>
          <w:color w:val="auto"/>
        </w:rPr>
      </w:pPr>
    </w:p>
    <w:p>
      <w:pPr>
        <w:ind w:left="1300" w:right="160" w:hanging="442"/>
        <w:spacing w:after="0" w:line="25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the named executive officer and his or her eligible dependents, if any, for up to 9 months (or 12 months in the case of Dr. Kawas); and</w:t>
      </w:r>
    </w:p>
    <w:p>
      <w:pPr>
        <w:spacing w:after="0" w:line="54"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Dr. Litton only, vesting acceleration of 25% of the shares subject to Dr. Litton’s 2019 Company option award to the extent outstanding and unvested as of the date of the qualifying termination.</w:t>
      </w:r>
    </w:p>
    <w:p>
      <w:pPr>
        <w:spacing w:after="0" w:line="146"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62" w:lineRule="exact"/>
        <w:rPr>
          <w:sz w:val="20"/>
          <w:szCs w:val="20"/>
          <w:color w:val="auto"/>
        </w:rPr>
      </w:pPr>
    </w:p>
    <w:p>
      <w:pPr>
        <w:ind w:left="1300" w:right="180" w:hanging="442"/>
        <w:spacing w:after="0" w:line="248"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61" w:lineRule="exact"/>
        <w:rPr>
          <w:rFonts w:ascii="Times New Roman" w:cs="Times New Roman" w:eastAsia="Times New Roman" w:hAnsi="Times New Roman"/>
          <w:sz w:val="18"/>
          <w:szCs w:val="18"/>
          <w:color w:val="auto"/>
        </w:rPr>
      </w:pPr>
    </w:p>
    <w:p>
      <w:pPr>
        <w:ind w:left="1300" w:right="20" w:hanging="442"/>
        <w:spacing w:after="0" w:line="25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54"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18 months in the case of Dr. Kawas); and</w:t>
      </w:r>
    </w:p>
    <w:p>
      <w:pPr>
        <w:spacing w:after="0" w:line="37" w:lineRule="exact"/>
        <w:rPr>
          <w:rFonts w:ascii="Times New Roman" w:cs="Times New Roman" w:eastAsia="Times New Roman" w:hAnsi="Times New Roman"/>
          <w:sz w:val="18"/>
          <w:szCs w:val="18"/>
          <w:color w:val="auto"/>
        </w:rPr>
      </w:pPr>
    </w:p>
    <w:p>
      <w:pPr>
        <w:ind w:left="1300" w:right="560" w:hanging="442"/>
        <w:spacing w:after="0" w:line="305" w:lineRule="auto"/>
        <w:tabs>
          <w:tab w:leader="none" w:pos="1300" w:val="left"/>
        </w:tabs>
        <w:numPr>
          <w:ilvl w:val="0"/>
          <w:numId w:val="103"/>
        </w:numPr>
        <w:rPr>
          <w:rFonts w:ascii="Times New Roman" w:cs="Times New Roman" w:eastAsia="Times New Roman" w:hAnsi="Times New Roman"/>
          <w:sz w:val="17"/>
          <w:szCs w:val="17"/>
          <w:color w:val="auto"/>
        </w:rPr>
      </w:pPr>
      <w:r>
        <w:rPr>
          <w:rFonts w:ascii="Arial" w:cs="Arial" w:eastAsia="Arial" w:hAnsi="Arial"/>
          <w:sz w:val="17"/>
          <w:szCs w:val="17"/>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23"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6" w:name="page167"/>
    <w:bookmarkEnd w:id="166"/>
    <w:p>
      <w:pPr>
        <w:ind w:right="60" w:firstLine="576"/>
        <w:spacing w:after="0" w:line="245"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or Dr. Litton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7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79"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a material reduction in his or her employee benefits (other than (1) in connection with a general decrease in salary or employee benefits of all similarly situated employees, and (2) following our change in control, to the extent necessary to make his or her salary or employee benefits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0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will be administered by our board of directors or a committee appointed by our board of directors. Unless and until our board of directors determines otherwise, our compensation committee will administer our Executive Incentive Compensation Plan. Our Executive Incentive Compensation Plan will allow us to grant incentive awards, generally payable in cash, to employees selected by the administrator, including our named executive officers, based upon any performance goals that may be established by the administrator.</w:t>
      </w:r>
    </w:p>
    <w:p>
      <w:pPr>
        <w:spacing w:after="0" w:line="17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7"/>
          <w:szCs w:val="17"/>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7" w:name="page168"/>
    <w:bookmarkEnd w:id="167"/>
    <w:p>
      <w:pPr>
        <w:ind w:right="320"/>
        <w:spacing w:after="0" w:line="241" w:lineRule="auto"/>
        <w:rPr>
          <w:sz w:val="20"/>
          <w:szCs w:val="20"/>
          <w:color w:val="auto"/>
        </w:rPr>
      </w:pPr>
      <w:r>
        <w:rPr>
          <w:rFonts w:ascii="Arial" w:cs="Arial" w:eastAsia="Arial" w:hAnsi="Arial"/>
          <w:sz w:val="18"/>
          <w:szCs w:val="18"/>
          <w:color w:val="auto"/>
        </w:rPr>
        <w:t>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79" w:lineRule="exact"/>
        <w:rPr>
          <w:sz w:val="20"/>
          <w:szCs w:val="20"/>
          <w:color w:val="auto"/>
        </w:rPr>
      </w:pPr>
    </w:p>
    <w:p>
      <w:pPr>
        <w:ind w:right="480" w:firstLine="576"/>
        <w:spacing w:after="0" w:line="245"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7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74" w:lineRule="exact"/>
        <w:rPr>
          <w:sz w:val="20"/>
          <w:szCs w:val="20"/>
          <w:color w:val="auto"/>
        </w:rPr>
      </w:pPr>
    </w:p>
    <w:p>
      <w:pPr>
        <w:ind w:right="260" w:firstLine="576"/>
        <w:spacing w:after="0" w:line="241"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79"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administrator of our Executive Incentive Compensation Plan will have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04"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Prior to the effectiveness of the registration statement of which this prospectus forms a part, our 2014 Plan will be terminated and we will not grant any additional awards under our 2014 Plan thereafter. However, our 2014 Plan will continue to govern the terms and conditions of the outstanding awards granted under our 2014 Plan prior to its termination.</w:t>
      </w:r>
    </w:p>
    <w:p>
      <w:pPr>
        <w:spacing w:after="0" w:line="170"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As of June 30, 2020, an aggregate of 3,643,665, shares of our common stock were reserved for issuance under our 2014 Plan. As of June 30, 2020, there were stock options covering 1,258,787 shares of our common stock and restricted stock awards covering 12,610 shares of our common stock outstanding under our 2014 Plan, and no stock appreciation rights or restricted stock units outstanding under our 2014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Restricted stock awards have been granted under our 2014 Plan. Restricted stock are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the</w:t>
      </w:r>
    </w:p>
    <w:p>
      <w:pPr>
        <w:spacing w:after="0" w:line="1" w:lineRule="exact"/>
        <w:rPr>
          <w:sz w:val="20"/>
          <w:szCs w:val="20"/>
          <w:color w:val="auto"/>
        </w:rPr>
      </w:pPr>
    </w:p>
    <w:p>
      <w:pPr>
        <w:ind w:right="600"/>
        <w:spacing w:after="0" w:line="242" w:lineRule="auto"/>
        <w:rPr>
          <w:sz w:val="20"/>
          <w:szCs w:val="20"/>
          <w:color w:val="auto"/>
        </w:rPr>
      </w:pPr>
      <w:r>
        <w:rPr>
          <w:rFonts w:ascii="Arial" w:cs="Arial" w:eastAsia="Arial" w:hAnsi="Arial"/>
          <w:sz w:val="18"/>
          <w:szCs w:val="18"/>
          <w:color w:val="auto"/>
        </w:rPr>
        <w:t>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9" w:name="page170"/>
    <w:bookmarkEnd w:id="169"/>
    <w:p>
      <w:pPr>
        <w:ind w:right="480"/>
        <w:spacing w:after="0" w:line="255" w:lineRule="auto"/>
        <w:rPr>
          <w:sz w:val="20"/>
          <w:szCs w:val="20"/>
          <w:color w:val="auto"/>
        </w:rPr>
      </w:pPr>
      <w:r>
        <w:rPr>
          <w:rFonts w:ascii="Arial" w:cs="Arial" w:eastAsia="Arial" w:hAnsi="Arial"/>
          <w:sz w:val="18"/>
          <w:szCs w:val="18"/>
          <w:color w:val="auto"/>
        </w:rPr>
        <w:t>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920" w:firstLine="576"/>
        <w:spacing w:after="0" w:line="27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it is expected that prior to the effectiveness of the registration statement of which this prospectus forms a part, our 2014 Plan will be terminated, and we will not grant any additional awards under our 2014 Plan thereafter.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Equity Incentive Plan, or, the 2020 Plan. The 2020 Plan will become effective on the business day immediately prior to the effective date of our registration statement of which this prospectus forms a part.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number of shares of our common stock reserved for issuance pursuant to our 2020 Plan equals 4,733,500 shares of common stock. In addition, the shares reserved for issuance under our 2020 Plan will include shares of our common stock subject to awards granted under our 2014 Plan that, after the date the 2014 Plan is terminated, are terminated, cancelled, expire, or otherwise terminate without having been exercised in full or are forfeited to or repurchased by us, provided that the maximum number of shares that may be added to the 2020 Plan pursuant to this sentence is 1,950,834 shares. The number of shares available for issuance under our 2020 Plan also will include an annual increase on the first day of each of our fiscal years for a period of ten years, beginning with our fiscal year 2021, equal to the least of:</w:t>
      </w:r>
    </w:p>
    <w:p>
      <w:pPr>
        <w:spacing w:after="0" w:line="66" w:lineRule="exact"/>
        <w:rPr>
          <w:sz w:val="20"/>
          <w:szCs w:val="20"/>
          <w:color w:val="auto"/>
        </w:rPr>
      </w:pPr>
    </w:p>
    <w:p>
      <w:pPr>
        <w:ind w:left="1300" w:hanging="442"/>
        <w:spacing w:after="0"/>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3,230,000 shares;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70" w:name="page171"/>
    <w:bookmarkEnd w:id="170"/>
    <w:p>
      <w:pPr>
        <w:ind w:left="1300" w:right="700" w:hanging="442"/>
        <w:spacing w:after="0" w:line="275" w:lineRule="auto"/>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Five percent (5%) of the outstanding shares of all classes of our common stock as of the last day of the immediately preceding fiscal year;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4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or one or more committees appointed by our board of directors have authority to administer our 2020 Plan. We expect that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40" w:firstLine="576"/>
        <w:spacing w:after="0" w:line="248"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71" w:name="page172"/>
    <w:bookmarkEnd w:id="171"/>
    <w:p>
      <w:pPr>
        <w:spacing w:after="0" w:line="239" w:lineRule="auto"/>
        <w:rPr>
          <w:sz w:val="20"/>
          <w:szCs w:val="20"/>
          <w:color w:val="auto"/>
        </w:rPr>
      </w:pPr>
      <w:r>
        <w:rPr>
          <w:rFonts w:ascii="Arial" w:cs="Arial" w:eastAsia="Arial" w:hAnsi="Arial"/>
          <w:sz w:val="18"/>
          <w:szCs w:val="18"/>
          <w:color w:val="auto"/>
        </w:rPr>
        <w:t>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0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Performance Awards</w:t>
      </w:r>
    </w:p>
    <w:p>
      <w:pPr>
        <w:spacing w:after="0" w:line="10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All outside (non-employee) directors will be eligible to receive all types of awards (except for incentive stock options) under our 2020 Plan. In September 2020, our board of directors adopted and our stockholders approved a formal Outside Director Compensation Policy pursuant to which our outside directors will be eligible to receive certain equity awards under our 2020 Plan. Our 2020 Plan provides that in any given fiscal year, no outside director may be granted awards (the value of which is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0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02"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right="480" w:firstLine="576"/>
        <w:spacing w:after="0" w:line="255" w:lineRule="auto"/>
        <w:rPr>
          <w:sz w:val="20"/>
          <w:szCs w:val="20"/>
          <w:color w:val="auto"/>
        </w:rPr>
      </w:pPr>
      <w:r>
        <w:rPr>
          <w:rFonts w:ascii="Arial" w:cs="Arial" w:eastAsia="Arial" w:hAnsi="Arial"/>
          <w:sz w:val="18"/>
          <w:szCs w:val="18"/>
          <w:color w:val="auto"/>
        </w:rPr>
        <w:t>In August 2020, our board of directors adopted, and in September 2020 our stockholders approved, a 2020 Employee Stock Purchase Plan, or the ESPP. Our ESPP will become effective one business day immediately before the effective date of the registration statement of which this prospectus forms a part.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The maximum number of shares of our common stock available for issuance under our ESPP equals 323,000 shares of our common stock. In addition, our ESPP provides for annual increases in the number of shares of our common stock available for issuance under our ESPP on the first day of each of our fiscal years beginning with our fiscal year 2021, in an amount equal to the least of:</w:t>
      </w:r>
    </w:p>
    <w:p>
      <w:pPr>
        <w:spacing w:after="0" w:line="56" w:lineRule="exact"/>
        <w:rPr>
          <w:sz w:val="20"/>
          <w:szCs w:val="20"/>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646,000 shares;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37"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right="160" w:firstLine="576"/>
        <w:spacing w:after="0" w:line="207"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w:t>
      </w:r>
    </w:p>
    <w:p>
      <w:pPr>
        <w:spacing w:after="0" w:line="1" w:lineRule="exact"/>
        <w:rPr>
          <w:sz w:val="20"/>
          <w:szCs w:val="20"/>
          <w:color w:val="auto"/>
        </w:rPr>
      </w:pPr>
    </w:p>
    <w:p>
      <w:pPr>
        <w:ind w:firstLine="8"/>
        <w:spacing w:after="0" w:line="237" w:lineRule="auto"/>
        <w:tabs>
          <w:tab w:leader="none" w:pos="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7"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w:t>
      </w:r>
    </w:p>
    <w:p>
      <w:pPr>
        <w:spacing w:after="0" w:line="1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w:t>
      </w:r>
    </w:p>
    <w:p>
      <w:pPr>
        <w:spacing w:after="0" w:line="234" w:lineRule="auto"/>
        <w:rPr>
          <w:sz w:val="20"/>
          <w:szCs w:val="20"/>
          <w:color w:val="auto"/>
        </w:rPr>
      </w:pPr>
      <w:r>
        <w:rPr>
          <w:rFonts w:ascii="Arial" w:cs="Arial" w:eastAsia="Arial" w:hAnsi="Arial"/>
          <w:sz w:val="18"/>
          <w:szCs w:val="18"/>
          <w:color w:val="auto"/>
        </w:rPr>
        <w:t>summary, a reference to our ESPP generally will mean the terms and operations of the 423 Component. Our ESPP will provide for</w:t>
      </w:r>
    </w:p>
    <w:p>
      <w:pPr>
        <w:spacing w:after="0" w:line="235" w:lineRule="auto"/>
        <w:rPr>
          <w:sz w:val="20"/>
          <w:szCs w:val="20"/>
          <w:color w:val="auto"/>
        </w:rPr>
      </w:pPr>
      <w:r>
        <w:rPr>
          <w:rFonts w:ascii="Arial" w:cs="Arial" w:eastAsia="Arial" w:hAnsi="Arial"/>
          <w:sz w:val="18"/>
          <w:szCs w:val="18"/>
          <w:color w:val="auto"/>
        </w:rPr>
        <w:t>consecutive six-month offering periods. Each offering period will have one purchase period with the same duration as the offering</w:t>
      </w:r>
    </w:p>
    <w:p>
      <w:pPr>
        <w:spacing w:after="0" w:line="235" w:lineRule="auto"/>
        <w:rPr>
          <w:sz w:val="20"/>
          <w:szCs w:val="20"/>
          <w:color w:val="auto"/>
        </w:rPr>
      </w:pPr>
      <w:r>
        <w:rPr>
          <w:rFonts w:ascii="Arial" w:cs="Arial" w:eastAsia="Arial" w:hAnsi="Arial"/>
          <w:sz w:val="18"/>
          <w:szCs w:val="18"/>
          <w:color w:val="auto"/>
        </w:rPr>
        <w:t>period. The offering periods will be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w:t>
      </w:r>
    </w:p>
    <w:p>
      <w:pPr>
        <w:spacing w:after="0" w:line="235" w:lineRule="auto"/>
        <w:rPr>
          <w:sz w:val="20"/>
          <w:szCs w:val="20"/>
          <w:color w:val="auto"/>
        </w:rPr>
      </w:pPr>
      <w:r>
        <w:rPr>
          <w:rFonts w:ascii="Arial" w:cs="Arial" w:eastAsia="Arial" w:hAnsi="Arial"/>
          <w:sz w:val="18"/>
          <w:szCs w:val="18"/>
          <w:color w:val="auto"/>
        </w:rPr>
        <w:t>for the first offering period, which will begin on the first trading day on or after the effective date of the registration statement of which this</w:t>
      </w:r>
    </w:p>
    <w:p>
      <w:pPr>
        <w:spacing w:after="0" w:line="235" w:lineRule="auto"/>
        <w:rPr>
          <w:sz w:val="20"/>
          <w:szCs w:val="20"/>
          <w:color w:val="auto"/>
        </w:rPr>
      </w:pPr>
      <w:r>
        <w:rPr>
          <w:rFonts w:ascii="Arial" w:cs="Arial" w:eastAsia="Arial" w:hAnsi="Arial"/>
          <w:sz w:val="18"/>
          <w:szCs w:val="18"/>
          <w:color w:val="auto"/>
        </w:rPr>
        <w:t>prospectus forms a part and end on the first trading day on or after May 18, 2021. The administrator is authorized to change the duration of</w:t>
      </w:r>
    </w:p>
    <w:p>
      <w:pPr>
        <w:spacing w:after="0" w:line="234" w:lineRule="auto"/>
        <w:rPr>
          <w:sz w:val="20"/>
          <w:szCs w:val="20"/>
          <w:color w:val="auto"/>
        </w:rPr>
      </w:pPr>
      <w:r>
        <w:rPr>
          <w:rFonts w:ascii="Arial" w:cs="Arial" w:eastAsia="Arial" w:hAnsi="Arial"/>
          <w:sz w:val="18"/>
          <w:szCs w:val="18"/>
          <w:color w:val="auto"/>
        </w:rPr>
        <w:t>future offering periods and purchase periods under our ESPP, including the starting and ending dates of offering periods and purchase</w:t>
      </w:r>
    </w:p>
    <w:p>
      <w:pPr>
        <w:spacing w:after="0" w:line="235" w:lineRule="auto"/>
        <w:rPr>
          <w:sz w:val="20"/>
          <w:szCs w:val="20"/>
          <w:color w:val="auto"/>
        </w:rPr>
      </w:pPr>
      <w:r>
        <w:rPr>
          <w:rFonts w:ascii="Arial" w:cs="Arial" w:eastAsia="Arial" w:hAnsi="Arial"/>
          <w:sz w:val="18"/>
          <w:szCs w:val="18"/>
          <w:color w:val="auto"/>
        </w:rPr>
        <w:t>periods and the number of purchase periods in any offering periods, provided that no offering period will have a duration exceeding</w:t>
      </w:r>
    </w:p>
    <w:p>
      <w:pPr>
        <w:spacing w:after="0" w:line="1"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right="540" w:firstLine="576"/>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will be permitted to purchase a maximum of 5,000 shares during each offering period.</w:t>
      </w:r>
    </w:p>
    <w:p>
      <w:pPr>
        <w:spacing w:after="0" w:line="25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8"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right="80" w:firstLine="576"/>
        <w:spacing w:after="0" w:line="258"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Our certificate of incorporation and bylaws, each to be effective upon completion of this offering, will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56" w:lineRule="exact"/>
        <w:rPr>
          <w:sz w:val="20"/>
          <w:szCs w:val="20"/>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any breach of the director’s duty of loyalty to us or to our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from which the director derived an improper personal benefit.</w:t>
      </w:r>
    </w:p>
    <w:p>
      <w:pPr>
        <w:spacing w:after="0" w:line="224"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77" w:name="page178"/>
    <w:bookmarkEnd w:id="177"/>
    <w:p>
      <w:pPr>
        <w:ind w:firstLine="576"/>
        <w:spacing w:after="0" w:line="239"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following is a summary of transactions since January 1, 2017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06"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We have a formal, written policy, which will become effective on the date of effectiveness of the registration statement of which this prospectus forms a part,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224"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145"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254"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62" w:lineRule="exact"/>
        <w:rPr>
          <w:sz w:val="20"/>
          <w:szCs w:val="20"/>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benefits and perceived benefits to us;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products or services;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Sales of Securities</w:t>
      </w:r>
    </w:p>
    <w:p>
      <w:pPr>
        <w:spacing w:after="0" w:line="106" w:lineRule="exact"/>
        <w:rPr>
          <w:sz w:val="20"/>
          <w:szCs w:val="20"/>
          <w:color w:val="auto"/>
        </w:rPr>
      </w:pPr>
    </w:p>
    <w:p>
      <w:pPr>
        <w:jc w:val="both"/>
        <w:ind w:right="260" w:firstLine="576"/>
        <w:spacing w:after="0" w:line="277"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2017,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of</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Series B-1</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of</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B</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 of</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Preferred</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Notes</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w:t>
            </w:r>
          </w:p>
        </w:tc>
        <w:tc>
          <w:tcPr>
            <w:tcW w:w="1240" w:type="dxa"/>
            <w:vAlign w:val="bottom"/>
          </w:tcPr>
          <w:p>
            <w:pPr>
              <w:jc w:val="center"/>
              <w:ind w:right="2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1,644,785</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Entities affiliated with RTW Investments,</w:t>
            </w:r>
          </w:p>
        </w:tc>
        <w:tc>
          <w:tcPr>
            <w:tcW w:w="1360" w:type="dxa"/>
            <w:vAlign w:val="bottom"/>
            <w:vMerge w:val="restart"/>
            <w:shd w:val="clear" w:color="auto" w:fill="CFF0FC"/>
          </w:tcPr>
          <w:p>
            <w:pPr>
              <w:jc w:val="right"/>
              <w:ind w:right="39"/>
              <w:spacing w:after="0"/>
              <w:rPr>
                <w:sz w:val="20"/>
                <w:szCs w:val="20"/>
                <w:color w:val="auto"/>
              </w:rPr>
            </w:pPr>
            <w:r>
              <w:rPr>
                <w:rFonts w:ascii="Arial" w:cs="Arial" w:eastAsia="Arial" w:hAnsi="Arial"/>
                <w:sz w:val="18"/>
                <w:szCs w:val="18"/>
                <w:color w:val="auto"/>
              </w:rPr>
              <w:t>1,535,131</w:t>
            </w:r>
            <w:r>
              <w:rPr>
                <w:rFonts w:ascii="Arial" w:cs="Arial" w:eastAsia="Arial" w:hAnsi="Arial"/>
                <w:sz w:val="15"/>
                <w:szCs w:val="15"/>
                <w:color w:val="auto"/>
              </w:rPr>
              <w:t>(2)</w:t>
            </w: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383,782</w:t>
            </w:r>
            <w:r>
              <w:rPr>
                <w:rFonts w:ascii="Arial" w:cs="Arial" w:eastAsia="Arial" w:hAnsi="Arial"/>
                <w:sz w:val="15"/>
                <w:szCs w:val="15"/>
                <w:color w:val="auto"/>
              </w:rPr>
              <w:t>(3)</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LP</w:t>
            </w:r>
          </w:p>
        </w:tc>
        <w:tc>
          <w:tcPr>
            <w:tcW w:w="13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8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360" w:type="dxa"/>
            <w:vAlign w:val="bottom"/>
            <w:vMerge w:val="restart"/>
          </w:tcPr>
          <w:p>
            <w:pPr>
              <w:jc w:val="right"/>
              <w:ind w:right="39"/>
              <w:spacing w:after="0"/>
              <w:rPr>
                <w:sz w:val="20"/>
                <w:szCs w:val="20"/>
                <w:color w:val="auto"/>
              </w:rPr>
            </w:pPr>
            <w:r>
              <w:rPr>
                <w:rFonts w:ascii="Arial" w:cs="Arial" w:eastAsia="Arial" w:hAnsi="Arial"/>
                <w:sz w:val="18"/>
                <w:szCs w:val="18"/>
                <w:color w:val="auto"/>
              </w:rPr>
              <w:t>767,566</w:t>
            </w:r>
            <w:r>
              <w:rPr>
                <w:rFonts w:ascii="Arial" w:cs="Arial" w:eastAsia="Arial" w:hAnsi="Arial"/>
                <w:sz w:val="15"/>
                <w:szCs w:val="15"/>
                <w:color w:val="auto"/>
              </w:rPr>
              <w:t>(4)</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191,890</w:t>
            </w: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w:t>
            </w:r>
          </w:p>
        </w:tc>
        <w:tc>
          <w:tcPr>
            <w:tcW w:w="1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274,130</w:t>
            </w:r>
            <w:r>
              <w:rPr>
                <w:rFonts w:ascii="Arial" w:cs="Arial" w:eastAsia="Arial" w:hAnsi="Arial"/>
                <w:sz w:val="15"/>
                <w:szCs w:val="15"/>
                <w:color w:val="auto"/>
              </w:rPr>
              <w:t>(1)</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Investments Sub-Master LP</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1,096,523</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1,644,785</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Mark Litton, Ph.D.</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43"/>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(7)</w:t>
            </w:r>
          </w:p>
        </w:tc>
        <w:tc>
          <w:tcPr>
            <w:tcW w:w="300" w:type="dxa"/>
            <w:vAlign w:val="bottom"/>
          </w:tcPr>
          <w:p>
            <w:pPr>
              <w:spacing w:after="0"/>
              <w:rPr>
                <w:sz w:val="21"/>
                <w:szCs w:val="21"/>
                <w:color w:val="auto"/>
              </w:rPr>
            </w:pPr>
          </w:p>
        </w:tc>
        <w:tc>
          <w:tcPr>
            <w:tcW w:w="1380" w:type="dxa"/>
            <w:vAlign w:val="bottom"/>
          </w:tcPr>
          <w:p>
            <w:pPr>
              <w:jc w:val="right"/>
              <w:ind w:right="45"/>
              <w:spacing w:after="0"/>
              <w:rPr>
                <w:sz w:val="20"/>
                <w:szCs w:val="20"/>
                <w:color w:val="auto"/>
              </w:rPr>
            </w:pPr>
            <w:r>
              <w:rPr>
                <w:rFonts w:ascii="Arial" w:cs="Arial" w:eastAsia="Arial" w:hAnsi="Arial"/>
                <w:sz w:val="18"/>
                <w:szCs w:val="18"/>
                <w:color w:val="auto"/>
              </w:rPr>
              <w:t>32,815</w:t>
            </w:r>
            <w:r>
              <w:rPr>
                <w:rFonts w:ascii="Arial" w:cs="Arial" w:eastAsia="Arial" w:hAnsi="Arial"/>
                <w:sz w:val="15"/>
                <w:szCs w:val="15"/>
                <w:color w:val="auto"/>
              </w:rPr>
              <w:t>(8)</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8"/>
                <w:szCs w:val="18"/>
                <w:color w:val="auto"/>
              </w:rPr>
              <w:t>6,731</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This warrant was fully exercised prior to August 26, 2020.</w:t>
      </w:r>
    </w:p>
    <w:p>
      <w:pPr>
        <w:spacing w:after="0" w:line="41" w:lineRule="exact"/>
        <w:rPr>
          <w:rFonts w:ascii="Arial" w:cs="Arial" w:eastAsia="Arial" w:hAnsi="Arial"/>
          <w:sz w:val="14"/>
          <w:szCs w:val="14"/>
          <w:color w:val="auto"/>
        </w:rPr>
      </w:pPr>
    </w:p>
    <w:p>
      <w:pPr>
        <w:ind w:left="480" w:right="160" w:hanging="472"/>
        <w:spacing w:after="0" w:line="27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1,535,131 shares of our Series B convertible preferred stock held of record in the aggregate by RTW Master Fund, Ltd., RTW Innovation Master Fund, Ltd. and RTW Venture Fund Limited.</w:t>
      </w:r>
    </w:p>
    <w:p>
      <w:pPr>
        <w:ind w:left="480" w:right="220" w:hanging="472"/>
        <w:spacing w:after="0" w:line="27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warrants to purchase an aggregate of 383,782 shares of our common stock held by RTW Innovation Master Fund, Ltd., RTW Master Fund, Ltd., and RTW Venture Fund Limited. Each of these warrants was fully exercised prior to August 26, 2020.</w:t>
      </w:r>
    </w:p>
    <w:p>
      <w:pPr>
        <w:ind w:left="480" w:right="60" w:hanging="472"/>
        <w:spacing w:after="0" w:line="27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326,344 shares of our Series B convertible preferred stock held by Franklin Strategic Series – Franklin Biotechnology Discovery Fund and 441,222 shares of our Series B convertible preferred stock held by Franklin Templeton Investment Funds – Franklin Biotechnology Discovery Fund.</w:t>
      </w:r>
    </w:p>
    <w:p>
      <w:pPr>
        <w:ind w:left="480" w:right="540" w:hanging="472"/>
        <w:spacing w:after="0" w:line="27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w:t>
      </w:r>
    </w:p>
    <w:p>
      <w:pPr>
        <w:ind w:left="480" w:right="300" w:hanging="472"/>
        <w:spacing w:after="0" w:line="26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1,644,785 shares of our Series B convertible preferred stock and warrants to purchase 411,196 shares of our common stock held by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spacing w:after="0" w:line="1" w:lineRule="exact"/>
        <w:rPr>
          <w:rFonts w:ascii="Arial" w:cs="Arial" w:eastAsia="Arial" w:hAnsi="Arial"/>
          <w:sz w:val="14"/>
          <w:szCs w:val="14"/>
          <w:color w:val="auto"/>
        </w:rPr>
      </w:pPr>
    </w:p>
    <w:p>
      <w:pPr>
        <w:ind w:left="480" w:right="60" w:hanging="472"/>
        <w:spacing w:after="0" w:line="26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held jointly by Dr. Litton and Alicia Litton, his wife, and $150,000 in aggregate principal amount of convertible notes held by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80" w:hanging="472"/>
        <w:spacing w:after="0" w:line="257"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13,126 shares of our Series B-1 convertible preferred stock held jointly by Dr. Litton and Alicia Litton, his wife, and an aggregate 19,689 shares of our Series B-1 convertible preferred stock held by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560" w:hanging="472"/>
        <w:spacing w:after="0" w:line="189" w:lineRule="exact"/>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held by Fluke Capital Management, L.P., of which John M. Fluke, Jr. has a beneficial ownership interest.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month. Dr. Litton, our chief operating officer, and Alicia Litton, his wife, purchased $100,000 in aggregate principal amount of the notes. In addition, notes in an aggregate principal amount of $ 150,000 were purchased by the Irrevocable Trust of OSL, the Irrevocable Trust of WGL, and the Irrevocable Trust of SWL, each of which are trusts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0" w:name="page181"/>
    <w:bookmarkEnd w:id="180"/>
    <w:p>
      <w:pPr>
        <w:spacing w:after="0" w:line="248" w:lineRule="auto"/>
        <w:rPr>
          <w:sz w:val="20"/>
          <w:szCs w:val="20"/>
          <w:color w:val="auto"/>
        </w:rPr>
      </w:pPr>
      <w:r>
        <w:rPr>
          <w:rFonts w:ascii="Arial" w:cs="Arial" w:eastAsia="Arial" w:hAnsi="Arial"/>
          <w:sz w:val="18"/>
          <w:szCs w:val="18"/>
          <w:color w:val="auto"/>
        </w:rPr>
        <w:t>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0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0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June 30, 2020, the holders of 17,408,032 shares of our common stock, including 12,503,009 shares of common stock issuable upon conversion of outstanding convertible preferred stock and 1,704,001 shares of common stock issuable upon exercise of outstanding warrants (as of June 30, 2020 and assuming the automatic net exercise of all outstanding warrants outstanding as of June 30, 2020 immediately prior to the closing of this offering), or their transferees, are entitled to rights with respect to the registration of their shares under the Securities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06"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election of the members of the board of directors is governed by a voting agreement with certain of our stockholders, including Dr. Kawas, our chief executive officer, and Perceptive Life Sciences Master Fund Ltd. The parties to the voting agreement have agreed, subject to certain conditions, to vote their shares to elect as directors as follows:</w:t>
      </w:r>
    </w:p>
    <w:p>
      <w:pPr>
        <w:spacing w:after="0" w:line="56" w:lineRule="exact"/>
        <w:rPr>
          <w:sz w:val="20"/>
          <w:szCs w:val="20"/>
          <w:color w:val="auto"/>
        </w:rPr>
      </w:pPr>
    </w:p>
    <w:p>
      <w:pPr>
        <w:ind w:left="1300" w:hanging="442"/>
        <w:spacing w:after="0"/>
        <w:tabs>
          <w:tab w:leader="none" w:pos="130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designated by Perceptive Life Sciences Master Fund Ltd., currently Mr. Edelman;</w:t>
      </w:r>
    </w:p>
    <w:p>
      <w:pPr>
        <w:spacing w:after="0" w:line="224"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color w:val="auto"/>
        </w:rPr>
        <w:t>four nominees, one of which must be our chief executive officer, designated by a majority vote of our common stock, currently Dr. Kawas, Dr. Yamada, and Messrs. Fluke and Johnson;</w:t>
      </w:r>
    </w:p>
    <w:p>
      <w:pPr>
        <w:spacing w:after="0" w:line="145"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designated by Perceptive Life Sciences Master Fund Ltd., currently vacant; and</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81" w:name="page182"/>
    <w:bookmarkEnd w:id="181"/>
    <w:p>
      <w:pPr>
        <w:ind w:right="100" w:firstLine="576"/>
        <w:spacing w:after="0" w:line="268" w:lineRule="auto"/>
        <w:rPr>
          <w:sz w:val="20"/>
          <w:szCs w:val="20"/>
          <w:color w:val="auto"/>
        </w:rPr>
      </w:pPr>
      <w:r>
        <w:rPr>
          <w:rFonts w:ascii="Arial" w:cs="Arial" w:eastAsia="Arial" w:hAnsi="Arial"/>
          <w:sz w:val="17"/>
          <w:szCs w:val="17"/>
          <w:color w:val="auto"/>
        </w:rPr>
        <w:t>Upon the consummation of this offering, the obligations of the parties to the voting agreement to vote their shares to elect these nominees will terminate, and none of our stockholders will have any special rights regarding the nomination, election or designation of members of the board of directors. Our existing certificate of incorporation contains provisions that correspond to the voting agreement; however, the certificate of incorporation that will be effective immediately prior to the closing of this offering will not include such provisions.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1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 our request, the underwriters have reserved up to 5% of the shares of common stock to be offered by this prospectus for sale, at the initial public offering price, to directors, officers, employees, business associates and other persons related to us. If purchased by these persons, these shares will not be subject to a lock-up restriction, except in the case of shares purchased by any director, executive officer or employee.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6"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of which this prospectus forms a part.</w:t>
      </w:r>
    </w:p>
    <w:p>
      <w:pPr>
        <w:spacing w:after="0" w:line="145"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prospectus titled “Executive Compensation – Executive Employment Arrangements.”</w:t>
      </w:r>
    </w:p>
    <w:p>
      <w:pPr>
        <w:spacing w:after="0" w:line="16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We have granted stock options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16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182" w:name="page183"/>
    <w:bookmarkEnd w:id="182"/>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September 4, 2020 by:</w:t>
      </w:r>
    </w:p>
    <w:p>
      <w:pPr>
        <w:spacing w:after="0" w:line="104" w:lineRule="exact"/>
        <w:rPr>
          <w:sz w:val="20"/>
          <w:szCs w:val="20"/>
          <w:color w:val="auto"/>
        </w:rPr>
      </w:pPr>
    </w:p>
    <w:p>
      <w:pPr>
        <w:ind w:left="1300" w:hanging="442"/>
        <w:spacing w:after="0"/>
        <w:tabs>
          <w:tab w:leader="none" w:pos="1300" w:val="left"/>
        </w:tabs>
        <w:numPr>
          <w:ilvl w:val="0"/>
          <w:numId w:val="113"/>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3"/>
        </w:numPr>
        <w:rPr>
          <w:rFonts w:ascii="Times New Roman" w:cs="Times New Roman" w:eastAsia="Times New Roman" w:hAnsi="Times New Roman"/>
          <w:sz w:val="18"/>
          <w:szCs w:val="18"/>
          <w:color w:val="auto"/>
        </w:rPr>
      </w:pPr>
      <w:r>
        <w:rPr>
          <w:rFonts w:ascii="Arial" w:cs="Arial" w:eastAsia="Arial" w:hAnsi="Arial"/>
          <w:sz w:val="18"/>
          <w:szCs w:val="18"/>
          <w:color w:val="auto"/>
        </w:rPr>
        <w:t>each of the named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3"/>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3"/>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executive officers and directors as a group.</w:t>
      </w:r>
    </w:p>
    <w:p>
      <w:pPr>
        <w:spacing w:after="0" w:line="224"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The percentage of beneficial ownership prior to the offering shown in the table is based upon 17,697,059 shares of common stock outstanding as of September 4, 2020 assuming the automatic conversion of all outstanding shares of convertible preferred stock into an aggregate of 12,503,009 shares of common stock. The percentage of beneficial ownership after this offering shown in the table is based on 28,814,575 shares of common stock outstanding after the closing of this offering, assuming no exercise of the underwriters’ option to purchase additional shares and excluding any potential purchases pursuant to the directed share program in this offering.</w:t>
      </w:r>
    </w:p>
    <w:p>
      <w:pPr>
        <w:spacing w:after="0" w:line="17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September 4,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58" w:right="459" w:bottom="1440" w:gutter="0" w:footer="0" w:header="0"/>
        </w:sectPr>
      </w:pPr>
    </w:p>
    <w:bookmarkStart w:id="183" w:name="page184"/>
    <w:bookmarkEnd w:id="183"/>
    <w:p>
      <w:pPr>
        <w:ind w:right="460" w:firstLine="576"/>
        <w:spacing w:after="0" w:line="27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4000 Mason Road, Suite 300, Seattle, Washington 98195.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Shares Beneficially</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520" w:type="dxa"/>
            <w:vAlign w:val="bottom"/>
            <w:gridSpan w:val="3"/>
          </w:tcPr>
          <w:p>
            <w:pPr>
              <w:jc w:val="center"/>
              <w:ind w:left="875"/>
              <w:spacing w:after="0"/>
              <w:rPr>
                <w:sz w:val="20"/>
                <w:szCs w:val="20"/>
                <w:color w:val="auto"/>
              </w:rPr>
            </w:pPr>
            <w:r>
              <w:rPr>
                <w:rFonts w:ascii="Arial" w:cs="Arial" w:eastAsia="Arial" w:hAnsi="Arial"/>
                <w:sz w:val="14"/>
                <w:szCs w:val="14"/>
                <w:b w:val="1"/>
                <w:bCs w:val="1"/>
                <w:color w:val="auto"/>
              </w:rPr>
              <w:t>Owned</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Shares Beneficially Owned</w:t>
            </w:r>
          </w:p>
        </w:tc>
      </w:tr>
      <w:tr>
        <w:trPr>
          <w:trHeight w:val="177"/>
        </w:trPr>
        <w:tc>
          <w:tcPr>
            <w:tcW w:w="5740" w:type="dxa"/>
            <w:vAlign w:val="bottom"/>
          </w:tcPr>
          <w:p>
            <w:pPr>
              <w:spacing w:after="0"/>
              <w:rPr>
                <w:sz w:val="15"/>
                <w:szCs w:val="15"/>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Prior to the Offering</w:t>
            </w:r>
          </w:p>
        </w:tc>
        <w:tc>
          <w:tcPr>
            <w:tcW w:w="26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After the Offering</w:t>
            </w:r>
          </w:p>
        </w:tc>
      </w:tr>
      <w:tr>
        <w:trPr>
          <w:trHeight w:val="154"/>
        </w:trPr>
        <w:tc>
          <w:tcPr>
            <w:tcW w:w="5740" w:type="dxa"/>
            <w:vAlign w:val="bottom"/>
          </w:tcPr>
          <w:p>
            <w:pPr>
              <w:spacing w:after="0"/>
              <w:rPr>
                <w:sz w:val="13"/>
                <w:szCs w:val="13"/>
                <w:color w:val="auto"/>
              </w:rPr>
            </w:pPr>
          </w:p>
        </w:tc>
        <w:tc>
          <w:tcPr>
            <w:tcW w:w="1520" w:type="dxa"/>
            <w:vAlign w:val="bottom"/>
            <w:tcBorders>
              <w:top w:val="single" w:sz="8" w:color="auto"/>
            </w:tcBorders>
            <w:gridSpan w:val="3"/>
          </w:tcPr>
          <w:p>
            <w:pPr>
              <w:jc w:val="center"/>
              <w:ind w:right="400"/>
              <w:spacing w:after="0" w:line="154" w:lineRule="exact"/>
              <w:rPr>
                <w:sz w:val="20"/>
                <w:szCs w:val="20"/>
                <w:color w:val="auto"/>
              </w:rPr>
            </w:pPr>
            <w:r>
              <w:rPr>
                <w:rFonts w:ascii="Arial" w:cs="Arial" w:eastAsia="Arial" w:hAnsi="Arial"/>
                <w:sz w:val="14"/>
                <w:szCs w:val="14"/>
                <w:b w:val="1"/>
                <w:bCs w:val="1"/>
                <w:color w:val="auto"/>
              </w:rPr>
              <w:t>Number of</w:t>
            </w: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Borders>
              <w:top w:val="single" w:sz="8" w:color="auto"/>
            </w:tcBorders>
            <w:gridSpan w:val="2"/>
          </w:tcPr>
          <w:p>
            <w:pPr>
              <w:ind w:left="200"/>
              <w:spacing w:after="0" w:line="154" w:lineRule="exact"/>
              <w:rPr>
                <w:sz w:val="20"/>
                <w:szCs w:val="20"/>
                <w:color w:val="auto"/>
              </w:rPr>
            </w:pPr>
            <w:r>
              <w:rPr>
                <w:rFonts w:ascii="Arial" w:cs="Arial" w:eastAsia="Arial" w:hAnsi="Arial"/>
                <w:sz w:val="14"/>
                <w:szCs w:val="14"/>
                <w:b w:val="1"/>
                <w:bCs w:val="1"/>
                <w:color w:val="auto"/>
              </w:rPr>
              <w:t>Number of</w:t>
            </w: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5740" w:type="dxa"/>
            <w:vAlign w:val="bottom"/>
          </w:tcPr>
          <w:p>
            <w:pPr>
              <w:spacing w:after="0"/>
              <w:rPr>
                <w:sz w:val="15"/>
                <w:szCs w:val="15"/>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r>
      <w:tr>
        <w:trPr>
          <w:trHeight w:val="210"/>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2,055,981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2,055,981</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1,918,913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1,918,913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 Investments</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6"/>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1,370,653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1,370,653</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r>
      <w:tr>
        <w:trPr>
          <w:trHeight w:val="193"/>
        </w:trPr>
        <w:tc>
          <w:tcPr>
            <w:tcW w:w="574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5740" w:type="dxa"/>
            <w:vAlign w:val="bottom"/>
          </w:tcPr>
          <w:p>
            <w:pPr>
              <w:ind w:left="160"/>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959,456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959,456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Mark Litton</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83,255</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Kevin Church</w:t>
            </w:r>
            <w:r>
              <w:rPr>
                <w:rFonts w:ascii="Arial" w:cs="Arial" w:eastAsia="Arial" w:hAnsi="Arial"/>
                <w:sz w:val="15"/>
                <w:szCs w:val="15"/>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50,438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50,438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(8)</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2,055,981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2,055,981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142,208</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(11)</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All directors and executive officers as a group</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6"/>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(9 persons)</w:t>
            </w:r>
            <w:r>
              <w:rPr>
                <w:rFonts w:ascii="Arial" w:cs="Arial" w:eastAsia="Arial" w:hAnsi="Arial"/>
                <w:sz w:val="15"/>
                <w:szCs w:val="15"/>
                <w:color w:val="auto"/>
              </w:rPr>
              <w:t>(12)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4,140,750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26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40" w:hanging="472"/>
        <w:spacing w:after="0" w:line="271" w:lineRule="auto"/>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264,810 shares held of record by Hamdan Family GST Trust, 1,117,246 shares held of record by Dr. Kawas and options to purchase 300,538 shares that are exercisable within 60 days of September 4, 2020, all of which will be vested as of November 3, 2020.</w:t>
      </w:r>
    </w:p>
    <w:p>
      <w:pPr>
        <w:ind w:left="480" w:hanging="472"/>
        <w:spacing w:after="0" w:line="261" w:lineRule="auto"/>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2,055,981 shares held of record by Perceptive Life Sciences Master Fund Ltd., or Perceptive. The business address of Perceptive is 51 Astor Place, 10th Floor, New York, NY 10003. Perceptive Advisors LLC serves as the investment manager of Perceptive. Joseph Edelman is the managing member of Perceptive Advisors LLC and he may be deemed to beneficially own the shares held by Perceptive.</w:t>
      </w:r>
    </w:p>
    <w:p>
      <w:pPr>
        <w:spacing w:after="0" w:line="1" w:lineRule="exact"/>
        <w:rPr>
          <w:rFonts w:ascii="Arial" w:cs="Arial" w:eastAsia="Arial" w:hAnsi="Arial"/>
          <w:sz w:val="14"/>
          <w:szCs w:val="14"/>
          <w:color w:val="auto"/>
        </w:rPr>
      </w:pPr>
    </w:p>
    <w:p>
      <w:pPr>
        <w:ind w:left="480" w:right="20" w:hanging="472"/>
        <w:spacing w:after="0" w:line="249" w:lineRule="auto"/>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1,918,913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10th Avenue, Floor 7, New York, NY 10014.</w:t>
      </w:r>
    </w:p>
    <w:p>
      <w:pPr>
        <w:spacing w:after="0" w:line="5" w:lineRule="exact"/>
        <w:rPr>
          <w:rFonts w:ascii="Arial" w:cs="Arial" w:eastAsia="Arial" w:hAnsi="Arial"/>
          <w:sz w:val="14"/>
          <w:szCs w:val="14"/>
          <w:color w:val="auto"/>
        </w:rPr>
      </w:pPr>
    </w:p>
    <w:p>
      <w:pPr>
        <w:ind w:left="480" w:right="180" w:hanging="472"/>
        <w:spacing w:after="0" w:line="251" w:lineRule="auto"/>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1,370,653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2" w:lineRule="exact"/>
        <w:rPr>
          <w:rFonts w:ascii="Arial" w:cs="Arial" w:eastAsia="Arial" w:hAnsi="Arial"/>
          <w:sz w:val="14"/>
          <w:szCs w:val="14"/>
          <w:color w:val="auto"/>
        </w:rPr>
      </w:pPr>
    </w:p>
    <w:p>
      <w:pPr>
        <w:ind w:left="480" w:right="180" w:hanging="472"/>
        <w:spacing w:after="0" w:line="253" w:lineRule="auto"/>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(a) 326,344 shares and a warrant to acquire 81,585 shares held of record by Franklin Strategic Series – Franklin Biotechnology Discovery Fund and (b) 441,222 shares and a warrant to acquire 110,305 shares held of record by Franklin Templeton Investment Funds – Franklin Biotechnology Discovery Fund. Evan McCulloch is a natural person who makes voting and investment decisions with respect to the shares beneficially owned by Franklin Strategic Series – Franklin Biotechnology Discovery Fund and Franklin Templeton Investment Funds – Franklin Biotechnology Discovery Fund. The business address of each of the entities is c/o Franklin Advisers, Inc., One Franklin Parkway, San Mateo, CA 94403.</w:t>
      </w:r>
    </w:p>
    <w:p>
      <w:pPr>
        <w:spacing w:after="0" w:line="1" w:lineRule="exact"/>
        <w:rPr>
          <w:rFonts w:ascii="Arial" w:cs="Arial" w:eastAsia="Arial" w:hAnsi="Arial"/>
          <w:sz w:val="14"/>
          <w:szCs w:val="14"/>
          <w:color w:val="auto"/>
        </w:rPr>
      </w:pPr>
    </w:p>
    <w:p>
      <w:pPr>
        <w:ind w:left="480" w:right="360" w:hanging="472"/>
        <w:spacing w:after="0" w:line="291" w:lineRule="auto"/>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50,440 shares held by Dr. Litton, 13,126 shares held jointly by Dr. Litton and his spouse, and an aggregate of 19,689 shares held by Irrevocable Trust of OSL, the Irrevocable Trust of SWL, and the Irrevocable Trust of WGL, each of which are trusts held for the benefit of Dr. Litton’s children.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4" w:name="page185"/>
    <w:bookmarkEnd w:id="184"/>
    <w:p>
      <w:pPr>
        <w:ind w:left="472" w:right="20" w:hanging="472"/>
        <w:spacing w:after="0" w:line="271" w:lineRule="auto"/>
        <w:tabs>
          <w:tab w:leader="none" w:pos="47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40,982 shares held by Dr. Church and options to purchase 9,457 shares that are exercisable within 60 days of September 4, 2020, all of which will be vested as of November 3, 2020.</w:t>
      </w:r>
    </w:p>
    <w:p>
      <w:pPr>
        <w:ind w:left="472" w:hanging="472"/>
        <w:spacing w:after="0"/>
        <w:tabs>
          <w:tab w:leader="none" w:pos="47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options to purchase 30,123 shares that are exercisable within 60 days of September 4, 2020, all of which will be vested as of November 3,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w:t>
      </w:r>
    </w:p>
    <w:p>
      <w:pPr>
        <w:spacing w:after="0" w:line="41" w:lineRule="exact"/>
        <w:rPr>
          <w:rFonts w:ascii="Arial" w:cs="Arial" w:eastAsia="Arial" w:hAnsi="Arial"/>
          <w:sz w:val="14"/>
          <w:szCs w:val="14"/>
          <w:color w:val="auto"/>
        </w:rPr>
      </w:pPr>
    </w:p>
    <w:p>
      <w:pPr>
        <w:ind w:left="472" w:right="700" w:hanging="472"/>
        <w:spacing w:after="0" w:line="271" w:lineRule="auto"/>
        <w:tabs>
          <w:tab w:leader="none" w:pos="47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6,731 shares held of record by Fluke Capital Management, L.P., 114,881 shares held by Mr. Fluke, and options to purchase 20,596 shares that are exercisable within 60 days of September 4, 2020, all of which will be vested as of November 3, 2020.</w:t>
      </w:r>
    </w:p>
    <w:p>
      <w:pPr>
        <w:ind w:left="472" w:hanging="472"/>
        <w:spacing w:after="0"/>
        <w:tabs>
          <w:tab w:leader="none" w:pos="47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Mr. Johnson joined our board of directors in August 2020.</w:t>
      </w:r>
    </w:p>
    <w:p>
      <w:pPr>
        <w:spacing w:after="0" w:line="41" w:lineRule="exact"/>
        <w:rPr>
          <w:rFonts w:ascii="Arial" w:cs="Arial" w:eastAsia="Arial" w:hAnsi="Arial"/>
          <w:sz w:val="14"/>
          <w:szCs w:val="14"/>
          <w:color w:val="auto"/>
        </w:rPr>
      </w:pPr>
    </w:p>
    <w:p>
      <w:pPr>
        <w:ind w:left="472" w:hanging="472"/>
        <w:spacing w:after="0" w:line="291" w:lineRule="auto"/>
        <w:tabs>
          <w:tab w:leader="none" w:pos="47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3,765,850 shares held of record and options to purchase 374,900 shares that are exercisable within 60 days of September 4, 2020, all of which will be vested as of November 3, 2020.</w:t>
      </w:r>
    </w:p>
    <w:p>
      <w:pPr>
        <w:spacing w:after="0" w:line="3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410" w:right="339" w:bottom="1440" w:gutter="0" w:footer="0" w:header="0"/>
        </w:sectPr>
      </w:pPr>
    </w:p>
    <w:bookmarkStart w:id="185" w:name="page186"/>
    <w:bookmarkEnd w:id="185"/>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164"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Upon the closing of this offering and the filing of our certificate of incorporation to be effective immediately prior to this offering, our authorized capital stock will consist of 900,000,000 shares of common stock, par value $0.0001 per share, and 100,000,000 shares of preferred stock, par value $0.0001 per share.</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Immediately prior to the closing of this offering, all the outstanding shares of convertible preferred stock will automatically convert into an aggregate of 12,503,009 shares of common stock, the outstanding warrant to purchase shares of our Series B convertible preferred stock will convert into a warrant to purchase an aggregate of 127,481 shares of our common stock, and that warrant, together with all other warrants outstanding immediately prior to the closing of this offering, will net exercise into an aggregate of 1,706,811 shares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Based on 4,607,565 shares of common stock outstanding as of June 30, 2020, the conversion of convertible preferred stock outstanding as of June 30, 2020 into an aggregate of 12,503,009 shares of our common stock upon the completion of this offering, the issuance of an aggregate of 1,704,001 shares of our common stock upon the net exercise of outstanding warrants immediately prior to the completion of this offering, the issuance of 10,000,000 shares of our common stock in this offering, and no exercise of the underwriters’ option to purchase additional shares and no exercise of options, there will be 28,814,575 shares of common stock outstanding upon the closing of this offering. As of June 30, 2020, assuming the conversion of all outstanding convertible preferred stock into common stock upon the closing of this offering and the issuance of 1,704,001 shares of common stock upon the net exercise of certain outstanding warrants to purchase shares of our Series B convertible preferred stock and common stock immediately prior to the closing of this offering that would otherwise expire, we had approximately 141 record holders of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Upon the closing of this offering, our board of directors will have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ind w:right="180" w:firstLine="576"/>
        <w:spacing w:after="0" w:line="241" w:lineRule="auto"/>
        <w:rPr>
          <w:sz w:val="20"/>
          <w:szCs w:val="20"/>
          <w:color w:val="auto"/>
        </w:rPr>
      </w:pPr>
      <w:r>
        <w:rPr>
          <w:rFonts w:ascii="Arial" w:cs="Arial" w:eastAsia="Arial" w:hAnsi="Arial"/>
          <w:sz w:val="18"/>
          <w:szCs w:val="18"/>
          <w:color w:val="auto"/>
        </w:rPr>
        <w:t>Under our investors’ rights agreement, as amended, following the closing of this offering, the holders of approximately 17,410,842 shares of common stock, common stock issuable upon conversion of outstanding convertible preferred stock and common stock issuable upon exercise of warrants to purchase our Series B convertible preferred stock and common stock (as of June 30, 2020 and assuming the automatic net exercise of all warrants outstanding as of June 30, 2020 immediately prior to the closing of this offering), or their transferees, have the right to require us to register the offer and sale of their shares, which we refer to as registration rights. Additionally, the holders of 1,706,811 shares of common stock issuable upon exercise of options to purchase our common stock, or their transferees, have registration rights.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 any time after six months after the date of this prospectus,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At any time immediately prior to the closing of this offering, 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this offering.</w:t>
      </w:r>
    </w:p>
    <w:p>
      <w:pPr>
        <w:spacing w:after="0" w:line="270" w:lineRule="exact"/>
        <w:rPr>
          <w:sz w:val="20"/>
          <w:szCs w:val="20"/>
          <w:color w:val="auto"/>
        </w:rPr>
      </w:pPr>
    </w:p>
    <w:p>
      <w:pPr>
        <w:ind w:right="2300"/>
        <w:spacing w:after="0" w:line="361"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ind w:right="280" w:firstLine="576"/>
        <w:spacing w:after="0" w:line="255" w:lineRule="auto"/>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56" w:lineRule="exact"/>
        <w:rPr>
          <w:sz w:val="20"/>
          <w:szCs w:val="20"/>
          <w:color w:val="auto"/>
        </w:rPr>
      </w:pPr>
    </w:p>
    <w:p>
      <w:pPr>
        <w:ind w:left="1300" w:right="6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88" w:name="page189"/>
    <w:bookmarkEnd w:id="188"/>
    <w:p>
      <w:pPr>
        <w:jc w:val="both"/>
        <w:ind w:left="1300" w:right="360" w:hanging="442"/>
        <w:spacing w:after="0" w:line="25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Section 203 defines a business combination to include: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37" w:lineRule="exact"/>
        <w:rPr>
          <w:rFonts w:ascii="Times New Roman" w:cs="Times New Roman" w:eastAsia="Times New Roman" w:hAnsi="Times New Roman"/>
          <w:sz w:val="18"/>
          <w:szCs w:val="18"/>
          <w:color w:val="auto"/>
        </w:rPr>
      </w:pPr>
    </w:p>
    <w:p>
      <w:pPr>
        <w:ind w:left="1300" w:right="88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37"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66" w:lineRule="exact"/>
        <w:rPr>
          <w:sz w:val="20"/>
          <w:szCs w:val="20"/>
          <w:color w:val="auto"/>
        </w:rPr>
      </w:pPr>
    </w:p>
    <w:p>
      <w:pPr>
        <w:ind w:left="1300" w:right="62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45"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17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 will</w:t>
      </w:r>
    </w:p>
    <w:p>
      <w:pPr>
        <w:spacing w:after="0" w:line="62" w:lineRule="exact"/>
        <w:rPr>
          <w:sz w:val="20"/>
          <w:szCs w:val="20"/>
          <w:color w:val="auto"/>
        </w:rPr>
      </w:pPr>
    </w:p>
    <w:p>
      <w:pPr>
        <w:ind w:left="1300" w:right="48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37"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37" w:lineRule="exact"/>
        <w:rPr>
          <w:rFonts w:ascii="Times New Roman" w:cs="Times New Roman" w:eastAsia="Times New Roman" w:hAnsi="Times New Roman"/>
          <w:sz w:val="18"/>
          <w:szCs w:val="18"/>
          <w:color w:val="auto"/>
        </w:rPr>
      </w:pPr>
    </w:p>
    <w:p>
      <w:pPr>
        <w:jc w:val="both"/>
        <w:ind w:left="1300" w:right="100" w:hanging="442"/>
        <w:spacing w:after="0" w:line="25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54" w:lineRule="exact"/>
        <w:rPr>
          <w:rFonts w:ascii="Times New Roman" w:cs="Times New Roman" w:eastAsia="Times New Roman" w:hAnsi="Times New Roman"/>
          <w:sz w:val="18"/>
          <w:szCs w:val="18"/>
          <w:color w:val="auto"/>
        </w:rPr>
      </w:pPr>
    </w:p>
    <w:p>
      <w:pPr>
        <w:ind w:left="1300" w:right="40" w:hanging="442"/>
        <w:spacing w:after="0" w:line="242"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69"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right="640" w:firstLine="576"/>
        <w:spacing w:after="0" w:line="27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6"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“ATHA.”</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we expect that our common stock will be approved for listing on the Nasdaq Global Market, we cannot assure you that there will be an active public market for our common stock following this offering. We cannot predict what effect sales of our shares in the public market or the availability of shares for sale will have on the market price of our common stock. Future sales of substantial amounts of common stock in the public market, including shares issued upon exercise of outstanding options or warrants, or the perception that such sales may occur, however, could adversely affect the market price of our common stock and also could adversely affect our future ability to raise capital through the sale of our common stock or other equity-related securities at times and prices we believe appropriate.</w:t>
      </w:r>
    </w:p>
    <w:p>
      <w:pPr>
        <w:spacing w:after="0" w:line="179"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Upon completion of this offering, based on our shares outstanding as of June 30, 2020, the conversion of convertible preferred stock outstanding as of June 30, 2020 into an aggregate of 12,503,009 shares of our common stock upon the completion of this offering, the issuance of an aggregate of 1,704,001 shares of our common stock upon the net exercise of outstanding warrants immediately prior to the completion of this offering, and the issuance of 10,000,000 shares of our common stock in this offering, 28,814,575 shares of our common stock will be outstanding, or 30,314,575 shares of common stock if the underwriters exercise their option to purchase additional shares in full. All of the shares of common stock expected to be sold in this offering will be freely tradable without restriction or further registration under the Securities Act unless (a) held by our “affiliates,” as that term is defined in Rule 144 under the Securities Act, or (b) purchased by our directors, executive officers and employees in our directed share program.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2" w:lineRule="exact"/>
        <w:rPr>
          <w:sz w:val="20"/>
          <w:szCs w:val="20"/>
          <w:color w:val="auto"/>
        </w:rPr>
      </w:pPr>
    </w:p>
    <w:p>
      <w:pPr>
        <w:ind w:left="1300" w:right="20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10,000,000 shares will be eligible for sale on the date of this prospectus, except for any shares of common stock purchase by our directors, executive officers and employees in our directed share program; and</w:t>
      </w:r>
    </w:p>
    <w:p>
      <w:pPr>
        <w:spacing w:after="0" w:line="37" w:lineRule="exact"/>
        <w:rPr>
          <w:rFonts w:ascii="Times New Roman" w:cs="Times New Roman" w:eastAsia="Times New Roman" w:hAnsi="Times New Roman"/>
          <w:sz w:val="18"/>
          <w:szCs w:val="18"/>
          <w:color w:val="auto"/>
        </w:rPr>
      </w:pPr>
    </w:p>
    <w:p>
      <w:pPr>
        <w:ind w:left="1300" w:right="220" w:hanging="442"/>
        <w:spacing w:after="0" w:line="248"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18,814,575 shares will be eligible for sale upon expiration of the lock-up agreements and market stand-off provisions described below, beginning more than 180 days after the date of this prospectus, except that any shares purchased in this offering by our affiliates, as that term is defined in Rule 144 under the Securities Act, would only be able to be sold in compliance with the Rule 144 limitations described below.</w:t>
      </w:r>
    </w:p>
    <w:p>
      <w:pPr>
        <w:spacing w:after="0" w:line="17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our directors and officers and substantially all of the holders of our equity securities have agreed, subject to certain exceptions, not to offer, sell or transfer any common stock or securities convertible into or exchangeable or exercisable for common stock for 180 days after the date of this prospectus without first obtaining the written consent of Goldman Sachs &amp; Co. LLC and Jefferies LLC, on 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 These agreements are described below under the section of this prospectus titled “Underwriting.”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In general, under Rule 144, beginning 90 days after the effective date of this prospectus,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17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37" w:lineRule="exact"/>
        <w:rPr>
          <w:sz w:val="20"/>
          <w:szCs w:val="20"/>
          <w:color w:val="auto"/>
        </w:rPr>
      </w:pPr>
    </w:p>
    <w:p>
      <w:pPr>
        <w:ind w:left="1300" w:hanging="442"/>
        <w:spacing w:after="0"/>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5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54" w:lineRule="exact"/>
        <w:rPr>
          <w:rFonts w:ascii="Times New Roman" w:cs="Times New Roman" w:eastAsia="Times New Roman" w:hAnsi="Times New Roman"/>
          <w:sz w:val="18"/>
          <w:szCs w:val="18"/>
          <w:color w:val="auto"/>
        </w:rPr>
      </w:pPr>
    </w:p>
    <w:p>
      <w:pPr>
        <w:jc w:val="both"/>
        <w:ind w:left="1740" w:right="380" w:hanging="436"/>
        <w:spacing w:after="0" w:line="305" w:lineRule="auto"/>
        <w:tabs>
          <w:tab w:leader="none" w:pos="1740" w:val="left"/>
        </w:tabs>
        <w:numPr>
          <w:ilvl w:val="1"/>
          <w:numId w:val="122"/>
        </w:numPr>
        <w:rPr>
          <w:rFonts w:ascii="Times New Roman" w:cs="Times New Roman" w:eastAsia="Times New Roman" w:hAnsi="Times New Roman"/>
          <w:sz w:val="17"/>
          <w:szCs w:val="17"/>
          <w:color w:val="auto"/>
        </w:rPr>
      </w:pPr>
      <w:r>
        <w:rPr>
          <w:rFonts w:ascii="Arial" w:cs="Arial" w:eastAsia="Arial" w:hAnsi="Arial"/>
          <w:sz w:val="17"/>
          <w:szCs w:val="17"/>
          <w:color w:val="auto"/>
        </w:rPr>
        <w:t>1% of the number of shares of our common stock then outstanding, which will equal approximately 288,146 shares immediately after this offering, assuming no exercise of the underwriters’ option to purchase additional shares; and</w:t>
      </w:r>
    </w:p>
    <w:p>
      <w:pPr>
        <w:spacing w:after="0" w:line="15" w:lineRule="exact"/>
        <w:rPr>
          <w:rFonts w:ascii="Times New Roman" w:cs="Times New Roman" w:eastAsia="Times New Roman" w:hAnsi="Times New Roman"/>
          <w:sz w:val="17"/>
          <w:szCs w:val="17"/>
          <w:color w:val="auto"/>
        </w:rPr>
      </w:pPr>
    </w:p>
    <w:p>
      <w:pPr>
        <w:ind w:left="1740" w:right="120" w:hanging="436"/>
        <w:spacing w:after="0" w:line="275" w:lineRule="auto"/>
        <w:tabs>
          <w:tab w:leader="none" w:pos="1740" w:val="left"/>
        </w:tabs>
        <w:numPr>
          <w:ilvl w:val="1"/>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on Form 144 with respect to the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3" w:name="page194"/>
    <w:bookmarkEnd w:id="193"/>
    <w:p>
      <w:pPr>
        <w:ind w:firstLine="576"/>
        <w:spacing w:after="0" w:line="245" w:lineRule="auto"/>
        <w:rPr>
          <w:sz w:val="20"/>
          <w:szCs w:val="20"/>
          <w:color w:val="auto"/>
        </w:rPr>
      </w:pPr>
      <w:r>
        <w:rPr>
          <w:rFonts w:ascii="Arial" w:cs="Arial" w:eastAsia="Arial" w:hAnsi="Arial"/>
          <w:sz w:val="18"/>
          <w:szCs w:val="18"/>
          <w:color w:val="auto"/>
        </w:rPr>
        <w:t>As of June 30, 2020, there were 1,439,749 shares of our outstanding common stock issued in reliance on Rule 701 as a result of exercises of stock options or in the form of restricted stock awards. All 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As of June 30, 2020, options to purchase an aggregate of 1,258,787 shares of our common stock were outstanding. We intend to file one or more registration statements on Form S-8 under the Securities Act to register the offer and sale of all shares of our common stock subject to outstanding stock options and all shares issued or issuable under our stock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and market stand-off provisions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Upon completion of this offering, the holders of approximately 17,410,842 shares of our common stock will be eligible to exercise certain 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4" w:name="page195"/>
    <w:bookmarkEnd w:id="194"/>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19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62" w:lineRule="exact"/>
        <w:rPr>
          <w:sz w:val="20"/>
          <w:szCs w:val="20"/>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tax-exempt organizations;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pension plans and tax-qualified retirement plans;</w:t>
      </w:r>
    </w:p>
    <w:p>
      <w:pPr>
        <w:spacing w:after="0" w:line="116"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brokers or dealers in securities or currencies;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6"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5" w:name="page196"/>
    <w:bookmarkEnd w:id="195"/>
    <w:p>
      <w:pPr>
        <w:ind w:right="40" w:firstLine="576"/>
        <w:spacing w:after="0" w:line="252"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37" w:lineRule="exact"/>
        <w:rPr>
          <w:sz w:val="20"/>
          <w:szCs w:val="20"/>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305" w:lineRule="auto"/>
        <w:tabs>
          <w:tab w:leader="none" w:pos="1300" w:val="left"/>
        </w:tabs>
        <w:numPr>
          <w:ilvl w:val="0"/>
          <w:numId w:val="124"/>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6" w:lineRule="exact"/>
        <w:rPr>
          <w:rFonts w:ascii="Times New Roman" w:cs="Times New Roman" w:eastAsia="Times New Roman" w:hAnsi="Times New Roman"/>
          <w:sz w:val="18"/>
          <w:szCs w:val="18"/>
          <w:color w:val="auto"/>
        </w:rPr>
      </w:pPr>
    </w:p>
    <w:p>
      <w:pPr>
        <w:jc w:val="both"/>
        <w:ind w:left="1300" w:right="180" w:hanging="442"/>
        <w:spacing w:after="0" w:line="25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7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6" w:name="page197"/>
    <w:bookmarkEnd w:id="196"/>
    <w:p>
      <w:pPr>
        <w:ind w:right="60"/>
        <w:spacing w:after="0" w:line="255" w:lineRule="auto"/>
        <w:rPr>
          <w:sz w:val="20"/>
          <w:szCs w:val="20"/>
          <w:color w:val="auto"/>
        </w:rPr>
      </w:pPr>
      <w:r>
        <w:rPr>
          <w:rFonts w:ascii="Arial" w:cs="Arial" w:eastAsia="Arial" w:hAnsi="Arial"/>
          <w:sz w:val="18"/>
          <w:szCs w:val="18"/>
          <w:color w:val="auto"/>
        </w:rPr>
        <w:t>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82" w:lineRule="exact"/>
        <w:rPr>
          <w:sz w:val="20"/>
          <w:szCs w:val="20"/>
          <w:color w:val="auto"/>
        </w:rPr>
      </w:pPr>
    </w:p>
    <w:p>
      <w:pPr>
        <w:ind w:left="1300" w:right="360" w:hanging="442"/>
        <w:spacing w:after="0" w:line="275" w:lineRule="auto"/>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37"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37" w:lineRule="exact"/>
        <w:rPr>
          <w:rFonts w:ascii="Times New Roman" w:cs="Times New Roman" w:eastAsia="Times New Roman" w:hAnsi="Times New Roman"/>
          <w:sz w:val="18"/>
          <w:szCs w:val="18"/>
          <w:color w:val="auto"/>
        </w:rPr>
      </w:pPr>
    </w:p>
    <w:p>
      <w:pPr>
        <w:jc w:val="both"/>
        <w:ind w:left="1300" w:right="20" w:hanging="442"/>
        <w:spacing w:after="0" w:line="255" w:lineRule="auto"/>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3"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17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06"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80"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286" w:lineRule="exact"/>
        <w:rPr>
          <w:sz w:val="20"/>
          <w:szCs w:val="20"/>
          <w:color w:val="auto"/>
        </w:rPr>
      </w:pPr>
    </w:p>
    <w:p>
      <w:pPr>
        <w:ind w:right="160" w:firstLine="576"/>
        <w:spacing w:after="0" w:line="252"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80" w:type="dxa"/>
            <w:vAlign w:val="bottom"/>
          </w:tcPr>
          <w:p>
            <w:pPr>
              <w:jc w:val="center"/>
              <w:ind w:right="62"/>
              <w:spacing w:after="0"/>
              <w:rPr>
                <w:sz w:val="20"/>
                <w:szCs w:val="20"/>
                <w:color w:val="auto"/>
              </w:rPr>
            </w:pPr>
            <w:r>
              <w:rPr>
                <w:rFonts w:ascii="Arial" w:cs="Arial" w:eastAsia="Arial" w:hAnsi="Arial"/>
                <w:sz w:val="14"/>
                <w:szCs w:val="14"/>
                <w:b w:val="1"/>
                <w:bCs w:val="1"/>
                <w:color w:val="auto"/>
              </w:rPr>
              <w:t>Number of</w:t>
            </w:r>
          </w:p>
        </w:tc>
      </w:tr>
      <w:tr>
        <w:trPr>
          <w:trHeight w:val="184"/>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60" w:type="dxa"/>
            <w:vAlign w:val="bottom"/>
          </w:tcPr>
          <w:p>
            <w:pPr>
              <w:spacing w:after="0"/>
              <w:rPr>
                <w:sz w:val="15"/>
                <w:szCs w:val="15"/>
                <w:color w:val="auto"/>
              </w:rPr>
            </w:pPr>
          </w:p>
        </w:tc>
        <w:tc>
          <w:tcPr>
            <w:tcW w:w="1980" w:type="dxa"/>
            <w:vAlign w:val="bottom"/>
          </w:tcPr>
          <w:p>
            <w:pPr>
              <w:jc w:val="center"/>
              <w:ind w:right="62"/>
              <w:spacing w:after="0"/>
              <w:rPr>
                <w:sz w:val="20"/>
                <w:szCs w:val="20"/>
                <w:color w:val="auto"/>
              </w:rPr>
            </w:pPr>
            <w:r>
              <w:rPr>
                <w:rFonts w:ascii="Arial" w:cs="Arial" w:eastAsia="Arial" w:hAnsi="Arial"/>
                <w:sz w:val="14"/>
                <w:szCs w:val="14"/>
                <w:b w:val="1"/>
                <w:bCs w:val="1"/>
                <w:color w:val="auto"/>
              </w:rPr>
              <w:t>Shares</w:t>
            </w:r>
          </w:p>
        </w:tc>
      </w:tr>
      <w:tr>
        <w:trPr>
          <w:trHeight w:val="203"/>
        </w:trPr>
        <w:tc>
          <w:tcPr>
            <w:tcW w:w="926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Goldman Sachs &amp; Co. LLC</w:t>
            </w:r>
          </w:p>
        </w:tc>
        <w:tc>
          <w:tcPr>
            <w:tcW w:w="1980" w:type="dxa"/>
            <w:vAlign w:val="bottom"/>
            <w:tcBorders>
              <w:top w:val="single" w:sz="8" w:color="auto"/>
            </w:tcBorders>
            <w:shd w:val="clear" w:color="auto" w:fill="CFF0FC"/>
          </w:tcPr>
          <w:p>
            <w:pPr>
              <w:spacing w:after="0"/>
              <w:rPr>
                <w:sz w:val="17"/>
                <w:szCs w:val="17"/>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980" w:type="dxa"/>
            <w:vAlign w:val="bottom"/>
          </w:tcPr>
          <w:p>
            <w:pPr>
              <w:spacing w:after="0"/>
              <w:rPr>
                <w:sz w:val="18"/>
                <w:szCs w:val="18"/>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Stifel, Nicolaus &amp; Company, Incorporated</w:t>
            </w:r>
          </w:p>
        </w:tc>
        <w:tc>
          <w:tcPr>
            <w:tcW w:w="1980" w:type="dxa"/>
            <w:vAlign w:val="bottom"/>
            <w:shd w:val="clear" w:color="auto" w:fill="CFF0FC"/>
          </w:tcPr>
          <w:p>
            <w:pPr>
              <w:spacing w:after="0"/>
              <w:rPr>
                <w:sz w:val="18"/>
                <w:szCs w:val="18"/>
                <w:color w:val="auto"/>
              </w:rPr>
            </w:pPr>
          </w:p>
        </w:tc>
      </w:tr>
      <w:tr>
        <w:trPr>
          <w:trHeight w:val="216"/>
        </w:trPr>
        <w:tc>
          <w:tcPr>
            <w:tcW w:w="9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JMP Securities LLC</w:t>
            </w:r>
          </w:p>
        </w:tc>
        <w:tc>
          <w:tcPr>
            <w:tcW w:w="1980" w:type="dxa"/>
            <w:vAlign w:val="bottom"/>
            <w:tcBorders>
              <w:bottom w:val="single" w:sz="8" w:color="auto"/>
            </w:tcBorders>
          </w:tcPr>
          <w:p>
            <w:pPr>
              <w:spacing w:after="0"/>
              <w:rPr>
                <w:sz w:val="18"/>
                <w:szCs w:val="18"/>
                <w:color w:val="auto"/>
              </w:rPr>
            </w:pPr>
          </w:p>
        </w:tc>
      </w:tr>
      <w:tr>
        <w:trPr>
          <w:trHeight w:val="210"/>
        </w:trPr>
        <w:tc>
          <w:tcPr>
            <w:tcW w:w="92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10,000,000</w:t>
            </w:r>
          </w:p>
        </w:tc>
      </w:tr>
      <w:tr>
        <w:trPr>
          <w:trHeight w:val="20"/>
        </w:trPr>
        <w:tc>
          <w:tcPr>
            <w:tcW w:w="9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underwriters have an option to buy up to an additional 1,500,000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an additional 1,500,000 shares from us.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1840" w:type="dxa"/>
            <w:vAlign w:val="bottom"/>
            <w:gridSpan w:val="2"/>
          </w:tcPr>
          <w:p>
            <w:pPr>
              <w:ind w:left="420"/>
              <w:spacing w:after="0"/>
              <w:rPr>
                <w:sz w:val="20"/>
                <w:szCs w:val="20"/>
                <w:color w:val="auto"/>
              </w:rPr>
            </w:pPr>
            <w:r>
              <w:rPr>
                <w:rFonts w:ascii="Arial" w:cs="Arial" w:eastAsia="Arial" w:hAnsi="Arial"/>
                <w:sz w:val="14"/>
                <w:szCs w:val="14"/>
                <w:b w:val="1"/>
                <w:bCs w:val="1"/>
                <w:color w:val="auto"/>
              </w:rPr>
              <w:t>No Exercise</w:t>
            </w:r>
          </w:p>
        </w:tc>
        <w:tc>
          <w:tcPr>
            <w:tcW w:w="1680" w:type="dxa"/>
            <w:vAlign w:val="bottom"/>
          </w:tcPr>
          <w:p>
            <w:pPr>
              <w:jc w:val="right"/>
              <w:ind w:right="316"/>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w:t>
            </w:r>
          </w:p>
        </w:tc>
        <w:tc>
          <w:tcPr>
            <w:tcW w:w="1680" w:type="dxa"/>
            <w:vAlign w:val="bottom"/>
            <w:tcBorders>
              <w:top w:val="single" w:sz="8" w:color="auto"/>
            </w:tcBorders>
            <w:shd w:val="clear" w:color="auto" w:fill="CFF0FC"/>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80" w:type="dxa"/>
            <w:vAlign w:val="bottom"/>
          </w:tcPr>
          <w:p>
            <w:pPr>
              <w:jc w:val="right"/>
              <w:ind w:right="1496"/>
              <w:spacing w:after="0"/>
              <w:rPr>
                <w:sz w:val="20"/>
                <w:szCs w:val="20"/>
                <w:color w:val="auto"/>
              </w:rPr>
            </w:pPr>
            <w:r>
              <w:rPr>
                <w:rFonts w:ascii="Arial" w:cs="Arial" w:eastAsia="Arial" w:hAnsi="Arial"/>
                <w:sz w:val="18"/>
                <w:szCs w:val="18"/>
                <w:color w:val="auto"/>
                <w:w w:val="79"/>
              </w:rPr>
              <w:t>$</w:t>
            </w:r>
          </w:p>
        </w:tc>
      </w:tr>
    </w:tbl>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17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our management and the consideration of the above factors in relation to market valuation of companies in related businesses.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9" w:name="page200"/>
    <w:bookmarkEnd w:id="199"/>
    <w:p>
      <w:pPr>
        <w:ind w:left="580"/>
        <w:spacing w:after="0"/>
        <w:rPr>
          <w:sz w:val="20"/>
          <w:szCs w:val="20"/>
          <w:color w:val="auto"/>
        </w:rPr>
      </w:pPr>
      <w:r>
        <w:rPr>
          <w:rFonts w:ascii="Arial" w:cs="Arial" w:eastAsia="Arial" w:hAnsi="Arial"/>
          <w:sz w:val="18"/>
          <w:szCs w:val="18"/>
          <w:color w:val="auto"/>
        </w:rPr>
        <w:t>We have applied to list our common stock on the Nasdaq Global Market under the symbol "ATHA".</w:t>
      </w:r>
    </w:p>
    <w:p>
      <w:pPr>
        <w:spacing w:after="0" w:line="21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4"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$3.3 million. We have agreed to reimburse the underwriters for certain of their expenses in an amount up to $35,000.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At our request, the underwriters have reserved up to 5% of the shares of common stock to be offered by this prospectus for sale, at the initial public offering price, to directors, officers, employees, business associates and other persons related to us. If purchased by these persons, these shares will not be subject to a lock-up restriction, except in the case of shares purchased by any director, executive officer or employee. The underwriters will receive the same underwriting discount on any shares purchased pursuant to this program as they will on any other shares sold to the public in this offering.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179" w:lineRule="exact"/>
        <w:rPr>
          <w:sz w:val="20"/>
          <w:szCs w:val="20"/>
          <w:color w:val="auto"/>
        </w:rPr>
      </w:pPr>
    </w:p>
    <w:p>
      <w:pPr>
        <w:ind w:right="240" w:firstLine="576"/>
        <w:spacing w:after="0" w:line="277"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0" w:name="page201"/>
    <w:bookmarkEnd w:id="200"/>
    <w:p>
      <w:pPr>
        <w:ind w:right="120"/>
        <w:spacing w:after="0" w:line="276" w:lineRule="auto"/>
        <w:rPr>
          <w:sz w:val="20"/>
          <w:szCs w:val="20"/>
          <w:color w:val="auto"/>
        </w:rPr>
      </w:pPr>
      <w:r>
        <w:rPr>
          <w:rFonts w:ascii="Arial" w:cs="Arial" w:eastAsia="Arial" w:hAnsi="Arial"/>
          <w:sz w:val="18"/>
          <w:szCs w:val="18"/>
          <w:color w:val="auto"/>
        </w:rPr>
        <w:t>respective affiliates may in the future provide, a variety of these services to the issuer and to persons and entities with relationships with the issuer, for which they will receive customary fees and expenses.</w:t>
      </w:r>
    </w:p>
    <w:p>
      <w:pPr>
        <w:spacing w:after="0" w:line="145"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0"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In May 2020, we issued a warrant to JMP Securities LLC to purchase up to 127,481 shares of our Series B convertible preferred stock in connection with our Series B convertible preferred stock financing. Immediately prior to the closing of this offering this warrant will automatically convert into a warrant to purchase an aggregate of 127,481 shares of our common stock and then will be automatically net exercised into 54,818 shares of our common stock (assuming an initial public offering price of $16.00 per share, which is the midpoint of the price range set forth on the cover page of this prospectus). The warrant (and the shares of common stock once exercised) are subject to the 180-day lock-up restrictions pursuant to FINRA Rule 5110(g) and a 180-day lock-up agreement with the underwriters in this offering.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6" w:lineRule="exact"/>
        <w:rPr>
          <w:sz w:val="20"/>
          <w:szCs w:val="20"/>
          <w:color w:val="auto"/>
        </w:rPr>
      </w:pPr>
    </w:p>
    <w:p>
      <w:pPr>
        <w:ind w:left="1300" w:hanging="442"/>
        <w:spacing w:after="0"/>
        <w:tabs>
          <w:tab w:leader="none" w:pos="130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United Kingdom</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104" w:lineRule="exact"/>
        <w:rPr>
          <w:sz w:val="20"/>
          <w:szCs w:val="20"/>
          <w:color w:val="auto"/>
        </w:rPr>
      </w:pPr>
    </w:p>
    <w:p>
      <w:pPr>
        <w:ind w:left="1300" w:right="420" w:hanging="442"/>
        <w:spacing w:after="0" w:line="248" w:lineRule="auto"/>
        <w:tabs>
          <w:tab w:leader="none" w:pos="130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61"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right="600" w:firstLine="576"/>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0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06" w:lineRule="exact"/>
        <w:rPr>
          <w:sz w:val="20"/>
          <w:szCs w:val="20"/>
          <w:color w:val="auto"/>
        </w:rPr>
      </w:pPr>
    </w:p>
    <w:p>
      <w:pPr>
        <w:ind w:right="140" w:firstLine="576"/>
        <w:spacing w:after="0" w:line="277"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02" w:name="page203"/>
    <w:bookmarkEnd w:id="202"/>
    <w:p>
      <w:pPr>
        <w:ind w:right="240"/>
        <w:spacing w:after="0" w:line="245" w:lineRule="auto"/>
        <w:rPr>
          <w:sz w:val="20"/>
          <w:szCs w:val="20"/>
          <w:color w:val="auto"/>
        </w:rPr>
      </w:pPr>
      <w:r>
        <w:rPr>
          <w:rFonts w:ascii="Arial" w:cs="Arial" w:eastAsia="Arial" w:hAnsi="Arial"/>
          <w:sz w:val="18"/>
          <w:szCs w:val="18"/>
          <w:color w:val="auto"/>
        </w:rPr>
        <w:t>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72"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0"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06"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0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03" w:name="page204"/>
    <w:bookmarkEnd w:id="203"/>
    <w:p>
      <w:pPr>
        <w:ind w:right="120" w:firstLine="576"/>
        <w:spacing w:after="0" w:line="24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0"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06"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06" w:lineRule="exact"/>
        <w:rPr>
          <w:sz w:val="20"/>
          <w:szCs w:val="20"/>
          <w:color w:val="auto"/>
        </w:rPr>
      </w:pPr>
    </w:p>
    <w:p>
      <w:pPr>
        <w:jc w:val="both"/>
        <w:ind w:right="40" w:firstLine="576"/>
        <w:spacing w:after="0" w:line="257" w:lineRule="auto"/>
        <w:rPr>
          <w:sz w:val="20"/>
          <w:szCs w:val="20"/>
          <w:color w:val="auto"/>
        </w:rPr>
      </w:pPr>
      <w:r>
        <w:rPr>
          <w:rFonts w:ascii="Arial" w:cs="Arial" w:eastAsia="Arial" w:hAnsi="Arial"/>
          <w:sz w:val="17"/>
          <w:szCs w:val="17"/>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licensable, with FINMA.</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13,706 shares of our common stock, which is less than 1% of our outstanding shares of common stock.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79"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170"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205" w:name="page206"/>
    <w:bookmarkEnd w:id="205"/>
    <w:p>
      <w:pPr>
        <w:jc w:val="center"/>
        <w:ind w:left="12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INDEX TO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Statements of Operations and Comprehensive Loss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Statements of Convertible Preferred Stock and Stockholders’ Deficit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Notes to Financial Statements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Financial Statements:</w:t>
      </w:r>
    </w:p>
    <w:p>
      <w:pPr>
        <w:spacing w:after="0" w:line="31" w:lineRule="exact"/>
        <w:rPr>
          <w:sz w:val="20"/>
          <w:szCs w:val="20"/>
          <w:color w:val="auto"/>
        </w:rPr>
      </w:pPr>
    </w:p>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Condensed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Statements of Operations and Comprehensive Loss</w:t>
        </w:r>
      </w:hyperlink>
    </w:p>
    <w:p>
      <w:pPr>
        <w:spacing w:after="0" w:line="9" w:lineRule="exact"/>
        <w:rPr>
          <w:sz w:val="20"/>
          <w:szCs w:val="20"/>
          <w:color w:val="auto"/>
        </w:rPr>
      </w:pPr>
    </w:p>
    <w:p>
      <w:pPr>
        <w:ind w:right="3660"/>
        <w:spacing w:after="0" w:line="250" w:lineRule="auto"/>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Condensed Statements of Convertible Preferred Stock and Stockholders’ Deficit</w:t>
        </w:r>
      </w:hyperlink>
      <w:r>
        <w:rPr>
          <w:rFonts w:ascii="Arial" w:cs="Arial" w:eastAsia="Arial" w:hAnsi="Arial"/>
          <w:sz w:val="18"/>
          <w:szCs w:val="18"/>
          <w:u w:val="single" w:color="auto"/>
          <w:color w:val="0000EE"/>
        </w:rPr>
        <w:t xml:space="preserve"> </w:t>
      </w:r>
      <w:hyperlink w:anchor="page235">
        <w:r>
          <w:rPr>
            <w:rFonts w:ascii="Arial" w:cs="Arial" w:eastAsia="Arial" w:hAnsi="Arial"/>
            <w:sz w:val="18"/>
            <w:szCs w:val="18"/>
            <w:u w:val="single" w:color="auto"/>
            <w:color w:val="0000EE"/>
          </w:rPr>
          <w:t>Condensed Statements of Cash Flows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Notes to the Condensed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F-2</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F-4</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F-6</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F-7</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F-27</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F-28</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F-31</w:t>
      </w:r>
    </w:p>
    <w:p>
      <w:pPr>
        <w:sectPr>
          <w:pgSz w:w="11900" w:h="16838" w:orient="portrait"/>
          <w:cols w:equalWidth="0" w:num="2">
            <w:col w:w="10040" w:space="720"/>
            <w:col w:w="480"/>
          </w:cols>
          <w:pgMar w:left="320" w:top="358" w:right="339" w:bottom="1440" w:gutter="0" w:footer="0" w:header="0"/>
        </w:sectPr>
      </w:pPr>
    </w:p>
    <w:bookmarkStart w:id="206" w:name="page207"/>
    <w:bookmarkEnd w:id="206"/>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Athira Pharma,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4" w:lineRule="exact"/>
        <w:rPr>
          <w:sz w:val="20"/>
          <w:szCs w:val="20"/>
          <w:color w:val="auto"/>
        </w:rPr>
      </w:pPr>
    </w:p>
    <w:p>
      <w:pPr>
        <w:ind w:firstLine="864"/>
        <w:spacing w:after="0" w:line="245"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4" w:lineRule="exact"/>
        <w:rPr>
          <w:sz w:val="20"/>
          <w:szCs w:val="20"/>
          <w:color w:val="auto"/>
        </w:rPr>
      </w:pPr>
    </w:p>
    <w:p>
      <w:pPr>
        <w:ind w:firstLine="864"/>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20" w:firstLine="864"/>
        <w:spacing w:after="0" w:line="24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ind w:right="180" w:firstLine="864"/>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34" w:lineRule="auto"/>
        <w:rPr>
          <w:sz w:val="20"/>
          <w:szCs w:val="20"/>
          <w:color w:val="auto"/>
        </w:rPr>
      </w:pPr>
      <w:r>
        <w:rPr>
          <w:rFonts w:ascii="Arial" w:cs="Arial" w:eastAsia="Arial" w:hAnsi="Arial"/>
          <w:sz w:val="18"/>
          <w:szCs w:val="18"/>
          <w:color w:val="auto"/>
        </w:rPr>
        <w:t>except for note 17(a), 17(g), 17(h) and 17(i),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560" w:type="dxa"/>
            <w:vAlign w:val="bottom"/>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Convertible preferred stock, $0.0001 par value per share;</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2,797,464 shares authorized; 2,617,386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liquidation preference of $16,288 at December 31, 2018 and 2019</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Common stock, $0.0001 par value per share, 10,088,017 shares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3,559,484 and 3,641,449 shares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outstanding at December 31, 2018 and 2019, respectively</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(15,926)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(14,887)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500"/>
              <w:spacing w:after="0" w:line="187" w:lineRule="exact"/>
              <w:rPr>
                <w:sz w:val="20"/>
                <w:szCs w:val="20"/>
                <w:color w:val="auto"/>
              </w:rPr>
            </w:pPr>
            <w:r>
              <w:rPr>
                <w:rFonts w:ascii="Arial" w:cs="Arial" w:eastAsia="Arial" w:hAnsi="Arial"/>
                <w:sz w:val="18"/>
                <w:szCs w:val="18"/>
                <w:color w:val="auto"/>
              </w:rPr>
              <w:t>Total liabilities, convertible preferred stock and stockholders'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660"/>
              <w:spacing w:after="0"/>
              <w:rPr>
                <w:sz w:val="20"/>
                <w:szCs w:val="20"/>
                <w:color w:val="auto"/>
              </w:rPr>
            </w:pPr>
            <w:r>
              <w:rPr>
                <w:rFonts w:ascii="Arial" w:cs="Arial" w:eastAsia="Arial" w:hAnsi="Arial"/>
                <w:sz w:val="18"/>
                <w:szCs w:val="18"/>
                <w:color w:val="auto"/>
              </w:rPr>
              <w:t>deficit</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3,469,153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(unaudited)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9" w:name="page210"/>
    <w:bookmarkEnd w:id="20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20"/>
          </w:cols>
          <w:pgMar w:left="320" w:top="358" w:right="3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94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68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2,607,298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of $1.25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10,088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680" w:type="dxa"/>
            <w:vAlign w:val="bottom"/>
          </w:tcPr>
          <w:p>
            <w:pPr>
              <w:spacing w:after="0" w:line="201" w:lineRule="exact"/>
              <w:rPr>
                <w:sz w:val="20"/>
                <w:szCs w:val="20"/>
                <w:color w:val="auto"/>
              </w:rPr>
            </w:pPr>
            <w:r>
              <w:rPr>
                <w:rFonts w:ascii="Arial" w:cs="Arial" w:eastAsia="Arial" w:hAnsi="Arial"/>
                <w:sz w:val="18"/>
                <w:szCs w:val="18"/>
                <w:b w:val="1"/>
                <w:bCs w:val="1"/>
                <w:color w:val="auto"/>
              </w:rPr>
              <w:t>Balance as of December 31, 2018</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2922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3,243,291</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60" w:type="dxa"/>
            <w:vAlign w:val="bottom"/>
          </w:tcPr>
          <w:p>
            <w:pPr>
              <w:spacing w:after="0"/>
              <w:rPr>
                <w:sz w:val="20"/>
                <w:szCs w:val="20"/>
                <w:color w:val="auto"/>
              </w:rPr>
            </w:pPr>
          </w:p>
        </w:tc>
      </w:tr>
      <w:tr>
        <w:trPr>
          <w:trHeight w:val="612"/>
        </w:trPr>
        <w:tc>
          <w:tcPr>
            <w:tcW w:w="920" w:type="dxa"/>
            <w:vAlign w:val="bottom"/>
          </w:tcPr>
          <w:p>
            <w:pPr>
              <w:jc w:val="right"/>
              <w:spacing w:after="0"/>
              <w:rPr>
                <w:sz w:val="20"/>
                <w:szCs w:val="20"/>
                <w:color w:val="auto"/>
              </w:rPr>
            </w:pPr>
            <w:r>
              <w:rPr>
                <w:rFonts w:ascii="Arial" w:cs="Arial" w:eastAsia="Arial" w:hAnsi="Arial"/>
                <w:sz w:val="18"/>
                <w:szCs w:val="18"/>
                <w:color w:val="auto"/>
              </w:rPr>
              <w:t>303,583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594"/>
        </w:trPr>
        <w:tc>
          <w:tcPr>
            <w:tcW w:w="920" w:type="dxa"/>
            <w:vAlign w:val="bottom"/>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(5,097)</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20" w:type="dxa"/>
            <w:vAlign w:val="bottom"/>
          </w:tcPr>
          <w:p>
            <w:pPr>
              <w:jc w:val="right"/>
              <w:spacing w:after="0"/>
              <w:rPr>
                <w:sz w:val="20"/>
                <w:szCs w:val="20"/>
                <w:color w:val="auto"/>
              </w:rPr>
            </w:pPr>
            <w:r>
              <w:rPr>
                <w:rFonts w:ascii="Arial" w:cs="Arial" w:eastAsia="Arial" w:hAnsi="Arial"/>
                <w:sz w:val="18"/>
                <w:szCs w:val="18"/>
                <w:color w:val="auto"/>
              </w:rPr>
              <w:t>81,965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(5,161)</w:t>
            </w: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20" w:space="320"/>
            <w:col w:w="5280"/>
          </w:cols>
          <w:pgMar w:left="320" w:top="358"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type w:val="continuous"/>
        </w:sectPr>
      </w:pPr>
    </w:p>
    <w:bookmarkStart w:id="210" w:name="page211"/>
    <w:bookmarkEnd w:id="21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(4,483)</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09"/>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1" w:name="page212"/>
    <w:bookmarkEnd w:id="21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188"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2" w:name="page213"/>
    <w:bookmarkEnd w:id="212"/>
    <w:p>
      <w:pPr>
        <w:ind w:right="7660" w:firstLine="8"/>
        <w:spacing w:after="0" w:line="361" w:lineRule="auto"/>
        <w:tabs>
          <w:tab w:leader="none" w:pos="79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211"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ind w:right="280" w:firstLine="576"/>
        <w:spacing w:after="0" w:line="255" w:lineRule="auto"/>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The Company estimates the fair value of the grant liability by using a</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213" w:name="page214"/>
    <w:bookmarkEnd w:id="213"/>
    <w:p>
      <w:pPr>
        <w:ind w:right="200"/>
        <w:spacing w:after="0" w:line="248" w:lineRule="auto"/>
        <w:rPr>
          <w:sz w:val="20"/>
          <w:szCs w:val="20"/>
          <w:color w:val="auto"/>
        </w:rPr>
      </w:pPr>
      <w:r>
        <w:rPr>
          <w:rFonts w:ascii="Arial" w:cs="Arial" w:eastAsia="Arial" w:hAnsi="Arial"/>
          <w:sz w:val="18"/>
          <w:szCs w:val="18"/>
          <w:color w:val="auto"/>
        </w:rPr>
        <w:t>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spacing w:after="0" w:line="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4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9"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7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0"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76"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consisted of available-for-sale securities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7"/>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7" w:name="page218"/>
    <w:bookmarkEnd w:id="217"/>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6"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left="580" w:right="8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6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0" w:lineRule="exact"/>
        <w:rPr>
          <w:sz w:val="20"/>
          <w:szCs w:val="20"/>
          <w:color w:val="auto"/>
        </w:rPr>
      </w:pPr>
    </w:p>
    <w:p>
      <w:pPr>
        <w:jc w:val="both"/>
        <w:ind w:right="80" w:firstLine="576"/>
        <w:spacing w:after="0" w:line="27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09"/>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35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35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35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140" w:type="dxa"/>
            <w:vAlign w:val="bottom"/>
          </w:tcPr>
          <w:p>
            <w:pPr>
              <w:spacing w:after="0"/>
              <w:rPr>
                <w:sz w:val="24"/>
                <w:szCs w:val="24"/>
                <w:color w:val="auto"/>
              </w:rPr>
            </w:pPr>
          </w:p>
        </w:tc>
        <w:tc>
          <w:tcPr>
            <w:tcW w:w="4660" w:type="dxa"/>
            <w:vAlign w:val="bottom"/>
            <w:gridSpan w:val="2"/>
          </w:tcPr>
          <w:p>
            <w:pPr>
              <w:jc w:val="right"/>
              <w:ind w:right="2919"/>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1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18" w:name="page219"/>
    <w:bookmarkEnd w:id="218"/>
    <w:p>
      <w:pPr>
        <w:jc w:val="center"/>
        <w:ind w:right="20"/>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of convertible notes</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76"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33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0"/>
        </w:trPr>
        <w:tc>
          <w:tcPr>
            <w:tcW w:w="432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33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320" w:type="dxa"/>
            <w:vAlign w:val="bottom"/>
          </w:tcPr>
          <w:p>
            <w:pPr>
              <w:spacing w:after="0"/>
              <w:rPr>
                <w:sz w:val="24"/>
                <w:szCs w:val="24"/>
                <w:color w:val="auto"/>
              </w:rPr>
            </w:pPr>
          </w:p>
        </w:tc>
        <w:tc>
          <w:tcPr>
            <w:tcW w:w="4440" w:type="dxa"/>
            <w:vAlign w:val="bottom"/>
            <w:gridSpan w:val="2"/>
          </w:tcPr>
          <w:p>
            <w:pPr>
              <w:jc w:val="right"/>
              <w:ind w:right="2879"/>
              <w:spacing w:after="0"/>
              <w:rPr>
                <w:sz w:val="20"/>
                <w:szCs w:val="20"/>
                <w:color w:val="auto"/>
              </w:rPr>
            </w:pPr>
            <w:r>
              <w:rPr>
                <w:rFonts w:ascii="Arial" w:cs="Arial" w:eastAsia="Arial" w:hAnsi="Arial"/>
                <w:sz w:val="18"/>
                <w:szCs w:val="18"/>
                <w:color w:val="auto"/>
              </w:rPr>
              <w:t>F-14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3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19" w:name="page220"/>
    <w:bookmarkEnd w:id="219"/>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300" w:right="320" w:hanging="442"/>
        <w:spacing w:after="0" w:line="275" w:lineRule="auto"/>
        <w:tabs>
          <w:tab w:leader="none" w:pos="1300" w:val="left"/>
        </w:tabs>
        <w:numPr>
          <w:ilvl w:val="0"/>
          <w:numId w:val="135"/>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35"/>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5"/>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2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164"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56" w:lineRule="exact"/>
        <w:rPr>
          <w:sz w:val="20"/>
          <w:szCs w:val="20"/>
          <w:color w:val="auto"/>
        </w:rPr>
      </w:pPr>
    </w:p>
    <w:p>
      <w:pPr>
        <w:ind w:left="1300" w:hanging="442"/>
        <w:spacing w:after="0"/>
        <w:tabs>
          <w:tab w:leader="none" w:pos="13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220" w:name="page221"/>
    <w:bookmarkEnd w:id="220"/>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212"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79" w:lineRule="exact"/>
        <w:rPr>
          <w:sz w:val="20"/>
          <w:szCs w:val="20"/>
          <w:color w:val="auto"/>
        </w:rPr>
      </w:pPr>
    </w:p>
    <w:p>
      <w:pPr>
        <w:ind w:right="360" w:firstLine="576"/>
        <w:spacing w:after="0" w:line="277"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53"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06"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80"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294,197 shares of Series B-1 convertible preferred stock. See Note 17.</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27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27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4940" w:type="dxa"/>
            <w:vAlign w:val="bottom"/>
          </w:tcPr>
          <w:p>
            <w:pPr>
              <w:spacing w:after="0"/>
              <w:rPr>
                <w:sz w:val="24"/>
                <w:szCs w:val="24"/>
                <w:color w:val="auto"/>
              </w:rPr>
            </w:pPr>
          </w:p>
        </w:tc>
        <w:tc>
          <w:tcPr>
            <w:tcW w:w="3740" w:type="dxa"/>
            <w:vAlign w:val="bottom"/>
            <w:gridSpan w:val="2"/>
          </w:tcPr>
          <w:p>
            <w:pPr>
              <w:jc w:val="right"/>
              <w:ind w:right="2796"/>
              <w:spacing w:after="0"/>
              <w:rPr>
                <w:sz w:val="20"/>
                <w:szCs w:val="20"/>
                <w:color w:val="auto"/>
              </w:rPr>
            </w:pPr>
            <w:r>
              <w:rPr>
                <w:rFonts w:ascii="Arial" w:cs="Arial" w:eastAsia="Arial" w:hAnsi="Arial"/>
                <w:sz w:val="18"/>
                <w:szCs w:val="18"/>
                <w:color w:val="auto"/>
              </w:rPr>
              <w:t>F-16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9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221" w:name="page222"/>
    <w:bookmarkEnd w:id="221"/>
    <w:p>
      <w:pPr>
        <w:ind w:right="7800" w:firstLine="8"/>
        <w:spacing w:after="0" w:line="361" w:lineRule="auto"/>
        <w:tabs>
          <w:tab w:leader="none" w:pos="567"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4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6" w:lineRule="exact"/>
        <w:rPr>
          <w:sz w:val="20"/>
          <w:szCs w:val="20"/>
          <w:color w:val="auto"/>
        </w:rPr>
      </w:pPr>
    </w:p>
    <w:p>
      <w:pPr>
        <w:ind w:left="580" w:hanging="572"/>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3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77"/>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Authorized</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1,714,963</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1,534,885</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1,082,501</w:t>
            </w: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1,082,501</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8"/>
                <w:szCs w:val="18"/>
                <w:color w:val="auto"/>
              </w:rPr>
            </w:pPr>
          </w:p>
        </w:tc>
      </w:tr>
      <w:tr>
        <w:trPr>
          <w:trHeight w:val="210"/>
        </w:trPr>
        <w:tc>
          <w:tcPr>
            <w:tcW w:w="42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2,797,464</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2,617,386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0" w:firstLine="576"/>
        <w:spacing w:after="0" w:line="27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 Stock and Series A-1 Preferred Stock have received a per share amount equal to: (a) in the case of dividends, 1.32 times the Series A Purchase Price or Series A-1 Purchase Price, as applicable, or (b) in the case of non-dividend distributions, the Series A Purchase Price or Series A-1 Purchase Price,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jc w:val="both"/>
        <w:ind w:right="6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174"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04"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3" w:name="page224"/>
    <w:bookmarkEnd w:id="223"/>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87"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4,105,202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$7.93 per share through April 8, 2021.</w:t>
      </w:r>
    </w:p>
    <w:p>
      <w:pPr>
        <w:spacing w:after="0" w:line="318"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6" w:lineRule="exact"/>
        <w:rPr>
          <w:sz w:val="20"/>
          <w:szCs w:val="20"/>
          <w:color w:val="auto"/>
        </w:rPr>
      </w:pPr>
    </w:p>
    <w:p>
      <w:pPr>
        <w:jc w:val="both"/>
        <w:ind w:right="340" w:firstLine="576"/>
        <w:spacing w:after="0" w:line="24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3,076,214 shares of common stock for issuance under the 2014 Plan.</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179" w:lineRule="exact"/>
        <w:rPr>
          <w:sz w:val="20"/>
          <w:szCs w:val="20"/>
          <w:color w:val="auto"/>
        </w:rPr>
      </w:pPr>
    </w:p>
    <w:p>
      <w:pPr>
        <w:ind w:right="340" w:firstLine="576"/>
        <w:spacing w:after="0" w:line="27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79"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1300" w:right="100" w:hanging="442"/>
        <w:spacing w:after="0" w:line="244" w:lineRule="auto"/>
        <w:tabs>
          <w:tab w:leader="none" w:pos="1300" w:val="left"/>
        </w:tabs>
        <w:numPr>
          <w:ilvl w:val="0"/>
          <w:numId w:val="14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4" w:name="page225"/>
    <w:bookmarkEnd w:id="224"/>
    <w:p>
      <w:pPr>
        <w:ind w:left="1300" w:right="20"/>
        <w:spacing w:after="0" w:line="245" w:lineRule="auto"/>
        <w:rPr>
          <w:sz w:val="20"/>
          <w:szCs w:val="20"/>
          <w:color w:val="auto"/>
        </w:rPr>
      </w:pPr>
      <w:r>
        <w:rPr>
          <w:rFonts w:ascii="Arial" w:cs="Arial" w:eastAsia="Arial" w:hAnsi="Arial"/>
          <w:sz w:val="18"/>
          <w:szCs w:val="18"/>
          <w:color w:val="auto"/>
        </w:rPr>
        <w:t>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172" w:lineRule="exact"/>
        <w:rPr>
          <w:sz w:val="20"/>
          <w:szCs w:val="20"/>
          <w:color w:val="auto"/>
        </w:rPr>
      </w:pPr>
    </w:p>
    <w:p>
      <w:pPr>
        <w:ind w:left="1300" w:right="100" w:hanging="442"/>
        <w:spacing w:after="0" w:line="275" w:lineRule="auto"/>
        <w:tabs>
          <w:tab w:leader="none" w:pos="1300" w:val="left"/>
        </w:tabs>
        <w:numPr>
          <w:ilvl w:val="0"/>
          <w:numId w:val="14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145" w:lineRule="exact"/>
        <w:rPr>
          <w:rFonts w:ascii="Times New Roman" w:cs="Times New Roman" w:eastAsia="Times New Roman" w:hAnsi="Times New Roman"/>
          <w:sz w:val="18"/>
          <w:szCs w:val="18"/>
          <w:color w:val="auto"/>
        </w:rPr>
      </w:pPr>
    </w:p>
    <w:p>
      <w:pPr>
        <w:ind w:left="1300" w:right="300" w:hanging="442"/>
        <w:spacing w:after="0" w:line="244" w:lineRule="auto"/>
        <w:tabs>
          <w:tab w:leader="none" w:pos="1300" w:val="left"/>
        </w:tabs>
        <w:numPr>
          <w:ilvl w:val="0"/>
          <w:numId w:val="14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175" w:lineRule="exact"/>
        <w:rPr>
          <w:rFonts w:ascii="Times New Roman" w:cs="Times New Roman" w:eastAsia="Times New Roman" w:hAnsi="Times New Roman"/>
          <w:sz w:val="18"/>
          <w:szCs w:val="18"/>
          <w:color w:val="auto"/>
        </w:rPr>
      </w:pPr>
    </w:p>
    <w:p>
      <w:pPr>
        <w:ind w:left="1300" w:right="140" w:hanging="442"/>
        <w:spacing w:after="0" w:line="255" w:lineRule="auto"/>
        <w:tabs>
          <w:tab w:leader="none" w:pos="1300" w:val="left"/>
        </w:tabs>
        <w:numPr>
          <w:ilvl w:val="0"/>
          <w:numId w:val="14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162"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14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43"/>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$0.79 and $ 0.89, respectively. The re-measured weighted-average fair value of options granted to advisors during the years ended December 31, 2018 and 2019 were $1.08 and $1.06,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511,966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(351,819)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(81,965)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593,093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921,677</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170"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c>
          <w:tcPr>
            <w:tcW w:w="20" w:type="dxa"/>
            <w:vAlign w:val="bottom"/>
          </w:tcPr>
          <w:p>
            <w:pPr>
              <w:spacing w:after="0"/>
              <w:rPr>
                <w:sz w:val="15"/>
                <w:szCs w:val="15"/>
                <w:color w:val="auto"/>
              </w:rPr>
            </w:pP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6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5"/>
                <w:szCs w:val="15"/>
                <w:color w:val="auto"/>
              </w:rPr>
            </w:pPr>
          </w:p>
        </w:tc>
      </w:tr>
      <w:tr>
        <w:trPr>
          <w:trHeight w:val="203"/>
        </w:trPr>
        <w:tc>
          <w:tcPr>
            <w:tcW w:w="12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241,164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194,139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414,237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1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6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1200" w:type="dxa"/>
            <w:vAlign w:val="bottom"/>
          </w:tcPr>
          <w:p>
            <w:pPr>
              <w:spacing w:after="0"/>
              <w:rPr>
                <w:sz w:val="24"/>
                <w:szCs w:val="24"/>
                <w:color w:val="auto"/>
              </w:rPr>
            </w:pPr>
          </w:p>
        </w:tc>
        <w:tc>
          <w:tcPr>
            <w:tcW w:w="6020" w:type="dxa"/>
            <w:vAlign w:val="bottom"/>
            <w:gridSpan w:val="3"/>
          </w:tcPr>
          <w:p>
            <w:pPr>
              <w:ind w:left="424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2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As of December 31, 2019, there were 8,407 shares subject to repurchase, all of which were related to non-employee RSAs and have been excluded from the weighted-average number of shares outstanding for the purposes of calculating earnings per share.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51"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4" w:lineRule="exact"/>
        <w:rPr>
          <w:sz w:val="20"/>
          <w:szCs w:val="20"/>
          <w:color w:val="auto"/>
        </w:rPr>
      </w:pPr>
    </w:p>
    <w:p>
      <w:pPr>
        <w:ind w:right="500" w:firstLine="576"/>
        <w:spacing w:after="0" w:line="27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220"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4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8640" w:type="dxa"/>
            <w:vAlign w:val="bottom"/>
            <w:gridSpan w:val="2"/>
          </w:tcPr>
          <w:p>
            <w:pPr>
              <w:ind w:left="5440"/>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(4,790)</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179"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9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29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9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740" w:type="dxa"/>
            <w:vAlign w:val="bottom"/>
          </w:tcPr>
          <w:p>
            <w:pPr>
              <w:spacing w:after="0"/>
              <w:rPr>
                <w:sz w:val="24"/>
                <w:szCs w:val="24"/>
                <w:color w:val="auto"/>
              </w:rPr>
            </w:pPr>
          </w:p>
        </w:tc>
        <w:tc>
          <w:tcPr>
            <w:tcW w:w="4060" w:type="dxa"/>
            <w:vAlign w:val="bottom"/>
            <w:gridSpan w:val="2"/>
          </w:tcPr>
          <w:p>
            <w:pPr>
              <w:jc w:val="right"/>
              <w:ind w:right="2919"/>
              <w:spacing w:after="0"/>
              <w:rPr>
                <w:sz w:val="20"/>
                <w:szCs w:val="20"/>
                <w:color w:val="auto"/>
              </w:rPr>
            </w:pPr>
            <w:r>
              <w:rPr>
                <w:rFonts w:ascii="Arial" w:cs="Arial" w:eastAsia="Arial" w:hAnsi="Arial"/>
                <w:sz w:val="18"/>
                <w:szCs w:val="18"/>
                <w:color w:val="auto"/>
              </w:rPr>
              <w:t>F-23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7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8" w:name="page229"/>
    <w:bookmarkEnd w:id="228"/>
    <w:p>
      <w:pPr>
        <w:ind w:right="60" w:firstLine="576"/>
        <w:spacing w:after="0" w:line="248" w:lineRule="auto"/>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 accompanying financial statements. At December 31, 2019, there were no material interest and penalties on uncertain tax benefits. The Company does not anticipate any significant changes to its unrecognized tax benefits in the next 12 months.</w:t>
      </w:r>
    </w:p>
    <w:p>
      <w:pPr>
        <w:spacing w:after="0" w:line="276"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jc w:val="both"/>
        <w:ind w:right="560" w:firstLine="576"/>
        <w:spacing w:after="0" w:line="255" w:lineRule="auto"/>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70" w:lineRule="exact"/>
        <w:rPr>
          <w:sz w:val="20"/>
          <w:szCs w:val="20"/>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3,897,137</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06"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net exercise of the outstanding warrants for shares of common stock and the repayment of the grant liability upon completion of a qualifying IPO of the Company’s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9" w:name="page230"/>
    <w:bookmarkEnd w:id="229"/>
    <w:p>
      <w:pPr>
        <w:ind w:right="12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9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ind w:right="21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3"/>
                <w:szCs w:val="23"/>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196"/>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3,566,849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common stock warrants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6"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issued, and September 14, 2020, the date the revised financial statements were issued. The Company has concluded that no events or transactions have occurred that require disclosure in the accompanying financial statements, other than the following.</w:t>
      </w:r>
    </w:p>
    <w:p>
      <w:pPr>
        <w:spacing w:after="0" w:line="162" w:lineRule="exact"/>
        <w:rPr>
          <w:sz w:val="20"/>
          <w:szCs w:val="20"/>
          <w:color w:val="auto"/>
        </w:rPr>
      </w:pPr>
    </w:p>
    <w:p>
      <w:pPr>
        <w:ind w:left="1000" w:hanging="425"/>
        <w:spacing w:after="0"/>
        <w:tabs>
          <w:tab w:leader="none" w:pos="10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44,765 stock options with an exercise price of $1.35 per share.</w:t>
      </w:r>
    </w:p>
    <w:p>
      <w:pPr>
        <w:spacing w:after="0" w:line="21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170" w:lineRule="exact"/>
        <w:rPr>
          <w:sz w:val="20"/>
          <w:szCs w:val="20"/>
          <w:color w:val="auto"/>
        </w:rPr>
      </w:pPr>
    </w:p>
    <w:p>
      <w:pPr>
        <w:ind w:left="1000" w:hanging="425"/>
        <w:spacing w:after="0"/>
        <w:tabs>
          <w:tab w:leader="none" w:pos="10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214"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143" w:lineRule="exact"/>
        <w:rPr>
          <w:sz w:val="20"/>
          <w:szCs w:val="20"/>
          <w:color w:val="auto"/>
        </w:rPr>
      </w:pPr>
    </w:p>
    <w:p>
      <w:pPr>
        <w:ind w:left="1000" w:hanging="425"/>
        <w:spacing w:after="0"/>
        <w:tabs>
          <w:tab w:leader="none" w:pos="10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w:t>
      </w:r>
    </w:p>
    <w:p>
      <w:pPr>
        <w:spacing w:after="0" w:line="21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0" w:name="page231"/>
    <w:bookmarkEnd w:id="230"/>
    <w:p>
      <w:pPr>
        <w:ind w:left="1000" w:hanging="425"/>
        <w:spacing w:after="0"/>
        <w:tabs>
          <w:tab w:leader="none" w:pos="10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214"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170" w:lineRule="exact"/>
        <w:rPr>
          <w:sz w:val="20"/>
          <w:szCs w:val="20"/>
          <w:color w:val="auto"/>
        </w:rPr>
      </w:pPr>
    </w:p>
    <w:p>
      <w:pPr>
        <w:ind w:left="1000" w:hanging="425"/>
        <w:spacing w:after="0"/>
        <w:tabs>
          <w:tab w:leader="none" w:pos="10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14"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In May and June 2020, the Company issued an aggregate of 9,372,765 shares of Series B convertible preferred stock at a purchase price of $9.12 per share for proceeds of $81.8 million, net of offering costs. The Company issued warrants to purchase 2,343,168 shares of its common stock, of which 688,067 shares were exercised concurrently with the Series B convertible preferred stock issuance for net proceeds of $55,000. In addition, the Company issued warrants to purchase 127,481 shares of its Series B convertible preferred stock at $9.12 per share. The Series B convertible preferred stock financing triggered the automatic conversion of the Company’s then outstanding convertible promissory notes into an aggregate of 512,858 shares of Series B-1 convertible preferred stock based on a price of $7.75 per share (85% of the $9.12 original issuance price of the Series B convertible preferred stock).</w:t>
      </w:r>
    </w:p>
    <w:p>
      <w:pPr>
        <w:spacing w:after="0" w:line="177" w:lineRule="exact"/>
        <w:rPr>
          <w:sz w:val="20"/>
          <w:szCs w:val="20"/>
          <w:color w:val="auto"/>
        </w:rPr>
      </w:pPr>
    </w:p>
    <w:p>
      <w:pPr>
        <w:ind w:left="1000" w:hanging="425"/>
        <w:spacing w:after="0"/>
        <w:tabs>
          <w:tab w:leader="none" w:pos="10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214"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143" w:lineRule="exact"/>
        <w:rPr>
          <w:sz w:val="20"/>
          <w:szCs w:val="20"/>
          <w:color w:val="auto"/>
        </w:rPr>
      </w:pPr>
    </w:p>
    <w:p>
      <w:pPr>
        <w:ind w:left="1000" w:hanging="425"/>
        <w:spacing w:after="0"/>
        <w:tabs>
          <w:tab w:leader="none" w:pos="10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162" w:lineRule="exact"/>
        <w:rPr>
          <w:sz w:val="20"/>
          <w:szCs w:val="20"/>
          <w:color w:val="auto"/>
        </w:rPr>
      </w:pPr>
    </w:p>
    <w:p>
      <w:pPr>
        <w:ind w:left="1000" w:hanging="425"/>
        <w:spacing w:after="0"/>
        <w:tabs>
          <w:tab w:leader="none" w:pos="10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Spilt</w:t>
      </w:r>
    </w:p>
    <w:p>
      <w:pPr>
        <w:spacing w:after="0" w:line="214" w:lineRule="exact"/>
        <w:rPr>
          <w:sz w:val="20"/>
          <w:szCs w:val="20"/>
          <w:color w:val="auto"/>
        </w:rPr>
      </w:pPr>
    </w:p>
    <w:p>
      <w:pPr>
        <w:ind w:firstLine="576"/>
        <w:spacing w:after="0" w:line="263"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155" w:lineRule="exact"/>
        <w:rPr>
          <w:sz w:val="20"/>
          <w:szCs w:val="20"/>
          <w:color w:val="auto"/>
        </w:rPr>
      </w:pPr>
    </w:p>
    <w:p>
      <w:pPr>
        <w:ind w:left="1000" w:hanging="425"/>
        <w:spacing w:after="0"/>
        <w:tabs>
          <w:tab w:leader="none" w:pos="10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National Institutes of Health Grant</w:t>
      </w:r>
    </w:p>
    <w:p>
      <w:pPr>
        <w:spacing w:after="0" w:line="214"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r>
      <w:tr>
        <w:trPr>
          <w:trHeight w:val="176"/>
        </w:trPr>
        <w:tc>
          <w:tcPr>
            <w:tcW w:w="5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552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196"/>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2,056</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83,666</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unsecured related party note</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7"/>
        </w:trPr>
        <w:tc>
          <w:tcPr>
            <w:tcW w:w="5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receivable</w:t>
            </w:r>
          </w:p>
        </w:tc>
        <w:tc>
          <w:tcPr>
            <w:tcW w:w="1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55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86,473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Unsecured related party note receivable</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Deferred offering costs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114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163"/>
        </w:trPr>
        <w:tc>
          <w:tcPr>
            <w:tcW w:w="552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Liabilities, convertible preferred stock and stockholders'</w:t>
            </w: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9"/>
        </w:trPr>
        <w:tc>
          <w:tcPr>
            <w:tcW w:w="55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(deficit) equity</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Current liabilities: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w:t>
            </w: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Grant liability</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Convertible notes, net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 warrant liability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11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6,923</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520" w:type="dxa"/>
            <w:vAlign w:val="bottom"/>
          </w:tcPr>
          <w:p>
            <w:pPr>
              <w:spacing w:after="0"/>
              <w:rPr>
                <w:sz w:val="20"/>
                <w:szCs w:val="20"/>
                <w:color w:val="auto"/>
              </w:rPr>
            </w:pPr>
            <w:r>
              <w:rPr>
                <w:rFonts w:ascii="Arial" w:cs="Arial" w:eastAsia="Arial" w:hAnsi="Arial"/>
                <w:sz w:val="16"/>
                <w:szCs w:val="16"/>
                <w:color w:val="auto"/>
              </w:rPr>
              <w:t>Convertible preferred stock, $0.0001 par value; 2,797,464</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and 12,646,147 shares authorized at December 31, 2019</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and June 30, 2020, respectively; 2,617,386 and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12,503,009 shares issued and outstanding at December</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31, 2019 and June 30, 2020, respectively; aggregate</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liquidation preference of $16,288 and $105,741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December 31, 2019 and June 30, 2020, respectively;</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no shares issued and outstanding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520" w:type="dxa"/>
            <w:vAlign w:val="bottom"/>
          </w:tcPr>
          <w:p>
            <w:pPr>
              <w:ind w:left="140"/>
              <w:spacing w:after="0"/>
              <w:rPr>
                <w:sz w:val="20"/>
                <w:szCs w:val="20"/>
                <w:color w:val="auto"/>
              </w:rPr>
            </w:pPr>
            <w:r>
              <w:rPr>
                <w:rFonts w:ascii="Arial" w:cs="Arial" w:eastAsia="Arial" w:hAnsi="Arial"/>
                <w:sz w:val="16"/>
                <w:szCs w:val="16"/>
                <w:color w:val="auto"/>
              </w:rPr>
              <w:t>June 30, 2020, pro forma</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Stockholders' (deficit) equity: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520" w:type="dxa"/>
            <w:vAlign w:val="bottom"/>
          </w:tcPr>
          <w:p>
            <w:pPr>
              <w:ind w:left="260"/>
              <w:spacing w:after="0"/>
              <w:rPr>
                <w:sz w:val="20"/>
                <w:szCs w:val="20"/>
                <w:color w:val="auto"/>
              </w:rPr>
            </w:pPr>
            <w:r>
              <w:rPr>
                <w:rFonts w:ascii="Arial" w:cs="Arial" w:eastAsia="Arial" w:hAnsi="Arial"/>
                <w:sz w:val="16"/>
                <w:szCs w:val="16"/>
                <w:color w:val="auto"/>
              </w:rPr>
              <w:t>Common stock, $0.0001 par value; 10,088,017</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and 23,076,341 shares authorized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December 31, 2019 and June 30, 2020, respectively;</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3,641,449 and 4,607,565 shares issued and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outstanding at December 31, 2019 and June 30, 2020,</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respectively; 18,814,575 shares outstanding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520" w:type="dxa"/>
            <w:vAlign w:val="bottom"/>
          </w:tcPr>
          <w:p>
            <w:pPr>
              <w:ind w:left="380"/>
              <w:spacing w:after="0"/>
              <w:rPr>
                <w:sz w:val="20"/>
                <w:szCs w:val="20"/>
                <w:color w:val="auto"/>
              </w:rPr>
            </w:pPr>
            <w:r>
              <w:rPr>
                <w:rFonts w:ascii="Arial" w:cs="Arial" w:eastAsia="Arial" w:hAnsi="Arial"/>
                <w:sz w:val="16"/>
                <w:szCs w:val="16"/>
                <w:color w:val="auto"/>
              </w:rPr>
              <w:t>June 30, 2020, pro forma</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105,254</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(21,087)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(24,884)</w:t>
            </w:r>
          </w:p>
        </w:tc>
        <w:tc>
          <w:tcPr>
            <w:tcW w:w="2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(25,337)</w:t>
            </w:r>
          </w:p>
        </w:tc>
      </w:tr>
      <w:tr>
        <w:trPr>
          <w:trHeight w:val="196"/>
        </w:trPr>
        <w:tc>
          <w:tcPr>
            <w:tcW w:w="5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(deficit) equity</w:t>
            </w:r>
          </w:p>
        </w:tc>
        <w:tc>
          <w:tcPr>
            <w:tcW w:w="1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(19,723)</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(12,529)</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79,919</w:t>
            </w:r>
          </w:p>
        </w:tc>
        <w:tc>
          <w:tcPr>
            <w:tcW w:w="100" w:type="dxa"/>
            <w:vAlign w:val="bottom"/>
            <w:tcBorders>
              <w:top w:val="single" w:sz="8" w:color="CFF0FC"/>
            </w:tcBorders>
            <w:shd w:val="clear" w:color="auto" w:fill="CFF0FC"/>
          </w:tcPr>
          <w:p>
            <w:pPr>
              <w:spacing w:after="0"/>
              <w:rPr>
                <w:sz w:val="17"/>
                <w:szCs w:val="17"/>
                <w:color w:val="auto"/>
              </w:rPr>
            </w:pPr>
          </w:p>
        </w:tc>
      </w:tr>
      <w:tr>
        <w:trPr>
          <w:trHeight w:val="178"/>
        </w:trPr>
        <w:tc>
          <w:tcPr>
            <w:tcW w:w="5520" w:type="dxa"/>
            <w:vAlign w:val="bottom"/>
          </w:tcPr>
          <w:p>
            <w:pPr>
              <w:ind w:left="500"/>
              <w:spacing w:after="0" w:line="178" w:lineRule="exact"/>
              <w:rPr>
                <w:sz w:val="20"/>
                <w:szCs w:val="20"/>
                <w:color w:val="auto"/>
              </w:rPr>
            </w:pPr>
            <w:r>
              <w:rPr>
                <w:rFonts w:ascii="Arial" w:cs="Arial" w:eastAsia="Arial" w:hAnsi="Arial"/>
                <w:sz w:val="16"/>
                <w:szCs w:val="16"/>
                <w:color w:val="auto"/>
              </w:rPr>
              <w:t>Total liabilities, convertible preferred stock and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5520" w:type="dxa"/>
            <w:vAlign w:val="bottom"/>
          </w:tcPr>
          <w:p>
            <w:pPr>
              <w:ind w:left="640"/>
              <w:spacing w:after="0"/>
              <w:rPr>
                <w:sz w:val="20"/>
                <w:szCs w:val="20"/>
                <w:color w:val="auto"/>
              </w:rPr>
            </w:pPr>
            <w:r>
              <w:rPr>
                <w:rFonts w:ascii="Arial" w:cs="Arial" w:eastAsia="Arial" w:hAnsi="Arial"/>
                <w:sz w:val="16"/>
                <w:szCs w:val="16"/>
                <w:color w:val="auto"/>
              </w:rPr>
              <w:t>stockholders' deficit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Pr>
          <w:p>
            <w:pPr>
              <w:spacing w:after="0"/>
              <w:rPr>
                <w:sz w:val="18"/>
                <w:szCs w:val="18"/>
                <w:color w:val="auto"/>
              </w:rPr>
            </w:pPr>
          </w:p>
        </w:tc>
        <w:tc>
          <w:tcPr>
            <w:tcW w:w="240" w:type="dxa"/>
            <w:vAlign w:val="bottom"/>
            <w:gridSpan w:val="2"/>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2,110</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3,550,184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3,937,501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8,602,582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3" w:name="page234"/>
    <w:bookmarkEnd w:id="23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220"/>
          </w:cols>
          <w:pgMar w:left="320" w:top="358" w:right="3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940" w:type="dxa"/>
            <w:vAlign w:val="bottom"/>
            <w:gridSpan w:val="5"/>
          </w:tcPr>
          <w:p>
            <w:pPr>
              <w:jc w:val="right"/>
              <w:ind w:right="493"/>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68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201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20" w:type="dxa"/>
            <w:vAlign w:val="bottom"/>
          </w:tcPr>
          <w:p>
            <w:pPr>
              <w:jc w:val="right"/>
              <w:spacing w:after="0"/>
              <w:rPr>
                <w:sz w:val="20"/>
                <w:szCs w:val="20"/>
                <w:color w:val="auto"/>
              </w:rPr>
            </w:pPr>
            <w:r>
              <w:rPr>
                <w:rFonts w:ascii="Arial" w:cs="Arial" w:eastAsia="Arial" w:hAnsi="Arial"/>
                <w:sz w:val="18"/>
                <w:szCs w:val="18"/>
                <w:color w:val="auto"/>
              </w:rPr>
              <w:t>6,305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(2,657)</w:t>
            </w: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3,565,789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320"/>
            <w:col w:w="5280"/>
          </w:cols>
          <w:pgMar w:left="320" w:top="358" w:right="35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04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580" w:type="dxa"/>
            <w:vAlign w:val="bottom"/>
          </w:tcPr>
          <w:p>
            <w:pPr>
              <w:spacing w:after="0"/>
              <w:rPr>
                <w:sz w:val="15"/>
                <w:szCs w:val="15"/>
                <w:color w:val="auto"/>
              </w:rPr>
            </w:pPr>
          </w:p>
        </w:tc>
        <w:tc>
          <w:tcPr>
            <w:tcW w:w="204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580" w:type="dxa"/>
            <w:vAlign w:val="bottom"/>
            <w:vMerge w:val="continue"/>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Series B convertible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00"/>
              <w:spacing w:after="0" w:line="202" w:lineRule="exact"/>
              <w:rPr>
                <w:sz w:val="20"/>
                <w:szCs w:val="20"/>
                <w:color w:val="auto"/>
              </w:rPr>
            </w:pPr>
            <w:r>
              <w:rPr>
                <w:rFonts w:ascii="Arial" w:cs="Arial" w:eastAsia="Arial" w:hAnsi="Arial"/>
                <w:sz w:val="18"/>
                <w:szCs w:val="18"/>
                <w:color w:val="auto"/>
              </w:rPr>
              <w:t>stock and common stock warrants,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net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of issuance costs of $3.5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9,372,765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70,971</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the Series B-1 convertible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00"/>
              <w:spacing w:after="0" w:line="202" w:lineRule="exact"/>
              <w:rPr>
                <w:sz w:val="20"/>
                <w:szCs w:val="20"/>
                <w:color w:val="auto"/>
              </w:rPr>
            </w:pPr>
            <w:r>
              <w:rPr>
                <w:rFonts w:ascii="Arial" w:cs="Arial" w:eastAsia="Arial" w:hAnsi="Arial"/>
                <w:sz w:val="18"/>
                <w:szCs w:val="18"/>
                <w:color w:val="auto"/>
              </w:rPr>
              <w:t>preferred stock upon conversion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spacing w:after="0"/>
              <w:rPr>
                <w:sz w:val="20"/>
                <w:szCs w:val="20"/>
                <w:color w:val="auto"/>
              </w:rPr>
            </w:pPr>
            <w:r>
              <w:rPr>
                <w:rFonts w:ascii="Arial" w:cs="Arial" w:eastAsia="Arial" w:hAnsi="Arial"/>
                <w:sz w:val="18"/>
                <w:szCs w:val="18"/>
                <w:color w:val="auto"/>
              </w:rPr>
              <w:t>512,858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Exercise of common stock warrants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12,503,009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25031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1,364</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(21,087)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(19,723)</w:t>
            </w:r>
          </w:p>
        </w:tc>
        <w:tc>
          <w:tcPr>
            <w:tcW w:w="60" w:type="dxa"/>
            <w:vAlign w:val="bottom"/>
          </w:tcPr>
          <w:p>
            <w:pPr>
              <w:spacing w:after="0"/>
              <w:rPr>
                <w:sz w:val="20"/>
                <w:szCs w:val="20"/>
                <w:color w:val="auto"/>
              </w:rPr>
            </w:pPr>
          </w:p>
        </w:tc>
      </w:tr>
      <w:tr>
        <w:trPr>
          <w:trHeight w:val="612"/>
        </w:trPr>
        <w:tc>
          <w:tcPr>
            <w:tcW w:w="920" w:type="dxa"/>
            <w:vAlign w:val="bottom"/>
          </w:tcPr>
          <w:p>
            <w:pPr>
              <w:jc w:val="right"/>
              <w:spacing w:after="0"/>
              <w:rPr>
                <w:sz w:val="20"/>
                <w:szCs w:val="20"/>
                <w:color w:val="auto"/>
              </w:rPr>
            </w:pPr>
            <w:r>
              <w:rPr>
                <w:rFonts w:ascii="Arial" w:cs="Arial" w:eastAsia="Arial" w:hAnsi="Arial"/>
                <w:sz w:val="18"/>
                <w:szCs w:val="18"/>
                <w:color w:val="auto"/>
              </w:rPr>
              <w:t>278,049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220" w:type="dxa"/>
            <w:vAlign w:val="bottom"/>
          </w:tcPr>
          <w:p>
            <w:pPr>
              <w:spacing w:after="0"/>
              <w:rPr>
                <w:sz w:val="21"/>
                <w:szCs w:val="21"/>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21"/>
                <w:szCs w:val="21"/>
                <w:color w:val="auto"/>
              </w:rPr>
            </w:pPr>
          </w:p>
        </w:tc>
      </w:tr>
      <w:tr>
        <w:trPr>
          <w:trHeight w:val="59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688,067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(3,797)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(3,797)</w:t>
            </w:r>
          </w:p>
        </w:tc>
      </w:tr>
      <w:tr>
        <w:trPr>
          <w:trHeight w:val="209"/>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4,607,565</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12,355</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(24,884</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20" w:space="320"/>
            <w:col w:w="5280"/>
          </w:cols>
          <w:pgMar w:left="320" w:top="358"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type w:val="continuous"/>
        </w:sectPr>
      </w:pPr>
    </w:p>
    <w:bookmarkStart w:id="234" w:name="page235"/>
    <w:bookmarkEnd w:id="23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3"/>
                <w:szCs w:val="13"/>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(2,657)</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interest expense on convertible notes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Accretion of discounts on convertible notes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fair value of derivative liability</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Change in fair value of grant liability</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extinguishment of convertible notes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88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w:t>
            </w:r>
          </w:p>
        </w:tc>
        <w:tc>
          <w:tcPr>
            <w:tcW w:w="28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available-for-sale securities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(995)</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Maturities of available-for-sale securities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received on stockholder note receivable</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investing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options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preferred stock and</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warrants, net of issuance costs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warrants</w:t>
            </w: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notes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Paycheck Protection Program loan</w:t>
            </w: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Paycheck Protection Program loan</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Issuance costs for convertible notes</w:t>
            </w: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deferred offering costs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28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87,144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and cash equivalents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year</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year</w:t>
            </w: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offering costs included in accounts payable and</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costs for convertible preferred stock included 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7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720" w:type="dxa"/>
            <w:vAlign w:val="bottom"/>
            <w:tcBorders>
              <w:top w:val="single" w:sz="8" w:color="CFF0FC"/>
            </w:tcBorders>
            <w:shd w:val="clear" w:color="auto" w:fill="CFF0FC"/>
          </w:tcPr>
          <w:p>
            <w:pPr>
              <w:ind w:left="260"/>
              <w:spacing w:after="0" w:line="165" w:lineRule="exact"/>
              <w:rPr>
                <w:sz w:val="20"/>
                <w:szCs w:val="20"/>
                <w:color w:val="auto"/>
              </w:rPr>
            </w:pPr>
            <w:r>
              <w:rPr>
                <w:rFonts w:ascii="Arial" w:cs="Arial" w:eastAsia="Arial" w:hAnsi="Arial"/>
                <w:sz w:val="16"/>
                <w:szCs w:val="16"/>
                <w:color w:val="auto"/>
              </w:rPr>
              <w:t>Allocation of proceeds to common stock warrants issued in</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Series B convertible preferred stock financing</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of Series B-1 preferred stock upon conversion of</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720" w:type="dxa"/>
            <w:vAlign w:val="bottom"/>
          </w:tcPr>
          <w:p>
            <w:pPr>
              <w:ind w:left="380"/>
              <w:spacing w:after="0"/>
              <w:rPr>
                <w:sz w:val="20"/>
                <w:szCs w:val="20"/>
                <w:color w:val="auto"/>
              </w:rPr>
            </w:pPr>
            <w:r>
              <w:rPr>
                <w:rFonts w:ascii="Arial" w:cs="Arial" w:eastAsia="Arial" w:hAnsi="Arial"/>
                <w:sz w:val="16"/>
                <w:szCs w:val="16"/>
                <w:color w:val="auto"/>
              </w:rPr>
              <w:t>promissory notes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720" w:type="dxa"/>
            <w:vAlign w:val="bottom"/>
            <w:tcBorders>
              <w:top w:val="single" w:sz="8" w:color="CFF0FC"/>
            </w:tcBorders>
            <w:shd w:val="clear" w:color="auto" w:fill="CFF0FC"/>
          </w:tcPr>
          <w:p>
            <w:pPr>
              <w:ind w:left="260"/>
              <w:spacing w:after="0" w:line="165" w:lineRule="exact"/>
              <w:rPr>
                <w:sz w:val="20"/>
                <w:szCs w:val="20"/>
                <w:color w:val="auto"/>
              </w:rPr>
            </w:pPr>
            <w:r>
              <w:rPr>
                <w:rFonts w:ascii="Arial" w:cs="Arial" w:eastAsia="Arial" w:hAnsi="Arial"/>
                <w:sz w:val="16"/>
                <w:szCs w:val="16"/>
                <w:color w:val="auto"/>
              </w:rPr>
              <w:t>Recognition of warrant liability in connection with Series B</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convertible preferred stock financing</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Recognition of derivative liability upon issuance of convertible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380"/>
              <w:spacing w:after="0"/>
              <w:rPr>
                <w:sz w:val="20"/>
                <w:szCs w:val="20"/>
                <w:color w:val="auto"/>
              </w:rPr>
            </w:pPr>
            <w:r>
              <w:rPr>
                <w:rFonts w:ascii="Arial" w:cs="Arial" w:eastAsia="Arial" w:hAnsi="Arial"/>
                <w:sz w:val="16"/>
                <w:szCs w:val="16"/>
                <w:color w:val="auto"/>
              </w:rPr>
              <w:t>notes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5" w:name="page236"/>
    <w:bookmarkEnd w:id="23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96" w:lineRule="exact"/>
        <w:rPr>
          <w:sz w:val="20"/>
          <w:szCs w:val="20"/>
          <w:color w:val="auto"/>
        </w:rPr>
      </w:pPr>
    </w:p>
    <w:p>
      <w:pPr>
        <w:ind w:left="580" w:hanging="572"/>
        <w:spacing w:after="0"/>
        <w:tabs>
          <w:tab w:leader="none" w:pos="5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accompanying condensed financial statements have been prepared assuming that the Company will continue as a going concern. The Company has incurred net operating losses since its inception and had an accumulated deficit of $ 24.9 million as of June 30, 2020. The Company had cash and cash equivalents of $85.2 million as of June 30, 2020 and has not generated positive cash flows from operations. To date, the Company has been able to fund its operations primarily through the issuance of convertible notes, common stock warrants, and convertible preferred stock, and to a lesser extent, through grants and exercises of stock options. The Company’s currently available cash and cash equivalents as of June 30,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80" w:lineRule="exact"/>
        <w:rPr>
          <w:sz w:val="20"/>
          <w:szCs w:val="20"/>
          <w:color w:val="auto"/>
        </w:rPr>
      </w:pPr>
    </w:p>
    <w:p>
      <w:pPr>
        <w:ind w:right="7720" w:firstLine="8"/>
        <w:spacing w:after="0" w:line="361" w:lineRule="auto"/>
        <w:tabs>
          <w:tab w:leader="none" w:pos="798"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sz w:val="20"/>
          <w:szCs w:val="20"/>
          <w:color w:val="auto"/>
        </w:rPr>
      </w:pPr>
      <w:r>
        <w:rPr>
          <w:rFonts w:ascii="Arial" w:cs="Arial" w:eastAsia="Arial" w:hAnsi="Arial"/>
          <w:sz w:val="18"/>
          <w:szCs w:val="18"/>
          <w:color w:val="auto"/>
        </w:rPr>
        <w:t>The condensed financial statements have been prepared in conformity with U.S. generally accepted accounting principles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accompanying condensed balance sheet as of June 30, 2020, and condensed statements of operations and comprehensive loss, condensed statements of cash flows, and condensed statements of convertible preferred stock and stockholders’ deficit for the six months ended June 30, 2019 and 2020,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June 30, 2020, and the condensed results of its operations and its cash flows for the six months ended June 30, 2019 and 2020. The financial data and other information disclosed in these notes related to the six months ended June 30, 2019 and 2020 are also unaudited. The condensed results of operations for the six months ended June 30, 2020 are not necessarily indicative of the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236" w:name="page237"/>
    <w:bookmarkEnd w:id="23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to be expected for the full year ending December 31, 2020 or any other period. These interim condensed financial statements should be read in conjunction with the Company’s audited financial statements included elsewhere in this prospectus.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In contemplation of the Company’s planned initial public offering (“IPO”), the unaudited pro forma stockholders’ equity in the condensed balance sheet reflects shares of the Company’s common stock outstanding as of June 30, 2020 and assumes the conversion of all outstanding shares of the Company’s convertible preferred stock into shares of its common stock at a ratio of 1:1, upon the closing of a firm-commitment underwritten public offering with gross proceeds of at least $50.0 million. The pro forma financial information also reflects the net exercise of outstanding warrants for shares of common stock, the reclassification of the convertible preferred stock warrant liability to additional paid-in capital, and the repayment of the grant liability upon the closing of the IPO. The shares of common stock issuable and the proceeds expected to be received in the IPO are excluded from such pro forma financial information presented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drug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80" w:firstLine="576"/>
        <w:spacing w:after="0" w:line="277"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payable and accrued expenses approximate their fair values due to the short-term nature of those amounts. The fair values of the grant liability to Life Services Discovery Fund (“LSDF”), the derivative liability, and the convertible preferred stock warrant liability were estimated using Level 3 unobservable inputs.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Freestanding warrants to purchase shares of the Company’s convertible preferred stock are accounted for as liabilities at fair value, because the shares underlying the warrants contain contingent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7" w:name="page238"/>
    <w:bookmarkEnd w:id="23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The Company capitalizes costs that are directly associated with in-process equity financings until such financings are consummated, at which time such costs reduce the gross proceeds of the offering. Should an in-process equity financing be abandoned, deferred offering costs are expensed immediately to operating expenses in the statement of operations and comprehensive loss.</w:t>
      </w:r>
    </w:p>
    <w:p>
      <w:pPr>
        <w:spacing w:after="0" w:line="2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 Company also has deferred offering costs consisting of legal, accounting and other fees and costs directly attributable to the Company’s planned IPO. The deferred offering costs will be offset against the proceeds received upon the completion of the planned IPO. In the event the planned IPO is terminated, or delayed for more than 90 days, all of the deferred offering costs will be expensed within the Company’s condensed statements of operations. The Company had $415,000 of deferred offering costs recorded in other assets on the condensed balance sheet June 30, 2020. There were no deferred offering costs as of December 31,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1"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8" w:name="page239"/>
    <w:bookmarkEnd w:id="23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adopted Accounting Standard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6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an IPO resulting in at least $50.0 million in gross proceeds. The unaudited pro forma net loss per share attributable to common stockholders does not include the shares to be sold from the proposed IPO.</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239" w:name="page240"/>
    <w:bookmarkEnd w:id="23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As of December 31, 2019 and June 30, 2020, the Company had an unsecured note receivable outstanding from its chief executive officer of approximately $36,000 and $33,000, respectively. The note accrues interest at 1.45% and requires monthly payments with final repayment in April 2025. The note is included in current portion of unsecured stockholder note receivable and unsecured stockholder note receivable in the accompanying condensed balance sheets. Interest income is recognized using the effective interest method, and is included in other income (expense), net in the condensed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0" w:name="page241"/>
    <w:bookmarkEnd w:id="24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170"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326" w:lineRule="exact"/>
        <w:rPr>
          <w:sz w:val="20"/>
          <w:szCs w:val="20"/>
          <w:color w:val="auto"/>
        </w:rPr>
      </w:pPr>
    </w:p>
    <w:p>
      <w:pPr>
        <w:ind w:left="580" w:hanging="572"/>
        <w:spacing w:after="0"/>
        <w:tabs>
          <w:tab w:leader="none" w:pos="5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19"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28" w:lineRule="exact"/>
        <w:rPr>
          <w:sz w:val="20"/>
          <w:szCs w:val="20"/>
          <w:color w:val="auto"/>
        </w:rPr>
      </w:pPr>
    </w:p>
    <w:p>
      <w:pPr>
        <w:ind w:left="580" w:right="8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6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97"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The fair value hierarchy of the Company’s liabilities carried at fair value and measured on a recurring basis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9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Grant liability</w:t>
            </w:r>
          </w:p>
        </w:tc>
        <w:tc>
          <w:tcPr>
            <w:tcW w:w="27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7)</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940" w:type="dxa"/>
            <w:vAlign w:val="bottom"/>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6"/>
        </w:trPr>
        <w:tc>
          <w:tcPr>
            <w:tcW w:w="3940" w:type="dxa"/>
            <w:vAlign w:val="bottom"/>
          </w:tcPr>
          <w:p>
            <w:pPr>
              <w:spacing w:after="0"/>
              <w:rPr>
                <w:sz w:val="24"/>
                <w:szCs w:val="24"/>
                <w:color w:val="auto"/>
              </w:rPr>
            </w:pPr>
          </w:p>
        </w:tc>
        <w:tc>
          <w:tcPr>
            <w:tcW w:w="2760" w:type="dxa"/>
            <w:vAlign w:val="bottom"/>
            <w:gridSpan w:val="2"/>
          </w:tcPr>
          <w:p>
            <w:pPr>
              <w:jc w:val="right"/>
              <w:ind w:right="819"/>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39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1" w:name="page242"/>
    <w:bookmarkEnd w:id="24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As of June 30, 2020</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920" w:firstLine="576"/>
        <w:spacing w:after="0" w:line="276" w:lineRule="auto"/>
        <w:rPr>
          <w:sz w:val="20"/>
          <w:szCs w:val="20"/>
          <w:color w:val="auto"/>
        </w:rPr>
      </w:pPr>
      <w:r>
        <w:rPr>
          <w:rFonts w:ascii="Arial" w:cs="Arial" w:eastAsia="Arial" w:hAnsi="Arial"/>
          <w:sz w:val="18"/>
          <w:szCs w:val="18"/>
          <w:color w:val="auto"/>
        </w:rPr>
        <w:t>The following table presents the activity for the grant liability for the six months ended June 30, 2019 and June 30,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The following table presents the activity for the derivative liability for the six months ended June 30, 2019 and June 30,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top w:val="single" w:sz="8" w:color="CFF0FC"/>
            </w:tcBorders>
            <w:shd w:val="clear" w:color="auto" w:fill="CFF0FC"/>
          </w:tcPr>
          <w:p>
            <w:pPr>
              <w:spacing w:after="0"/>
              <w:rPr>
                <w:sz w:val="18"/>
                <w:szCs w:val="18"/>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of convertible notes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 settled upon conversion of convertible notes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(1,905)</w:t>
            </w: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197"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The derivative liability was settled in May 2020 upon conversion of the underlying convertible notes into Series B-1 convertible preferred stock (see Note 7).</w:t>
      </w:r>
    </w:p>
    <w:p>
      <w:pPr>
        <w:spacing w:after="0" w:line="172"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following table presents the activity for the convertible preferred stock warrant liability for the six months ended June 30,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75"/>
        </w:trPr>
        <w:tc>
          <w:tcPr>
            <w:tcW w:w="50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5"/>
                <w:szCs w:val="15"/>
                <w:color w:val="auto"/>
              </w:rPr>
            </w:pPr>
          </w:p>
        </w:tc>
      </w:tr>
      <w:tr>
        <w:trPr>
          <w:trHeight w:val="177"/>
        </w:trPr>
        <w:tc>
          <w:tcPr>
            <w:tcW w:w="5000" w:type="dxa"/>
            <w:vAlign w:val="bottom"/>
            <w:tcBorders>
              <w:bottom w:val="single" w:sz="8" w:color="CFF0FC"/>
            </w:tcBorders>
          </w:tcPr>
          <w:p>
            <w:pPr>
              <w:spacing w:after="0"/>
              <w:rPr>
                <w:sz w:val="15"/>
                <w:szCs w:val="15"/>
                <w:color w:val="auto"/>
              </w:rPr>
            </w:pPr>
          </w:p>
        </w:tc>
        <w:tc>
          <w:tcPr>
            <w:tcW w:w="4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4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Recognition of convertible preferred stock warrant liability</w:t>
            </w:r>
          </w:p>
        </w:tc>
        <w:tc>
          <w:tcPr>
            <w:tcW w:w="4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4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5000" w:type="dxa"/>
            <w:vAlign w:val="bottom"/>
          </w:tcPr>
          <w:p>
            <w:pPr>
              <w:spacing w:after="0"/>
              <w:rPr>
                <w:sz w:val="24"/>
                <w:szCs w:val="24"/>
                <w:color w:val="auto"/>
              </w:rPr>
            </w:pPr>
          </w:p>
        </w:tc>
        <w:tc>
          <w:tcPr>
            <w:tcW w:w="4440" w:type="dxa"/>
            <w:vAlign w:val="bottom"/>
            <w:gridSpan w:val="2"/>
          </w:tcPr>
          <w:p>
            <w:pPr>
              <w:jc w:val="right"/>
              <w:ind w:right="3550"/>
              <w:spacing w:after="0"/>
              <w:rPr>
                <w:sz w:val="20"/>
                <w:szCs w:val="20"/>
                <w:color w:val="auto"/>
              </w:rPr>
            </w:pPr>
            <w:r>
              <w:rPr>
                <w:rFonts w:ascii="Arial" w:cs="Arial" w:eastAsia="Arial" w:hAnsi="Arial"/>
                <w:sz w:val="18"/>
                <w:szCs w:val="18"/>
                <w:color w:val="auto"/>
              </w:rPr>
              <w:t>F-37</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00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2" w:name="page243"/>
    <w:bookmarkEnd w:id="24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3" w:lineRule="exact"/>
        <w:rPr>
          <w:sz w:val="20"/>
          <w:szCs w:val="20"/>
          <w:color w:val="auto"/>
        </w:rPr>
      </w:pPr>
    </w:p>
    <w:p>
      <w:pPr>
        <w:ind w:left="580" w:hanging="572"/>
        <w:spacing w:after="0"/>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As of</w:t>
            </w:r>
          </w:p>
        </w:tc>
      </w:tr>
      <w:tr>
        <w:trPr>
          <w:trHeight w:val="176"/>
        </w:trPr>
        <w:tc>
          <w:tcPr>
            <w:tcW w:w="7700" w:type="dxa"/>
            <w:vAlign w:val="bottom"/>
          </w:tcPr>
          <w:p>
            <w:pPr>
              <w:spacing w:after="0"/>
              <w:rPr>
                <w:sz w:val="15"/>
                <w:szCs w:val="15"/>
                <w:color w:val="auto"/>
              </w:rPr>
            </w:pP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70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shd w:val="clear" w:color="auto" w:fill="CFF0FC"/>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auto"/>
            </w:tcBorders>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Gain on extinguishment of convertible notes</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17"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213" w:lineRule="exact"/>
        <w:rPr>
          <w:sz w:val="20"/>
          <w:szCs w:val="20"/>
          <w:color w:val="auto"/>
        </w:rPr>
      </w:pPr>
    </w:p>
    <w:p>
      <w:pPr>
        <w:ind w:right="82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June 30, 2020.</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17" w:lineRule="exact"/>
        <w:rPr>
          <w:sz w:val="20"/>
          <w:szCs w:val="20"/>
          <w:color w:val="auto"/>
        </w:rPr>
      </w:pPr>
    </w:p>
    <w:p>
      <w:pPr>
        <w:ind w:left="1300" w:right="360" w:hanging="442"/>
        <w:spacing w:after="0" w:line="275" w:lineRule="auto"/>
        <w:tabs>
          <w:tab w:leader="none" w:pos="1300" w:val="left"/>
        </w:tabs>
        <w:numPr>
          <w:ilvl w:val="0"/>
          <w:numId w:val="164"/>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51"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164"/>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5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4"/>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none of these milestones had been reached.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3" w:name="page244"/>
    <w:bookmarkEnd w:id="24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(unaudited)</w:t>
      </w:r>
    </w:p>
    <w:p>
      <w:pPr>
        <w:spacing w:after="0" w:line="257"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June 30, 2020, the Company had not incurred a royalty obligation under this agreement.</w:t>
      </w:r>
    </w:p>
    <w:p>
      <w:pPr>
        <w:spacing w:after="0" w:line="16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non-sales based payments received, and low twenties of net sales based sublicense royalties. As of June 30, 2020, the Company had not entered into or incurred any liability from a sublicense agreement.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69" w:lineRule="exact"/>
        <w:rPr>
          <w:sz w:val="20"/>
          <w:szCs w:val="20"/>
          <w:color w:val="auto"/>
        </w:rPr>
      </w:pPr>
    </w:p>
    <w:p>
      <w:pPr>
        <w:ind w:left="1300" w:hanging="442"/>
        <w:spacing w:after="0"/>
        <w:tabs>
          <w:tab w:leader="none" w:pos="13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 triggering events have occurred and no payments to LSDF have been made.</w:t>
      </w:r>
    </w:p>
    <w:p>
      <w:pPr>
        <w:spacing w:after="0" w:line="25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Accounting Standards Codification (“ASC”) 825-10, </w:t>
      </w:r>
      <w:r>
        <w:rPr>
          <w:rFonts w:ascii="Arial" w:cs="Arial" w:eastAsia="Arial" w:hAnsi="Arial"/>
          <w:sz w:val="18"/>
          <w:szCs w:val="18"/>
          <w:i w:val="1"/>
          <w:iCs w:val="1"/>
          <w:color w:val="auto"/>
        </w:rPr>
        <w:t>Financial Instruments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To determine the estimated fair value of the grant liability at December 31, 2019 and June 30, 2020,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8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estimated fair value of the grant liability was $1.0 million as of each of December 31, 2019 and June 30, 2020. The changes in the fair value of the liability resulted in losses of approximately $30,000 and $11,000 for the six months period ended June 30, 2019 and 2020, respectively, which was included in other income (expense), net in the accompanying statement of operations and comprehensive loss.</w:t>
      </w:r>
    </w:p>
    <w:p>
      <w:pPr>
        <w:spacing w:after="0" w:line="276" w:lineRule="exact"/>
        <w:rPr>
          <w:sz w:val="20"/>
          <w:szCs w:val="20"/>
          <w:color w:val="auto"/>
        </w:rPr>
      </w:pPr>
    </w:p>
    <w:p>
      <w:pPr>
        <w:ind w:left="580" w:hanging="572"/>
        <w:spacing w:after="0"/>
        <w:tabs>
          <w:tab w:leader="none" w:pos="5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Company issued unsecured convertible notes with aggregate principal amounts of $1.3 million and $ 884,000 in 2018 and 2019, respectively. The Company issued additional unsecured convertible notes with an aggregate principal amount of $1.7 million in 2020. The notes accrue interest at a rate of</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244" w:name="page245"/>
    <w:bookmarkEnd w:id="24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74"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45" w:lineRule="exact"/>
        <w:rPr>
          <w:sz w:val="20"/>
          <w:szCs w:val="20"/>
          <w:color w:val="auto"/>
        </w:rPr>
      </w:pPr>
    </w:p>
    <w:p>
      <w:pPr>
        <w:ind w:right="300" w:firstLine="576"/>
        <w:spacing w:after="0" w:line="27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 See Note 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80" w:lineRule="exact"/>
        <w:rPr>
          <w:sz w:val="20"/>
          <w:szCs w:val="20"/>
          <w:color w:val="auto"/>
        </w:rPr>
      </w:pPr>
    </w:p>
    <w:p>
      <w:pPr>
        <w:ind w:right="7800" w:firstLine="8"/>
        <w:spacing w:after="0" w:line="361" w:lineRule="auto"/>
        <w:tabs>
          <w:tab w:leader="none" w:pos="567"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55"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$44,000 and $39,000 for the six months ended June 30, 2019 and 2020,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as discussed further in Note 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5" w:name="page246"/>
    <w:bookmarkEnd w:id="24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 xml:space="preserve">Management continues </w:t>
      </w:r>
      <w:r>
        <w:rPr>
          <w:rFonts w:ascii="Arial" w:cs="Arial" w:eastAsia="Arial" w:hAnsi="Arial"/>
          <w:sz w:val="18"/>
          <w:szCs w:val="18"/>
          <w:color w:val="212121"/>
        </w:rPr>
        <w:t>to evaluate the impacts and potential impacts of COVID-19 on the development of its product candidates. The</w:t>
      </w:r>
      <w:r>
        <w:rPr>
          <w:rFonts w:ascii="Arial" w:cs="Arial" w:eastAsia="Arial" w:hAnsi="Arial"/>
          <w:sz w:val="18"/>
          <w:szCs w:val="18"/>
          <w:color w:val="auto"/>
        </w:rPr>
        <w:t xml:space="preserve"> </w:t>
      </w:r>
      <w:r>
        <w:rPr>
          <w:rFonts w:ascii="Arial" w:cs="Arial" w:eastAsia="Arial" w:hAnsi="Arial"/>
          <w:sz w:val="18"/>
          <w:szCs w:val="18"/>
          <w:color w:val="212121"/>
        </w:rPr>
        <w:t>Company is working closely with its manufacturing vendors to maintain adequate product supply and with healthcare providers as future studies and trials are planned in order to mitigate risk to patients while adhering to regulatory, institutional and government guidance and policies. The Company remains committed to its development plans and acknowledges the potential risk for delays in the product supply chain and in anticipated timelines for its clinical trials.</w:t>
      </w:r>
    </w:p>
    <w:p>
      <w:pPr>
        <w:spacing w:after="0" w:line="319" w:lineRule="exact"/>
        <w:rPr>
          <w:sz w:val="20"/>
          <w:szCs w:val="20"/>
          <w:color w:val="auto"/>
        </w:rPr>
      </w:pPr>
    </w:p>
    <w:p>
      <w:pPr>
        <w:ind w:left="580" w:hanging="572"/>
        <w:spacing w:after="0"/>
        <w:tabs>
          <w:tab w:leader="none" w:pos="5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6"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Convertible preferred stock as of December 31, 2019 and June 30, 2020 consisted of the following (in thousands, except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1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10"/>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1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r>
      <w:tr>
        <w:trPr>
          <w:trHeight w:val="216"/>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B</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9,515,903</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9,372,765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85,477</w:t>
            </w:r>
          </w:p>
        </w:tc>
        <w:tc>
          <w:tcPr>
            <w:tcW w:w="12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B-1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512,858</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512,858</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Borders>
              <w:bottom w:val="single" w:sz="8" w:color="CFF0FC"/>
            </w:tcBorders>
          </w:tcPr>
          <w:p>
            <w:pPr>
              <w:spacing w:after="0"/>
              <w:rPr>
                <w:sz w:val="18"/>
                <w:szCs w:val="18"/>
                <w:color w:val="auto"/>
              </w:rPr>
            </w:pPr>
          </w:p>
        </w:tc>
      </w:tr>
      <w:tr>
        <w:trPr>
          <w:trHeight w:val="210"/>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12,646,147</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92,537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 per share (85% of the $9.12 original issuance price of the Series B convertible preferred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6" w:name="page247"/>
    <w:bookmarkEnd w:id="24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73"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The rights, preferences, and privileges of the Series A, A-1, B and B-1 convertible preferred stock (collectively, Preferred Stock) are as follows: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holders of shares of Series A, A-1, B and B-1 Preferred Stock are entitled to receive non-cumulative dividends and non-dividend distributions in preference to any dividend or non-dividend distribution on the common stock, when, and if declared by the board of directors. Such dividend and non-dividend distribution preference survives until the holders of the Series A, A-1, B and B-1 Preferred Stock have received a per share amount equal to: (a) in the case of dividends, 1.32 times the Series A, A-1, B or B-1 Purchase Price, as applicable, or (b) in the case of non-dividend distributions, the Series A, A-1, B or B-1 Purchase Price, as applicable.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right="4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A-1, B and B-1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A-1, B and B-1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17" w:lineRule="exact"/>
        <w:rPr>
          <w:sz w:val="20"/>
          <w:szCs w:val="20"/>
          <w:color w:val="auto"/>
        </w:rPr>
      </w:pPr>
    </w:p>
    <w:p>
      <w:pPr>
        <w:jc w:val="both"/>
        <w:ind w:right="2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A-1, B and Series B-1 Preferred Stock) are entitled to participate pro rata in any dividends or non-dividend distributions paid on the Common Stock, when, as and if declared by the board of directors.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17"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A-1, B and B-1 Preferred Stock equal to their purchase price, less any declared and paid dividends or non-dividend distributions. Any remaining amounts shall be distributed to the holders of the common stock, Series A, A-1, B and B-1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A-1, B or B-1 Preferred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7" w:name="page248"/>
    <w:bookmarkEnd w:id="24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r>
      <w:tr>
        <w:trPr>
          <w:trHeight w:val="175"/>
        </w:trPr>
        <w:tc>
          <w:tcPr>
            <w:tcW w:w="776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76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40" w:type="dxa"/>
            <w:vAlign w:val="bottom"/>
          </w:tcPr>
          <w:p>
            <w:pPr>
              <w:jc w:val="right"/>
              <w:spacing w:after="0"/>
              <w:rPr>
                <w:sz w:val="20"/>
                <w:szCs w:val="20"/>
                <w:color w:val="auto"/>
              </w:rPr>
            </w:pPr>
            <w:r>
              <w:rPr>
                <w:rFonts w:ascii="Arial" w:cs="Arial" w:eastAsia="Arial" w:hAnsi="Arial"/>
                <w:sz w:val="18"/>
                <w:szCs w:val="18"/>
                <w:color w:val="auto"/>
              </w:rPr>
              <w:t>1,514,770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1,258,787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945,121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40" w:type="dxa"/>
            <w:vAlign w:val="bottom"/>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1,658,411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127,481</w:t>
            </w:r>
          </w:p>
        </w:tc>
        <w:tc>
          <w:tcPr>
            <w:tcW w:w="100" w:type="dxa"/>
            <w:vAlign w:val="bottom"/>
            <w:shd w:val="clear" w:color="auto" w:fill="CFF0FC"/>
          </w:tcPr>
          <w:p>
            <w:pPr>
              <w:spacing w:after="0"/>
              <w:rPr>
                <w:sz w:val="18"/>
                <w:szCs w:val="18"/>
                <w:color w:val="auto"/>
              </w:rPr>
            </w:pPr>
          </w:p>
        </w:tc>
      </w:tr>
      <w:tr>
        <w:trPr>
          <w:trHeight w:val="210"/>
        </w:trPr>
        <w:tc>
          <w:tcPr>
            <w:tcW w:w="7760" w:type="dxa"/>
            <w:vAlign w:val="bottom"/>
          </w:tcPr>
          <w:p>
            <w:pPr>
              <w:ind w:left="26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4,535,203</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16,492,809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prices ranging from $0.08 to $4.84 per share, and expire in April 2021 and May 2025.</w:t>
      </w:r>
    </w:p>
    <w:p>
      <w:pPr>
        <w:spacing w:after="0" w:line="318" w:lineRule="exact"/>
        <w:rPr>
          <w:sz w:val="20"/>
          <w:szCs w:val="20"/>
          <w:color w:val="auto"/>
        </w:rPr>
      </w:pPr>
    </w:p>
    <w:p>
      <w:pPr>
        <w:ind w:right="8080" w:firstLine="8"/>
        <w:spacing w:after="0" w:line="367" w:lineRule="auto"/>
        <w:tabs>
          <w:tab w:leader="none" w:pos="567"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Stock-based Compensation Expense</w:t>
      </w:r>
    </w:p>
    <w:p>
      <w:pPr>
        <w:spacing w:after="0" w:line="1" w:lineRule="exact"/>
        <w:rPr>
          <w:rFonts w:ascii="Arial" w:cs="Arial" w:eastAsia="Arial" w:hAnsi="Arial"/>
          <w:sz w:val="17"/>
          <w:szCs w:val="17"/>
          <w:b w:val="1"/>
          <w:bCs w:val="1"/>
          <w:color w:val="auto"/>
        </w:rPr>
      </w:pPr>
    </w:p>
    <w:p>
      <w:pPr>
        <w:ind w:left="580"/>
        <w:spacing w:after="0" w:line="207" w:lineRule="exact"/>
        <w:rPr>
          <w:rFonts w:ascii="Arial" w:cs="Arial" w:eastAsia="Arial" w:hAnsi="Arial"/>
          <w:sz w:val="17"/>
          <w:szCs w:val="17"/>
          <w:b w:val="1"/>
          <w:bCs w:val="1"/>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1300" w:right="100" w:hanging="442"/>
        <w:spacing w:after="0" w:line="255" w:lineRule="auto"/>
        <w:tabs>
          <w:tab w:leader="none" w:pos="1300" w:val="left"/>
        </w:tabs>
        <w:numPr>
          <w:ilvl w:val="0"/>
          <w:numId w:val="1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8" w:name="page249"/>
    <w:bookmarkEnd w:id="24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left="1300" w:right="20"/>
        <w:spacing w:after="0" w:line="258" w:lineRule="auto"/>
        <w:rPr>
          <w:sz w:val="20"/>
          <w:szCs w:val="20"/>
          <w:color w:val="auto"/>
        </w:rPr>
      </w:pPr>
      <w:r>
        <w:rPr>
          <w:rFonts w:ascii="Arial" w:cs="Arial" w:eastAsia="Arial" w:hAnsi="Arial"/>
          <w:sz w:val="17"/>
          <w:szCs w:val="17"/>
          <w:color w:val="auto"/>
        </w:rPr>
        <w:t>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or the Company’s security holders, the trends, development and conditions in the life sciences and biotechnology sectors, the economy in general, the stock price performance and volatility of comparable public companies.</w:t>
      </w:r>
    </w:p>
    <w:p>
      <w:pPr>
        <w:spacing w:after="0" w:line="55" w:lineRule="exact"/>
        <w:rPr>
          <w:sz w:val="20"/>
          <w:szCs w:val="20"/>
          <w:color w:val="auto"/>
        </w:rPr>
      </w:pPr>
    </w:p>
    <w:p>
      <w:pPr>
        <w:ind w:left="1300" w:right="100" w:hanging="442"/>
        <w:spacing w:after="0" w:line="275" w:lineRule="auto"/>
        <w:tabs>
          <w:tab w:leader="none" w:pos="13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44" w:lineRule="auto"/>
        <w:tabs>
          <w:tab w:leader="none" w:pos="13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1300" w:right="140" w:hanging="442"/>
        <w:spacing w:after="0" w:line="255" w:lineRule="auto"/>
        <w:tabs>
          <w:tab w:leader="none" w:pos="13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51"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Six Months Ended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74.45%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78.15%</w:t>
            </w:r>
          </w:p>
        </w:tc>
      </w:tr>
      <w:tr>
        <w:trPr>
          <w:trHeight w:val="216"/>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FF0FC"/>
          </w:tcPr>
          <w:p>
            <w:pPr>
              <w:spacing w:after="0"/>
              <w:rPr>
                <w:sz w:val="18"/>
                <w:szCs w:val="18"/>
                <w:color w:val="auto"/>
              </w:rPr>
            </w:pPr>
          </w:p>
        </w:tc>
      </w:tr>
      <w:tr>
        <w:trPr>
          <w:trHeight w:val="243"/>
        </w:trPr>
        <w:tc>
          <w:tcPr>
            <w:tcW w:w="86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six months ended June 30, 2019 and 2020 were $79,000 and $32,000 respectively. The re-measured weighted-average fair value of options granted to advisors during the six months ended June 30, 2019 was $13,000. The weighted-average grant-date fair value of options granted to advisors during the six months ended June 30, 2020 was $10,000.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9" w:name="page250"/>
    <w:bookmarkEnd w:id="24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for the six months ended June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567,450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(44,765)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(278,049)</w:t>
            </w:r>
          </w:p>
        </w:tc>
        <w:tc>
          <w:tcPr>
            <w:tcW w:w="100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(22,699)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945,121</w:t>
            </w:r>
          </w:p>
        </w:tc>
        <w:tc>
          <w:tcPr>
            <w:tcW w:w="22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1,258,787</w:t>
            </w:r>
          </w:p>
        </w:tc>
        <w:tc>
          <w:tcPr>
            <w:tcW w:w="2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457,279</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792,171</w:t>
            </w: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six months ended June 30, 2019 was $82,000, which included $45,000 for options granted to employees and directors and $ 37,000 for options granted to advisors. The total fair value of options that vested during the six months ended June 30, 2020 was $124,000, which included $72,000 for options granted to employees and directors and $52,000 for options granted to advisors.</w:t>
      </w:r>
    </w:p>
    <w:p>
      <w:pPr>
        <w:spacing w:after="0" w:line="170"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June 30, 2020. The aggregate intrinsic value of options exercised was $2,000 and $1.3 million during the six months ended June 30, 2019 and 2020, respectively, determined as of the date of option exercise. As of June 30, 2020, there was $288,000 of total unrecognized compensation cost related to unvested stock options. The Company expects to recognize this cost over a remaining weighted-average period of 1.23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June 30,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r>
      <w:tr>
        <w:trPr>
          <w:trHeight w:val="184"/>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03"/>
        </w:trPr>
        <w:tc>
          <w:tcPr>
            <w:tcW w:w="1200" w:type="dxa"/>
            <w:vAlign w:val="bottom"/>
            <w:tcBorders>
              <w:top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174,964</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171,809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149,746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52,751</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388,386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167,082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98,516</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971,911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286,876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0" w:name="page251"/>
    <w:bookmarkEnd w:id="25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directors. If continued service terminates for any reason, the Company has the right to repurchase the unvested shares for no consideration. As of each of December 31, 2019 and June 30, 2020, there were 8,407 shares subject to repurchase, all of which were related to non-employee RSAs.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for the six months ended June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June 30,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140" w:firstLine="576"/>
        <w:spacing w:after="0" w:line="276" w:lineRule="auto"/>
        <w:rPr>
          <w:sz w:val="20"/>
          <w:szCs w:val="20"/>
          <w:color w:val="auto"/>
        </w:rPr>
      </w:pPr>
      <w:r>
        <w:rPr>
          <w:rFonts w:ascii="Arial" w:cs="Arial" w:eastAsia="Arial" w:hAnsi="Arial"/>
          <w:sz w:val="18"/>
          <w:szCs w:val="18"/>
          <w:color w:val="auto"/>
        </w:rPr>
        <w:t>As of June 30, 2020, there was approximately $3,000 of total unrecognized compensation cost related to non-vested restricted stock awards that will be recognized as expense over a weighted-average period of 0.73 years.</w:t>
      </w:r>
    </w:p>
    <w:p>
      <w:pPr>
        <w:spacing w:after="0" w:line="332" w:lineRule="exact"/>
        <w:rPr>
          <w:sz w:val="20"/>
          <w:szCs w:val="20"/>
          <w:color w:val="auto"/>
        </w:rPr>
      </w:pPr>
    </w:p>
    <w:p>
      <w:pPr>
        <w:ind w:left="580" w:hanging="572"/>
        <w:spacing w:after="0"/>
        <w:tabs>
          <w:tab w:leader="none" w:pos="5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6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1,365,972</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1,258,787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1,658,411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127,481</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3,999,278</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15,556,095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06"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Basic and diluted pro forma net loss per share has been computed to give effect to the assumed conversion of all outstanding shares of the Company’s convertible preferred stock into shares of its common stock and the net exercise of outstanding convertible preferred stock warrants and common stock warrants and the repayment of grant liability upon completion of a qualifying IPO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1" w:name="page252"/>
    <w:bookmarkEnd w:id="25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basic and diluted pro forma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9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7"/>
        </w:trPr>
        <w:tc>
          <w:tcPr>
            <w:tcW w:w="9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196"/>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warrants</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295,124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8,602,582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7" w:lineRule="exact"/>
        <w:rPr>
          <w:rFonts w:ascii="Arial" w:cs="Arial" w:eastAsia="Arial" w:hAnsi="Arial"/>
          <w:sz w:val="18"/>
          <w:szCs w:val="18"/>
          <w:b w:val="1"/>
          <w:bCs w:val="1"/>
          <w:color w:val="auto"/>
        </w:rPr>
      </w:pPr>
    </w:p>
    <w:p>
      <w:pPr>
        <w:ind w:left="1000" w:hanging="425"/>
        <w:spacing w:after="0"/>
        <w:tabs>
          <w:tab w:leader="none" w:pos="1000"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119" w:lineRule="exact"/>
        <w:rPr>
          <w:sz w:val="20"/>
          <w:szCs w:val="20"/>
          <w:color w:val="auto"/>
        </w:rPr>
      </w:pPr>
    </w:p>
    <w:p>
      <w:pPr>
        <w:ind w:right="40" w:firstLine="589"/>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318" w:lineRule="exact"/>
        <w:rPr>
          <w:sz w:val="20"/>
          <w:szCs w:val="20"/>
          <w:color w:val="auto"/>
        </w:rPr>
      </w:pPr>
    </w:p>
    <w:p>
      <w:pPr>
        <w:ind w:left="1000" w:hanging="425"/>
        <w:spacing w:after="0"/>
        <w:tabs>
          <w:tab w:leader="none" w:pos="10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Unsecured Note Receivable</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August 2020, the remaining balance of the unsecured note receivable from the Company’s chief executive offer was repaid in full.</w:t>
      </w:r>
    </w:p>
    <w:p>
      <w:pPr>
        <w:spacing w:after="0" w:line="385" w:lineRule="exact"/>
        <w:rPr>
          <w:sz w:val="20"/>
          <w:szCs w:val="20"/>
          <w:color w:val="auto"/>
        </w:rPr>
      </w:pPr>
    </w:p>
    <w:p>
      <w:pPr>
        <w:ind w:left="1000" w:hanging="425"/>
        <w:spacing w:after="0"/>
        <w:tabs>
          <w:tab w:leader="none" w:pos="1000" w:val="left"/>
        </w:tabs>
        <w:numPr>
          <w:ilvl w:val="0"/>
          <w:numId w:val="177"/>
        </w:numPr>
        <w:rPr>
          <w:rFonts w:ascii="Times New Roman" w:cs="Times New Roman" w:eastAsia="Times New Roman" w:hAnsi="Times New Roman"/>
          <w:sz w:val="22"/>
          <w:szCs w:val="22"/>
          <w:b w:val="1"/>
          <w:bCs w:val="1"/>
          <w:color w:val="auto"/>
        </w:rPr>
      </w:pPr>
      <w:r>
        <w:rPr>
          <w:rFonts w:ascii="Arial" w:cs="Arial" w:eastAsia="Arial" w:hAnsi="Arial"/>
          <w:sz w:val="18"/>
          <w:szCs w:val="18"/>
          <w:b w:val="1"/>
          <w:bCs w:val="1"/>
          <w:color w:val="auto"/>
        </w:rPr>
        <w:t>Employee Stock Purchase Plan</w:t>
      </w:r>
    </w:p>
    <w:p>
      <w:pPr>
        <w:spacing w:after="0" w:line="14" w:lineRule="exact"/>
        <w:rPr>
          <w:sz w:val="20"/>
          <w:szCs w:val="20"/>
          <w:color w:val="auto"/>
        </w:rPr>
      </w:pPr>
    </w:p>
    <w:p>
      <w:pPr>
        <w:ind w:right="40" w:firstLine="589"/>
        <w:spacing w:after="0" w:line="242"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106" w:lineRule="exact"/>
        <w:rPr>
          <w:sz w:val="20"/>
          <w:szCs w:val="20"/>
          <w:color w:val="auto"/>
        </w:rPr>
      </w:pPr>
    </w:p>
    <w:p>
      <w:pPr>
        <w:ind w:left="1000" w:hanging="425"/>
        <w:spacing w:after="0"/>
        <w:tabs>
          <w:tab w:leader="none" w:pos="10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20" w:lineRule="exact"/>
        <w:rPr>
          <w:sz w:val="20"/>
          <w:szCs w:val="20"/>
          <w:color w:val="auto"/>
        </w:rPr>
      </w:pPr>
    </w:p>
    <w:p>
      <w:pPr>
        <w:ind w:right="200" w:firstLine="589"/>
        <w:spacing w:after="0" w:line="239"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2" w:name="page253"/>
    <w:bookmarkEnd w:id="25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63" w:lineRule="exact"/>
        <w:rPr>
          <w:sz w:val="20"/>
          <w:szCs w:val="20"/>
          <w:color w:val="auto"/>
        </w:rPr>
      </w:pPr>
    </w:p>
    <w:p>
      <w:pPr>
        <w:ind w:left="1000" w:hanging="425"/>
        <w:spacing w:after="0"/>
        <w:tabs>
          <w:tab w:leader="none" w:pos="10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0"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94" w:lineRule="exact"/>
        <w:rPr>
          <w:sz w:val="20"/>
          <w:szCs w:val="20"/>
          <w:color w:val="auto"/>
        </w:rPr>
      </w:pPr>
    </w:p>
    <w:p>
      <w:pPr>
        <w:ind w:left="1000" w:hanging="425"/>
        <w:spacing w:after="0"/>
        <w:tabs>
          <w:tab w:leader="none" w:pos="1000" w:val="left"/>
        </w:tabs>
        <w:numPr>
          <w:ilvl w:val="0"/>
          <w:numId w:val="180"/>
        </w:numPr>
        <w:rPr>
          <w:rFonts w:ascii="Times New Roman" w:cs="Times New Roman" w:eastAsia="Times New Roman" w:hAnsi="Times New Roman"/>
          <w:sz w:val="22"/>
          <w:szCs w:val="22"/>
          <w:b w:val="1"/>
          <w:bCs w:val="1"/>
          <w:color w:val="auto"/>
        </w:rPr>
      </w:pPr>
      <w:r>
        <w:rPr>
          <w:rFonts w:ascii="Arial" w:cs="Arial" w:eastAsia="Arial" w:hAnsi="Arial"/>
          <w:sz w:val="18"/>
          <w:szCs w:val="18"/>
          <w:b w:val="1"/>
          <w:bCs w:val="1"/>
          <w:color w:val="auto"/>
        </w:rPr>
        <w:t>National Institutes of Health Grant</w:t>
      </w:r>
    </w:p>
    <w:p>
      <w:pPr>
        <w:spacing w:after="0" w:line="100" w:lineRule="exact"/>
        <w:rPr>
          <w:sz w:val="20"/>
          <w:szCs w:val="20"/>
          <w:color w:val="auto"/>
        </w:rPr>
      </w:pPr>
    </w:p>
    <w:p>
      <w:pPr>
        <w:ind w:right="180" w:firstLine="589"/>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14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preparing the condensed interim financial statements as of June 30, 2020 and for the six-month period then ended (unaudited), the Company has evaluated subsequent events for recognition and measurement purposes through August 26, 2020, the date the condensed interim financial statements were issued, and September 14, 2020, the date the revised condensed financial statements were issued.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53" w:name="page254"/>
    <w:bookmarkEnd w:id="253"/>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color w:val="auto"/>
        </w:rPr>
        <w:t>10,000,000 Shares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582930</wp:posOffset>
            </wp:positionV>
            <wp:extent cx="11830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2005965</wp:posOffset>
            </wp:positionV>
            <wp:extent cx="11830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728345</wp:posOffset>
            </wp:positionV>
            <wp:extent cx="2134235" cy="1054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342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5100" w:val="left"/>
          <w:tab w:leader="none" w:pos="106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Stifel</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231140</wp:posOffset>
            </wp:positionV>
            <wp:extent cx="118300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Estimated expenses, other than underwriting discounts and commissions, payable by the registrant in connection with the sale of the common stock being registered under this registration statement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 Paid or</w:t>
            </w:r>
          </w:p>
        </w:tc>
      </w:tr>
      <w:tr>
        <w:trPr>
          <w:trHeight w:val="177"/>
        </w:trPr>
        <w:tc>
          <w:tcPr>
            <w:tcW w:w="9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 Be Paid</w:t>
            </w:r>
          </w:p>
        </w:tc>
      </w:tr>
      <w:tr>
        <w:trPr>
          <w:trHeight w:val="209"/>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FINRA filing fee</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29,825</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Exchange listing fee</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Transfer agent and registrar fees and expenses</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w:t>
            </w: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46,299</w:t>
            </w:r>
          </w:p>
        </w:tc>
        <w:tc>
          <w:tcPr>
            <w:tcW w:w="100" w:type="dxa"/>
            <w:vAlign w:val="bottom"/>
            <w:tcBorders>
              <w:bottom w:val="single" w:sz="8" w:color="CFF0FC"/>
            </w:tcBorders>
          </w:tcPr>
          <w:p>
            <w:pPr>
              <w:spacing w:after="0"/>
              <w:rPr>
                <w:sz w:val="18"/>
                <w:szCs w:val="18"/>
                <w:color w:val="auto"/>
              </w:rPr>
            </w:pPr>
          </w:p>
        </w:tc>
      </w:tr>
      <w:tr>
        <w:trPr>
          <w:trHeight w:val="209"/>
        </w:trPr>
        <w:tc>
          <w:tcPr>
            <w:tcW w:w="9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55" w:name="page256"/>
    <w:bookmarkEnd w:id="255"/>
    <w:p>
      <w:pPr>
        <w:ind w:right="80" w:firstLine="576"/>
        <w:spacing w:after="0" w:line="245"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jc w:val="both"/>
        <w:ind w:right="300" w:firstLine="576"/>
        <w:spacing w:after="0" w:line="255"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72"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16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September 14, 2017:</w:t>
      </w:r>
    </w:p>
    <w:p>
      <w:pPr>
        <w:spacing w:after="0" w:line="212" w:lineRule="exact"/>
        <w:rPr>
          <w:sz w:val="20"/>
          <w:szCs w:val="20"/>
          <w:color w:val="auto"/>
        </w:rPr>
      </w:pPr>
    </w:p>
    <w:p>
      <w:pPr>
        <w:ind w:right="120" w:firstLine="584"/>
        <w:spacing w:after="0" w:line="241" w:lineRule="auto"/>
        <w:tabs>
          <w:tab w:leader="none" w:pos="8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From September 14, 2017 through September 14, 2020, we granted 815,234 options to purchase shares of our common stock to our employees, directors and consultants at a weighted-average exercise price of $1.34 per share under our 2014 Equity Incentive Plan, or 2014 Plan. We also issued and sold an aggregate of 954,885 shares of our common stock to our employees, directors and consultants at a weighted-average exercise price of $0.78 per share pursuant to exercises of options granted under our 2014 Plan. On September 3, 2020, the board of directors authorized the grant of 943,223 options to purchase common stock to certain of our executives, employees, advisors and non-employee directors under the 2020 Equity Incentive Plan, at an exercise price equal to the initial public offering price as of the effective date of the registration statement.</w:t>
      </w:r>
    </w:p>
    <w:p>
      <w:pPr>
        <w:spacing w:after="0" w:line="178" w:lineRule="exact"/>
        <w:rPr>
          <w:rFonts w:ascii="Arial" w:cs="Arial" w:eastAsia="Arial" w:hAnsi="Arial"/>
          <w:sz w:val="18"/>
          <w:szCs w:val="18"/>
          <w:color w:val="auto"/>
        </w:rPr>
      </w:pPr>
    </w:p>
    <w:p>
      <w:pPr>
        <w:ind w:right="740" w:firstLine="584"/>
        <w:spacing w:after="0" w:line="276" w:lineRule="auto"/>
        <w:tabs>
          <w:tab w:leader="none" w:pos="8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From December 17, 2018 through January 13, 2020, we issued and sold subordinated convertible promissory notes in an aggregate principal amount of $3.8 million.</w:t>
      </w:r>
    </w:p>
    <w:p>
      <w:pPr>
        <w:spacing w:after="0" w:line="144" w:lineRule="exact"/>
        <w:rPr>
          <w:rFonts w:ascii="Arial" w:cs="Arial" w:eastAsia="Arial" w:hAnsi="Arial"/>
          <w:sz w:val="18"/>
          <w:szCs w:val="18"/>
          <w:color w:val="auto"/>
        </w:rPr>
      </w:pPr>
    </w:p>
    <w:p>
      <w:pPr>
        <w:ind w:right="640" w:firstLine="584"/>
        <w:spacing w:after="0" w:line="276" w:lineRule="auto"/>
        <w:tabs>
          <w:tab w:leader="none" w:pos="83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From October 17, 2017 to March 13, 2018, we issued and sold an aggregate of 417,797 shares of our Series A convertible preferred stock at a purchase price of $9.91 per share, for aggregate consideration of approximately $4.1 million.</w:t>
      </w:r>
    </w:p>
    <w:p>
      <w:pPr>
        <w:spacing w:after="0" w:line="144" w:lineRule="exact"/>
        <w:rPr>
          <w:rFonts w:ascii="Arial" w:cs="Arial" w:eastAsia="Arial" w:hAnsi="Arial"/>
          <w:sz w:val="18"/>
          <w:szCs w:val="18"/>
          <w:color w:val="auto"/>
        </w:rPr>
      </w:pPr>
    </w:p>
    <w:p>
      <w:pPr>
        <w:ind w:right="240" w:firstLine="584"/>
        <w:spacing w:after="0" w:line="276" w:lineRule="auto"/>
        <w:tabs>
          <w:tab w:leader="none" w:pos="8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November 2018, we issued 12,610 restricted shares of our common stock to an advisory board member as compensation for services provided to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6" w:name="page257"/>
    <w:bookmarkEnd w:id="256"/>
    <w:p>
      <w:pPr>
        <w:ind w:right="760" w:firstLine="584"/>
        <w:spacing w:after="0" w:line="276" w:lineRule="auto"/>
        <w:tabs>
          <w:tab w:leader="none" w:pos="8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512,858 shares of our Series B-1 convertible preferred stock upon conversion of approximately $4.0 million in outstanding convertible notes, at a conversion price of $7.75 per share.</w:t>
      </w:r>
    </w:p>
    <w:p>
      <w:pPr>
        <w:spacing w:after="0" w:line="144" w:lineRule="exact"/>
        <w:rPr>
          <w:rFonts w:ascii="Arial" w:cs="Arial" w:eastAsia="Arial" w:hAnsi="Arial"/>
          <w:sz w:val="18"/>
          <w:szCs w:val="18"/>
          <w:color w:val="auto"/>
        </w:rPr>
      </w:pPr>
    </w:p>
    <w:p>
      <w:pPr>
        <w:ind w:right="200" w:firstLine="584"/>
        <w:spacing w:after="0" w:line="243" w:lineRule="auto"/>
        <w:tabs>
          <w:tab w:leader="none" w:pos="79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9,372,765 shares of our Series B convertible preferred stock at a purchase price of $9.12 per share, for aggregate consideration of approximately $85.5 million. Concurrently with these issuances, we also issued and sold warrants to purchase 2,343,168 shares of our common stock at an exercise price of $0.08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173" w:lineRule="exact"/>
        <w:rPr>
          <w:rFonts w:ascii="Arial" w:cs="Arial" w:eastAsia="Arial" w:hAnsi="Arial"/>
          <w:sz w:val="18"/>
          <w:szCs w:val="18"/>
          <w:color w:val="auto"/>
        </w:rPr>
      </w:pPr>
    </w:p>
    <w:p>
      <w:pPr>
        <w:ind w:right="60" w:firstLine="584"/>
        <w:spacing w:after="0" w:line="255" w:lineRule="auto"/>
        <w:tabs>
          <w:tab w:leader="none" w:pos="8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127,481 shares of our Series B convertible preferred stock at an exercise price of $9.12 per share to JMP Securities LLC, in partial consideration for their services in connection with the sale and issuance of our Series B convertible preferred stock.</w:t>
      </w:r>
    </w:p>
    <w:p>
      <w:pPr>
        <w:spacing w:after="0" w:line="163" w:lineRule="exact"/>
        <w:rPr>
          <w:rFonts w:ascii="Arial" w:cs="Arial" w:eastAsia="Arial" w:hAnsi="Arial"/>
          <w:sz w:val="18"/>
          <w:szCs w:val="18"/>
          <w:color w:val="auto"/>
        </w:rPr>
      </w:pPr>
    </w:p>
    <w:p>
      <w:pPr>
        <w:ind w:right="20" w:firstLine="584"/>
        <w:spacing w:after="0" w:line="276" w:lineRule="auto"/>
        <w:tabs>
          <w:tab w:leader="none" w:pos="8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From May 29, 2020 to July 28, 2020, we issued an aggregate of 1,236,025 shares of our common stock upon exercise of warrants to purchase shares of our common stock, at an exercise price of $0.08 per share.</w:t>
      </w:r>
    </w:p>
    <w:p>
      <w:pPr>
        <w:spacing w:after="0" w:line="144" w:lineRule="exact"/>
        <w:rPr>
          <w:rFonts w:ascii="Arial" w:cs="Arial" w:eastAsia="Arial" w:hAnsi="Arial"/>
          <w:sz w:val="18"/>
          <w:szCs w:val="18"/>
          <w:color w:val="auto"/>
        </w:rPr>
      </w:pPr>
    </w:p>
    <w:p>
      <w:pPr>
        <w:ind w:left="800" w:hanging="216"/>
        <w:spacing w:after="0"/>
        <w:tabs>
          <w:tab w:leader="none" w:pos="8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August 26, 2020, we issued a warrant to purchase up to 6,935 shares of our common stock at an exercise price per share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$9.52.</w:t>
      </w:r>
    </w:p>
    <w:p>
      <w:pPr>
        <w:spacing w:after="0" w:line="190"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45"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Items 15(b), (c), (e), (f), (g), (h) and (i)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 15(a) and (d)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6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1680" w:type="dxa"/>
            <w:vAlign w:val="bottom"/>
            <w:tcBorders>
              <w:bottom w:val="single" w:sz="8" w:color="auto"/>
            </w:tcBorders>
          </w:tcPr>
          <w:p>
            <w:pPr>
              <w:spacing w:after="0"/>
              <w:rPr>
                <w:sz w:val="15"/>
                <w:szCs w:val="15"/>
                <w:color w:val="auto"/>
              </w:rPr>
            </w:pPr>
          </w:p>
        </w:tc>
        <w:tc>
          <w:tcPr>
            <w:tcW w:w="8220" w:type="dxa"/>
            <w:vAlign w:val="bottom"/>
            <w:tcBorders>
              <w:bottom w:val="single" w:sz="8" w:color="auto"/>
            </w:tcBorders>
            <w:gridSpan w:val="4"/>
          </w:tcPr>
          <w:p>
            <w:pPr>
              <w:ind w:left="2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35"/>
        </w:trPr>
        <w:tc>
          <w:tcPr>
            <w:tcW w:w="1340" w:type="dxa"/>
            <w:vAlign w:val="bottom"/>
          </w:tcPr>
          <w:p>
            <w:pPr>
              <w:ind w:left="100"/>
              <w:spacing w:after="0"/>
              <w:rPr>
                <w:sz w:val="20"/>
                <w:szCs w:val="20"/>
                <w:color w:val="auto"/>
              </w:rPr>
            </w:pPr>
            <w:r>
              <w:rPr>
                <w:rFonts w:ascii="Arial" w:cs="Arial" w:eastAsia="Arial" w:hAnsi="Arial"/>
                <w:sz w:val="18"/>
                <w:szCs w:val="18"/>
                <w:color w:val="auto"/>
              </w:rPr>
              <w:t>1.1**</w:t>
            </w:r>
          </w:p>
        </w:tc>
        <w:tc>
          <w:tcPr>
            <w:tcW w:w="9900" w:type="dxa"/>
            <w:vAlign w:val="bottom"/>
            <w:gridSpan w:val="5"/>
          </w:tcPr>
          <w:p>
            <w:pPr>
              <w:spacing w:after="0"/>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38"/>
        </w:trPr>
        <w:tc>
          <w:tcPr>
            <w:tcW w:w="1340" w:type="dxa"/>
            <w:vAlign w:val="bottom"/>
          </w:tcPr>
          <w:p>
            <w:pPr>
              <w:ind w:left="100"/>
              <w:spacing w:after="0"/>
              <w:rPr>
                <w:sz w:val="20"/>
                <w:szCs w:val="20"/>
                <w:color w:val="auto"/>
              </w:rPr>
            </w:pPr>
            <w:r>
              <w:rPr>
                <w:rFonts w:ascii="Arial" w:cs="Arial" w:eastAsia="Arial" w:hAnsi="Arial"/>
                <w:sz w:val="18"/>
                <w:szCs w:val="18"/>
                <w:color w:val="auto"/>
              </w:rPr>
              <w:t>3.1**</w:t>
            </w:r>
          </w:p>
        </w:tc>
        <w:tc>
          <w:tcPr>
            <w:tcW w:w="9900" w:type="dxa"/>
            <w:vAlign w:val="bottom"/>
            <w:gridSpan w:val="5"/>
          </w:tcPr>
          <w:p>
            <w:pPr>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Form of Amended and Restated Certificate of Incorporation, to be effective upon completion of the offering</w:t>
              </w:r>
            </w:hyperlink>
          </w:p>
        </w:tc>
        <w:tc>
          <w:tcPr>
            <w:tcW w:w="0" w:type="dxa"/>
            <w:vAlign w:val="bottom"/>
          </w:tcPr>
          <w:p>
            <w:pPr>
              <w:spacing w:after="0"/>
              <w:rPr>
                <w:sz w:val="1"/>
                <w:szCs w:val="1"/>
                <w:color w:val="auto"/>
              </w:rPr>
            </w:pPr>
          </w:p>
        </w:tc>
      </w:tr>
      <w:tr>
        <w:trPr>
          <w:trHeight w:val="337"/>
        </w:trPr>
        <w:tc>
          <w:tcPr>
            <w:tcW w:w="1340" w:type="dxa"/>
            <w:vAlign w:val="bottom"/>
          </w:tcPr>
          <w:p>
            <w:pPr>
              <w:ind w:left="100"/>
              <w:spacing w:after="0"/>
              <w:rPr>
                <w:sz w:val="20"/>
                <w:szCs w:val="20"/>
                <w:color w:val="auto"/>
              </w:rPr>
            </w:pPr>
            <w:r>
              <w:rPr>
                <w:rFonts w:ascii="Arial" w:cs="Arial" w:eastAsia="Arial" w:hAnsi="Arial"/>
                <w:sz w:val="18"/>
                <w:szCs w:val="18"/>
                <w:color w:val="auto"/>
              </w:rPr>
              <w:t>3.2**</w:t>
            </w:r>
          </w:p>
        </w:tc>
        <w:tc>
          <w:tcPr>
            <w:tcW w:w="9900" w:type="dxa"/>
            <w:vAlign w:val="bottom"/>
            <w:gridSpan w:val="5"/>
          </w:tcPr>
          <w:p>
            <w:pPr>
              <w:spacing w:after="0"/>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Form of Amended and Restated Bylaws, to be effective upon completion of the offering</w:t>
              </w:r>
            </w:hyperlink>
          </w:p>
        </w:tc>
        <w:tc>
          <w:tcPr>
            <w:tcW w:w="0" w:type="dxa"/>
            <w:vAlign w:val="bottom"/>
          </w:tcPr>
          <w:p>
            <w:pPr>
              <w:spacing w:after="0"/>
              <w:rPr>
                <w:sz w:val="1"/>
                <w:szCs w:val="1"/>
                <w:color w:val="auto"/>
              </w:rPr>
            </w:pPr>
          </w:p>
        </w:tc>
      </w:tr>
      <w:tr>
        <w:trPr>
          <w:trHeight w:val="338"/>
        </w:trPr>
        <w:tc>
          <w:tcPr>
            <w:tcW w:w="1340" w:type="dxa"/>
            <w:vAlign w:val="bottom"/>
          </w:tcPr>
          <w:p>
            <w:pPr>
              <w:ind w:left="100"/>
              <w:spacing w:after="0"/>
              <w:rPr>
                <w:sz w:val="20"/>
                <w:szCs w:val="20"/>
                <w:color w:val="auto"/>
              </w:rPr>
            </w:pPr>
            <w:r>
              <w:rPr>
                <w:rFonts w:ascii="Arial" w:cs="Arial" w:eastAsia="Arial" w:hAnsi="Arial"/>
                <w:sz w:val="18"/>
                <w:szCs w:val="18"/>
                <w:color w:val="auto"/>
              </w:rPr>
              <w:t>4.1</w:t>
            </w:r>
          </w:p>
        </w:tc>
        <w:tc>
          <w:tcPr>
            <w:tcW w:w="9900" w:type="dxa"/>
            <w:vAlign w:val="bottom"/>
            <w:gridSpan w:val="5"/>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Specimen Common Stock Certificate of the Registrant</w:t>
              </w:r>
            </w:hyperlink>
          </w:p>
        </w:tc>
        <w:tc>
          <w:tcPr>
            <w:tcW w:w="0" w:type="dxa"/>
            <w:vAlign w:val="bottom"/>
          </w:tcPr>
          <w:p>
            <w:pPr>
              <w:spacing w:after="0"/>
              <w:rPr>
                <w:sz w:val="1"/>
                <w:szCs w:val="1"/>
                <w:color w:val="auto"/>
              </w:rPr>
            </w:pPr>
          </w:p>
        </w:tc>
      </w:tr>
      <w:tr>
        <w:trPr>
          <w:trHeight w:val="293"/>
        </w:trPr>
        <w:tc>
          <w:tcPr>
            <w:tcW w:w="1340" w:type="dxa"/>
            <w:vAlign w:val="bottom"/>
          </w:tcPr>
          <w:p>
            <w:pPr>
              <w:ind w:left="100"/>
              <w:spacing w:after="0"/>
              <w:rPr>
                <w:sz w:val="20"/>
                <w:szCs w:val="20"/>
                <w:color w:val="auto"/>
              </w:rPr>
            </w:pPr>
            <w:r>
              <w:rPr>
                <w:rFonts w:ascii="Arial" w:cs="Arial" w:eastAsia="Arial" w:hAnsi="Arial"/>
                <w:sz w:val="18"/>
                <w:szCs w:val="18"/>
                <w:color w:val="auto"/>
              </w:rPr>
              <w:t>4.2**</w:t>
            </w:r>
          </w:p>
        </w:tc>
        <w:tc>
          <w:tcPr>
            <w:tcW w:w="9900" w:type="dxa"/>
            <w:vAlign w:val="bottom"/>
            <w:gridSpan w:val="5"/>
          </w:tcPr>
          <w:p>
            <w:pPr>
              <w:spacing w:after="0"/>
              <w:rPr>
                <w:rFonts w:ascii="Arial" w:cs="Arial" w:eastAsia="Arial" w:hAnsi="Arial"/>
                <w:sz w:val="18"/>
                <w:szCs w:val="18"/>
                <w:color w:val="0000EE"/>
              </w:rPr>
            </w:pPr>
            <w:hyperlink r:id="rId367">
              <w:r>
                <w:rPr>
                  <w:rFonts w:ascii="Arial" w:cs="Arial" w:eastAsia="Arial" w:hAnsi="Arial"/>
                  <w:sz w:val="18"/>
                  <w:szCs w:val="18"/>
                  <w:color w:val="0000EE"/>
                </w:rPr>
                <w:t>Investors’ Rights Agreement, dated May 29, 2020, as amended, by and among the Registrant and the Investors and Key</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6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r:id="rId367">
              <w:r>
                <w:rPr>
                  <w:rFonts w:ascii="Arial" w:cs="Arial" w:eastAsia="Arial" w:hAnsi="Arial"/>
                  <w:sz w:val="18"/>
                  <w:szCs w:val="18"/>
                  <w:color w:val="0000EE"/>
                  <w:w w:val="98"/>
                </w:rPr>
                <w:t>Holders party thereto</w:t>
              </w:r>
            </w:hyperlink>
          </w:p>
        </w:tc>
        <w:tc>
          <w:tcPr>
            <w:tcW w:w="7900" w:type="dxa"/>
            <w:vAlign w:val="bottom"/>
            <w:tcBorders>
              <w:top w:val="single" w:sz="8" w:color="0000EE"/>
            </w:tcBorders>
            <w:gridSpan w:val="2"/>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340" w:type="dxa"/>
            <w:vAlign w:val="bottom"/>
          </w:tcPr>
          <w:p>
            <w:pPr>
              <w:ind w:left="100"/>
              <w:spacing w:after="0"/>
              <w:rPr>
                <w:sz w:val="20"/>
                <w:szCs w:val="20"/>
                <w:color w:val="auto"/>
              </w:rPr>
            </w:pPr>
            <w:r>
              <w:rPr>
                <w:rFonts w:ascii="Arial" w:cs="Arial" w:eastAsia="Arial" w:hAnsi="Arial"/>
                <w:sz w:val="18"/>
                <w:szCs w:val="18"/>
                <w:color w:val="auto"/>
              </w:rPr>
              <w:t>4.3**</w:t>
            </w:r>
          </w:p>
        </w:tc>
        <w:tc>
          <w:tcPr>
            <w:tcW w:w="9900" w:type="dxa"/>
            <w:vAlign w:val="bottom"/>
            <w:gridSpan w:val="5"/>
          </w:tcPr>
          <w:p>
            <w:pPr>
              <w:spacing w:after="0"/>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Form of Warrant to Purchase Series B Preferred Stock</w:t>
              </w:r>
            </w:hyperlink>
          </w:p>
        </w:tc>
        <w:tc>
          <w:tcPr>
            <w:tcW w:w="0" w:type="dxa"/>
            <w:vAlign w:val="bottom"/>
          </w:tcPr>
          <w:p>
            <w:pPr>
              <w:spacing w:after="0"/>
              <w:rPr>
                <w:sz w:val="1"/>
                <w:szCs w:val="1"/>
                <w:color w:val="auto"/>
              </w:rPr>
            </w:pPr>
          </w:p>
        </w:tc>
      </w:tr>
      <w:tr>
        <w:trPr>
          <w:trHeight w:val="338"/>
        </w:trPr>
        <w:tc>
          <w:tcPr>
            <w:tcW w:w="1340" w:type="dxa"/>
            <w:vAlign w:val="bottom"/>
          </w:tcPr>
          <w:p>
            <w:pPr>
              <w:ind w:left="100"/>
              <w:spacing w:after="0"/>
              <w:rPr>
                <w:sz w:val="20"/>
                <w:szCs w:val="20"/>
                <w:color w:val="auto"/>
              </w:rPr>
            </w:pPr>
            <w:r>
              <w:rPr>
                <w:rFonts w:ascii="Arial" w:cs="Arial" w:eastAsia="Arial" w:hAnsi="Arial"/>
                <w:sz w:val="18"/>
                <w:szCs w:val="18"/>
                <w:color w:val="auto"/>
              </w:rPr>
              <w:t>4.4**</w:t>
            </w:r>
          </w:p>
        </w:tc>
        <w:tc>
          <w:tcPr>
            <w:tcW w:w="9900" w:type="dxa"/>
            <w:vAlign w:val="bottom"/>
            <w:gridSpan w:val="5"/>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Form of Warrant to Purchase Common Stock</w:t>
              </w:r>
            </w:hyperlink>
          </w:p>
        </w:tc>
        <w:tc>
          <w:tcPr>
            <w:tcW w:w="0" w:type="dxa"/>
            <w:vAlign w:val="bottom"/>
          </w:tcPr>
          <w:p>
            <w:pPr>
              <w:spacing w:after="0"/>
              <w:rPr>
                <w:sz w:val="1"/>
                <w:szCs w:val="1"/>
                <w:color w:val="auto"/>
              </w:rPr>
            </w:pPr>
          </w:p>
        </w:tc>
      </w:tr>
      <w:tr>
        <w:trPr>
          <w:trHeight w:val="338"/>
        </w:trPr>
        <w:tc>
          <w:tcPr>
            <w:tcW w:w="1340" w:type="dxa"/>
            <w:vAlign w:val="bottom"/>
          </w:tcPr>
          <w:p>
            <w:pPr>
              <w:ind w:left="100"/>
              <w:spacing w:after="0"/>
              <w:rPr>
                <w:sz w:val="20"/>
                <w:szCs w:val="20"/>
                <w:color w:val="auto"/>
              </w:rPr>
            </w:pPr>
            <w:r>
              <w:rPr>
                <w:rFonts w:ascii="Arial" w:cs="Arial" w:eastAsia="Arial" w:hAnsi="Arial"/>
                <w:sz w:val="18"/>
                <w:szCs w:val="18"/>
                <w:color w:val="auto"/>
              </w:rPr>
              <w:t>4.5**</w:t>
            </w:r>
          </w:p>
        </w:tc>
        <w:tc>
          <w:tcPr>
            <w:tcW w:w="9900" w:type="dxa"/>
            <w:vAlign w:val="bottom"/>
            <w:gridSpan w:val="5"/>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Warrant to Purchase Common Stock of the Registrant, dated April 8, 2013</w:t>
              </w:r>
            </w:hyperlink>
          </w:p>
        </w:tc>
        <w:tc>
          <w:tcPr>
            <w:tcW w:w="0" w:type="dxa"/>
            <w:vAlign w:val="bottom"/>
          </w:tcPr>
          <w:p>
            <w:pPr>
              <w:spacing w:after="0"/>
              <w:rPr>
                <w:sz w:val="1"/>
                <w:szCs w:val="1"/>
                <w:color w:val="auto"/>
              </w:rPr>
            </w:pPr>
          </w:p>
        </w:tc>
      </w:tr>
      <w:tr>
        <w:trPr>
          <w:trHeight w:val="338"/>
        </w:trPr>
        <w:tc>
          <w:tcPr>
            <w:tcW w:w="1340" w:type="dxa"/>
            <w:vAlign w:val="bottom"/>
          </w:tcPr>
          <w:p>
            <w:pPr>
              <w:ind w:left="100"/>
              <w:spacing w:after="0"/>
              <w:rPr>
                <w:sz w:val="20"/>
                <w:szCs w:val="20"/>
                <w:color w:val="auto"/>
              </w:rPr>
            </w:pPr>
            <w:r>
              <w:rPr>
                <w:rFonts w:ascii="Arial" w:cs="Arial" w:eastAsia="Arial" w:hAnsi="Arial"/>
                <w:sz w:val="18"/>
                <w:szCs w:val="18"/>
                <w:color w:val="auto"/>
              </w:rPr>
              <w:t>4.6**</w:t>
            </w:r>
          </w:p>
        </w:tc>
        <w:tc>
          <w:tcPr>
            <w:tcW w:w="9900" w:type="dxa"/>
            <w:vAlign w:val="bottom"/>
            <w:gridSpan w:val="5"/>
          </w:tcPr>
          <w:p>
            <w:pPr>
              <w:spacing w:after="0"/>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Warrant to Purchase Common Stock of the Registrant, dated August 26, 2020</w:t>
              </w:r>
            </w:hyperlink>
          </w:p>
        </w:tc>
        <w:tc>
          <w:tcPr>
            <w:tcW w:w="0" w:type="dxa"/>
            <w:vAlign w:val="bottom"/>
          </w:tcPr>
          <w:p>
            <w:pPr>
              <w:spacing w:after="0"/>
              <w:rPr>
                <w:sz w:val="1"/>
                <w:szCs w:val="1"/>
                <w:color w:val="auto"/>
              </w:rPr>
            </w:pPr>
          </w:p>
        </w:tc>
      </w:tr>
      <w:tr>
        <w:trPr>
          <w:trHeight w:val="338"/>
        </w:trPr>
        <w:tc>
          <w:tcPr>
            <w:tcW w:w="1340" w:type="dxa"/>
            <w:vAlign w:val="bottom"/>
          </w:tcPr>
          <w:p>
            <w:pPr>
              <w:ind w:left="100"/>
              <w:spacing w:after="0"/>
              <w:rPr>
                <w:sz w:val="20"/>
                <w:szCs w:val="20"/>
                <w:color w:val="auto"/>
              </w:rPr>
            </w:pPr>
            <w:r>
              <w:rPr>
                <w:rFonts w:ascii="Arial" w:cs="Arial" w:eastAsia="Arial" w:hAnsi="Arial"/>
                <w:sz w:val="18"/>
                <w:szCs w:val="18"/>
                <w:color w:val="auto"/>
              </w:rPr>
              <w:t>5.1</w:t>
            </w:r>
          </w:p>
        </w:tc>
        <w:tc>
          <w:tcPr>
            <w:tcW w:w="9900" w:type="dxa"/>
            <w:vAlign w:val="bottom"/>
            <w:gridSpan w:val="5"/>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5"/>
          </w:tcPr>
          <w:p>
            <w:pPr>
              <w:spacing w:after="0"/>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10.2+**</w:t>
            </w:r>
          </w:p>
        </w:tc>
        <w:tc>
          <w:tcPr>
            <w:tcW w:w="9900" w:type="dxa"/>
            <w:vAlign w:val="bottom"/>
            <w:gridSpan w:val="5"/>
          </w:tcPr>
          <w:p>
            <w:pPr>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2014 Equity Incentive Plan, as amended</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10.3+**</w:t>
            </w:r>
          </w:p>
        </w:tc>
        <w:tc>
          <w:tcPr>
            <w:tcW w:w="9900" w:type="dxa"/>
            <w:vAlign w:val="bottom"/>
            <w:gridSpan w:val="5"/>
          </w:tcPr>
          <w:p>
            <w:pPr>
              <w:spacing w:after="0"/>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Form of Stock Option Agreement under the 2014 Equity Incentive Plan</w:t>
              </w:r>
            </w:hyperlink>
          </w:p>
        </w:tc>
        <w:tc>
          <w:tcPr>
            <w:tcW w:w="0" w:type="dxa"/>
            <w:vAlign w:val="bottom"/>
          </w:tcPr>
          <w:p>
            <w:pPr>
              <w:spacing w:after="0"/>
              <w:rPr>
                <w:sz w:val="1"/>
                <w:szCs w:val="1"/>
                <w:color w:val="auto"/>
              </w:rPr>
            </w:pPr>
          </w:p>
        </w:tc>
      </w:tr>
      <w:tr>
        <w:trPr>
          <w:trHeight w:val="337"/>
        </w:trPr>
        <w:tc>
          <w:tcPr>
            <w:tcW w:w="1340" w:type="dxa"/>
            <w:vAlign w:val="bottom"/>
          </w:tcPr>
          <w:p>
            <w:pPr>
              <w:spacing w:after="0"/>
              <w:rPr>
                <w:sz w:val="20"/>
                <w:szCs w:val="20"/>
                <w:color w:val="auto"/>
              </w:rPr>
            </w:pPr>
            <w:r>
              <w:rPr>
                <w:rFonts w:ascii="Arial" w:cs="Arial" w:eastAsia="Arial" w:hAnsi="Arial"/>
                <w:sz w:val="18"/>
                <w:szCs w:val="18"/>
                <w:color w:val="auto"/>
              </w:rPr>
              <w:t>10.4+**</w:t>
            </w:r>
          </w:p>
        </w:tc>
        <w:tc>
          <w:tcPr>
            <w:tcW w:w="9900" w:type="dxa"/>
            <w:vAlign w:val="bottom"/>
            <w:gridSpan w:val="5"/>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Form of Restricted Share Award under the 2014 Equity Incentive Plan</w:t>
              </w:r>
            </w:hyperlink>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10.5+**</w:t>
            </w:r>
          </w:p>
        </w:tc>
        <w:tc>
          <w:tcPr>
            <w:tcW w:w="9900" w:type="dxa"/>
            <w:vAlign w:val="bottom"/>
            <w:gridSpan w:val="5"/>
          </w:tcPr>
          <w:p>
            <w:pPr>
              <w:spacing w:after="0"/>
              <w:rPr>
                <w:rFonts w:ascii="Arial" w:cs="Arial" w:eastAsia="Arial" w:hAnsi="Arial"/>
                <w:sz w:val="18"/>
                <w:szCs w:val="18"/>
                <w:u w:val="single" w:color="auto"/>
                <w:color w:val="0000EE"/>
              </w:rPr>
            </w:pPr>
            <w:hyperlink r:id="rId376">
              <w:r>
                <w:rPr>
                  <w:rFonts w:ascii="Arial" w:cs="Arial" w:eastAsia="Arial" w:hAnsi="Arial"/>
                  <w:sz w:val="18"/>
                  <w:szCs w:val="18"/>
                  <w:u w:val="single" w:color="auto"/>
                  <w:color w:val="0000EE"/>
                </w:rPr>
                <w:t>2020 Equity Incentive Plan</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10.6+**</w:t>
            </w:r>
          </w:p>
        </w:tc>
        <w:tc>
          <w:tcPr>
            <w:tcW w:w="9900" w:type="dxa"/>
            <w:vAlign w:val="bottom"/>
            <w:gridSpan w:val="5"/>
          </w:tcPr>
          <w:p>
            <w:pPr>
              <w:spacing w:after="0"/>
              <w:rPr>
                <w:rFonts w:ascii="Arial" w:cs="Arial" w:eastAsia="Arial" w:hAnsi="Arial"/>
                <w:sz w:val="18"/>
                <w:szCs w:val="18"/>
                <w:u w:val="single" w:color="auto"/>
                <w:color w:val="0000EE"/>
              </w:rPr>
            </w:pPr>
            <w:hyperlink r:id="rId377">
              <w:r>
                <w:rPr>
                  <w:rFonts w:ascii="Arial" w:cs="Arial" w:eastAsia="Arial" w:hAnsi="Arial"/>
                  <w:sz w:val="18"/>
                  <w:szCs w:val="18"/>
                  <w:u w:val="single" w:color="auto"/>
                  <w:color w:val="0000EE"/>
                </w:rPr>
                <w:t>Form of Stock Option Agreement under the 2020 Equity Incentive Plan</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10.7+**</w:t>
            </w:r>
          </w:p>
        </w:tc>
        <w:tc>
          <w:tcPr>
            <w:tcW w:w="9900" w:type="dxa"/>
            <w:vAlign w:val="bottom"/>
            <w:gridSpan w:val="5"/>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Form of Restricted Stock Award Agreement under the 2020 Equity Incentive Plan</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10.8+**</w:t>
            </w:r>
          </w:p>
        </w:tc>
        <w:tc>
          <w:tcPr>
            <w:tcW w:w="9900" w:type="dxa"/>
            <w:vAlign w:val="bottom"/>
            <w:gridSpan w:val="5"/>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Form of RSU Agreement under the 2020 Equity Incentive Plan</w:t>
              </w:r>
            </w:hyperlink>
          </w:p>
        </w:tc>
        <w:tc>
          <w:tcPr>
            <w:tcW w:w="0" w:type="dxa"/>
            <w:vAlign w:val="bottom"/>
          </w:tcPr>
          <w:p>
            <w:pPr>
              <w:spacing w:after="0"/>
              <w:rPr>
                <w:sz w:val="1"/>
                <w:szCs w:val="1"/>
                <w:color w:val="auto"/>
              </w:rPr>
            </w:pPr>
          </w:p>
        </w:tc>
      </w:tr>
      <w:tr>
        <w:trPr>
          <w:trHeight w:val="280"/>
        </w:trPr>
        <w:tc>
          <w:tcPr>
            <w:tcW w:w="1340" w:type="dxa"/>
            <w:vAlign w:val="bottom"/>
            <w:vMerge w:val="restart"/>
          </w:tcPr>
          <w:p>
            <w:pPr>
              <w:spacing w:after="0"/>
              <w:rPr>
                <w:sz w:val="20"/>
                <w:szCs w:val="20"/>
                <w:color w:val="auto"/>
              </w:rPr>
            </w:pPr>
            <w:r>
              <w:rPr>
                <w:rFonts w:ascii="Arial" w:cs="Arial" w:eastAsia="Arial" w:hAnsi="Arial"/>
                <w:sz w:val="18"/>
                <w:szCs w:val="18"/>
                <w:color w:val="auto"/>
              </w:rPr>
              <w:t>10.9**†</w:t>
            </w:r>
          </w:p>
        </w:tc>
        <w:tc>
          <w:tcPr>
            <w:tcW w:w="9900" w:type="dxa"/>
            <w:vAlign w:val="bottom"/>
            <w:gridSpan w:val="5"/>
          </w:tcPr>
          <w:p>
            <w:pPr>
              <w:spacing w:after="0"/>
              <w:rPr>
                <w:rFonts w:ascii="Arial" w:cs="Arial" w:eastAsia="Arial" w:hAnsi="Arial"/>
                <w:sz w:val="18"/>
                <w:szCs w:val="18"/>
                <w:color w:val="0000EE"/>
              </w:rPr>
            </w:pPr>
            <w:hyperlink r:id="rId380">
              <w:r>
                <w:rPr>
                  <w:rFonts w:ascii="Arial" w:cs="Arial" w:eastAsia="Arial" w:hAnsi="Arial"/>
                  <w:sz w:val="18"/>
                  <w:szCs w:val="18"/>
                  <w:color w:val="0000EE"/>
                </w:rPr>
                <w:t>Amended and Restated Standard Exclusive Licensing Agreement with Sublicensing Terms, dated October 28, 2015, by and</w:t>
              </w:r>
            </w:hyperlink>
          </w:p>
        </w:tc>
        <w:tc>
          <w:tcPr>
            <w:tcW w:w="0" w:type="dxa"/>
            <w:vAlign w:val="bottom"/>
          </w:tcPr>
          <w:p>
            <w:pPr>
              <w:spacing w:after="0"/>
              <w:rPr>
                <w:sz w:val="1"/>
                <w:szCs w:val="1"/>
                <w:color w:val="auto"/>
              </w:rPr>
            </w:pPr>
          </w:p>
        </w:tc>
      </w:tr>
      <w:tr>
        <w:trPr>
          <w:trHeight w:val="119"/>
        </w:trPr>
        <w:tc>
          <w:tcPr>
            <w:tcW w:w="1340" w:type="dxa"/>
            <w:vAlign w:val="bottom"/>
            <w:vMerge w:val="continue"/>
          </w:tcPr>
          <w:p>
            <w:pPr>
              <w:spacing w:after="0"/>
              <w:rPr>
                <w:sz w:val="10"/>
                <w:szCs w:val="10"/>
                <w:color w:val="auto"/>
              </w:rPr>
            </w:pPr>
          </w:p>
        </w:tc>
        <w:tc>
          <w:tcPr>
            <w:tcW w:w="9760" w:type="dxa"/>
            <w:vAlign w:val="bottom"/>
            <w:tcBorders>
              <w:top w:val="single" w:sz="8" w:color="0000EE"/>
            </w:tcBorders>
            <w:gridSpan w:val="4"/>
            <w:vMerge w:val="restart"/>
          </w:tcPr>
          <w:p>
            <w:pPr>
              <w:spacing w:after="0" w:line="182" w:lineRule="exact"/>
              <w:rPr>
                <w:rFonts w:ascii="Arial" w:cs="Arial" w:eastAsia="Arial" w:hAnsi="Arial"/>
                <w:sz w:val="18"/>
                <w:szCs w:val="18"/>
                <w:color w:val="0000EE"/>
              </w:rPr>
            </w:pPr>
            <w:hyperlink r:id="rId380">
              <w:r>
                <w:rPr>
                  <w:rFonts w:ascii="Arial" w:cs="Arial" w:eastAsia="Arial" w:hAnsi="Arial"/>
                  <w:sz w:val="18"/>
                  <w:szCs w:val="18"/>
                  <w:color w:val="0000EE"/>
                </w:rPr>
                <w:t>between the Registrant and Washington State University, and amendments thereto</w:t>
              </w:r>
            </w:hyperlink>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40" w:type="dxa"/>
            <w:vAlign w:val="bottom"/>
          </w:tcPr>
          <w:p>
            <w:pPr>
              <w:spacing w:after="0"/>
              <w:rPr>
                <w:sz w:val="5"/>
                <w:szCs w:val="5"/>
                <w:color w:val="auto"/>
              </w:rPr>
            </w:pPr>
          </w:p>
        </w:tc>
        <w:tc>
          <w:tcPr>
            <w:tcW w:w="9760" w:type="dxa"/>
            <w:vAlign w:val="bottom"/>
            <w:gridSpan w:val="4"/>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520" w:type="dxa"/>
            <w:vAlign w:val="bottom"/>
            <w:gridSpan w:val="2"/>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340" w:type="dxa"/>
            <w:vAlign w:val="bottom"/>
          </w:tcPr>
          <w:p>
            <w:pPr>
              <w:spacing w:after="0"/>
              <w:rPr>
                <w:sz w:val="20"/>
                <w:szCs w:val="20"/>
                <w:color w:val="auto"/>
              </w:rPr>
            </w:pPr>
            <w:r>
              <w:rPr>
                <w:rFonts w:ascii="Arial" w:cs="Arial" w:eastAsia="Arial" w:hAnsi="Arial"/>
                <w:sz w:val="18"/>
                <w:szCs w:val="18"/>
                <w:color w:val="auto"/>
              </w:rPr>
              <w:t>10.10+**</w:t>
            </w:r>
          </w:p>
        </w:tc>
        <w:tc>
          <w:tcPr>
            <w:tcW w:w="9900" w:type="dxa"/>
            <w:vAlign w:val="bottom"/>
            <w:gridSpan w:val="5"/>
          </w:tcPr>
          <w:p>
            <w:pPr>
              <w:spacing w:after="0"/>
              <w:rPr>
                <w:rFonts w:ascii="Arial" w:cs="Arial" w:eastAsia="Arial" w:hAnsi="Arial"/>
                <w:sz w:val="18"/>
                <w:szCs w:val="18"/>
                <w:u w:val="single" w:color="auto"/>
                <w:color w:val="0000EE"/>
              </w:rPr>
            </w:pPr>
            <w:hyperlink r:id="rId381">
              <w:r>
                <w:rPr>
                  <w:rFonts w:ascii="Arial" w:cs="Arial" w:eastAsia="Arial" w:hAnsi="Arial"/>
                  <w:sz w:val="18"/>
                  <w:szCs w:val="18"/>
                  <w:u w:val="single" w:color="auto"/>
                  <w:color w:val="0000EE"/>
                </w:rPr>
                <w:t>2020 Employee Stock Purchase Plan and Form of Subscription Agreement Thereunder.</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10.11**</w:t>
            </w:r>
          </w:p>
        </w:tc>
        <w:tc>
          <w:tcPr>
            <w:tcW w:w="9900" w:type="dxa"/>
            <w:vAlign w:val="bottom"/>
            <w:gridSpan w:val="5"/>
          </w:tcPr>
          <w:p>
            <w:pPr>
              <w:spacing w:after="0"/>
              <w:rPr>
                <w:rFonts w:ascii="Arial" w:cs="Arial" w:eastAsia="Arial" w:hAnsi="Arial"/>
                <w:sz w:val="18"/>
                <w:szCs w:val="18"/>
                <w:u w:val="single" w:color="auto"/>
                <w:color w:val="0000EE"/>
              </w:rPr>
            </w:pPr>
            <w:hyperlink r:id="rId382">
              <w:r>
                <w:rPr>
                  <w:rFonts w:ascii="Arial" w:cs="Arial" w:eastAsia="Arial" w:hAnsi="Arial"/>
                  <w:sz w:val="18"/>
                  <w:szCs w:val="18"/>
                  <w:u w:val="single" w:color="auto"/>
                  <w:color w:val="0000EE"/>
                </w:rPr>
                <w:t>Lease agreement, dated July 20, 2020, by and between the Registrant and North Creek Parkway Center Investors, LP</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gridSpan w:val="5"/>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Outside Director Compensation Policy</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gridSpan w:val="5"/>
          </w:tcPr>
          <w:p>
            <w:pPr>
              <w:spacing w:after="0"/>
              <w:rPr>
                <w:rFonts w:ascii="Arial" w:cs="Arial" w:eastAsia="Arial" w:hAnsi="Arial"/>
                <w:sz w:val="18"/>
                <w:szCs w:val="18"/>
                <w:u w:val="single" w:color="auto"/>
                <w:color w:val="0000EE"/>
              </w:rPr>
            </w:pPr>
            <w:hyperlink r:id="rId384">
              <w:r>
                <w:rPr>
                  <w:rFonts w:ascii="Arial" w:cs="Arial" w:eastAsia="Arial" w:hAnsi="Arial"/>
                  <w:sz w:val="18"/>
                  <w:szCs w:val="18"/>
                  <w:u w:val="single" w:color="auto"/>
                  <w:color w:val="0000EE"/>
                </w:rPr>
                <w:t>Executive Incentive Compensation Plan</w:t>
              </w:r>
            </w:hyperlink>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10.14+**</w:t>
            </w:r>
          </w:p>
        </w:tc>
        <w:tc>
          <w:tcPr>
            <w:tcW w:w="9900" w:type="dxa"/>
            <w:vAlign w:val="bottom"/>
            <w:gridSpan w:val="5"/>
          </w:tcPr>
          <w:p>
            <w:pPr>
              <w:spacing w:after="0"/>
              <w:rPr>
                <w:rFonts w:ascii="Arial" w:cs="Arial" w:eastAsia="Arial" w:hAnsi="Arial"/>
                <w:sz w:val="18"/>
                <w:szCs w:val="18"/>
                <w:u w:val="single" w:color="auto"/>
                <w:color w:val="0000EE"/>
              </w:rPr>
            </w:pPr>
            <w:hyperlink r:id="rId385">
              <w:r>
                <w:rPr>
                  <w:rFonts w:ascii="Arial" w:cs="Arial" w:eastAsia="Arial" w:hAnsi="Arial"/>
                  <w:sz w:val="18"/>
                  <w:szCs w:val="18"/>
                  <w:u w:val="single" w:color="auto"/>
                  <w:color w:val="0000EE"/>
                </w:rPr>
                <w:t>Confirmatory Employment Letter between the Registrant and Leen Kawas, Ph.D.</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10.15+**</w:t>
            </w:r>
          </w:p>
        </w:tc>
        <w:tc>
          <w:tcPr>
            <w:tcW w:w="9900" w:type="dxa"/>
            <w:vAlign w:val="bottom"/>
            <w:gridSpan w:val="5"/>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Confirmatory Employment Letter between the Registrant and Mark Litton, Ph.D.</w:t>
              </w:r>
            </w:hyperlink>
          </w:p>
        </w:tc>
        <w:tc>
          <w:tcPr>
            <w:tcW w:w="0" w:type="dxa"/>
            <w:vAlign w:val="bottom"/>
          </w:tcPr>
          <w:p>
            <w:pPr>
              <w:spacing w:after="0"/>
              <w:rPr>
                <w:sz w:val="1"/>
                <w:szCs w:val="1"/>
                <w:color w:val="auto"/>
              </w:rPr>
            </w:pPr>
          </w:p>
        </w:tc>
      </w:tr>
      <w:tr>
        <w:trPr>
          <w:trHeight w:val="337"/>
        </w:trPr>
        <w:tc>
          <w:tcPr>
            <w:tcW w:w="1340" w:type="dxa"/>
            <w:vAlign w:val="bottom"/>
          </w:tcPr>
          <w:p>
            <w:pPr>
              <w:spacing w:after="0"/>
              <w:rPr>
                <w:sz w:val="20"/>
                <w:szCs w:val="20"/>
                <w:color w:val="auto"/>
              </w:rPr>
            </w:pPr>
            <w:r>
              <w:rPr>
                <w:rFonts w:ascii="Arial" w:cs="Arial" w:eastAsia="Arial" w:hAnsi="Arial"/>
                <w:sz w:val="18"/>
                <w:szCs w:val="18"/>
                <w:color w:val="auto"/>
              </w:rPr>
              <w:t>10.16+**</w:t>
            </w:r>
          </w:p>
        </w:tc>
        <w:tc>
          <w:tcPr>
            <w:tcW w:w="9900" w:type="dxa"/>
            <w:vAlign w:val="bottom"/>
            <w:gridSpan w:val="5"/>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Confirmatory Employment Letter between the Registrant and Kevin Church, Ph.D.</w:t>
              </w:r>
            </w:hyperlink>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9900" w:type="dxa"/>
            <w:vAlign w:val="bottom"/>
            <w:gridSpan w:val="5"/>
          </w:tcPr>
          <w:p>
            <w:pPr>
              <w:spacing w:after="0"/>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Confirmatory Employment Letter between the Registrant and Glenna Mileson</w:t>
              </w:r>
            </w:hyperlink>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7960" w:type="dxa"/>
            <w:vAlign w:val="bottom"/>
          </w:tcPr>
          <w:p>
            <w:pPr>
              <w:ind w:left="320"/>
              <w:spacing w:after="0"/>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Change in Control and Severance Agreement between the Registrant and Leen Kawas, Ph.D.</w:t>
              </w:r>
            </w:hyperlink>
          </w:p>
        </w:tc>
      </w:tr>
      <w:tr>
        <w:trPr>
          <w:trHeight w:val="337"/>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7960" w:type="dxa"/>
            <w:vAlign w:val="bottom"/>
          </w:tcPr>
          <w:p>
            <w:pPr>
              <w:ind w:left="320"/>
              <w:spacing w:after="0"/>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Change in Control and Severance Agreement between the Registrant and Mark Litton, Ph.D.</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7960" w:type="dxa"/>
            <w:vAlign w:val="bottom"/>
          </w:tcPr>
          <w:p>
            <w:pPr>
              <w:ind w:left="320"/>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Change in Control and Severance Agreement between the Registrant and Glenna Mileson</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7960" w:type="dxa"/>
            <w:vAlign w:val="bottom"/>
          </w:tcPr>
          <w:p>
            <w:pPr>
              <w:ind w:left="320"/>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Employment Offer Letter between the Registrant and Hans Moebius, Ph.D.</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7960" w:type="dxa"/>
            <w:vAlign w:val="bottom"/>
          </w:tcPr>
          <w:p>
            <w:pPr>
              <w:ind w:left="320"/>
              <w:spacing w:after="0"/>
              <w:rPr>
                <w:rFonts w:ascii="Arial" w:cs="Arial" w:eastAsia="Arial" w:hAnsi="Arial"/>
                <w:sz w:val="18"/>
                <w:szCs w:val="18"/>
                <w:u w:val="single" w:color="auto"/>
                <w:color w:val="0000EE"/>
                <w:w w:val="99"/>
              </w:rPr>
            </w:pPr>
            <w:hyperlink w:anchor="page273">
              <w:r>
                <w:rPr>
                  <w:rFonts w:ascii="Arial" w:cs="Arial" w:eastAsia="Arial" w:hAnsi="Arial"/>
                  <w:sz w:val="18"/>
                  <w:szCs w:val="18"/>
                  <w:u w:val="single" w:color="auto"/>
                  <w:color w:val="0000EE"/>
                  <w:w w:val="99"/>
                </w:rPr>
                <w:t>Change in Control and Severance Agreement between the Registrant and Hans Moebius, Ph.D.</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7960" w:type="dxa"/>
            <w:vAlign w:val="bottom"/>
          </w:tcPr>
          <w:p>
            <w:pPr>
              <w:ind w:left="320"/>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List of subsidiaries of the Registrant</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7960" w:type="dxa"/>
            <w:vAlign w:val="bottom"/>
          </w:tcPr>
          <w:p>
            <w:pPr>
              <w:ind w:left="320"/>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Consent of Ernst and Young, LLP, Independent Registered Public Accounting Firm</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7960" w:type="dxa"/>
            <w:vAlign w:val="bottom"/>
          </w:tcPr>
          <w:p>
            <w:pPr>
              <w:ind w:left="320"/>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Consent of Wilson Sonsini Goodrich &amp; Rosati, Professional Corporation (included in Exhibit 5.1)</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7960" w:type="dxa"/>
            <w:vAlign w:val="bottom"/>
          </w:tcPr>
          <w:p>
            <w:pPr>
              <w:ind w:left="320"/>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34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2" w:lineRule="exact"/>
        <w:rPr>
          <w:sz w:val="20"/>
          <w:szCs w:val="20"/>
          <w:color w:val="auto"/>
        </w:rPr>
      </w:pPr>
    </w:p>
    <w:p>
      <w:pPr>
        <w:ind w:left="480" w:hanging="472"/>
        <w:spacing w:after="0"/>
        <w:tabs>
          <w:tab w:leader="none" w:pos="4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2" w:lineRule="exact"/>
        <w:rPr>
          <w:sz w:val="20"/>
          <w:szCs w:val="20"/>
          <w:color w:val="auto"/>
        </w:rPr>
      </w:pPr>
    </w:p>
    <w:p>
      <w:pPr>
        <w:ind w:left="480" w:right="300" w:hanging="472"/>
        <w:spacing w:after="0" w:line="271" w:lineRule="auto"/>
        <w:tabs>
          <w:tab w:leader="none" w:pos="48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1" w:lineRule="exact"/>
        <w:rPr>
          <w:sz w:val="20"/>
          <w:szCs w:val="20"/>
          <w:color w:val="auto"/>
        </w:rPr>
      </w:pPr>
    </w:p>
    <w:p>
      <w:pPr>
        <w:ind w:left="480" w:hanging="472"/>
        <w:spacing w:after="0"/>
        <w:tabs>
          <w:tab w:leader="none" w:pos="4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t>Item 17. Undertakings.</w:t>
      </w:r>
    </w:p>
    <w:p>
      <w:pPr>
        <w:spacing w:after="0" w:line="10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000" w:hanging="425"/>
        <w:spacing w:after="0" w:line="248" w:lineRule="auto"/>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62" w:lineRule="exact"/>
        <w:rPr>
          <w:rFonts w:ascii="Arial" w:cs="Arial" w:eastAsia="Arial" w:hAnsi="Arial"/>
          <w:sz w:val="18"/>
          <w:szCs w:val="18"/>
          <w:color w:val="auto"/>
        </w:rPr>
      </w:pPr>
    </w:p>
    <w:p>
      <w:pPr>
        <w:ind w:left="1000" w:right="100" w:hanging="425"/>
        <w:spacing w:after="0" w:line="255" w:lineRule="auto"/>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Seattle, State of Washington, on September 14, 2020.</w:t>
      </w:r>
    </w:p>
    <w:p>
      <w:pPr>
        <w:spacing w:after="0" w:line="14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ind w:left="6300"/>
        <w:spacing w:after="0"/>
        <w:tabs>
          <w:tab w:leader="none" w:pos="6760" w:val="left"/>
        </w:tabs>
        <w:rPr>
          <w:sz w:val="20"/>
          <w:szCs w:val="20"/>
          <w:color w:val="auto"/>
        </w:rPr>
      </w:pPr>
      <w:r>
        <w:rPr>
          <w:rFonts w:ascii="Arial" w:cs="Arial" w:eastAsia="Arial" w:hAnsi="Arial"/>
          <w:sz w:val="18"/>
          <w:szCs w:val="18"/>
          <w:color w:val="auto"/>
        </w:rPr>
        <w:t>By:</w:t>
        <w:tab/>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20320</wp:posOffset>
            </wp:positionV>
            <wp:extent cx="28289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Leen Kawas</w:t>
      </w:r>
    </w:p>
    <w:p>
      <w:pPr>
        <w:spacing w:after="0" w:line="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17"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0" w:type="dxa"/>
            <w:vAlign w:val="bottom"/>
          </w:tcPr>
          <w:p>
            <w:pPr>
              <w:spacing w:after="0"/>
              <w:rPr>
                <w:sz w:val="17"/>
                <w:szCs w:val="17"/>
                <w:color w:val="auto"/>
              </w:rPr>
            </w:pPr>
          </w:p>
        </w:tc>
        <w:tc>
          <w:tcPr>
            <w:tcW w:w="2660" w:type="dxa"/>
            <w:vAlign w:val="bottom"/>
          </w:tcPr>
          <w:p>
            <w:pPr>
              <w:jc w:val="center"/>
              <w:ind w:right="471"/>
              <w:spacing w:after="0"/>
              <w:rPr>
                <w:sz w:val="20"/>
                <w:szCs w:val="20"/>
                <w:color w:val="auto"/>
              </w:rPr>
            </w:pPr>
            <w:r>
              <w:rPr>
                <w:rFonts w:ascii="Arial" w:cs="Arial" w:eastAsia="Arial" w:hAnsi="Arial"/>
                <w:sz w:val="14"/>
                <w:szCs w:val="14"/>
                <w:b w:val="1"/>
                <w:bCs w:val="1"/>
                <w:color w:val="auto"/>
              </w:rPr>
              <w:t>Signature</w:t>
            </w:r>
          </w:p>
        </w:tc>
        <w:tc>
          <w:tcPr>
            <w:tcW w:w="508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c>
          <w:tcPr>
            <w:tcW w:w="2940" w:type="dxa"/>
            <w:vAlign w:val="bottom"/>
          </w:tcPr>
          <w:p>
            <w:pPr>
              <w:jc w:val="center"/>
              <w:ind w:left="1213"/>
              <w:spacing w:after="0"/>
              <w:rPr>
                <w:sz w:val="20"/>
                <w:szCs w:val="20"/>
                <w:color w:val="auto"/>
              </w:rPr>
            </w:pPr>
            <w:r>
              <w:rPr>
                <w:rFonts w:ascii="Arial" w:cs="Arial" w:eastAsia="Arial" w:hAnsi="Arial"/>
                <w:sz w:val="14"/>
                <w:szCs w:val="14"/>
                <w:b w:val="1"/>
                <w:bCs w:val="1"/>
                <w:color w:val="auto"/>
              </w:rPr>
              <w:t>Date</w:t>
            </w:r>
          </w:p>
        </w:tc>
      </w:tr>
      <w:tr>
        <w:trPr>
          <w:trHeight w:val="313"/>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99"/>
              </w:rPr>
              <w:t>/s/ Leen Kawas</w:t>
            </w:r>
          </w:p>
        </w:tc>
        <w:tc>
          <w:tcPr>
            <w:tcW w:w="5080" w:type="dxa"/>
            <w:vAlign w:val="bottom"/>
          </w:tcPr>
          <w:p>
            <w:pPr>
              <w:ind w:left="60"/>
              <w:spacing w:after="0"/>
              <w:rPr>
                <w:sz w:val="20"/>
                <w:szCs w:val="20"/>
                <w:color w:val="auto"/>
              </w:rPr>
            </w:pPr>
            <w:r>
              <w:rPr>
                <w:rFonts w:ascii="Arial" w:cs="Arial" w:eastAsia="Arial" w:hAnsi="Arial"/>
                <w:sz w:val="18"/>
                <w:szCs w:val="18"/>
                <w:color w:val="auto"/>
              </w:rPr>
              <w:t>President, Chief Executive Officer and 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14,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w w:val="98"/>
              </w:rPr>
              <w:t>Leen Kawas</w:t>
            </w:r>
          </w:p>
        </w:tc>
        <w:tc>
          <w:tcPr>
            <w:tcW w:w="508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rPr>
              <w:t>/s/ Glenna Mileson</w:t>
            </w:r>
          </w:p>
        </w:tc>
        <w:tc>
          <w:tcPr>
            <w:tcW w:w="508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14,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rPr>
              <w:t>Glenna Mileson</w:t>
            </w:r>
          </w:p>
        </w:tc>
        <w:tc>
          <w:tcPr>
            <w:tcW w:w="508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14,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51"/>
              <w:spacing w:after="0"/>
              <w:rPr>
                <w:sz w:val="20"/>
                <w:szCs w:val="20"/>
                <w:color w:val="auto"/>
              </w:rPr>
            </w:pPr>
            <w:r>
              <w:rPr>
                <w:rFonts w:ascii="Arial" w:cs="Arial" w:eastAsia="Arial" w:hAnsi="Arial"/>
                <w:sz w:val="18"/>
                <w:szCs w:val="18"/>
                <w:color w:val="auto"/>
                <w:w w:val="97"/>
              </w:rPr>
              <w:t>Tadataka Yamada</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14,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w w:val="99"/>
              </w:rPr>
              <w:t>Joseph Edelman</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14,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w w:val="99"/>
              </w:rPr>
              <w:t>John M. Fluke, Jr.</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14,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51"/>
              <w:spacing w:after="0"/>
              <w:rPr>
                <w:sz w:val="20"/>
                <w:szCs w:val="20"/>
                <w:color w:val="auto"/>
              </w:rPr>
            </w:pPr>
            <w:r>
              <w:rPr>
                <w:rFonts w:ascii="Arial" w:cs="Arial" w:eastAsia="Arial" w:hAnsi="Arial"/>
                <w:sz w:val="18"/>
                <w:szCs w:val="18"/>
                <w:color w:val="auto"/>
                <w:w w:val="99"/>
              </w:rPr>
              <w:t>James A. Johnson</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621"/>
        </w:trPr>
        <w:tc>
          <w:tcPr>
            <w:tcW w:w="560" w:type="dxa"/>
            <w:vAlign w:val="bottom"/>
          </w:tcPr>
          <w:p>
            <w:pPr>
              <w:ind w:left="120"/>
              <w:spacing w:after="0"/>
              <w:rPr>
                <w:sz w:val="20"/>
                <w:szCs w:val="20"/>
                <w:color w:val="auto"/>
              </w:rPr>
            </w:pPr>
            <w:r>
              <w:rPr>
                <w:rFonts w:ascii="Arial" w:cs="Arial" w:eastAsia="Arial" w:hAnsi="Arial"/>
                <w:sz w:val="18"/>
                <w:szCs w:val="18"/>
                <w:color w:val="auto"/>
              </w:rPr>
              <w:t>*By:</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Leen Kawas</w:t>
            </w:r>
          </w:p>
        </w:tc>
        <w:tc>
          <w:tcPr>
            <w:tcW w:w="50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89"/>
        </w:trPr>
        <w:tc>
          <w:tcPr>
            <w:tcW w:w="560" w:type="dxa"/>
            <w:vAlign w:val="bottom"/>
          </w:tcPr>
          <w:p>
            <w:pPr>
              <w:spacing w:after="0"/>
              <w:rPr>
                <w:sz w:val="16"/>
                <w:szCs w:val="16"/>
                <w:color w:val="auto"/>
              </w:rPr>
            </w:pPr>
          </w:p>
        </w:tc>
        <w:tc>
          <w:tcPr>
            <w:tcW w:w="2660" w:type="dxa"/>
            <w:vAlign w:val="bottom"/>
          </w:tcPr>
          <w:p>
            <w:pPr>
              <w:jc w:val="center"/>
              <w:spacing w:after="0" w:line="189" w:lineRule="exact"/>
              <w:rPr>
                <w:sz w:val="20"/>
                <w:szCs w:val="20"/>
                <w:color w:val="auto"/>
              </w:rPr>
            </w:pPr>
            <w:r>
              <w:rPr>
                <w:rFonts w:ascii="Arial" w:cs="Arial" w:eastAsia="Arial" w:hAnsi="Arial"/>
                <w:sz w:val="18"/>
                <w:szCs w:val="18"/>
                <w:color w:val="auto"/>
                <w:w w:val="98"/>
              </w:rPr>
              <w:t>Leen Kawas</w:t>
            </w:r>
          </w:p>
        </w:tc>
        <w:tc>
          <w:tcPr>
            <w:tcW w:w="50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241"/>
        </w:trPr>
        <w:tc>
          <w:tcPr>
            <w:tcW w:w="56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i w:val="1"/>
                <w:iCs w:val="1"/>
                <w:color w:val="auto"/>
                <w:w w:val="99"/>
              </w:rPr>
              <w:t>Attorney-in-fact</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648"/>
        </w:trPr>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80" w:type="dxa"/>
            <w:vAlign w:val="bottom"/>
          </w:tcPr>
          <w:p>
            <w:pPr>
              <w:ind w:left="2280"/>
              <w:spacing w:after="0"/>
              <w:rPr>
                <w:sz w:val="20"/>
                <w:szCs w:val="20"/>
                <w:color w:val="auto"/>
              </w:rPr>
            </w:pPr>
            <w:r>
              <w:rPr>
                <w:rFonts w:ascii="Arial" w:cs="Arial" w:eastAsia="Arial" w:hAnsi="Arial"/>
                <w:sz w:val="18"/>
                <w:szCs w:val="18"/>
                <w:color w:val="auto"/>
              </w:rPr>
              <w:t>II-7</w:t>
            </w:r>
          </w:p>
        </w:tc>
        <w:tc>
          <w:tcPr>
            <w:tcW w:w="2940" w:type="dxa"/>
            <w:vAlign w:val="bottom"/>
          </w:tcPr>
          <w:p>
            <w:pPr>
              <w:spacing w:after="0"/>
              <w:rPr>
                <w:sz w:val="24"/>
                <w:szCs w:val="24"/>
                <w:color w:val="auto"/>
              </w:rPr>
            </w:pPr>
          </w:p>
        </w:tc>
      </w:tr>
    </w:tbl>
    <w:p>
      <w:pPr>
        <w:sectPr>
          <w:pgSz w:w="11900" w:h="16838" w:orient="portrait"/>
          <w:cols w:equalWidth="0" w:num="1">
            <w:col w:w="11240"/>
          </w:cols>
          <w:pgMar w:left="320" w:top="358" w:right="339" w:bottom="1440" w:gutter="0" w:footer="0" w:header="0"/>
        </w:sectPr>
      </w:pPr>
    </w:p>
    <w:bookmarkStart w:id="261" w:name="page262"/>
    <w:bookmarkEnd w:id="261"/>
    <w:p>
      <w:pPr>
        <w:ind w:left="92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6028055</wp:posOffset>
            </wp:positionV>
            <wp:extent cx="71494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164465</wp:posOffset>
            </wp:positionV>
            <wp:extent cx="6163310" cy="5220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6163310" cy="522033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1236980</wp:posOffset>
            </wp:positionH>
            <wp:positionV relativeFrom="page">
              <wp:posOffset>372110</wp:posOffset>
            </wp:positionV>
            <wp:extent cx="5083175" cy="75609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5083175" cy="7560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003D48"/>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037590" cy="3943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1037590" cy="394335"/>
                    </a:xfrm>
                    <a:prstGeom prst="rect">
                      <a:avLst/>
                    </a:prstGeom>
                    <a:noFill/>
                  </pic:spPr>
                </pic:pic>
              </a:graphicData>
            </a:graphic>
          </wp:anchor>
        </w:drawing>
      </w:r>
    </w:p>
    <w:p>
      <w:pPr>
        <w:ind w:left="8440"/>
        <w:spacing w:after="0"/>
        <w:rPr>
          <w:sz w:val="20"/>
          <w:szCs w:val="20"/>
          <w:color w:val="auto"/>
        </w:rPr>
      </w:pPr>
      <w:r>
        <w:rPr>
          <w:rFonts w:ascii="Times New Roman" w:cs="Times New Roman" w:eastAsia="Times New Roman" w:hAnsi="Times New Roman"/>
          <w:sz w:val="14"/>
          <w:szCs w:val="14"/>
          <w:color w:val="003D48"/>
        </w:rPr>
        <w:t>Professional Corporation</w:t>
      </w:r>
    </w:p>
    <w:p>
      <w:pPr>
        <w:spacing w:after="0" w:line="8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003D48"/>
        </w:rPr>
        <w:t>701 Fifth Avenue</w:t>
      </w:r>
    </w:p>
    <w:p>
      <w:pPr>
        <w:ind w:left="8440"/>
        <w:spacing w:after="0" w:line="226" w:lineRule="auto"/>
        <w:rPr>
          <w:sz w:val="20"/>
          <w:szCs w:val="20"/>
          <w:color w:val="auto"/>
        </w:rPr>
      </w:pPr>
      <w:r>
        <w:rPr>
          <w:rFonts w:ascii="Times New Roman" w:cs="Times New Roman" w:eastAsia="Times New Roman" w:hAnsi="Times New Roman"/>
          <w:sz w:val="14"/>
          <w:szCs w:val="14"/>
          <w:color w:val="003D48"/>
        </w:rPr>
        <w:t>Suite 5100</w:t>
      </w:r>
    </w:p>
    <w:p>
      <w:pPr>
        <w:ind w:left="8440"/>
        <w:spacing w:after="0"/>
        <w:rPr>
          <w:sz w:val="20"/>
          <w:szCs w:val="20"/>
          <w:color w:val="auto"/>
        </w:rPr>
      </w:pPr>
      <w:r>
        <w:rPr>
          <w:rFonts w:ascii="Times New Roman" w:cs="Times New Roman" w:eastAsia="Times New Roman" w:hAnsi="Times New Roman"/>
          <w:sz w:val="14"/>
          <w:szCs w:val="14"/>
          <w:color w:val="003D48"/>
        </w:rPr>
        <w:t>Seattle, Washington 98104-7036</w:t>
      </w:r>
    </w:p>
    <w:p>
      <w:pPr>
        <w:spacing w:after="0" w:line="8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003D48"/>
        </w:rPr>
        <w:t>o: 206.883.2500</w:t>
      </w:r>
    </w:p>
    <w:p>
      <w:pPr>
        <w:spacing w:after="0" w:line="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003D48"/>
        </w:rPr>
        <w:t>f: 206.883.2699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September 14, 2020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4000 Mason Road, Suite 300</w:t>
      </w:r>
    </w:p>
    <w:p>
      <w:pPr>
        <w:spacing w:after="0"/>
        <w:rPr>
          <w:sz w:val="20"/>
          <w:szCs w:val="20"/>
          <w:color w:val="auto"/>
        </w:rPr>
      </w:pPr>
      <w:r>
        <w:rPr>
          <w:rFonts w:ascii="Times New Roman" w:cs="Times New Roman" w:eastAsia="Times New Roman" w:hAnsi="Times New Roman"/>
          <w:sz w:val="20"/>
          <w:szCs w:val="20"/>
          <w:color w:val="auto"/>
        </w:rPr>
        <w:t>Seattle, WA 98195</w:t>
      </w:r>
    </w:p>
    <w:p>
      <w:pPr>
        <w:spacing w:after="0" w:line="19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u w:val="single" w:color="auto"/>
          <w:color w:val="auto"/>
        </w:rPr>
        <w:t>Registration Statement on Form S-1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This opinion is furnished to you in connection with the Registration Statement on Form S-1 (Registration No. 333-248428), as amended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filed by Athira Pharma,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with the Securities and Exchange Commission in connection with the registration under the Securities Act of 1933, as amended, of up to 11,500,000 shares (which includes 1,500,000 shares issuable upon exercise of an option to purchase additional shares granted to the underwriters) of the Company’s common stock, par value $0.0001 per share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Times New Roman" w:cs="Times New Roman" w:eastAsia="Times New Roman" w:hAnsi="Times New Roman"/>
          <w:sz w:val="20"/>
          <w:szCs w:val="20"/>
          <w:u w:val="single" w:color="auto"/>
          <w:color w:val="auto"/>
        </w:rPr>
        <w:t>Underwriting 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7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On the basis of the foregoing, we are of the opinion that, upon the effectiveness of the Company’s Amended and Restated Certificate of Incorporation, a form of which has been filed as Exhibit 3.1 to the Registration Statement, the Shares to be issued and sold by the Company have been duly authorized and, when such Shares are issued and paid for in accordance with the terms of the Underwriting Agreement, will be validly issued, fully paid and nonassessable.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Times New Roman" w:cs="Times New Roman" w:eastAsia="Times New Roman" w:hAnsi="Times New Roman"/>
                <w:sz w:val="13"/>
                <w:szCs w:val="13"/>
                <w:color w:val="003D4C"/>
                <w:w w:val="97"/>
              </w:rPr>
              <w:t>AUSTINBEIJING</w:t>
            </w: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003D4C"/>
                <w:w w:val="96"/>
              </w:rPr>
              <w:t>BOSTONBRUSSELS</w:t>
            </w:r>
          </w:p>
        </w:tc>
        <w:tc>
          <w:tcPr>
            <w:tcW w:w="2960" w:type="dxa"/>
            <w:vAlign w:val="bottom"/>
          </w:tcPr>
          <w:p>
            <w:pPr>
              <w:ind w:left="260"/>
              <w:spacing w:after="0"/>
              <w:rPr>
                <w:sz w:val="20"/>
                <w:szCs w:val="20"/>
                <w:color w:val="auto"/>
              </w:rPr>
            </w:pPr>
            <w:r>
              <w:rPr>
                <w:rFonts w:ascii="Times New Roman" w:cs="Times New Roman" w:eastAsia="Times New Roman" w:hAnsi="Times New Roman"/>
                <w:sz w:val="13"/>
                <w:szCs w:val="13"/>
                <w:color w:val="003D4C"/>
                <w:w w:val="98"/>
              </w:rPr>
              <w:t>HONG KONGLONDONLOS ANGELES</w:t>
            </w:r>
          </w:p>
        </w:tc>
        <w:tc>
          <w:tcPr>
            <w:tcW w:w="3640" w:type="dxa"/>
            <w:vAlign w:val="bottom"/>
          </w:tcPr>
          <w:p>
            <w:pPr>
              <w:ind w:left="180"/>
              <w:spacing w:after="0"/>
              <w:rPr>
                <w:sz w:val="20"/>
                <w:szCs w:val="20"/>
                <w:color w:val="auto"/>
              </w:rPr>
            </w:pPr>
            <w:r>
              <w:rPr>
                <w:rFonts w:ascii="Times New Roman" w:cs="Times New Roman" w:eastAsia="Times New Roman" w:hAnsi="Times New Roman"/>
                <w:sz w:val="13"/>
                <w:szCs w:val="13"/>
                <w:color w:val="003D4C"/>
                <w:w w:val="91"/>
              </w:rPr>
              <w:t>NEW YORKPALO ALTO</w:t>
            </w:r>
          </w:p>
        </w:tc>
      </w:tr>
      <w:tr>
        <w:trPr>
          <w:trHeight w:val="164"/>
        </w:trPr>
        <w:tc>
          <w:tcPr>
            <w:tcW w:w="3240" w:type="dxa"/>
            <w:vAlign w:val="bottom"/>
          </w:tcPr>
          <w:p>
            <w:pPr>
              <w:ind w:left="2500"/>
              <w:spacing w:after="0"/>
              <w:rPr>
                <w:sz w:val="20"/>
                <w:szCs w:val="20"/>
                <w:color w:val="auto"/>
              </w:rPr>
            </w:pPr>
            <w:r>
              <w:rPr>
                <w:rFonts w:ascii="Times New Roman" w:cs="Times New Roman" w:eastAsia="Times New Roman" w:hAnsi="Times New Roman"/>
                <w:sz w:val="13"/>
                <w:szCs w:val="13"/>
                <w:color w:val="003D4C"/>
              </w:rPr>
              <w:t>SAN DIEGO</w:t>
            </w:r>
          </w:p>
        </w:tc>
        <w:tc>
          <w:tcPr>
            <w:tcW w:w="142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SAN FRANCISCO</w:t>
            </w: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003D4C"/>
                <w:w w:val="95"/>
              </w:rPr>
              <w:t>SEATTLESHANGHAIWASHINGTON, DC</w:t>
            </w:r>
          </w:p>
        </w:tc>
        <w:tc>
          <w:tcPr>
            <w:tcW w:w="3640" w:type="dxa"/>
            <w:vAlign w:val="bottom"/>
          </w:tcPr>
          <w:p>
            <w:pPr>
              <w:ind w:left="6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104"/>
        </w:trPr>
        <w:tc>
          <w:tcPr>
            <w:tcW w:w="3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9750" cy="1974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September 14</w:t>
      </w:r>
      <w:r>
        <w:rPr>
          <w:rFonts w:ascii="Times New Roman" w:cs="Times New Roman" w:eastAsia="Times New Roman" w:hAnsi="Times New Roman"/>
          <w:sz w:val="19"/>
          <w:szCs w:val="19"/>
          <w:color w:val="auto"/>
        </w:rPr>
        <w:t>, 2020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5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WILSON SONSINI GOODRICH &amp; ROSATI</w:t>
      </w:r>
    </w:p>
    <w:p>
      <w:pPr>
        <w:spacing w:after="0" w:line="2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Professional Corporation</w:t>
      </w:r>
    </w:p>
    <w:p>
      <w:pPr>
        <w:spacing w:after="0" w:line="19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ectPr>
          <w:pgSz w:w="11900" w:h="16838" w:orient="portrait"/>
          <w:cols w:equalWidth="0" w:num="1">
            <w:col w:w="11220"/>
          </w:cols>
          <w:pgMar w:left="320" w:top="855" w:right="35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22"/>
          <w:szCs w:val="22"/>
          <w:b w:val="1"/>
          <w:bCs w:val="1"/>
          <w:color w:val="auto"/>
        </w:rPr>
        <w:t>Exhibit 10.21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13,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Hans Moebius, M.D., Ph.D.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Via Email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Offer of Employment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Hans:</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This employment letter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Hans Moebius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and Athira 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and will become effective as of the effective date of the Company’s registration statement relating to the Company’s initial public offering (the “Effective Date”). The below sets forth the terms and conditions of your employment with the Company commencing as of the Effective Date.</w:t>
      </w:r>
    </w:p>
    <w:p>
      <w:pPr>
        <w:spacing w:after="0" w:line="180" w:lineRule="exact"/>
        <w:rPr>
          <w:sz w:val="20"/>
          <w:szCs w:val="20"/>
          <w:color w:val="auto"/>
        </w:rPr>
      </w:pPr>
    </w:p>
    <w:p>
      <w:pPr>
        <w:jc w:val="both"/>
        <w:ind w:firstLine="872"/>
        <w:spacing w:after="0" w:line="234" w:lineRule="auto"/>
        <w:tabs>
          <w:tab w:leader="none" w:pos="167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Position</w:t>
      </w:r>
      <w:r>
        <w:rPr>
          <w:rFonts w:ascii="Times New Roman" w:cs="Times New Roman" w:eastAsia="Times New Roman" w:hAnsi="Times New Roman"/>
          <w:sz w:val="22"/>
          <w:szCs w:val="22"/>
          <w:color w:val="auto"/>
        </w:rPr>
        <w:t>. You will serve as the Company’s Chief Medical Officer. You will report to the Company’s Chief Executive Officer and will perform the duties and responsibilities customary for such position and such other related duties as are reasonably assigned by the Company’s Chief Executive Officer. While you render services to the Company, you will not engage in any other employment, occupation, or consulting activity for any direct or indirect remuneration or otherwise without the prior written approval of the Board. You may engage in charitable and community activities as well as own, as a passive investment, less than two percent (2%) of the capital stock of any corporation listed on the national securities exchange or publicly traded in the over-the-counter market, as long as such activities do not interfere with the performance of your duties under this Agreement. By signing this Agreement, you confirm that you have no contractual commitments or other legal obligations that would prohibit you from performing your duties for the Company.</w:t>
      </w:r>
    </w:p>
    <w:p>
      <w:pPr>
        <w:spacing w:after="0" w:line="183" w:lineRule="exact"/>
        <w:rPr>
          <w:rFonts w:ascii="Times New Roman" w:cs="Times New Roman" w:eastAsia="Times New Roman" w:hAnsi="Times New Roman"/>
          <w:sz w:val="22"/>
          <w:szCs w:val="22"/>
          <w:color w:val="auto"/>
        </w:rPr>
      </w:pPr>
    </w:p>
    <w:p>
      <w:pPr>
        <w:ind w:right="20" w:firstLine="872"/>
        <w:spacing w:after="0" w:line="258" w:lineRule="auto"/>
        <w:tabs>
          <w:tab w:leader="none" w:pos="167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You will perform your duties from your home office in Switzerland, subject to customary travel as reasonably required by the Company and necessary to perform your job duties.</w:t>
      </w:r>
    </w:p>
    <w:p>
      <w:pPr>
        <w:spacing w:after="0" w:line="158" w:lineRule="exact"/>
        <w:rPr>
          <w:rFonts w:ascii="Times New Roman" w:cs="Times New Roman" w:eastAsia="Times New Roman" w:hAnsi="Times New Roman"/>
          <w:sz w:val="22"/>
          <w:szCs w:val="22"/>
          <w:color w:val="auto"/>
        </w:rPr>
      </w:pPr>
    </w:p>
    <w:p>
      <w:pPr>
        <w:jc w:val="both"/>
        <w:ind w:firstLine="872"/>
        <w:spacing w:after="0" w:line="236" w:lineRule="auto"/>
        <w:tabs>
          <w:tab w:leader="none" w:pos="167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your annual base salary will be US$339,500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which will be payable, less any applicable withholdings and deductions (including those deductions described in Section 6 below), in accordance with, as applicable the Company’s normal payroll practices and the payroll practices of the Company’s Swiss payroll vendor (the “</w:t>
      </w:r>
      <w:r>
        <w:rPr>
          <w:rFonts w:ascii="Times New Roman" w:cs="Times New Roman" w:eastAsia="Times New Roman" w:hAnsi="Times New Roman"/>
          <w:sz w:val="22"/>
          <w:szCs w:val="22"/>
          <w:u w:val="single" w:color="auto"/>
          <w:color w:val="auto"/>
        </w:rPr>
        <w:t>Swiss Vendor</w:t>
      </w:r>
      <w:r>
        <w:rPr>
          <w:rFonts w:ascii="Times New Roman" w:cs="Times New Roman" w:eastAsia="Times New Roman" w:hAnsi="Times New Roman"/>
          <w:sz w:val="22"/>
          <w:szCs w:val="22"/>
          <w:color w:val="auto"/>
        </w:rPr>
        <w:t>”). Your annual base salary will be subject to review and adjustment from time to time by our Board or its Compensation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as applicable, in its sole discretion. You acknowledge that your base salary and all other payroll payments will be made to you by the Swiss Vendor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6" w:name="page267"/>
    <w:bookmarkEnd w:id="266"/>
    <w:p>
      <w:pPr>
        <w:jc w:val="both"/>
        <w:ind w:left="-872" w:firstLine="872"/>
        <w:spacing w:after="0" w:line="235" w:lineRule="auto"/>
        <w:tabs>
          <w:tab w:leader="none" w:pos="80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For the Company’s 2020 fiscal year, you will have the opportunity to earn a target annual cash bonus equal to forty percent (40%) of your annual base salary, based on achieving performance objectives established by the Board or the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183" w:lineRule="exact"/>
        <w:rPr>
          <w:rFonts w:ascii="Times New Roman" w:cs="Times New Roman" w:eastAsia="Times New Roman" w:hAnsi="Times New Roman"/>
          <w:sz w:val="22"/>
          <w:szCs w:val="22"/>
          <w:color w:val="auto"/>
        </w:rPr>
      </w:pPr>
    </w:p>
    <w:p>
      <w:pPr>
        <w:jc w:val="both"/>
        <w:ind w:left="-872" w:firstLine="872"/>
        <w:spacing w:after="0" w:line="239" w:lineRule="auto"/>
        <w:tabs>
          <w:tab w:leader="none" w:pos="80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80" w:lineRule="exact"/>
        <w:rPr>
          <w:rFonts w:ascii="Times New Roman" w:cs="Times New Roman" w:eastAsia="Times New Roman" w:hAnsi="Times New Roman"/>
          <w:sz w:val="22"/>
          <w:szCs w:val="22"/>
          <w:color w:val="auto"/>
        </w:rPr>
      </w:pPr>
    </w:p>
    <w:p>
      <w:pPr>
        <w:jc w:val="both"/>
        <w:ind w:left="-872" w:firstLine="872"/>
        <w:spacing w:after="0" w:line="232" w:lineRule="auto"/>
        <w:tabs>
          <w:tab w:leader="none" w:pos="80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You will be responsible for all mandatory social security taxes and other taxes and benefits as may be required in your local jurisdiction, including, without limitation, AVS/AI/APG, unemployment insurance ALV1 and ALV2, family allowance contribution ALFA, and accident insurance, as well as any social office administrative charges, all of which shall be paid through the Swiss Vendor unless directed otherwise by the Company in writing, and which such payments shall be deducted by the Swiss Vendor from your salary and other applicable wage payments (applying currency conversion rates determined in the Swiss Vendor’s discretion). For the avoidance of doubt, unless otherwise agreed to in a writing signed by you and the Company’s CEO, no social security or other taxes, nor any health and welfare or pension/retirement benefits, will be provided by or paid for by the Company. Notwithstanding the foregoing, the Company will pay you a monthly stipend of US$4,625, which is intended to help defray the costs associated with your mandatory and elective benefits contributions.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provided, however, that upon the lifting of any applicable travel bans related to COVID-19 as well as a determination in the Company’s reasonable discretion that it is safe to travel in light of the COVID-19 pandemic, you will be required to travel to the location of the Company’s headquarters (currently Seattle, Washington) once per month at your own expense; and provided further that in the event you are unable to travel to the Company’s headquarters in a given month, you shall seek authorization from the Company’s Chief Executive Officer (which authorization shall not be unreasonably withheld). The Company and the Swiss Vendor reserve the right to modify, amend, suspend or terminate the stipends, benefit plans, programs, and arrangements it offers to you at any time.</w:t>
      </w:r>
    </w:p>
    <w:p>
      <w:pPr>
        <w:spacing w:after="0" w:line="188" w:lineRule="exact"/>
        <w:rPr>
          <w:rFonts w:ascii="Times New Roman" w:cs="Times New Roman" w:eastAsia="Times New Roman" w:hAnsi="Times New Roman"/>
          <w:sz w:val="22"/>
          <w:szCs w:val="22"/>
          <w:color w:val="auto"/>
        </w:rPr>
      </w:pPr>
    </w:p>
    <w:p>
      <w:pPr>
        <w:ind w:left="4708" w:hanging="136"/>
        <w:spacing w:after="0"/>
        <w:tabs>
          <w:tab w:leader="none" w:pos="4708"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79375</wp:posOffset>
            </wp:positionV>
            <wp:extent cx="71494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58" w:right="339" w:bottom="1440" w:gutter="0" w:footer="0" w:header="0"/>
        </w:sectPr>
      </w:pPr>
    </w:p>
    <w:bookmarkStart w:id="267" w:name="page268"/>
    <w:bookmarkEnd w:id="267"/>
    <w:p>
      <w:pPr>
        <w:jc w:val="both"/>
        <w:ind w:left="-872" w:firstLine="872"/>
        <w:spacing w:after="0" w:line="234" w:lineRule="auto"/>
        <w:tabs>
          <w:tab w:leader="none" w:pos="80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You will be eligible to enter into a Change in Control and Severance Agreement (the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applicable to you based on your position within the Company. Any Severance Agreement will become effective as of Effective Date. The Severance Agreement will specify the severance payments and benefits you may become entitled to receive in connection with a change in control of the Company as well as certain qualifying terminations of your employment with the Company. For purposes of clarity, other than any vesting acceleration benefits set forth in the Company’s 2014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183" w:lineRule="exact"/>
        <w:rPr>
          <w:rFonts w:ascii="Times New Roman" w:cs="Times New Roman" w:eastAsia="Times New Roman" w:hAnsi="Times New Roman"/>
          <w:sz w:val="22"/>
          <w:szCs w:val="22"/>
          <w:color w:val="auto"/>
        </w:rPr>
      </w:pPr>
    </w:p>
    <w:p>
      <w:pPr>
        <w:jc w:val="both"/>
        <w:ind w:left="-872" w:firstLine="872"/>
        <w:spacing w:after="0" w:line="236" w:lineRule="auto"/>
        <w:tabs>
          <w:tab w:leader="none" w:pos="80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xml:space="preserve">.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enter into an At-Will Employment, Confidential Information, Invention Assignment, and Arbitration Agreement with the Company in substantially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The Swiss Vendor will pay you the one-time payment of US$100 contemplated in the Confidentiality Agreement on your first payroll date.</w:t>
      </w:r>
    </w:p>
    <w:p>
      <w:pPr>
        <w:spacing w:after="0" w:line="181" w:lineRule="exact"/>
        <w:rPr>
          <w:rFonts w:ascii="Times New Roman" w:cs="Times New Roman" w:eastAsia="Times New Roman" w:hAnsi="Times New Roman"/>
          <w:sz w:val="22"/>
          <w:szCs w:val="22"/>
          <w:color w:val="auto"/>
        </w:rPr>
      </w:pPr>
    </w:p>
    <w:p>
      <w:pPr>
        <w:jc w:val="both"/>
        <w:ind w:left="-872" w:firstLine="872"/>
        <w:spacing w:after="0" w:line="253" w:lineRule="exact"/>
        <w:tabs>
          <w:tab w:leader="none" w:pos="80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This Agreement does not imply any right to your continued employment for any period with the Company or any parent, subsidiary, or affiliate of the Company. Your employment with the Company is and will continue to be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79" w:lineRule="exact"/>
        <w:rPr>
          <w:rFonts w:ascii="Times New Roman" w:cs="Times New Roman" w:eastAsia="Times New Roman" w:hAnsi="Times New Roman"/>
          <w:sz w:val="22"/>
          <w:szCs w:val="22"/>
          <w:color w:val="auto"/>
        </w:rPr>
      </w:pPr>
    </w:p>
    <w:p>
      <w:pPr>
        <w:jc w:val="both"/>
        <w:ind w:left="-872" w:firstLine="872"/>
        <w:spacing w:after="0" w:line="245" w:lineRule="auto"/>
        <w:tabs>
          <w:tab w:leader="none" w:pos="91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Activity Not Prohibited</w:t>
      </w:r>
      <w:r>
        <w:rPr>
          <w:rFonts w:ascii="Times New Roman" w:cs="Times New Roman" w:eastAsia="Times New Roman" w:hAnsi="Times New Roman"/>
          <w:sz w:val="21"/>
          <w:szCs w:val="21"/>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1"/>
          <w:szCs w:val="21"/>
          <w:u w:val="single" w:color="auto"/>
          <w:color w:val="auto"/>
        </w:rPr>
        <w:t>Government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Agencies</w:t>
      </w:r>
      <w:r>
        <w:rPr>
          <w:rFonts w:ascii="Times New Roman" w:cs="Times New Roman" w:eastAsia="Times New Roman" w:hAnsi="Times New Roman"/>
          <w:sz w:val="21"/>
          <w:szCs w:val="21"/>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left="4708" w:hanging="136"/>
        <w:spacing w:after="0"/>
        <w:tabs>
          <w:tab w:leader="none" w:pos="4708"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79375</wp:posOffset>
            </wp:positionV>
            <wp:extent cx="71494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58" w:right="339" w:bottom="1440" w:gutter="0" w:footer="0" w:header="0"/>
        </w:sectPr>
      </w:pPr>
    </w:p>
    <w:bookmarkStart w:id="268" w:name="page269"/>
    <w:bookmarkEnd w:id="268"/>
    <w:p>
      <w:pPr>
        <w:jc w:val="both"/>
        <w:ind w:firstLine="872"/>
        <w:spacing w:after="0" w:line="234" w:lineRule="auto"/>
        <w:tabs>
          <w:tab w:leader="none" w:pos="177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together with the Confidentiality Agreement, the Severance Agreement and the stock options granted to you by the Company under its 2014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You acknowledge and agree that (i) the Company has paid all compensation due to you (and to any entities wholly owned by you) for services performed before the Effective Date, and (ii) unless subsequently agreed in writing between you and the Company, the consideration contemplated in this Agreement is the sole compensation for your services to the Company from and after the Effective Date hereof. Except as otherwise prohibited, this Agreement will be governed by the laws of the State of Washington but without regard to the conflict of law provision. This Agreement may be modified only by a written agreement signed by a duly authorized officer of the Company (other than yourself) and you.</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9" w:name="page270"/>
    <w:bookmarkEnd w:id="269"/>
    <w:p>
      <w:pPr>
        <w:spacing w:after="0" w:line="258"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20" w:lineRule="exact"/>
        <w:rPr>
          <w:sz w:val="20"/>
          <w:szCs w:val="20"/>
          <w:color w:val="auto"/>
        </w:rPr>
      </w:pPr>
    </w:p>
    <w:p>
      <w:pPr>
        <w:ind w:left="5620"/>
        <w:spacing w:after="0"/>
        <w:tabs>
          <w:tab w:leader="none" w:pos="6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10795</wp:posOffset>
            </wp:positionV>
            <wp:extent cx="31375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Leen Kawas, Ph.D.</w:t>
      </w: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Hans Moebius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746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Hans Moebius, M.D., Ph.D.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September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10795</wp:posOffset>
            </wp:positionV>
            <wp:extent cx="2802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At-Will Employment, Confidential Information, Invention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79375</wp:posOffset>
            </wp:positionV>
            <wp:extent cx="71494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160"/>
          </w:cols>
          <w:pgMar w:left="1360" w:top="338" w:right="137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 of the Defend Trade Secrets Act of 2016</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0" w:lineRule="exact"/>
        <w:rPr>
          <w:sz w:val="20"/>
          <w:szCs w:val="20"/>
          <w:color w:val="auto"/>
        </w:rPr>
      </w:pPr>
    </w:p>
    <w:p>
      <w:pPr>
        <w:spacing w:after="0" w:line="226" w:lineRule="exact"/>
        <w:rPr>
          <w:sz w:val="20"/>
          <w:szCs w:val="20"/>
          <w:color w:val="auto"/>
        </w:rPr>
      </w:pPr>
    </w:p>
    <w:p>
      <w:pPr>
        <w:ind w:left="5580" w:hanging="136"/>
        <w:spacing w:after="0"/>
        <w:tabs>
          <w:tab w:leader="none" w:pos="558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338"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Athira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Hans Moebius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effective as of the effective date of the Company’s registration statement relating to the Company’s initial public offering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6" w:lineRule="exact"/>
        <w:rPr>
          <w:sz w:val="20"/>
          <w:szCs w:val="20"/>
          <w:color w:val="auto"/>
        </w:rPr>
      </w:pPr>
    </w:p>
    <w:p>
      <w:pPr>
        <w:jc w:val="both"/>
        <w:ind w:firstLine="872"/>
        <w:spacing w:after="0" w:line="244" w:lineRule="auto"/>
        <w:tabs>
          <w:tab w:leader="none" w:pos="167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167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Qualifying Termination Outside of the Change in Control Period</w:t>
      </w:r>
      <w:r>
        <w:rPr>
          <w:rFonts w:ascii="Times New Roman" w:cs="Times New Roman" w:eastAsia="Times New Roman" w:hAnsi="Times New Roman"/>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39" w:lineRule="exact"/>
        <w:rPr>
          <w:sz w:val="20"/>
          <w:szCs w:val="20"/>
          <w:color w:val="auto"/>
        </w:rPr>
      </w:pPr>
    </w:p>
    <w:p>
      <w:pPr>
        <w:ind w:left="2600"/>
        <w:spacing w:after="0" w:line="253" w:lineRule="exact"/>
        <w:tabs>
          <w:tab w:leader="none" w:pos="3460" w:val="left"/>
          <w:tab w:leader="none" w:pos="52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Salary Severance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 single, lump sum, cash payment equal to seventy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percent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of Executive’s Salary.</w:t>
      </w:r>
    </w:p>
    <w:p>
      <w:pPr>
        <w:spacing w:after="0" w:line="182"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Qualifying Termination During the Change in Control Period</w:t>
      </w:r>
      <w:r>
        <w:rPr>
          <w:rFonts w:ascii="Times New Roman" w:cs="Times New Roman" w:eastAsia="Times New Roman" w:hAnsi="Times New Roman"/>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73" w:lineRule="exact"/>
        <w:rPr>
          <w:sz w:val="20"/>
          <w:szCs w:val="20"/>
          <w:color w:val="auto"/>
        </w:rPr>
      </w:pPr>
    </w:p>
    <w:p>
      <w:pPr>
        <w:ind w:left="3480" w:hanging="880"/>
        <w:spacing w:after="0"/>
        <w:tabs>
          <w:tab w:leader="none" w:pos="34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  Severance</w:t>
      </w:r>
      <w:r>
        <w:rPr>
          <w:rFonts w:ascii="Times New Roman" w:cs="Times New Roman" w:eastAsia="Times New Roman" w:hAnsi="Times New Roman"/>
          <w:sz w:val="22"/>
          <w:szCs w:val="22"/>
          <w:color w:val="auto"/>
        </w:rPr>
        <w:t>.   A  single,  lump  sum,  cash  payment  equal  to  one  hundred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(100%) of Executive’s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494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3" w:name="page274"/>
    <w:bookmarkEnd w:id="273"/>
    <w:p>
      <w:pPr>
        <w:ind w:left="3500" w:hanging="900"/>
        <w:spacing w:after="0"/>
        <w:tabs>
          <w:tab w:leader="none" w:pos="35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Severance</w:t>
      </w:r>
      <w:r>
        <w:rPr>
          <w:rFonts w:ascii="Times New Roman" w:cs="Times New Roman" w:eastAsia="Times New Roman" w:hAnsi="Times New Roman"/>
          <w:sz w:val="22"/>
          <w:szCs w:val="22"/>
          <w:color w:val="auto"/>
        </w:rPr>
        <w:t>.  A single, lump sum, cash payment equal to one hundred percent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Executive’s Target Bonus.</w:t>
      </w:r>
    </w:p>
    <w:p>
      <w:pPr>
        <w:spacing w:after="0" w:line="182" w:lineRule="exact"/>
        <w:rPr>
          <w:rFonts w:ascii="Times New Roman" w:cs="Times New Roman" w:eastAsia="Times New Roman" w:hAnsi="Times New Roman"/>
          <w:sz w:val="22"/>
          <w:szCs w:val="22"/>
          <w:color w:val="auto"/>
        </w:rPr>
      </w:pPr>
    </w:p>
    <w:p>
      <w:pPr>
        <w:ind w:firstLine="2600"/>
        <w:spacing w:after="0" w:line="258" w:lineRule="auto"/>
        <w:tabs>
          <w:tab w:leader="none" w:pos="34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Acceleration of Service-based Awards</w:t>
      </w:r>
      <w:r>
        <w:rPr>
          <w:rFonts w:ascii="Times New Roman" w:cs="Times New Roman" w:eastAsia="Times New Roman" w:hAnsi="Times New Roman"/>
          <w:sz w:val="22"/>
          <w:szCs w:val="22"/>
          <w:color w:val="auto"/>
        </w:rPr>
        <w:t>. Vesting acceleration of one hundred percent (100%) of any Service-based Awards that are outstanding and unvested as of the date of the Qualifying Termination.</w:t>
      </w:r>
    </w:p>
    <w:p>
      <w:pPr>
        <w:spacing w:after="0" w:line="158" w:lineRule="exact"/>
        <w:rPr>
          <w:sz w:val="20"/>
          <w:szCs w:val="20"/>
          <w:color w:val="auto"/>
        </w:rPr>
      </w:pPr>
    </w:p>
    <w:p>
      <w:pPr>
        <w:jc w:val="both"/>
        <w:ind w:firstLine="2592"/>
        <w:spacing w:after="0" w:line="247" w:lineRule="auto"/>
        <w:rPr>
          <w:sz w:val="20"/>
          <w:szCs w:val="20"/>
          <w:color w:val="auto"/>
        </w:rPr>
      </w:pPr>
      <w:r>
        <w:rPr>
          <w:rFonts w:ascii="Times New Roman" w:cs="Times New Roman" w:eastAsia="Times New Roman" w:hAnsi="Times New Roman"/>
          <w:sz w:val="21"/>
          <w:szCs w:val="21"/>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2"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Non-duplication of Payment or Benefits</w:t>
      </w:r>
      <w:r>
        <w:rPr>
          <w:rFonts w:ascii="Times New Roman" w:cs="Times New Roman" w:eastAsia="Times New Roman" w:hAnsi="Times New Roman"/>
          <w:sz w:val="21"/>
          <w:szCs w:val="21"/>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Times New Roman" w:cs="Times New Roman" w:eastAsia="Times New Roman" w:hAnsi="Times New Roman"/>
          <w:sz w:val="21"/>
          <w:szCs w:val="21"/>
          <w:u w:val="single" w:color="auto"/>
          <w:color w:val="auto"/>
        </w:rPr>
        <w:t>Other Benefits</w:t>
      </w:r>
      <w:r>
        <w:rPr>
          <w:rFonts w:ascii="Times New Roman" w:cs="Times New Roman" w:eastAsia="Times New Roman" w:hAnsi="Times New Roman"/>
          <w:sz w:val="21"/>
          <w:szCs w:val="21"/>
          <w:color w:val="auto"/>
        </w:rPr>
        <w:t>”), then the corresponding severance payments and benefits under this Agreement will be reduced by the amount of Other Benefits paid or provided to Executive.</w:t>
      </w:r>
    </w:p>
    <w:p>
      <w:pPr>
        <w:spacing w:after="0" w:line="172"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4" w:name="page275"/>
    <w:bookmarkEnd w:id="274"/>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Change in Control Vesting Acceleration</w:t>
      </w:r>
      <w:r>
        <w:rPr>
          <w:rFonts w:ascii="Times New Roman" w:cs="Times New Roman" w:eastAsia="Times New Roman" w:hAnsi="Times New Roman"/>
          <w:sz w:val="22"/>
          <w:szCs w:val="22"/>
          <w:color w:val="auto"/>
        </w:rPr>
        <w:t>. Notwithstanding anything to the contrary in this Agreement, in the event of a Change in Control in which the acquiring or succeeding corporation (or an affiliate thereof) does not assume or substitute for any of Executive’s Awards (or portions thereof) granted under the Company’s 2014 Equity Incentive Plan (the “</w:t>
      </w:r>
      <w:r>
        <w:rPr>
          <w:rFonts w:ascii="Times New Roman" w:cs="Times New Roman" w:eastAsia="Times New Roman" w:hAnsi="Times New Roman"/>
          <w:sz w:val="22"/>
          <w:szCs w:val="22"/>
          <w:u w:val="single" w:color="auto"/>
          <w:color w:val="auto"/>
        </w:rPr>
        <w:t>2014 Plan</w:t>
      </w:r>
      <w:r>
        <w:rPr>
          <w:rFonts w:ascii="Times New Roman" w:cs="Times New Roman" w:eastAsia="Times New Roman" w:hAnsi="Times New Roman"/>
          <w:sz w:val="22"/>
          <w:szCs w:val="22"/>
          <w:color w:val="auto"/>
        </w:rPr>
        <w:t>”), (a) Executive will fully vest in and have the right to exercise such outstanding Awards (or portions thereof) not assumed or substituted for, including shares as to which such Award would not otherwise be vested or exercisable, and (b) the Company will notify Executive in writing or electronically that any such Award that is an option (or its applicable portion) will be exercisable for a period of time determined by the administrator of the 2014 Plan in its sole discretion, and the option Award (or its applicable portion) will terminate upon the expiration of such period.</w:t>
      </w:r>
    </w:p>
    <w:p>
      <w:pPr>
        <w:spacing w:after="0" w:line="178" w:lineRule="exact"/>
        <w:rPr>
          <w:sz w:val="20"/>
          <w:szCs w:val="20"/>
          <w:color w:val="auto"/>
        </w:rPr>
      </w:pPr>
    </w:p>
    <w:p>
      <w:pPr>
        <w:jc w:val="both"/>
        <w:ind w:firstLine="872"/>
        <w:spacing w:after="0" w:line="244" w:lineRule="auto"/>
        <w:tabs>
          <w:tab w:leader="none" w:pos="167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and irrevocable no later than the sixtieth (60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following the date of the Qualifying Termination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severance payments or benefits under Section 3.</w:t>
      </w:r>
    </w:p>
    <w:p>
      <w:pPr>
        <w:spacing w:after="0" w:line="181"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5.3 below. Any Service-based Awards that are restricted stock units, performance shares, performance units, and/or similar full value awards (“</w:t>
      </w: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that accelerated vesting under Section 3.2 (c) will be settled, subject to any delay required by Section 5.3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5" w:name="page276"/>
    <w:bookmarkEnd w:id="275"/>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3" w:lineRule="exact"/>
        <w:rPr>
          <w:sz w:val="20"/>
          <w:szCs w:val="20"/>
          <w:color w:val="auto"/>
        </w:rPr>
      </w:pPr>
    </w:p>
    <w:p>
      <w:pPr>
        <w:jc w:val="both"/>
        <w:ind w:firstLine="2600"/>
        <w:spacing w:after="0" w:line="239" w:lineRule="auto"/>
        <w:tabs>
          <w:tab w:leader="none" w:pos="34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5.3.</w:t>
      </w:r>
    </w:p>
    <w:p>
      <w:pPr>
        <w:spacing w:after="0" w:line="180" w:lineRule="exact"/>
        <w:rPr>
          <w:rFonts w:ascii="Times New Roman" w:cs="Times New Roman" w:eastAsia="Times New Roman" w:hAnsi="Times New Roman"/>
          <w:sz w:val="22"/>
          <w:szCs w:val="22"/>
          <w:color w:val="auto"/>
        </w:rPr>
      </w:pPr>
    </w:p>
    <w:p>
      <w:pPr>
        <w:jc w:val="both"/>
        <w:ind w:firstLine="2600"/>
        <w:spacing w:after="0" w:line="233" w:lineRule="auto"/>
        <w:tabs>
          <w:tab w:leader="none" w:pos="349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7" w:lineRule="exact"/>
        <w:rPr>
          <w:rFonts w:ascii="Times New Roman" w:cs="Times New Roman" w:eastAsia="Times New Roman" w:hAnsi="Times New Roman"/>
          <w:sz w:val="22"/>
          <w:szCs w:val="22"/>
          <w:color w:val="auto"/>
        </w:rPr>
      </w:pPr>
    </w:p>
    <w:p>
      <w:pPr>
        <w:jc w:val="both"/>
        <w:ind w:firstLine="2600"/>
        <w:spacing w:after="0" w:line="233" w:lineRule="auto"/>
        <w:tabs>
          <w:tab w:leader="none" w:pos="34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ind w:left="5580" w:hanging="136"/>
        <w:spacing w:after="0"/>
        <w:tabs>
          <w:tab w:leader="none" w:pos="558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6" w:name="page277"/>
    <w:bookmarkEnd w:id="276"/>
    <w:p>
      <w:pPr>
        <w:ind w:left="1680" w:hanging="808"/>
        <w:spacing w:after="0"/>
        <w:tabs>
          <w:tab w:leader="none" w:pos="16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w:t>
      </w:r>
    </w:p>
    <w:p>
      <w:pPr>
        <w:spacing w:after="0" w:line="1" w:lineRule="exact"/>
        <w:rPr>
          <w:sz w:val="20"/>
          <w:szCs w:val="20"/>
          <w:color w:val="auto"/>
        </w:rPr>
      </w:pPr>
    </w:p>
    <w:p>
      <w:pPr>
        <w:jc w:val="both"/>
        <w:ind w:firstLine="8"/>
        <w:spacing w:after="0" w:line="232" w:lineRule="auto"/>
        <w:tabs>
          <w:tab w:leader="none" w:pos="39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83" w:lineRule="exact"/>
        <w:rPr>
          <w:sz w:val="20"/>
          <w:szCs w:val="20"/>
          <w:color w:val="auto"/>
        </w:rPr>
      </w:pPr>
    </w:p>
    <w:p>
      <w:pPr>
        <w:jc w:val="center"/>
        <w:spacing w:after="0" w:line="23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Determination of Excise Tax Liability</w:t>
      </w:r>
      <w:r>
        <w:rPr>
          <w:rFonts w:ascii="Times New Roman" w:cs="Times New Roman" w:eastAsia="Times New Roman" w:hAnsi="Times New Roman"/>
          <w:sz w:val="22"/>
          <w:szCs w:val="22"/>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 - 5 -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94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7" w:name="page278"/>
    <w:bookmarkEnd w:id="277"/>
    <w:p>
      <w:pPr>
        <w:ind w:left="1680" w:hanging="808"/>
        <w:spacing w:after="0"/>
        <w:tabs>
          <w:tab w:leader="none" w:pos="16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7.1.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stock options and other equity awards covering shares of Company common stock granted to Executive.</w:t>
      </w:r>
    </w:p>
    <w:p>
      <w:pPr>
        <w:spacing w:after="0" w:line="158" w:lineRule="exact"/>
        <w:rPr>
          <w:sz w:val="20"/>
          <w:szCs w:val="20"/>
          <w:color w:val="auto"/>
        </w:rPr>
      </w:pPr>
    </w:p>
    <w:p>
      <w:pPr>
        <w:ind w:left="1740"/>
        <w:spacing w:after="0"/>
        <w:tabs>
          <w:tab w:leader="none" w:pos="26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Company’s Board of Directors.</w:t>
      </w:r>
    </w:p>
    <w:p>
      <w:pPr>
        <w:spacing w:after="0" w:line="206"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1"/>
          <w:szCs w:val="21"/>
          <w:color w:val="auto"/>
        </w:rPr>
        <w:t>7.3.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Executive’s: (a) indictment or conviction of any felony or any 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72" w:lineRule="exact"/>
        <w:rPr>
          <w:sz w:val="20"/>
          <w:szCs w:val="20"/>
          <w:color w:val="auto"/>
        </w:rPr>
      </w:pPr>
    </w:p>
    <w:p>
      <w:pPr>
        <w:ind w:left="1740"/>
        <w:spacing w:after="0"/>
        <w:tabs>
          <w:tab w:leader="none" w:pos="268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first occurrence of any of the following events on or after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w:t>
      </w:r>
    </w:p>
    <w:p>
      <w:pPr>
        <w:spacing w:after="0" w:line="182" w:lineRule="exact"/>
        <w:rPr>
          <w:sz w:val="20"/>
          <w:szCs w:val="20"/>
          <w:color w:val="auto"/>
        </w:rPr>
      </w:pPr>
    </w:p>
    <w:p>
      <w:pPr>
        <w:jc w:val="both"/>
        <w:ind w:firstLine="2600"/>
        <w:spacing w:after="0" w:line="232" w:lineRule="auto"/>
        <w:tabs>
          <w:tab w:leader="none" w:pos="34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ind w:left="5580" w:hanging="136"/>
        <w:spacing w:after="0"/>
        <w:tabs>
          <w:tab w:leader="none" w:pos="558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8" w:name="page279"/>
    <w:bookmarkEnd w:id="278"/>
    <w:p>
      <w:pPr>
        <w:jc w:val="both"/>
        <w:ind w:firstLine="2600"/>
        <w:spacing w:after="0" w:line="235" w:lineRule="auto"/>
        <w:tabs>
          <w:tab w:leader="none" w:pos="349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22"/>
          <w:szCs w:val="22"/>
          <w:color w:val="auto"/>
        </w:rPr>
      </w:pPr>
    </w:p>
    <w:p>
      <w:pPr>
        <w:jc w:val="both"/>
        <w:ind w:firstLine="2600"/>
        <w:spacing w:after="0" w:line="245" w:lineRule="auto"/>
        <w:tabs>
          <w:tab w:leader="none" w:pos="348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28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2592"/>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592"/>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7"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7.5.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beginning on the date one (1) month prior to a Change in Control and ending on (and inclusive of) the date that is the one (1) year anniversary of a Change in Control.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9" w:name="page280"/>
    <w:bookmarkEnd w:id="279"/>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7.6.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7.7.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Executive’s At-will Employment, Confidential Information, Invention Assignment, and Arbitration Agreement entered into with the Company dated September 13, 2020.</w:t>
      </w:r>
    </w:p>
    <w:p>
      <w:pPr>
        <w:spacing w:after="0" w:line="158" w:lineRule="exact"/>
        <w:rPr>
          <w:sz w:val="20"/>
          <w:szCs w:val="20"/>
          <w:color w:val="auto"/>
        </w:rPr>
      </w:pPr>
    </w:p>
    <w:p>
      <w:pPr>
        <w:ind w:left="1740"/>
        <w:spacing w:after="0"/>
        <w:tabs>
          <w:tab w:leader="none" w:pos="268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06" w:lineRule="exact"/>
        <w:rPr>
          <w:sz w:val="20"/>
          <w:szCs w:val="20"/>
          <w:color w:val="auto"/>
        </w:rPr>
      </w:pPr>
    </w:p>
    <w:p>
      <w:pPr>
        <w:ind w:left="1740"/>
        <w:spacing w:after="0"/>
        <w:tabs>
          <w:tab w:leader="none" w:pos="268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total and permanent disability as defined in Code Section 22(e)(3).</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7.10.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w:t>
      </w:r>
    </w:p>
    <w:p>
      <w:pPr>
        <w:spacing w:after="0" w:line="1" w:lineRule="exact"/>
        <w:rPr>
          <w:sz w:val="20"/>
          <w:szCs w:val="20"/>
          <w:color w:val="auto"/>
        </w:rPr>
      </w:pPr>
    </w:p>
    <w:p>
      <w:pPr>
        <w:jc w:val="both"/>
        <w:ind w:firstLine="8"/>
        <w:spacing w:after="0" w:line="244" w:lineRule="exact"/>
        <w:tabs>
          <w:tab w:leader="none" w:pos="31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(as measured in United States Dollars) to which Executive is entitled immediately prior to such reduction (other than (x) in connection with a general decrease in the annual base salary of all similarly situated employees, and (y) following the Change in Control, to the extent necessary to make Executive’s annual base salary 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of such written notice. To the extent Executive’s primary work location is not the Company’s corporate offices due to a shelter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place order, quarantine order, or similar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from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85"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7.11.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 provided, however, that a termination without Cause due to Executive’s ineligibility to continue to be employed by the Company under the Swiss ANobAG program shall not be considered a Qualifying Termination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0" w:name="page281"/>
    <w:bookmarkEnd w:id="280"/>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7.12.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77"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7.13.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7.14. “</w:t>
      </w:r>
      <w:r>
        <w:rPr>
          <w:rFonts w:ascii="Times New Roman" w:cs="Times New Roman" w:eastAsia="Times New Roman" w:hAnsi="Times New Roman"/>
          <w:sz w:val="22"/>
          <w:szCs w:val="22"/>
          <w:u w:val="single" w:color="auto"/>
          <w:color w:val="auto"/>
        </w:rPr>
        <w:t>Service-based Awards</w:t>
      </w:r>
      <w:r>
        <w:rPr>
          <w:rFonts w:ascii="Times New Roman" w:cs="Times New Roman" w:eastAsia="Times New Roman" w:hAnsi="Times New Roman"/>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7.15.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872"/>
        <w:spacing w:after="0" w:line="233" w:lineRule="auto"/>
        <w:tabs>
          <w:tab w:leader="none" w:pos="167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1" w:name="page282"/>
    <w:bookmarkEnd w:id="281"/>
    <w:p>
      <w:pPr>
        <w:ind w:left="1680" w:hanging="808"/>
        <w:spacing w:after="0"/>
        <w:tabs>
          <w:tab w:leader="none" w:pos="16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4000 Mason Road, Suite 300</w:t>
      </w:r>
    </w:p>
    <w:p>
      <w:pPr>
        <w:ind w:left="2600"/>
        <w:spacing w:after="0" w:line="230" w:lineRule="auto"/>
        <w:rPr>
          <w:sz w:val="20"/>
          <w:szCs w:val="20"/>
          <w:color w:val="auto"/>
        </w:rPr>
      </w:pPr>
      <w:r>
        <w:rPr>
          <w:rFonts w:ascii="Times New Roman" w:cs="Times New Roman" w:eastAsia="Times New Roman" w:hAnsi="Times New Roman"/>
          <w:sz w:val="22"/>
          <w:szCs w:val="22"/>
          <w:color w:val="auto"/>
        </w:rPr>
        <w:t>Seattle, WA 98195</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82"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83" w:lineRule="exact"/>
        <w:rPr>
          <w:sz w:val="20"/>
          <w:szCs w:val="20"/>
          <w:color w:val="auto"/>
        </w:rPr>
      </w:pPr>
    </w:p>
    <w:p>
      <w:pPr>
        <w:jc w:val="both"/>
        <w:ind w:firstLine="872"/>
        <w:spacing w:after="0" w:line="239" w:lineRule="auto"/>
        <w:tabs>
          <w:tab w:leader="none" w:pos="178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0"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and 6.</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7"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provided herein for convenience only, and will not serve as a basis for interpretation or construction of this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2" w:name="page283"/>
    <w:bookmarkEnd w:id="282"/>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Confidentiality Agreement, Executive’s letter offer of employment with the Company dated September 13, 2020, and the Company’s 2014 Equity Incentive Plan and award agreements thereunder governing Executive’s outstanding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0" w:lineRule="exact"/>
        <w:rPr>
          <w:sz w:val="20"/>
          <w:szCs w:val="20"/>
          <w:color w:val="auto"/>
        </w:rPr>
      </w:pPr>
    </w:p>
    <w:p>
      <w:pPr>
        <w:jc w:val="both"/>
        <w:ind w:firstLine="1727"/>
        <w:spacing w:after="0" w:line="248" w:lineRule="exact"/>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3" w:name="page284"/>
    <w:bookmarkEnd w:id="283"/>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By her, his, or its signature below, each of the parties signifies its acceptance of the terms of this Agreement, in the case of the Company by its duly authorized officer.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28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ATHIRA PHARMA, INC.</w:t>
            </w:r>
          </w:p>
        </w:tc>
      </w:tr>
      <w:tr>
        <w:trPr>
          <w:trHeight w:val="474"/>
        </w:trPr>
        <w:tc>
          <w:tcPr>
            <w:tcW w:w="3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Leen Kawas</w:t>
            </w:r>
          </w:p>
        </w:tc>
      </w:tr>
      <w:tr>
        <w:trPr>
          <w:trHeight w:val="479"/>
        </w:trPr>
        <w:tc>
          <w:tcPr>
            <w:tcW w:w="3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CEO</w:t>
            </w:r>
          </w:p>
        </w:tc>
      </w:tr>
      <w:tr>
        <w:trPr>
          <w:trHeight w:val="480"/>
        </w:trPr>
        <w:tc>
          <w:tcPr>
            <w:tcW w:w="3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September 13, 2020</w:t>
            </w:r>
          </w:p>
        </w:tc>
      </w:tr>
      <w:tr>
        <w:trPr>
          <w:trHeight w:val="479"/>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22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Hans Moebius</w:t>
            </w:r>
          </w:p>
        </w:tc>
      </w:tr>
      <w:tr>
        <w:trPr>
          <w:trHeight w:val="479"/>
        </w:trPr>
        <w:tc>
          <w:tcPr>
            <w:tcW w:w="3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September 13, 2020</w:t>
            </w:r>
          </w:p>
        </w:tc>
      </w:tr>
      <w:tr>
        <w:trPr>
          <w:trHeight w:val="492"/>
        </w:trPr>
        <w:tc>
          <w:tcPr>
            <w:tcW w:w="3340" w:type="dxa"/>
            <w:vAlign w:val="bottom"/>
          </w:tcPr>
          <w:p>
            <w:pPr>
              <w:spacing w:after="0"/>
              <w:rPr>
                <w:sz w:val="24"/>
                <w:szCs w:val="24"/>
                <w:color w:val="auto"/>
              </w:rPr>
            </w:pPr>
          </w:p>
        </w:tc>
        <w:tc>
          <w:tcPr>
            <w:tcW w:w="298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-12-</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and Young, LLP, Independent Registered Public Accounting Firm</w:t>
      </w:r>
    </w:p>
    <w:p>
      <w:pPr>
        <w:spacing w:after="0" w:line="21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July 24, 2020, except for Note 17(a), 17(g), 17(h) and 17(i), as to which the date is September 14, 2020, in Amendment No. 2 to the Registration Statement (Form S-1 333-248428) and related Prospectus of Athira Pharma, Inc. for the registration of its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2020</w:t>
      </w:r>
    </w:p>
    <w:sectPr>
      <w:pgSz w:w="11900" w:h="16838" w:orient="portrait"/>
      <w:cols w:equalWidth="0" w:num="1">
        <w:col w:w="11240"/>
      </w:cols>
      <w:pgMar w:left="320" w:top="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decimal"/>
      <w:start w:val="1"/>
    </w:lvl>
  </w:abstractNum>
  <w:abstractNum w:abstractNumId="1">
    <w:nsid w:val="71C91298"/>
    <w:multiLevelType w:val="hybridMultilevel"/>
    <w:lvl w:ilvl="0">
      <w:lvlJc w:val="left"/>
      <w:lvlText w:val="(%1)"/>
      <w:numFmt w:val="decimal"/>
      <w:start w:val="1"/>
    </w:lvl>
  </w:abstractNum>
  <w:abstractNum w:abstractNumId="2">
    <w:nsid w:val="9DAF632"/>
    <w:multiLevelType w:val="hybridMultilevel"/>
    <w:lvl w:ilvl="0">
      <w:lvlJc w:val="left"/>
      <w:lvlText w:val="(%1)"/>
      <w:numFmt w:val="decimal"/>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1)"/>
      <w:numFmt w:val="decimal"/>
      <w:start w:val="1"/>
    </w:lvl>
  </w:abstractNum>
  <w:abstractNum w:abstractNumId="16">
    <w:nsid w:val="7C58FD05"/>
    <w:multiLevelType w:val="hybridMultilevel"/>
    <w:lvl w:ilvl="0">
      <w:lvlJc w:val="left"/>
      <w:lvlText w:val="(%1)"/>
      <w:numFmt w:val="decimal"/>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
      <w:numFmt w:val="bullet"/>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
      <w:numFmt w:val="bullet"/>
      <w:start w:val="1"/>
    </w:lvl>
  </w:abstractNum>
  <w:abstractNum w:abstractNumId="50">
    <w:nsid w:val="2A082C70"/>
    <w:multiLevelType w:val="hybridMultilevel"/>
    <w:lvl w:ilvl="0">
      <w:lvlJc w:val="left"/>
      <w:lvlText w:val="•"/>
      <w:numFmt w:val="bullet"/>
      <w:start w:val="1"/>
    </w:lvl>
  </w:abstractNum>
  <w:abstractNum w:abstractNumId="51">
    <w:nsid w:val="5EC6AFD4"/>
    <w:multiLevelType w:val="hybridMultilevel"/>
    <w:lvl w:ilvl="0">
      <w:lvlJc w:val="left"/>
      <w:lvlText w:val="•"/>
      <w:numFmt w:val="bullet"/>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
      <w:numFmt w:val="bullet"/>
      <w:start w:val="1"/>
    </w:lvl>
  </w:abstractNum>
  <w:abstractNum w:abstractNumId="54">
    <w:nsid w:val="57A61A29"/>
    <w:multiLevelType w:val="hybridMultilevel"/>
    <w:lvl w:ilvl="0">
      <w:lvlJc w:val="left"/>
      <w:lvlText w:val="•"/>
      <w:numFmt w:val="bullet"/>
      <w:start w:val="1"/>
    </w:lvl>
  </w:abstractNum>
  <w:abstractNum w:abstractNumId="55">
    <w:nsid w:val="5399C654"/>
    <w:multiLevelType w:val="hybridMultilevel"/>
    <w:lvl w:ilvl="0">
      <w:lvlJc w:val="left"/>
      <w:lvlText w:val="•"/>
      <w:numFmt w:val="bullet"/>
      <w:start w:val="1"/>
    </w:lvl>
  </w:abstractNum>
  <w:abstractNum w:abstractNumId="56">
    <w:nsid w:val="20EE1348"/>
    <w:multiLevelType w:val="hybridMultilevel"/>
    <w:lvl w:ilvl="0">
      <w:lvlJc w:val="left"/>
      <w:lvlText w:val="(%1)"/>
      <w:numFmt w:val="decimal"/>
      <w:start w:val="1"/>
    </w:lvl>
  </w:abstractNum>
  <w:abstractNum w:abstractNumId="57">
    <w:nsid w:val="4427069A"/>
    <w:multiLevelType w:val="hybridMultilevel"/>
    <w:lvl w:ilvl="0">
      <w:lvlJc w:val="left"/>
      <w:lvlText w:val="•"/>
      <w:numFmt w:val="bullet"/>
      <w:start w:val="1"/>
    </w:lvl>
  </w:abstractNum>
  <w:abstractNum w:abstractNumId="58">
    <w:nsid w:val="B37E80A"/>
    <w:multiLevelType w:val="hybridMultilevel"/>
    <w:lvl w:ilvl="0">
      <w:lvlJc w:val="left"/>
      <w:lvlText w:val="•"/>
      <w:numFmt w:val="bullet"/>
      <w:start w:val="1"/>
    </w:lvl>
  </w:abstractNum>
  <w:abstractNum w:abstractNumId="59">
    <w:nsid w:val="2157F6BC"/>
    <w:multiLevelType w:val="hybridMultilevel"/>
    <w:lvl w:ilvl="0">
      <w:lvlJc w:val="left"/>
      <w:lvlText w:val="•"/>
      <w:numFmt w:val="bullet"/>
      <w:start w:val="1"/>
    </w:lvl>
  </w:abstractNum>
  <w:abstractNum w:abstractNumId="60">
    <w:nsid w:val="704E1DD5"/>
    <w:multiLevelType w:val="hybridMultilevel"/>
    <w:lvl w:ilvl="0">
      <w:lvlJc w:val="left"/>
      <w:lvlText w:val="(%1)"/>
      <w:numFmt w:val="decimal"/>
      <w:start w:val="1"/>
    </w:lvl>
  </w:abstractNum>
  <w:abstractNum w:abstractNumId="61">
    <w:nsid w:val="57D2F10E"/>
    <w:multiLevelType w:val="hybridMultilevel"/>
    <w:lvl w:ilvl="0">
      <w:lvlJc w:val="left"/>
      <w:lvlText w:val="(%1)"/>
      <w:numFmt w:val="decimal"/>
      <w:start w:val="1"/>
    </w:lvl>
  </w:abstractNum>
  <w:abstractNum w:abstractNumId="62">
    <w:nsid w:val="BFFAE18"/>
    <w:multiLevelType w:val="hybridMultilevel"/>
    <w:lvl w:ilvl="0">
      <w:lvlJc w:val="left"/>
      <w:lvlText w:val="(%1)"/>
      <w:numFmt w:val="decimal"/>
      <w:start w:val="1"/>
    </w:lvl>
  </w:abstractNum>
  <w:abstractNum w:abstractNumId="63">
    <w:nsid w:val="E3E47A8"/>
    <w:multiLevelType w:val="hybridMultilevel"/>
    <w:lvl w:ilvl="0">
      <w:lvlJc w:val="left"/>
      <w:lvlText w:val="•"/>
      <w:numFmt w:val="bullet"/>
      <w:start w:val="1"/>
    </w:lvl>
  </w:abstractNum>
  <w:abstractNum w:abstractNumId="64">
    <w:nsid w:val="2E48F044"/>
    <w:multiLevelType w:val="hybridMultilevel"/>
    <w:lvl w:ilvl="0">
      <w:lvlJc w:val="left"/>
      <w:lvlText w:val="•"/>
      <w:numFmt w:val="bullet"/>
      <w:start w:val="1"/>
    </w:lvl>
  </w:abstractNum>
  <w:abstractNum w:abstractNumId="65">
    <w:nsid w:val="49D0FEAC"/>
    <w:multiLevelType w:val="hybridMultilevel"/>
    <w:lvl w:ilvl="0">
      <w:lvlJc w:val="left"/>
      <w:lvlText w:val="•"/>
      <w:numFmt w:val="bullet"/>
      <w:start w:val="1"/>
    </w:lvl>
  </w:abstractNum>
  <w:abstractNum w:abstractNumId="66">
    <w:nsid w:val="4BEE5A5B"/>
    <w:multiLevelType w:val="hybridMultilevel"/>
    <w:lvl w:ilvl="0">
      <w:lvlJc w:val="left"/>
      <w:lvlText w:val="*"/>
      <w:numFmt w:val="bullet"/>
      <w:start w:val="1"/>
    </w:lvl>
  </w:abstractNum>
  <w:abstractNum w:abstractNumId="67">
    <w:nsid w:val="5551B9F3"/>
    <w:multiLevelType w:val="hybridMultilevel"/>
    <w:lvl w:ilvl="0">
      <w:lvlJc w:val="left"/>
      <w:lvlText w:val="*"/>
      <w:numFmt w:val="bullet"/>
      <w:start w:val="1"/>
    </w:lvl>
  </w:abstractNum>
  <w:abstractNum w:abstractNumId="68">
    <w:nsid w:val="24F6AB8E"/>
    <w:multiLevelType w:val="hybridMultilevel"/>
    <w:lvl w:ilvl="0">
      <w:lvlJc w:val="left"/>
      <w:lvlText w:val="•"/>
      <w:numFmt w:val="bullet"/>
      <w:start w:val="1"/>
    </w:lvl>
  </w:abstractNum>
  <w:abstractNum w:abstractNumId="69">
    <w:nsid w:val="634C574C"/>
    <w:multiLevelType w:val="hybridMultilevel"/>
    <w:lvl w:ilvl="0">
      <w:lvlJc w:val="left"/>
      <w:lvlText w:val="•"/>
      <w:numFmt w:val="bullet"/>
      <w:start w:val="1"/>
    </w:lvl>
  </w:abstractNum>
  <w:abstractNum w:abstractNumId="70">
    <w:nsid w:val="24E99DD7"/>
    <w:multiLevelType w:val="hybridMultilevel"/>
    <w:lvl w:ilvl="0">
      <w:lvlJc w:val="left"/>
      <w:lvlText w:val="•"/>
      <w:numFmt w:val="bullet"/>
      <w:start w:val="1"/>
    </w:lvl>
  </w:abstractNum>
  <w:abstractNum w:abstractNumId="71">
    <w:nsid w:val="2A31B62D"/>
    <w:multiLevelType w:val="hybridMultilevel"/>
    <w:lvl w:ilvl="0">
      <w:lvlJc w:val="left"/>
      <w:lvlText w:val="•"/>
      <w:numFmt w:val="bullet"/>
      <w:start w:val="1"/>
    </w:lvl>
  </w:abstractNum>
  <w:abstractNum w:abstractNumId="72">
    <w:nsid w:val="1849C29B"/>
    <w:multiLevelType w:val="hybridMultilevel"/>
    <w:lvl w:ilvl="0">
      <w:lvlJc w:val="left"/>
      <w:lvlText w:val="(%1)"/>
      <w:numFmt w:val="decimal"/>
      <w:start w:val="1"/>
    </w:lvl>
  </w:abstractNum>
  <w:abstractNum w:abstractNumId="73">
    <w:nsid w:val="7DFF9D09"/>
    <w:multiLevelType w:val="hybridMultilevel"/>
    <w:lvl w:ilvl="0">
      <w:lvlJc w:val="left"/>
      <w:lvlText w:val="•"/>
      <w:numFmt w:val="bullet"/>
      <w:start w:val="1"/>
    </w:lvl>
  </w:abstractNum>
  <w:abstractNum w:abstractNumId="74">
    <w:nsid w:val="754342"/>
    <w:multiLevelType w:val="hybridMultilevel"/>
    <w:lvl w:ilvl="0">
      <w:lvlJc w:val="left"/>
      <w:lvlText w:val="•"/>
      <w:numFmt w:val="bullet"/>
      <w:start w:val="1"/>
    </w:lvl>
  </w:abstractNum>
  <w:abstractNum w:abstractNumId="75">
    <w:nsid w:val="69E7F3E5"/>
    <w:multiLevelType w:val="hybridMultilevel"/>
    <w:lvl w:ilvl="0">
      <w:lvlJc w:val="left"/>
      <w:lvlText w:val="•"/>
      <w:numFmt w:val="bullet"/>
      <w:start w:val="1"/>
    </w:lvl>
  </w:abstractNum>
  <w:abstractNum w:abstractNumId="76">
    <w:nsid w:val="2A6DE806"/>
    <w:multiLevelType w:val="hybridMultilevel"/>
    <w:lvl w:ilvl="0">
      <w:lvlJc w:val="left"/>
      <w:lvlText w:val="•"/>
      <w:numFmt w:val="bullet"/>
      <w:start w:val="1"/>
    </w:lvl>
  </w:abstractNum>
  <w:abstractNum w:abstractNumId="77">
    <w:nsid w:val="1816F8C4"/>
    <w:multiLevelType w:val="hybridMultilevel"/>
    <w:lvl w:ilvl="0">
      <w:lvlJc w:val="left"/>
      <w:lvlText w:val="•"/>
      <w:numFmt w:val="bullet"/>
      <w:start w:val="1"/>
    </w:lvl>
  </w:abstractNum>
  <w:abstractNum w:abstractNumId="78">
    <w:nsid w:val="37DF2233"/>
    <w:multiLevelType w:val="hybridMultilevel"/>
    <w:lvl w:ilvl="0">
      <w:lvlJc w:val="left"/>
      <w:lvlText w:val="•"/>
      <w:numFmt w:val="bullet"/>
      <w:start w:val="1"/>
    </w:lvl>
  </w:abstractNum>
  <w:abstractNum w:abstractNumId="79">
    <w:nsid w:val="7AB49DAF"/>
    <w:multiLevelType w:val="hybridMultilevel"/>
    <w:lvl w:ilvl="0">
      <w:lvlJc w:val="left"/>
      <w:lvlText w:val="•"/>
      <w:numFmt w:val="bullet"/>
      <w:start w:val="1"/>
    </w:lvl>
  </w:abstractNum>
  <w:abstractNum w:abstractNumId="80">
    <w:nsid w:val="759F82CD"/>
    <w:multiLevelType w:val="hybridMultilevel"/>
    <w:lvl w:ilvl="0">
      <w:lvlJc w:val="left"/>
      <w:lvlText w:val="•"/>
      <w:numFmt w:val="bullet"/>
      <w:start w:val="1"/>
    </w:lvl>
  </w:abstractNum>
  <w:abstractNum w:abstractNumId="81">
    <w:nsid w:val="61E74EA3"/>
    <w:multiLevelType w:val="hybridMultilevel"/>
    <w:lvl w:ilvl="0">
      <w:lvlJc w:val="left"/>
      <w:lvlText w:val="•"/>
      <w:numFmt w:val="bullet"/>
      <w:start w:val="1"/>
    </w:lvl>
  </w:abstractNum>
  <w:abstractNum w:abstractNumId="82">
    <w:nsid w:val="597B4D84"/>
    <w:multiLevelType w:val="hybridMultilevel"/>
    <w:lvl w:ilvl="0">
      <w:lvlJc w:val="left"/>
      <w:lvlText w:val="•"/>
      <w:numFmt w:val="bullet"/>
      <w:start w:val="1"/>
    </w:lvl>
  </w:abstractNum>
  <w:abstractNum w:abstractNumId="83">
    <w:nsid w:val="F819E7F"/>
    <w:multiLevelType w:val="hybridMultilevel"/>
    <w:lvl w:ilvl="0">
      <w:lvlJc w:val="left"/>
      <w:lvlText w:val="•"/>
      <w:numFmt w:val="bullet"/>
      <w:start w:val="1"/>
    </w:lvl>
  </w:abstractNum>
  <w:abstractNum w:abstractNumId="84">
    <w:nsid w:val="57C7D42D"/>
    <w:multiLevelType w:val="hybridMultilevel"/>
    <w:lvl w:ilvl="0">
      <w:lvlJc w:val="left"/>
      <w:lvlText w:val="•"/>
      <w:numFmt w:val="bullet"/>
      <w:start w:val="1"/>
    </w:lvl>
  </w:abstractNum>
  <w:abstractNum w:abstractNumId="85">
    <w:nsid w:val="312167AD"/>
    <w:multiLevelType w:val="hybridMultilevel"/>
    <w:lvl w:ilvl="0">
      <w:lvlJc w:val="left"/>
      <w:lvlText w:val="•"/>
      <w:numFmt w:val="bullet"/>
      <w:start w:val="1"/>
    </w:lvl>
  </w:abstractNum>
  <w:abstractNum w:abstractNumId="86">
    <w:nsid w:val="631B64D4"/>
    <w:multiLevelType w:val="hybridMultilevel"/>
    <w:lvl w:ilvl="0">
      <w:lvlJc w:val="left"/>
      <w:lvlText w:val="•"/>
      <w:numFmt w:val="bullet"/>
      <w:start w:val="1"/>
    </w:lvl>
  </w:abstractNum>
  <w:abstractNum w:abstractNumId="87">
    <w:nsid w:val="78B5E776"/>
    <w:multiLevelType w:val="hybridMultilevel"/>
    <w:lvl w:ilvl="0">
      <w:lvlJc w:val="left"/>
      <w:lvlText w:val="•"/>
      <w:numFmt w:val="bullet"/>
      <w:start w:val="1"/>
    </w:lvl>
  </w:abstractNum>
  <w:abstractNum w:abstractNumId="88">
    <w:nsid w:val="75486E47"/>
    <w:multiLevelType w:val="hybridMultilevel"/>
    <w:lvl w:ilvl="0">
      <w:lvlJc w:val="left"/>
      <w:lvlText w:val="•"/>
      <w:numFmt w:val="bullet"/>
      <w:start w:val="1"/>
    </w:lvl>
  </w:abstractNum>
  <w:abstractNum w:abstractNumId="89">
    <w:nsid w:val="6E534CDE"/>
    <w:multiLevelType w:val="hybridMultilevel"/>
    <w:lvl w:ilvl="0">
      <w:lvlJc w:val="left"/>
      <w:lvlText w:val="•"/>
      <w:numFmt w:val="bullet"/>
      <w:start w:val="1"/>
    </w:lvl>
  </w:abstractNum>
  <w:abstractNum w:abstractNumId="90">
    <w:nsid w:val="1A0DDE32"/>
    <w:multiLevelType w:val="hybridMultilevel"/>
    <w:lvl w:ilvl="0">
      <w:lvlJc w:val="left"/>
      <w:lvlText w:val="(%1)"/>
      <w:numFmt w:val="decimal"/>
      <w:start w:val="1"/>
    </w:lvl>
  </w:abstractNum>
  <w:abstractNum w:abstractNumId="91">
    <w:nsid w:val="65968C1C"/>
    <w:multiLevelType w:val="hybridMultilevel"/>
    <w:lvl w:ilvl="0">
      <w:lvlJc w:val="left"/>
      <w:lvlText w:val="•"/>
      <w:numFmt w:val="bullet"/>
      <w:start w:val="1"/>
    </w:lvl>
  </w:abstractNum>
  <w:abstractNum w:abstractNumId="92">
    <w:nsid w:val="46263DEC"/>
    <w:multiLevelType w:val="hybridMultilevel"/>
    <w:lvl w:ilvl="0">
      <w:lvlJc w:val="left"/>
      <w:lvlText w:val="•"/>
      <w:numFmt w:val="bullet"/>
      <w:start w:val="1"/>
    </w:lvl>
  </w:abstractNum>
  <w:abstractNum w:abstractNumId="93">
    <w:nsid w:val="260D8C4A"/>
    <w:multiLevelType w:val="hybridMultilevel"/>
    <w:lvl w:ilvl="0">
      <w:lvlJc w:val="left"/>
      <w:lvlText w:val="•"/>
      <w:numFmt w:val="bullet"/>
      <w:start w:val="1"/>
    </w:lvl>
  </w:abstractNum>
  <w:abstractNum w:abstractNumId="94">
    <w:nsid w:val="73D4D3C4"/>
    <w:multiLevelType w:val="hybridMultilevel"/>
    <w:lvl w:ilvl="0">
      <w:lvlJc w:val="left"/>
      <w:lvlText w:val="•"/>
      <w:numFmt w:val="bullet"/>
      <w:start w:val="1"/>
    </w:lvl>
  </w:abstractNum>
  <w:abstractNum w:abstractNumId="95">
    <w:nsid w:val="746F2E30"/>
    <w:multiLevelType w:val="hybridMultilevel"/>
    <w:lvl w:ilvl="0">
      <w:lvlJc w:val="left"/>
      <w:lvlText w:val="•"/>
      <w:numFmt w:val="bullet"/>
      <w:start w:val="1"/>
    </w:lvl>
  </w:abstractNum>
  <w:abstractNum w:abstractNumId="96">
    <w:nsid w:val="6FDE8AF6"/>
    <w:multiLevelType w:val="hybridMultilevel"/>
    <w:lvl w:ilvl="0">
      <w:lvlJc w:val="left"/>
      <w:lvlText w:val="(%1)"/>
      <w:numFmt w:val="decimal"/>
      <w:start w:val="1"/>
    </w:lvl>
  </w:abstractNum>
  <w:abstractNum w:abstractNumId="97">
    <w:nsid w:val="3FC32E20"/>
    <w:multiLevelType w:val="hybridMultilevel"/>
    <w:lvl w:ilvl="0">
      <w:lvlJc w:val="left"/>
      <w:lvlText w:val="•"/>
      <w:numFmt w:val="bullet"/>
      <w:start w:val="1"/>
    </w:lvl>
  </w:abstractNum>
  <w:abstractNum w:abstractNumId="98">
    <w:nsid w:val="49C0E823"/>
    <w:multiLevelType w:val="hybridMultilevel"/>
    <w:lvl w:ilvl="0">
      <w:lvlJc w:val="left"/>
      <w:lvlText w:val="•"/>
      <w:numFmt w:val="bullet"/>
      <w:start w:val="1"/>
    </w:lvl>
  </w:abstractNum>
  <w:abstractNum w:abstractNumId="99">
    <w:nsid w:val="14D53685"/>
    <w:multiLevelType w:val="hybridMultilevel"/>
    <w:lvl w:ilvl="0">
      <w:lvlJc w:val="left"/>
      <w:lvlText w:val="(%1)"/>
      <w:numFmt w:val="decimal"/>
      <w:start w:val="1"/>
    </w:lvl>
  </w:abstractNum>
  <w:abstractNum w:abstractNumId="100">
    <w:nsid w:val="230F856C"/>
    <w:multiLevelType w:val="hybridMultilevel"/>
    <w:lvl w:ilvl="0">
      <w:lvlJc w:val="left"/>
      <w:lvlText w:val="(%1)"/>
      <w:numFmt w:val="decimal"/>
      <w:start w:val="1"/>
    </w:lvl>
  </w:abstractNum>
  <w:abstractNum w:abstractNumId="101">
    <w:nsid w:val="6EAA85FB"/>
    <w:multiLevelType w:val="hybridMultilevel"/>
    <w:lvl w:ilvl="0">
      <w:lvlJc w:val="left"/>
      <w:lvlText w:val="•"/>
      <w:numFmt w:val="bullet"/>
      <w:start w:val="1"/>
    </w:lvl>
  </w:abstractNum>
  <w:abstractNum w:abstractNumId="102">
    <w:nsid w:val="3F06ECB2"/>
    <w:multiLevelType w:val="hybridMultilevel"/>
    <w:lvl w:ilvl="0">
      <w:lvlJc w:val="left"/>
      <w:lvlText w:val="•"/>
      <w:numFmt w:val="bullet"/>
      <w:start w:val="1"/>
    </w:lvl>
  </w:abstractNum>
  <w:abstractNum w:abstractNumId="103">
    <w:nsid w:val="3B594807"/>
    <w:multiLevelType w:val="hybridMultilevel"/>
    <w:lvl w:ilvl="0">
      <w:lvlJc w:val="left"/>
      <w:lvlText w:val="•"/>
      <w:numFmt w:val="bullet"/>
      <w:start w:val="1"/>
    </w:lvl>
  </w:abstractNum>
  <w:abstractNum w:abstractNumId="104">
    <w:nsid w:val="6CAA2304"/>
    <w:multiLevelType w:val="hybridMultilevel"/>
    <w:lvl w:ilvl="0">
      <w:lvlJc w:val="left"/>
      <w:lvlText w:val="•"/>
      <w:numFmt w:val="bullet"/>
      <w:start w:val="1"/>
    </w:lvl>
  </w:abstractNum>
  <w:abstractNum w:abstractNumId="105">
    <w:nsid w:val="3F7C2FF4"/>
    <w:multiLevelType w:val="hybridMultilevel"/>
    <w:lvl w:ilvl="0">
      <w:lvlJc w:val="left"/>
      <w:lvlText w:val="•"/>
      <w:numFmt w:val="bullet"/>
      <w:start w:val="1"/>
    </w:lvl>
  </w:abstractNum>
  <w:abstractNum w:abstractNumId="106">
    <w:nsid w:val="25413BEC"/>
    <w:multiLevelType w:val="hybridMultilevel"/>
    <w:lvl w:ilvl="0">
      <w:lvlJc w:val="left"/>
      <w:lvlText w:val="(%1)"/>
      <w:numFmt w:val="decimal"/>
      <w:start w:val="2"/>
    </w:lvl>
  </w:abstractNum>
  <w:abstractNum w:abstractNumId="107">
    <w:nsid w:val="17180B0B"/>
    <w:multiLevelType w:val="hybridMultilevel"/>
    <w:lvl w:ilvl="0">
      <w:lvlJc w:val="left"/>
      <w:lvlText w:val="•"/>
      <w:numFmt w:val="bullet"/>
      <w:start w:val="1"/>
    </w:lvl>
  </w:abstractNum>
  <w:abstractNum w:abstractNumId="108">
    <w:nsid w:val="579328B9"/>
    <w:multiLevelType w:val="hybridMultilevel"/>
    <w:lvl w:ilvl="0">
      <w:lvlJc w:val="left"/>
      <w:lvlText w:val="•"/>
      <w:numFmt w:val="bullet"/>
      <w:start w:val="1"/>
    </w:lvl>
  </w:abstractNum>
  <w:abstractNum w:abstractNumId="109">
    <w:nsid w:val="5D205E20"/>
    <w:multiLevelType w:val="hybridMultilevel"/>
    <w:lvl w:ilvl="0">
      <w:lvlJc w:val="left"/>
      <w:lvlText w:val="•"/>
      <w:numFmt w:val="bullet"/>
      <w:start w:val="1"/>
    </w:lvl>
  </w:abstractNum>
  <w:abstractNum w:abstractNumId="110">
    <w:nsid w:val="11CCA8BA"/>
    <w:multiLevelType w:val="hybridMultilevel"/>
    <w:lvl w:ilvl="0">
      <w:lvlJc w:val="left"/>
      <w:lvlText w:val="(%1)"/>
      <w:numFmt w:val="decimal"/>
      <w:start w:val="1"/>
    </w:lvl>
  </w:abstractNum>
  <w:abstractNum w:abstractNumId="111">
    <w:nsid w:val="4D32AB86"/>
    <w:multiLevelType w:val="hybridMultilevel"/>
    <w:lvl w:ilvl="0">
      <w:lvlJc w:val="left"/>
      <w:lvlText w:val="•"/>
      <w:numFmt w:val="bullet"/>
      <w:start w:val="1"/>
    </w:lvl>
  </w:abstractNum>
  <w:abstractNum w:abstractNumId="112">
    <w:nsid w:val="3F07ACC3"/>
    <w:multiLevelType w:val="hybridMultilevel"/>
    <w:lvl w:ilvl="0">
      <w:lvlJc w:val="left"/>
      <w:lvlText w:val="•"/>
      <w:numFmt w:val="bullet"/>
      <w:start w:val="1"/>
    </w:lvl>
  </w:abstractNum>
  <w:abstractNum w:abstractNumId="113">
    <w:nsid w:val="6B47F63E"/>
    <w:multiLevelType w:val="hybridMultilevel"/>
    <w:lvl w:ilvl="0">
      <w:lvlJc w:val="left"/>
      <w:lvlText w:val="*"/>
      <w:numFmt w:val="bullet"/>
      <w:start w:val="1"/>
    </w:lvl>
  </w:abstractNum>
  <w:abstractNum w:abstractNumId="114">
    <w:nsid w:val="5CB44A05"/>
    <w:multiLevelType w:val="hybridMultilevel"/>
    <w:lvl w:ilvl="0">
      <w:lvlJc w:val="left"/>
      <w:lvlText w:val="(%1)"/>
      <w:numFmt w:val="decimal"/>
      <w:start w:val="1"/>
    </w:lvl>
  </w:abstractNum>
  <w:abstractNum w:abstractNumId="115">
    <w:nsid w:val="16CF80F1"/>
    <w:multiLevelType w:val="hybridMultilevel"/>
    <w:lvl w:ilvl="0">
      <w:lvlJc w:val="left"/>
      <w:lvlText w:val="(%1)"/>
      <w:numFmt w:val="decimal"/>
      <w:start w:val="7"/>
    </w:lvl>
  </w:abstractNum>
  <w:abstractNum w:abstractNumId="116">
    <w:nsid w:val="1C695DEC"/>
    <w:multiLevelType w:val="hybridMultilevel"/>
    <w:lvl w:ilvl="0">
      <w:lvlJc w:val="left"/>
      <w:lvlText w:val="•"/>
      <w:numFmt w:val="bullet"/>
      <w:start w:val="1"/>
    </w:lvl>
  </w:abstractNum>
  <w:abstractNum w:abstractNumId="117">
    <w:nsid w:val="3FCFAED9"/>
    <w:multiLevelType w:val="hybridMultilevel"/>
    <w:lvl w:ilvl="0">
      <w:lvlJc w:val="left"/>
      <w:lvlText w:val="•"/>
      <w:numFmt w:val="bullet"/>
      <w:start w:val="1"/>
    </w:lvl>
  </w:abstractNum>
  <w:abstractNum w:abstractNumId="118">
    <w:nsid w:val="F856867"/>
    <w:multiLevelType w:val="hybridMultilevel"/>
    <w:lvl w:ilvl="0">
      <w:lvlJc w:val="left"/>
      <w:lvlText w:val="•"/>
      <w:numFmt w:val="bullet"/>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
      <w:numFmt w:val="bullet"/>
      <w:start w:val="1"/>
    </w:lvl>
  </w:abstractNum>
  <w:abstractNum w:abstractNumId="121">
    <w:nsid w:val="29934699"/>
    <w:multiLevelType w:val="hybridMultilevel"/>
    <w:lvl w:ilvl="0">
      <w:lvlJc w:val="left"/>
      <w:lvlText w:val="•"/>
      <w:numFmt w:val="bullet"/>
      <w:start w:val="1"/>
    </w:lvl>
    <w:lvl w:ilvl="1">
      <w:lvlJc w:val="left"/>
      <w:lvlText w:val="•"/>
      <w:numFmt w:val="bullet"/>
      <w:start w:val="1"/>
    </w:lvl>
  </w:abstractNum>
  <w:abstractNum w:abstractNumId="122">
    <w:nsid w:val="77485850"/>
    <w:multiLevelType w:val="hybridMultilevel"/>
    <w:lvl w:ilvl="0">
      <w:lvlJc w:val="left"/>
      <w:lvlText w:val="•"/>
      <w:numFmt w:val="bullet"/>
      <w:start w:val="1"/>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
      <w:numFmt w:val="bullet"/>
      <w:start w:val="1"/>
    </w:lvl>
  </w:abstractNum>
  <w:abstractNum w:abstractNumId="125">
    <w:nsid w:val="6B1D2C14"/>
    <w:multiLevelType w:val="hybridMultilevel"/>
    <w:lvl w:ilvl="0">
      <w:lvlJc w:val="left"/>
      <w:lvlText w:val="•"/>
      <w:numFmt w:val="bullet"/>
      <w:start w:val="1"/>
    </w:lvl>
  </w:abstractNum>
  <w:abstractNum w:abstractNumId="126">
    <w:nsid w:val="68B867D3"/>
    <w:multiLevelType w:val="hybridMultilevel"/>
    <w:lvl w:ilvl="0">
      <w:lvlJc w:val="left"/>
      <w:lvlText w:val="•"/>
      <w:numFmt w:val="bullet"/>
      <w:start w:val="1"/>
    </w:lvl>
  </w:abstractNum>
  <w:abstractNum w:abstractNumId="127">
    <w:nsid w:val="3F7F5DD9"/>
    <w:multiLevelType w:val="hybridMultilevel"/>
    <w:lvl w:ilvl="0">
      <w:lvlJc w:val="left"/>
      <w:lvlText w:val="%1."/>
      <w:numFmt w:val="decimal"/>
      <w:start w:val="1"/>
    </w:lvl>
  </w:abstractNum>
  <w:abstractNum w:abstractNumId="128">
    <w:nsid w:val="2AE05A34"/>
    <w:multiLevelType w:val="hybridMultilevel"/>
    <w:lvl w:ilvl="0">
      <w:lvlJc w:val="left"/>
      <w:lvlText w:val="%1."/>
      <w:numFmt w:val="decimal"/>
      <w:start w:val="2"/>
    </w:lvl>
  </w:abstractNum>
  <w:abstractNum w:abstractNumId="129">
    <w:nsid w:val="32794FF7"/>
    <w:multiLevelType w:val="hybridMultilevel"/>
    <w:lvl w:ilvl="0">
      <w:lvlJc w:val="left"/>
      <w:lvlText w:val="%1."/>
      <w:numFmt w:val="decimal"/>
      <w:start w:val="3"/>
    </w:lvl>
  </w:abstractNum>
  <w:abstractNum w:abstractNumId="130">
    <w:nsid w:val="5454945E"/>
    <w:multiLevelType w:val="hybridMultilevel"/>
    <w:lvl w:ilvl="0">
      <w:lvlJc w:val="left"/>
      <w:lvlText w:val="%1."/>
      <w:numFmt w:val="decimal"/>
      <w:start w:val="4"/>
    </w:lvl>
  </w:abstractNum>
  <w:abstractNum w:abstractNumId="131">
    <w:nsid w:val="4DEFDFA0"/>
    <w:multiLevelType w:val="hybridMultilevel"/>
    <w:lvl w:ilvl="0">
      <w:lvlJc w:val="left"/>
      <w:lvlText w:val="%1."/>
      <w:numFmt w:val="decimal"/>
      <w:start w:val="5"/>
    </w:lvl>
  </w:abstractNum>
  <w:abstractNum w:abstractNumId="132">
    <w:nsid w:val="2123D5F2"/>
    <w:multiLevelType w:val="hybridMultilevel"/>
    <w:lvl w:ilvl="0">
      <w:lvlJc w:val="left"/>
      <w:lvlText w:val="%1."/>
      <w:numFmt w:val="decimal"/>
      <w:start w:val="6"/>
    </w:lvl>
  </w:abstractNum>
  <w:abstractNum w:abstractNumId="133">
    <w:nsid w:val="135B8110"/>
    <w:multiLevelType w:val="hybridMultilevel"/>
    <w:lvl w:ilvl="0">
      <w:lvlJc w:val="left"/>
      <w:lvlText w:val="%1."/>
      <w:numFmt w:val="decimal"/>
      <w:start w:val="7"/>
    </w:lvl>
  </w:abstractNum>
  <w:abstractNum w:abstractNumId="134">
    <w:nsid w:val="94927A8"/>
    <w:multiLevelType w:val="hybridMultilevel"/>
    <w:lvl w:ilvl="0">
      <w:lvlJc w:val="left"/>
      <w:lvlText w:val="•"/>
      <w:numFmt w:val="bullet"/>
      <w:start w:val="1"/>
    </w:lvl>
  </w:abstractNum>
  <w:abstractNum w:abstractNumId="135">
    <w:nsid w:val="DCDF8F6"/>
    <w:multiLevelType w:val="hybridMultilevel"/>
    <w:lvl w:ilvl="0">
      <w:lvlJc w:val="left"/>
      <w:lvlText w:val="•"/>
      <w:numFmt w:val="bullet"/>
      <w:start w:val="1"/>
    </w:lvl>
  </w:abstractNum>
  <w:abstractNum w:abstractNumId="136">
    <w:nsid w:val="52D7B105"/>
    <w:multiLevelType w:val="hybridMultilevel"/>
    <w:lvl w:ilvl="0">
      <w:lvlJc w:val="left"/>
      <w:lvlText w:val="%1."/>
      <w:numFmt w:val="decimal"/>
      <w:start w:val="8"/>
    </w:lvl>
  </w:abstractNum>
  <w:abstractNum w:abstractNumId="137">
    <w:nsid w:val="2E8A6394"/>
    <w:multiLevelType w:val="hybridMultilevel"/>
    <w:lvl w:ilvl="0">
      <w:lvlJc w:val="left"/>
      <w:lvlText w:val="%1."/>
      <w:numFmt w:val="decimal"/>
      <w:start w:val="9"/>
    </w:lvl>
  </w:abstractNum>
  <w:abstractNum w:abstractNumId="138">
    <w:nsid w:val="24E60401"/>
    <w:multiLevelType w:val="hybridMultilevel"/>
    <w:lvl w:ilvl="0">
      <w:lvlJc w:val="left"/>
      <w:lvlText w:val="%1."/>
      <w:numFmt w:val="decimal"/>
      <w:start w:val="10"/>
    </w:lvl>
  </w:abstractNum>
  <w:abstractNum w:abstractNumId="139">
    <w:nsid w:val="2A6AD9BE"/>
    <w:multiLevelType w:val="hybridMultilevel"/>
    <w:lvl w:ilvl="0">
      <w:lvlJc w:val="left"/>
      <w:lvlText w:val="%1."/>
      <w:numFmt w:val="decimal"/>
      <w:start w:val="11"/>
    </w:lvl>
  </w:abstractNum>
  <w:abstractNum w:abstractNumId="140">
    <w:nsid w:val="BAAC1B4"/>
    <w:multiLevelType w:val="hybridMultilevel"/>
    <w:lvl w:ilvl="0">
      <w:lvlJc w:val="left"/>
      <w:lvlText w:val="%1."/>
      <w:numFmt w:val="decimal"/>
      <w:start w:val="12"/>
    </w:lvl>
  </w:abstractNum>
  <w:abstractNum w:abstractNumId="141">
    <w:nsid w:val="36B2ACBC"/>
    <w:multiLevelType w:val="hybridMultilevel"/>
    <w:lvl w:ilvl="0">
      <w:lvlJc w:val="left"/>
      <w:lvlText w:val="•"/>
      <w:numFmt w:val="bullet"/>
      <w:start w:val="1"/>
    </w:lvl>
  </w:abstractNum>
  <w:abstractNum w:abstractNumId="142">
    <w:nsid w:val="779D8544"/>
    <w:multiLevelType w:val="hybridMultilevel"/>
    <w:lvl w:ilvl="0">
      <w:lvlJc w:val="left"/>
      <w:lvlText w:val="•"/>
      <w:numFmt w:val="bullet"/>
      <w:start w:val="1"/>
    </w:lvl>
  </w:abstractNum>
  <w:abstractNum w:abstractNumId="143">
    <w:nsid w:val="4AB26E78"/>
    <w:multiLevelType w:val="hybridMultilevel"/>
    <w:lvl w:ilvl="0">
      <w:lvlJc w:val="left"/>
      <w:lvlText w:val="%1."/>
      <w:numFmt w:val="decimal"/>
      <w:start w:val="13"/>
    </w:lvl>
  </w:abstractNum>
  <w:abstractNum w:abstractNumId="144">
    <w:nsid w:val="21FAA2FA"/>
    <w:multiLevelType w:val="hybridMultilevel"/>
    <w:lvl w:ilvl="0">
      <w:lvlJc w:val="left"/>
      <w:lvlText w:val="%1."/>
      <w:numFmt w:val="decimal"/>
      <w:start w:val="14"/>
    </w:lvl>
  </w:abstractNum>
  <w:abstractNum w:abstractNumId="145">
    <w:nsid w:val="5451CF49"/>
    <w:multiLevelType w:val="hybridMultilevel"/>
    <w:lvl w:ilvl="0">
      <w:lvlJc w:val="left"/>
      <w:lvlText w:val="%1."/>
      <w:numFmt w:val="decimal"/>
      <w:start w:val="15"/>
    </w:lvl>
  </w:abstractNum>
  <w:abstractNum w:abstractNumId="146">
    <w:nsid w:val="6181EF69"/>
    <w:multiLevelType w:val="hybridMultilevel"/>
    <w:lvl w:ilvl="0">
      <w:lvlJc w:val="left"/>
      <w:lvlText w:val="%1."/>
      <w:numFmt w:val="decimal"/>
      <w:start w:val="16"/>
    </w:lvl>
  </w:abstractNum>
  <w:abstractNum w:abstractNumId="147">
    <w:nsid w:val="3E6400E6"/>
    <w:multiLevelType w:val="hybridMultilevel"/>
    <w:lvl w:ilvl="0">
      <w:lvlJc w:val="left"/>
      <w:lvlText w:val="%1."/>
      <w:numFmt w:val="decimal"/>
      <w:start w:val="17"/>
    </w:lvl>
  </w:abstractNum>
  <w:abstractNum w:abstractNumId="148">
    <w:nsid w:val="14217E23"/>
    <w:multiLevelType w:val="hybridMultilevel"/>
    <w:lvl w:ilvl="0">
      <w:lvlJc w:val="left"/>
      <w:lvlText w:val="(%1)"/>
      <w:numFmt w:val="lowerLetter"/>
      <w:start w:val="1"/>
    </w:lvl>
  </w:abstractNum>
  <w:abstractNum w:abstractNumId="149">
    <w:nsid w:val="710757D0"/>
    <w:multiLevelType w:val="hybridMultilevel"/>
    <w:lvl w:ilvl="0">
      <w:lvlJc w:val="left"/>
      <w:lvlText w:val="(%1)"/>
      <w:numFmt w:val="lowerLetter"/>
      <w:start w:val="2"/>
    </w:lvl>
  </w:abstractNum>
  <w:abstractNum w:abstractNumId="150">
    <w:nsid w:val="5015CD1A"/>
    <w:multiLevelType w:val="hybridMultilevel"/>
    <w:lvl w:ilvl="0">
      <w:lvlJc w:val="left"/>
      <w:lvlText w:val="(%1)"/>
      <w:numFmt w:val="lowerLetter"/>
      <w:start w:val="3"/>
    </w:lvl>
  </w:abstractNum>
  <w:abstractNum w:abstractNumId="151">
    <w:nsid w:val="424479DA"/>
    <w:multiLevelType w:val="hybridMultilevel"/>
    <w:lvl w:ilvl="0">
      <w:lvlJc w:val="left"/>
      <w:lvlText w:val="(%1)"/>
      <w:numFmt w:val="lowerLetter"/>
      <w:start w:val="4"/>
    </w:lvl>
  </w:abstractNum>
  <w:abstractNum w:abstractNumId="152">
    <w:nsid w:val="1A9A9E69"/>
    <w:multiLevelType w:val="hybridMultilevel"/>
    <w:lvl w:ilvl="0">
      <w:lvlJc w:val="left"/>
      <w:lvlText w:val="(%1)"/>
      <w:numFmt w:val="lowerLetter"/>
      <w:start w:val="5"/>
    </w:lvl>
  </w:abstractNum>
  <w:abstractNum w:abstractNumId="153">
    <w:nsid w:val="475E256A"/>
    <w:multiLevelType w:val="hybridMultilevel"/>
    <w:lvl w:ilvl="0">
      <w:lvlJc w:val="left"/>
      <w:lvlText w:val="(%1)"/>
      <w:numFmt w:val="lowerLetter"/>
      <w:start w:val="6"/>
    </w:lvl>
  </w:abstractNum>
  <w:abstractNum w:abstractNumId="154">
    <w:nsid w:val="368DB37E"/>
    <w:multiLevelType w:val="hybridMultilevel"/>
    <w:lvl w:ilvl="0">
      <w:lvlJc w:val="left"/>
      <w:lvlText w:val="(%1)"/>
      <w:numFmt w:val="lowerLetter"/>
      <w:start w:val="7"/>
    </w:lvl>
  </w:abstractNum>
  <w:abstractNum w:abstractNumId="155">
    <w:nsid w:val="6A3B714C"/>
    <w:multiLevelType w:val="hybridMultilevel"/>
    <w:lvl w:ilvl="0">
      <w:lvlJc w:val="left"/>
      <w:lvlText w:val="(%1)"/>
      <w:numFmt w:val="lowerLetter"/>
      <w:start w:val="8"/>
    </w:lvl>
  </w:abstractNum>
  <w:abstractNum w:abstractNumId="156">
    <w:nsid w:val="327B517E"/>
    <w:multiLevelType w:val="hybridMultilevel"/>
    <w:lvl w:ilvl="0">
      <w:lvlJc w:val="left"/>
      <w:lvlText w:val="(%1)"/>
      <w:numFmt w:val="lowerRoman"/>
      <w:start w:val="1"/>
    </w:lvl>
  </w:abstractNum>
  <w:abstractNum w:abstractNumId="157">
    <w:nsid w:val="1F461B51"/>
    <w:multiLevelType w:val="hybridMultilevel"/>
    <w:lvl w:ilvl="0">
      <w:lvlJc w:val="left"/>
      <w:lvlText w:val="%1."/>
      <w:numFmt w:val="decimal"/>
      <w:start w:val="1"/>
    </w:lvl>
  </w:abstractNum>
  <w:abstractNum w:abstractNumId="158">
    <w:nsid w:val="29BACF25"/>
    <w:multiLevelType w:val="hybridMultilevel"/>
    <w:lvl w:ilvl="0">
      <w:lvlJc w:val="left"/>
      <w:lvlText w:val="%1."/>
      <w:numFmt w:val="decimal"/>
      <w:start w:val="2"/>
    </w:lvl>
  </w:abstractNum>
  <w:abstractNum w:abstractNumId="159">
    <w:nsid w:val="5D5BABB3"/>
    <w:multiLevelType w:val="hybridMultilevel"/>
    <w:lvl w:ilvl="0">
      <w:lvlJc w:val="left"/>
      <w:lvlText w:val="%1."/>
      <w:numFmt w:val="decimal"/>
      <w:start w:val="3"/>
    </w:lvl>
  </w:abstractNum>
  <w:abstractNum w:abstractNumId="160">
    <w:nsid w:val="51BF6B48"/>
    <w:multiLevelType w:val="hybridMultilevel"/>
    <w:lvl w:ilvl="0">
      <w:lvlJc w:val="left"/>
      <w:lvlText w:val="%1."/>
      <w:numFmt w:val="decimal"/>
      <w:start w:val="4"/>
    </w:lvl>
  </w:abstractNum>
  <w:abstractNum w:abstractNumId="161">
    <w:nsid w:val="7E0F6384"/>
    <w:multiLevelType w:val="hybridMultilevel"/>
    <w:lvl w:ilvl="0">
      <w:lvlJc w:val="left"/>
      <w:lvlText w:val="%1."/>
      <w:numFmt w:val="decimal"/>
      <w:start w:val="5"/>
    </w:lvl>
  </w:abstractNum>
  <w:abstractNum w:abstractNumId="162">
    <w:nsid w:val="2B4B8B53"/>
    <w:multiLevelType w:val="hybridMultilevel"/>
    <w:lvl w:ilvl="0">
      <w:lvlJc w:val="left"/>
      <w:lvlText w:val="%1."/>
      <w:numFmt w:val="decimal"/>
      <w:start w:val="6"/>
    </w:lvl>
  </w:abstractNum>
  <w:abstractNum w:abstractNumId="163">
    <w:nsid w:val="72E3413A"/>
    <w:multiLevelType w:val="hybridMultilevel"/>
    <w:lvl w:ilvl="0">
      <w:lvlJc w:val="left"/>
      <w:lvlText w:val="•"/>
      <w:numFmt w:val="bullet"/>
      <w:start w:val="1"/>
    </w:lvl>
  </w:abstractNum>
  <w:abstractNum w:abstractNumId="164">
    <w:nsid w:val="116AE494"/>
    <w:multiLevelType w:val="hybridMultilevel"/>
    <w:lvl w:ilvl="0">
      <w:lvlJc w:val="left"/>
      <w:lvlText w:val="•"/>
      <w:numFmt w:val="bullet"/>
      <w:start w:val="1"/>
    </w:lvl>
  </w:abstractNum>
  <w:abstractNum w:abstractNumId="165">
    <w:nsid w:val="3494B2FB"/>
    <w:multiLevelType w:val="hybridMultilevel"/>
    <w:lvl w:ilvl="0">
      <w:lvlJc w:val="left"/>
      <w:lvlText w:val="%1."/>
      <w:numFmt w:val="decimal"/>
      <w:start w:val="7"/>
    </w:lvl>
  </w:abstractNum>
  <w:abstractNum w:abstractNumId="166">
    <w:nsid w:val="B13A31"/>
    <w:multiLevelType w:val="hybridMultilevel"/>
    <w:lvl w:ilvl="0">
      <w:lvlJc w:val="left"/>
      <w:lvlText w:val="%1."/>
      <w:numFmt w:val="decimal"/>
      <w:start w:val="8"/>
    </w:lvl>
  </w:abstractNum>
  <w:abstractNum w:abstractNumId="167">
    <w:nsid w:val="64429599"/>
    <w:multiLevelType w:val="hybridMultilevel"/>
    <w:lvl w:ilvl="0">
      <w:lvlJc w:val="left"/>
      <w:lvlText w:val="%1."/>
      <w:numFmt w:val="decimal"/>
      <w:start w:val="9"/>
    </w:lvl>
  </w:abstractNum>
  <w:abstractNum w:abstractNumId="168">
    <w:nsid w:val="631F1690"/>
    <w:multiLevelType w:val="hybridMultilevel"/>
    <w:lvl w:ilvl="0">
      <w:lvlJc w:val="left"/>
      <w:lvlText w:val="%1."/>
      <w:numFmt w:val="decimal"/>
      <w:start w:val="10"/>
    </w:lvl>
  </w:abstractNum>
  <w:abstractNum w:abstractNumId="169">
    <w:nsid w:val="25973E32"/>
    <w:multiLevelType w:val="hybridMultilevel"/>
    <w:lvl w:ilvl="0">
      <w:lvlJc w:val="left"/>
      <w:lvlText w:val="%1."/>
      <w:numFmt w:val="decimal"/>
      <w:start w:val="11"/>
    </w:lvl>
  </w:abstractNum>
  <w:abstractNum w:abstractNumId="170">
    <w:nsid w:val="EAD6F57"/>
    <w:multiLevelType w:val="hybridMultilevel"/>
    <w:lvl w:ilvl="0">
      <w:lvlJc w:val="left"/>
      <w:lvlText w:val="•"/>
      <w:numFmt w:val="bullet"/>
      <w:start w:val="1"/>
    </w:lvl>
  </w:abstractNum>
  <w:abstractNum w:abstractNumId="171">
    <w:nsid w:val="6EC9D844"/>
    <w:multiLevelType w:val="hybridMultilevel"/>
    <w:lvl w:ilvl="0">
      <w:lvlJc w:val="left"/>
      <w:lvlText w:val="•"/>
      <w:numFmt w:val="bullet"/>
      <w:start w:val="1"/>
    </w:lvl>
  </w:abstractNum>
  <w:abstractNum w:abstractNumId="172">
    <w:nsid w:val="5C49EAEE"/>
    <w:multiLevelType w:val="hybridMultilevel"/>
    <w:lvl w:ilvl="0">
      <w:lvlJc w:val="left"/>
      <w:lvlText w:val="%1."/>
      <w:numFmt w:val="decimal"/>
      <w:start w:val="12"/>
    </w:lvl>
  </w:abstractNum>
  <w:abstractNum w:abstractNumId="173">
    <w:nsid w:val="64AF49B"/>
    <w:multiLevelType w:val="hybridMultilevel"/>
    <w:lvl w:ilvl="0">
      <w:lvlJc w:val="left"/>
      <w:lvlText w:val="%1."/>
      <w:numFmt w:val="decimal"/>
      <w:start w:val="13"/>
    </w:lvl>
  </w:abstractNum>
  <w:abstractNum w:abstractNumId="174">
    <w:nsid w:val="397C46BC"/>
    <w:multiLevelType w:val="hybridMultilevel"/>
    <w:lvl w:ilvl="0">
      <w:lvlJc w:val="left"/>
      <w:lvlText w:val="%1."/>
      <w:numFmt w:val="decimal"/>
      <w:start w:val="14"/>
    </w:lvl>
    <w:lvl w:ilvl="1">
      <w:lvlJc w:val="left"/>
      <w:lvlText w:val="(%2)"/>
      <w:numFmt w:val="lowerLetter"/>
      <w:start w:val="1"/>
    </w:lvl>
  </w:abstractNum>
  <w:abstractNum w:abstractNumId="175">
    <w:nsid w:val="7E448DE9"/>
    <w:multiLevelType w:val="hybridMultilevel"/>
    <w:lvl w:ilvl="0">
      <w:lvlJc w:val="left"/>
      <w:lvlText w:val="(%1)"/>
      <w:numFmt w:val="lowerLetter"/>
      <w:start w:val="2"/>
    </w:lvl>
  </w:abstractNum>
  <w:abstractNum w:abstractNumId="176">
    <w:nsid w:val="5A9CC3E5"/>
    <w:multiLevelType w:val="hybridMultilevel"/>
    <w:lvl w:ilvl="0">
      <w:lvlJc w:val="left"/>
      <w:lvlText w:val="(%1)"/>
      <w:numFmt w:val="lowerLetter"/>
      <w:start w:val="3"/>
    </w:lvl>
  </w:abstractNum>
  <w:abstractNum w:abstractNumId="177">
    <w:nsid w:val="1AFE3625"/>
    <w:multiLevelType w:val="hybridMultilevel"/>
    <w:lvl w:ilvl="0">
      <w:lvlJc w:val="left"/>
      <w:lvlText w:val="(%1)"/>
      <w:numFmt w:val="lowerLetter"/>
      <w:start w:val="4"/>
    </w:lvl>
  </w:abstractNum>
  <w:abstractNum w:abstractNumId="178">
    <w:nsid w:val="3CA88ECF"/>
    <w:multiLevelType w:val="hybridMultilevel"/>
    <w:lvl w:ilvl="0">
      <w:lvlJc w:val="left"/>
      <w:lvlText w:val="(%1)"/>
      <w:numFmt w:val="lowerLetter"/>
      <w:start w:val="5"/>
    </w:lvl>
  </w:abstractNum>
  <w:abstractNum w:abstractNumId="179">
    <w:nsid w:val="6EBE4208"/>
    <w:multiLevelType w:val="hybridMultilevel"/>
    <w:lvl w:ilvl="0">
      <w:lvlJc w:val="left"/>
      <w:lvlText w:val="(%1)"/>
      <w:numFmt w:val="lowerLetter"/>
      <w:start w:val="6"/>
    </w:lvl>
  </w:abstractNum>
  <w:abstractNum w:abstractNumId="180">
    <w:nsid w:val="C058DF5"/>
    <w:multiLevelType w:val="hybridMultilevel"/>
    <w:lvl w:ilvl="0">
      <w:lvlJc w:val="left"/>
      <w:lvlText w:val="*"/>
      <w:numFmt w:val="bullet"/>
      <w:start w:val="1"/>
    </w:lvl>
  </w:abstractNum>
  <w:abstractNum w:abstractNumId="181">
    <w:nsid w:val="CBE5BE9"/>
    <w:multiLevelType w:val="hybridMultilevel"/>
    <w:lvl w:ilvl="0">
      <w:lvlJc w:val="left"/>
      <w:lvlText w:val="(%1)"/>
      <w:numFmt w:val="lowerLetter"/>
      <w:start w:val="1"/>
    </w:lvl>
  </w:abstractNum>
  <w:abstractNum w:abstractNumId="182">
    <w:nsid w:val="3102BBE2"/>
    <w:multiLevelType w:val="hybridMultilevel"/>
    <w:lvl w:ilvl="0">
      <w:lvlJc w:val="left"/>
      <w:lvlText w:val="(%1)"/>
      <w:numFmt w:val="lowerLetter"/>
      <w:start w:val="5"/>
    </w:lvl>
  </w:abstractNum>
  <w:abstractNum w:abstractNumId="183">
    <w:nsid w:val="26A02C5E"/>
    <w:multiLevelType w:val="hybridMultilevel"/>
    <w:lvl w:ilvl="0">
      <w:lvlJc w:val="left"/>
      <w:lvlText w:val="+"/>
      <w:numFmt w:val="bullet"/>
      <w:start w:val="1"/>
    </w:lvl>
  </w:abstractNum>
  <w:abstractNum w:abstractNumId="184">
    <w:nsid w:val="541C8153"/>
    <w:multiLevelType w:val="hybridMultilevel"/>
    <w:lvl w:ilvl="0">
      <w:lvlJc w:val="left"/>
      <w:lvlText w:val="†"/>
      <w:numFmt w:val="bullet"/>
      <w:start w:val="1"/>
    </w:lvl>
  </w:abstractNum>
  <w:abstractNum w:abstractNumId="185">
    <w:nsid w:val="67906F60"/>
    <w:multiLevelType w:val="hybridMultilevel"/>
    <w:lvl w:ilvl="0">
      <w:lvlJc w:val="left"/>
      <w:lvlText w:val="**"/>
      <w:numFmt w:val="bullet"/>
      <w:start w:val="1"/>
    </w:lvl>
  </w:abstractNum>
  <w:abstractNum w:abstractNumId="186">
    <w:nsid w:val="10DB9DAA"/>
    <w:multiLevelType w:val="hybridMultilevel"/>
    <w:lvl w:ilvl="0">
      <w:lvlJc w:val="left"/>
      <w:lvlText w:val="(%1)"/>
      <w:numFmt w:val="decimal"/>
      <w:start w:val="1"/>
    </w:lvl>
  </w:abstractNum>
  <w:abstractNum w:abstractNumId="187">
    <w:nsid w:val="697D2D2"/>
    <w:multiLevelType w:val="hybridMultilevel"/>
    <w:lvl w:ilvl="0">
      <w:lvlJc w:val="left"/>
      <w:lvlText w:val="%1."/>
      <w:numFmt w:val="decimal"/>
      <w:start w:val="1"/>
    </w:lvl>
  </w:abstractNum>
  <w:abstractNum w:abstractNumId="188">
    <w:nsid w:val="6D68AB2"/>
    <w:multiLevelType w:val="hybridMultilevel"/>
    <w:lvl w:ilvl="0">
      <w:lvlJc w:val="left"/>
      <w:lvlText w:val="%1."/>
      <w:numFmt w:val="decimal"/>
      <w:start w:val="4"/>
    </w:lvl>
    <w:lvl w:ilvl="1">
      <w:lvlJc w:val="left"/>
      <w:lvlText w:val="-"/>
      <w:numFmt w:val="bullet"/>
      <w:start w:val="1"/>
    </w:lvl>
  </w:abstractNum>
  <w:abstractNum w:abstractNumId="189">
    <w:nsid w:val="3A966CD0"/>
    <w:multiLevelType w:val="hybridMultilevel"/>
    <w:lvl w:ilvl="0">
      <w:lvlJc w:val="left"/>
      <w:lvlText w:val="%1."/>
      <w:numFmt w:val="decimal"/>
      <w:start w:val="7"/>
    </w:lvl>
    <w:lvl w:ilvl="1">
      <w:lvlJc w:val="left"/>
      <w:lvlText w:val="-"/>
      <w:numFmt w:val="bullet"/>
      <w:start w:val="1"/>
    </w:lvl>
  </w:abstractNum>
  <w:abstractNum w:abstractNumId="190">
    <w:nsid w:val="63F37E85"/>
    <w:multiLevelType w:val="hybridMultilevel"/>
    <w:lvl w:ilvl="0">
      <w:lvlJc w:val="left"/>
      <w:lvlText w:val="%1."/>
      <w:numFmt w:val="decimal"/>
      <w:start w:val="11"/>
    </w:lvl>
  </w:abstractNum>
  <w:abstractNum w:abstractNumId="191">
    <w:nsid w:val="5895F5FA"/>
    <w:multiLevelType w:val="hybridMultilevel"/>
    <w:lvl w:ilvl="0">
      <w:lvlJc w:val="left"/>
      <w:lvlText w:val="\ldblquote"/>
      <w:numFmt w:val="bullet"/>
      <w:start w:val="1"/>
    </w:lvl>
    <w:lvl w:ilvl="1">
      <w:lvlJc w:val="left"/>
      <w:lvlText w:val="-"/>
      <w:numFmt w:val="bullet"/>
      <w:start w:val="1"/>
    </w:lvl>
  </w:abstractNum>
  <w:abstractNum w:abstractNumId="192">
    <w:nsid w:val="38A5D054"/>
    <w:multiLevelType w:val="hybridMultilevel"/>
    <w:lvl w:ilvl="0">
      <w:lvlJc w:val="left"/>
      <w:lvlText w:val="%1."/>
      <w:numFmt w:val="decimal"/>
      <w:start w:val="1"/>
    </w:lvl>
  </w:abstractNum>
  <w:abstractNum w:abstractNumId="193">
    <w:nsid w:val="F3F09D8"/>
    <w:multiLevelType w:val="hybridMultilevel"/>
    <w:lvl w:ilvl="0">
      <w:lvlJc w:val="left"/>
      <w:lvlText w:val="(%1)"/>
      <w:numFmt w:val="lowerLetter"/>
      <w:start w:val="1"/>
    </w:lvl>
  </w:abstractNum>
  <w:abstractNum w:abstractNumId="194">
    <w:nsid w:val="4B793735"/>
    <w:multiLevelType w:val="hybridMultilevel"/>
    <w:lvl w:ilvl="0">
      <w:lvlJc w:val="left"/>
      <w:lvlText w:val="(%1)"/>
      <w:numFmt w:val="lowerLetter"/>
      <w:start w:val="2"/>
    </w:lvl>
  </w:abstractNum>
  <w:abstractNum w:abstractNumId="195">
    <w:nsid w:val="4A10B4E8"/>
    <w:multiLevelType w:val="hybridMultilevel"/>
    <w:lvl w:ilvl="0">
      <w:lvlJc w:val="left"/>
      <w:lvlText w:val="%1."/>
      <w:numFmt w:val="decimal"/>
      <w:start w:val="4"/>
    </w:lvl>
  </w:abstractNum>
  <w:abstractNum w:abstractNumId="196">
    <w:nsid w:val="43D3BCD4"/>
    <w:multiLevelType w:val="hybridMultilevel"/>
    <w:lvl w:ilvl="0">
      <w:lvlJc w:val="left"/>
      <w:lvlText w:val="(%1)"/>
      <w:numFmt w:val="lowerLetter"/>
      <w:start w:val="1"/>
    </w:lvl>
    <w:lvl w:ilvl="1">
      <w:lvlJc w:val="left"/>
      <w:lvlText w:val="-"/>
      <w:numFmt w:val="bullet"/>
      <w:start w:val="1"/>
    </w:lvl>
  </w:abstractNum>
  <w:abstractNum w:abstractNumId="197">
    <w:nsid w:val="4C2A7166"/>
    <w:multiLevelType w:val="hybridMultilevel"/>
    <w:lvl w:ilvl="0">
      <w:lvlJc w:val="left"/>
      <w:lvlText w:val="%1."/>
      <w:numFmt w:val="decimal"/>
      <w:start w:val="6"/>
    </w:lvl>
  </w:abstractNum>
  <w:abstractNum w:abstractNumId="198">
    <w:nsid w:val="2E534A82"/>
    <w:multiLevelType w:val="hybridMultilevel"/>
    <w:lvl w:ilvl="0">
      <w:lvlJc w:val="left"/>
      <w:lvlText w:val="(%1)"/>
      <w:numFmt w:val="lowerRoman"/>
      <w:start w:val="4"/>
    </w:lvl>
  </w:abstractNum>
  <w:abstractNum w:abstractNumId="199">
    <w:nsid w:val="26F2D364"/>
    <w:multiLevelType w:val="hybridMultilevel"/>
    <w:lvl w:ilvl="0">
      <w:lvlJc w:val="left"/>
      <w:lvlText w:val="%1."/>
      <w:numFmt w:val="decimal"/>
      <w:start w:val="7"/>
    </w:lvl>
  </w:abstractNum>
  <w:abstractNum w:abstractNumId="200">
    <w:nsid w:val="71C1AF98"/>
    <w:multiLevelType w:val="hybridMultilevel"/>
    <w:lvl w:ilvl="0">
      <w:lvlJc w:val="left"/>
      <w:lvlText w:val="(%1)"/>
      <w:numFmt w:val="lowerLetter"/>
      <w:start w:val="1"/>
    </w:lvl>
    <w:lvl w:ilvl="1">
      <w:lvlJc w:val="left"/>
      <w:lvlText w:val="-"/>
      <w:numFmt w:val="bullet"/>
      <w:start w:val="1"/>
    </w:lvl>
  </w:abstractNum>
  <w:abstractNum w:abstractNumId="201">
    <w:nsid w:val="3D00B9D9"/>
    <w:multiLevelType w:val="hybridMultilevel"/>
    <w:lvl w:ilvl="0">
      <w:lvlJc w:val="left"/>
      <w:lvlText w:val="%1"/>
      <w:numFmt w:val="lowerLetter"/>
      <w:start w:val="1"/>
    </w:lvl>
    <w:lvl w:ilvl="1">
      <w:lvlJc w:val="left"/>
      <w:lvlText w:val="(%2)"/>
      <w:numFmt w:val="lowerLetter"/>
      <w:start w:val="2"/>
    </w:lvl>
  </w:abstractNum>
  <w:abstractNum w:abstractNumId="202">
    <w:nsid w:val="15BCABA8"/>
    <w:multiLevelType w:val="hybridMultilevel"/>
    <w:lvl w:ilvl="0">
      <w:lvlJc w:val="left"/>
      <w:lvlText w:val="(%1)"/>
      <w:numFmt w:val="lowerLetter"/>
      <w:start w:val="9"/>
    </w:lvl>
    <w:lvl w:ilvl="1">
      <w:lvlJc w:val="left"/>
      <w:lvlText w:val="%2"/>
      <w:numFmt w:val="lowerLetter"/>
      <w:start w:val="1"/>
    </w:lvl>
  </w:abstractNum>
  <w:abstractNum w:abstractNumId="203">
    <w:nsid w:val="4E0B9A87"/>
    <w:multiLevelType w:val="hybridMultilevel"/>
    <w:lvl w:ilvl="0">
      <w:lvlJc w:val="left"/>
      <w:lvlText w:val="(%1)"/>
      <w:numFmt w:val="lowerLetter"/>
      <w:start w:val="2"/>
    </w:lvl>
  </w:abstractNum>
  <w:abstractNum w:abstractNumId="204">
    <w:nsid w:val="434BAE75"/>
    <w:multiLevelType w:val="hybridMultilevel"/>
    <w:lvl w:ilvl="0">
      <w:lvlJc w:val="left"/>
      <w:lvlText w:val="%1."/>
      <w:numFmt w:val="decimal"/>
      <w:start w:val="8"/>
    </w:lvl>
    <w:lvl w:ilvl="1">
      <w:lvlJc w:val="left"/>
      <w:lvlText w:val="-"/>
      <w:numFmt w:val="bullet"/>
      <w:start w:val="1"/>
    </w:lvl>
  </w:abstractNum>
  <w:abstractNum w:abstractNumId="205">
    <w:nsid w:val="4F38F265"/>
    <w:multiLevelType w:val="hybridMultilevel"/>
    <w:lvl w:ilvl="0">
      <w:lvlJc w:val="left"/>
      <w:lvlText w:val="%1."/>
      <w:numFmt w:val="decimal"/>
      <w:start w:val="9"/>
    </w:lvl>
  </w:abstractNum>
  <w:abstractNum w:abstractNumId="206">
    <w:nsid w:val="4C50287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89"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jpeg"/><Relationship Id="rId400" Type="http://schemas.openxmlformats.org/officeDocument/2006/relationships/image" Target="media/image364.jpeg"/><Relationship Id="rId401" Type="http://schemas.openxmlformats.org/officeDocument/2006/relationships/image" Target="media/image365.jpe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jpe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364" Type="http://schemas.openxmlformats.org/officeDocument/2006/relationships/hyperlink" Target="http://www.sec.gov/Archives/edgar/data/0001620463/000156459020042848/atha-ex11_410.htm" TargetMode="External"/><Relationship Id="rId365" Type="http://schemas.openxmlformats.org/officeDocument/2006/relationships/hyperlink" Target="http://www.sec.gov/Archives/edgar/data/0001620463/000156459020042848/atha-ex31_91.htm" TargetMode="External"/><Relationship Id="rId366" Type="http://schemas.openxmlformats.org/officeDocument/2006/relationships/hyperlink" Target="http://www.sec.gov/Archives/edgar/data/0001620463/000156459020042848/atha-ex32_92.htm" TargetMode="External"/><Relationship Id="rId367" Type="http://schemas.openxmlformats.org/officeDocument/2006/relationships/hyperlink" Target="http://www.sec.gov/Archives/edgar/data/0001620463/000156459020042848/atha-ex42_7.htm" TargetMode="External"/><Relationship Id="rId368" Type="http://schemas.openxmlformats.org/officeDocument/2006/relationships/hyperlink" Target="http://www.sec.gov/Archives/edgar/data/0001620463/000156459020041369/atha-ex43_7.htm" TargetMode="External"/><Relationship Id="rId369" Type="http://schemas.openxmlformats.org/officeDocument/2006/relationships/hyperlink" Target="http://www.sec.gov/Archives/edgar/data/0001620463/000156459020041369/atha-ex44_9.htm" TargetMode="External"/><Relationship Id="rId370" Type="http://schemas.openxmlformats.org/officeDocument/2006/relationships/hyperlink" Target="http://www.sec.gov/Archives/edgar/data/0001620463/000156459020042848/atha-ex45_145.htm" TargetMode="External"/><Relationship Id="rId371" Type="http://schemas.openxmlformats.org/officeDocument/2006/relationships/hyperlink" Target="http://www.sec.gov/Archives/edgar/data/0001620463/000156459020042848/atha-ex46_144.htm" TargetMode="External"/><Relationship Id="rId372" Type="http://schemas.openxmlformats.org/officeDocument/2006/relationships/hyperlink" Target="http://www.sec.gov/Archives/edgar/data/0001620463/000156459020041369/atha-ex101_530.htm" TargetMode="External"/><Relationship Id="rId373" Type="http://schemas.openxmlformats.org/officeDocument/2006/relationships/hyperlink" Target="http://www.sec.gov/Archives/edgar/data/0001620463/000156459020042848/atha-ex102_90.htm" TargetMode="External"/><Relationship Id="rId374" Type="http://schemas.openxmlformats.org/officeDocument/2006/relationships/hyperlink" Target="http://www.sec.gov/Archives/edgar/data/0001620463/000156459020042848/atha-ex103_14.htm" TargetMode="External"/><Relationship Id="rId375" Type="http://schemas.openxmlformats.org/officeDocument/2006/relationships/hyperlink" Target="http://www.sec.gov/Archives/edgar/data/0001620463/000156459020042848/atha-ex104_409.htm" TargetMode="External"/><Relationship Id="rId376" Type="http://schemas.openxmlformats.org/officeDocument/2006/relationships/hyperlink" Target="http://www.sec.gov/Archives/edgar/data/0001620463/000156459020042848/atha-ex105_89.htm" TargetMode="External"/><Relationship Id="rId377" Type="http://schemas.openxmlformats.org/officeDocument/2006/relationships/hyperlink" Target="http://www.sec.gov/Archives/edgar/data/0001620463/000156459020042848/atha-ex106_88.htm" TargetMode="External"/><Relationship Id="rId378" Type="http://schemas.openxmlformats.org/officeDocument/2006/relationships/hyperlink" Target="http://www.sec.gov/Archives/edgar/data/0001620463/000156459020042848/atha-ex107_87.htm" TargetMode="External"/><Relationship Id="rId379" Type="http://schemas.openxmlformats.org/officeDocument/2006/relationships/hyperlink" Target="http://www.sec.gov/Archives/edgar/data/0001620463/000156459020042848/atha-ex108_86.htm" TargetMode="External"/><Relationship Id="rId380" Type="http://schemas.openxmlformats.org/officeDocument/2006/relationships/hyperlink" Target="http://www.sec.gov/Archives/edgar/data/0001620463/000156459020041369/atha-ex109_529.htm" TargetMode="External"/><Relationship Id="rId381" Type="http://schemas.openxmlformats.org/officeDocument/2006/relationships/hyperlink" Target="http://www.sec.gov/Archives/edgar/data/0001620463/000156459020042848/atha-ex1010_85.htm" TargetMode="External"/><Relationship Id="rId382" Type="http://schemas.openxmlformats.org/officeDocument/2006/relationships/hyperlink" Target="http://www.sec.gov/Archives/edgar/data/0001620463/000156459020042848/atha-ex1011_9.htm" TargetMode="External"/><Relationship Id="rId383" Type="http://schemas.openxmlformats.org/officeDocument/2006/relationships/hyperlink" Target="http://www.sec.gov/Archives/edgar/data/0001620463/000156459020042848/atha-ex1012_84.htm" TargetMode="External"/><Relationship Id="rId384" Type="http://schemas.openxmlformats.org/officeDocument/2006/relationships/hyperlink" Target="http://www.sec.gov/Archives/edgar/data/0001620463/000156459020042848/atha-ex1013_83.htm" TargetMode="External"/><Relationship Id="rId385" Type="http://schemas.openxmlformats.org/officeDocument/2006/relationships/hyperlink" Target="http://www.sec.gov/Archives/edgar/data/0001620463/000156459020042848/atha-ex1014_535.htm" TargetMode="External"/><Relationship Id="rId386" Type="http://schemas.openxmlformats.org/officeDocument/2006/relationships/hyperlink" Target="http://www.sec.gov/Archives/edgar/data/0001620463/000156459020042848/atha-ex1015_534.htm" TargetMode="External"/><Relationship Id="rId387" Type="http://schemas.openxmlformats.org/officeDocument/2006/relationships/hyperlink" Target="http://www.sec.gov/Archives/edgar/data/0001620463/000156459020042848/atha-ex1016_533.htm" TargetMode="External"/><Relationship Id="rId388" Type="http://schemas.openxmlformats.org/officeDocument/2006/relationships/hyperlink" Target="http://www.sec.gov/Archives/edgar/data/0001620463/000156459020042848/atha-ex1017_532.htm" TargetMode="External"/><Relationship Id="rId390" Type="http://schemas.openxmlformats.org/officeDocument/2006/relationships/hyperlink" Target="http://www.sec.gov/Archives/edgar/data/0001620463/000156459020042848/atha-ex1018_531.htm" TargetMode="External"/><Relationship Id="rId391" Type="http://schemas.openxmlformats.org/officeDocument/2006/relationships/hyperlink" Target="http://www.sec.gov/Archives/edgar/data/0001620463/000156459020042848/atha-ex1019_530.htm" TargetMode="External"/><Relationship Id="rId392" Type="http://schemas.openxmlformats.org/officeDocument/2006/relationships/hyperlink" Target="http://www.sec.gov/Archives/edgar/data/0001620463/000156459020042848/atha-ex1020_529.htm" TargetMode="External"/><Relationship Id="rId393" Type="http://schemas.openxmlformats.org/officeDocument/2006/relationships/hyperlink" Target="http://www.sec.gov/Archives/edgar/data/000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2020-09-14T05:12:59Z</dcterms:created>
  <dcterms:modified xsi:type="dcterms:W3CDTF">2020-09-14T05:12:59Z</dcterms:modified>
</cp:coreProperties>
</file>