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tha-20240930.htm"/>
      <w:bookmarkStart w:id="1" w:name="ksatha20240930"/>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quarterly period ended September 30, 2024</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Athira Pharma,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ATHA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November 4, 2024, there were 38,669,073</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bl>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ATH-1105 may never lead to a marketable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be successful in identifying and implementing any strategic transaction and any strategic transactions that we may consummate in the future may not be 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are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28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9835" w:type="dxa"/>
        <w:jc w:val="left"/>
        <w:tblInd w:w="0" w:type="dxa"/>
        <w:tblLayout w:type="fixed"/>
        <w:tblCellMar>
          <w:top w:w="28" w:type="dxa"/>
          <w:left w:w="28" w:type="dxa"/>
          <w:bottom w:w="28" w:type="dxa"/>
          <w:right w:w="28" w:type="dxa"/>
        </w:tblCellMar>
      </w:tblPr>
      <w:tblGrid>
        <w:gridCol w:w="5771"/>
        <w:gridCol w:w="146"/>
        <w:gridCol w:w="286"/>
        <w:gridCol w:w="1169"/>
        <w:gridCol w:w="166"/>
        <w:gridCol w:w="146"/>
        <w:gridCol w:w="273"/>
        <w:gridCol w:w="1107"/>
        <w:gridCol w:w="771"/>
      </w:tblGrid>
      <w:tr>
        <w:trPr/>
        <w:tc>
          <w:tcPr>
            <w:tcW w:w="5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57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r>
      <w:tr>
        <w:trPr/>
        <w:tc>
          <w:tcPr>
            <w:tcW w:w="5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80"/>
              <w:jc w:val="right"/>
              <w:rPr/>
            </w:pPr>
            <w:r>
              <w:rPr/>
              <w:t> </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current</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5,682</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Insurance recovery receivable related to legal</w:t>
              <w:br/>
              <w:t>   settlement (Note 7)</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154,729</w:t>
            </w:r>
          </w:p>
        </w:tc>
        <w:tc>
          <w:tcPr>
            <w:tcW w:w="771" w:type="dxa"/>
            <w:tcBorders/>
            <w:shd w:fill="FFFFFF" w:val="clear"/>
            <w:vAlign w:val="center"/>
          </w:tcPr>
          <w:p>
            <w:pPr>
              <w:pStyle w:val="TableContents"/>
              <w:bidi w:val="0"/>
              <w:spacing w:before="0" w:after="283"/>
              <w:jc w:val="left"/>
              <w:rPr/>
            </w:pPr>
            <w:r>
              <w:rPr/>
              <w:t> </w:t>
            </w:r>
          </w:p>
        </w:tc>
      </w:tr>
      <w:tr>
        <w:trPr/>
        <w:tc>
          <w:tcPr>
            <w:tcW w:w="5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non-current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1" w:type="dxa"/>
            <w:tcBorders/>
            <w:shd w:fill="CFF0FC" w:val="clear"/>
            <w:vAlign w:val="center"/>
          </w:tcPr>
          <w:p>
            <w:pPr>
              <w:pStyle w:val="TableContents"/>
              <w:bidi w:val="0"/>
              <w:spacing w:before="0" w:after="283"/>
              <w:jc w:val="left"/>
              <w:rPr/>
            </w:pPr>
            <w:r>
              <w:rPr/>
              <w:t> </w:t>
            </w:r>
          </w:p>
        </w:tc>
      </w:tr>
      <w:tr>
        <w:trPr/>
        <w:tc>
          <w:tcPr>
            <w:tcW w:w="5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771" w:type="dxa"/>
            <w:tcBorders/>
            <w:shd w:fill="FFFFFF" w:val="clear"/>
            <w:vAlign w:val="center"/>
          </w:tcPr>
          <w:p>
            <w:pPr>
              <w:pStyle w:val="TableContents"/>
              <w:bidi w:val="0"/>
              <w:spacing w:before="0" w:after="283"/>
              <w:jc w:val="left"/>
              <w:rPr/>
            </w:pPr>
            <w:r>
              <w:rPr/>
              <w:t> </w:t>
            </w:r>
          </w:p>
        </w:tc>
      </w:tr>
      <w:tr>
        <w:trPr/>
        <w:tc>
          <w:tcPr>
            <w:tcW w:w="5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1,049</w:t>
            </w:r>
          </w:p>
        </w:tc>
        <w:tc>
          <w:tcPr>
            <w:tcW w:w="771" w:type="dxa"/>
            <w:tcBorders/>
            <w:shd w:fill="CFF0FC" w:val="clear"/>
            <w:vAlign w:val="center"/>
          </w:tcPr>
          <w:p>
            <w:pPr>
              <w:pStyle w:val="TableContents"/>
              <w:bidi w:val="0"/>
              <w:spacing w:before="0" w:after="283"/>
              <w:jc w:val="left"/>
              <w:rPr/>
            </w:pPr>
            <w:r>
              <w:rPr/>
              <w:t> </w:t>
            </w:r>
          </w:p>
        </w:tc>
      </w:tr>
      <w:tr>
        <w:trPr/>
        <w:tc>
          <w:tcPr>
            <w:tcW w:w="5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5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5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18,343</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legal settlement (Note 7)</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771" w:type="dxa"/>
            <w:tcBorders/>
            <w:shd w:fill="FFFFFF" w:val="clear"/>
            <w:vAlign w:val="center"/>
          </w:tcPr>
          <w:p>
            <w:pPr>
              <w:pStyle w:val="TableContents"/>
              <w:bidi w:val="0"/>
              <w:spacing w:before="0" w:after="283"/>
              <w:jc w:val="left"/>
              <w:rPr/>
            </w:pPr>
            <w:r>
              <w:rPr/>
              <w:t> </w:t>
            </w:r>
          </w:p>
        </w:tc>
      </w:tr>
      <w:tr>
        <w:trPr/>
        <w:tc>
          <w:tcPr>
            <w:tcW w:w="5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5771"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900,000,000</w:t>
            </w:r>
            <w:r>
              <w:rPr>
                <w:rFonts w:ascii="Times New Roman" w:hAnsi="Times New Roman"/>
                <w:color w:val="000000"/>
                <w:sz w:val="20"/>
              </w:rPr>
              <w:t> </w:t>
            </w:r>
            <w:r>
              <w:rPr>
                <w:rFonts w:ascii="Arial" w:hAnsi="Arial"/>
                <w:color w:val="000000"/>
                <w:sz w:val="20"/>
              </w:rPr>
              <w:t xml:space="preserve">shares </w:t>
              <w:br/>
              <w:t xml:space="preserve">   authorized at September 30, 2024 and December 31, 2023, </w:t>
              <w:br/>
              <w:t>   respectively; 38,669,073</w:t>
            </w:r>
            <w:r>
              <w:rPr>
                <w:rFonts w:ascii="Times New Roman" w:hAnsi="Times New Roman"/>
                <w:color w:val="000000"/>
                <w:sz w:val="20"/>
              </w:rPr>
              <w:t> </w:t>
            </w:r>
            <w:r>
              <w:rPr>
                <w:rFonts w:ascii="Arial" w:hAnsi="Arial"/>
                <w:color w:val="000000"/>
                <w:sz w:val="20"/>
              </w:rPr>
              <w:t>and 38,172,603</w:t>
            </w:r>
            <w:r>
              <w:rPr>
                <w:rFonts w:ascii="Times New Roman" w:hAnsi="Times New Roman"/>
                <w:color w:val="000000"/>
                <w:sz w:val="20"/>
              </w:rPr>
              <w:t> </w:t>
            </w:r>
            <w:r>
              <w:rPr>
                <w:rFonts w:ascii="Arial" w:hAnsi="Arial"/>
                <w:color w:val="000000"/>
                <w:sz w:val="20"/>
              </w:rPr>
              <w:t>shares issued</w:t>
              <w:br/>
              <w:t>   and outstanding at September 30, 2024 and December 31,</w:t>
              <w:br/>
              <w:t>   2023, respectively</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448,719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439,739</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7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(309,206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7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7"/>
        <w:gridCol w:w="146"/>
        <w:gridCol w:w="212"/>
        <w:gridCol w:w="1075"/>
        <w:gridCol w:w="167"/>
        <w:gridCol w:w="147"/>
        <w:gridCol w:w="212"/>
        <w:gridCol w:w="1075"/>
        <w:gridCol w:w="166"/>
        <w:gridCol w:w="146"/>
        <w:gridCol w:w="211"/>
        <w:gridCol w:w="1066"/>
        <w:gridCol w:w="166"/>
        <w:gridCol w:w="146"/>
        <w:gridCol w:w="211"/>
        <w:gridCol w:w="1066"/>
        <w:gridCol w:w="756"/>
      </w:tblGrid>
      <w:tr>
        <w:trPr/>
        <w:tc>
          <w:tcPr>
            <w:tcW w:w="3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756" w:type="dxa"/>
            <w:tcBorders/>
            <w:shd w:fill="CFF0FC" w:val="clear"/>
            <w:vAlign w:val="center"/>
          </w:tcPr>
          <w:p>
            <w:pPr>
              <w:pStyle w:val="TableContents"/>
              <w:bidi w:val="0"/>
              <w:spacing w:before="0" w:after="283"/>
              <w:ind w:left="0" w:right="0" w:firstLine="280"/>
              <w:jc w:val="right"/>
              <w:rPr/>
            </w:pPr>
            <w:r>
              <w:rPr/>
              <w:t> </w:t>
            </w:r>
          </w:p>
        </w:tc>
      </w:tr>
      <w:tr>
        <w:trPr/>
        <w:tc>
          <w:tcPr>
            <w:tcW w:w="323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70,110</w:t>
            </w:r>
          </w:p>
        </w:tc>
        <w:tc>
          <w:tcPr>
            <w:tcW w:w="756" w:type="dxa"/>
            <w:tcBorders/>
            <w:shd w:fill="FFFFFF" w:val="clear"/>
            <w:vAlign w:val="center"/>
          </w:tcPr>
          <w:p>
            <w:pPr>
              <w:pStyle w:val="TableContents"/>
              <w:bidi w:val="0"/>
              <w:spacing w:before="0" w:after="283"/>
              <w:ind w:left="0" w:right="0" w:firstLine="280"/>
              <w:jc w:val="left"/>
              <w:rPr/>
            </w:pPr>
            <w:r>
              <w:rPr/>
              <w:t> </w:t>
            </w:r>
          </w:p>
        </w:tc>
      </w:tr>
      <w:tr>
        <w:trPr/>
        <w:tc>
          <w:tcPr>
            <w:tcW w:w="323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7,572</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26,342</w:t>
            </w:r>
          </w:p>
        </w:tc>
        <w:tc>
          <w:tcPr>
            <w:tcW w:w="756" w:type="dxa"/>
            <w:tcBorders/>
            <w:shd w:fill="CFF0FC" w:val="clear"/>
            <w:vAlign w:val="center"/>
          </w:tcPr>
          <w:p>
            <w:pPr>
              <w:pStyle w:val="TableContents"/>
              <w:bidi w:val="0"/>
              <w:spacing w:before="0" w:after="283"/>
              <w:ind w:left="0" w:right="0" w:firstLine="280"/>
              <w:jc w:val="left"/>
              <w:rPr/>
            </w:pPr>
            <w:r>
              <w:rPr/>
              <w:t> </w:t>
            </w:r>
          </w:p>
        </w:tc>
      </w:tr>
      <w:tr>
        <w:trPr/>
        <w:tc>
          <w:tcPr>
            <w:tcW w:w="323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Legal expense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3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96,452</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(35,042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(96,452</w:t>
            </w:r>
          </w:p>
        </w:tc>
        <w:tc>
          <w:tcPr>
            <w:tcW w:w="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756" w:type="dxa"/>
            <w:tcBorders/>
            <w:shd w:fill="CFF0FC" w:val="clear"/>
            <w:vAlign w:val="center"/>
          </w:tcPr>
          <w:p>
            <w:pPr>
              <w:pStyle w:val="TableContents"/>
              <w:bidi w:val="0"/>
              <w:spacing w:before="0" w:after="283"/>
              <w:jc w:val="left"/>
              <w:rPr/>
            </w:pPr>
            <w:r>
              <w:rPr/>
              <w:t> </w:t>
            </w:r>
          </w:p>
        </w:tc>
      </w:tr>
      <w:tr>
        <w:trPr/>
        <w:tc>
          <w:tcPr>
            <w:tcW w:w="32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5,908</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(28,741</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(90,387</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1,278</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(28,700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(89,109</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(0.75</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38,517,602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38,054,583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38,406,709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37,993,002</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Nine Months Ended September 30, 2024</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7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38,172,603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439,739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(309,206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130,188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154,049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38,326,652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3,205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38,439,375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exercise of</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154,038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38,669,073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Nine Months Ended September 30, 2023</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7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37,877,387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428,623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(191,534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235,137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exercise of</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37,950,600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211,125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exercise of</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96,101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38,054,583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38,054,583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17"/>
        <w:gridCol w:w="146"/>
        <w:gridCol w:w="250"/>
        <w:gridCol w:w="892"/>
        <w:gridCol w:w="197"/>
        <w:gridCol w:w="173"/>
        <w:gridCol w:w="250"/>
        <w:gridCol w:w="946"/>
        <w:gridCol w:w="1334"/>
      </w:tblGrid>
      <w:tr>
        <w:trPr/>
        <w:tc>
          <w:tcPr>
            <w:tcW w:w="6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60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96"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280"/>
              <w:jc w:val="right"/>
              <w:rPr/>
            </w:pPr>
            <w:r>
              <w:rPr/>
              <w:t> </w:t>
            </w:r>
          </w:p>
        </w:tc>
      </w:tr>
      <w:tr>
        <w:trPr/>
        <w:tc>
          <w:tcPr>
            <w:tcW w:w="601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(81,937</w:t>
            </w:r>
          </w:p>
        </w:tc>
        <w:tc>
          <w:tcPr>
            <w:tcW w:w="19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(90,387</w:t>
            </w:r>
          </w:p>
        </w:tc>
        <w:tc>
          <w:tcPr>
            <w:tcW w:w="1334"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1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96"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560"/>
              <w:jc w:val="right"/>
              <w:rPr/>
            </w:pPr>
            <w:r>
              <w:rPr/>
              <w:t> </w:t>
            </w:r>
          </w:p>
        </w:tc>
      </w:tr>
      <w:tr>
        <w:trPr/>
        <w:tc>
          <w:tcPr>
            <w:tcW w:w="601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8,820</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8,395</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601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727</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601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601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Amortization of premiums and accretion of discounts on</w:t>
              <w:br/>
              <w:t>   available-for-sale securities, net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1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(1,131</w:t>
            </w:r>
          </w:p>
        </w:tc>
        <w:tc>
          <w:tcPr>
            <w:tcW w:w="1334"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1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Loss on disposal of equipment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601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96"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840"/>
              <w:jc w:val="right"/>
              <w:rPr/>
            </w:pPr>
            <w:r>
              <w:rPr/>
              <w:t> </w:t>
            </w:r>
          </w:p>
        </w:tc>
      </w:tr>
      <w:tr>
        <w:trPr/>
        <w:tc>
          <w:tcPr>
            <w:tcW w:w="6017"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Unbilled grant receivable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1,227</w:t>
            </w:r>
          </w:p>
        </w:tc>
        <w:tc>
          <w:tcPr>
            <w:tcW w:w="1334" w:type="dxa"/>
            <w:tcBorders/>
            <w:shd w:fill="FFFFFF" w:val="clear"/>
            <w:vAlign w:val="center"/>
          </w:tcPr>
          <w:p>
            <w:pPr>
              <w:pStyle w:val="TableContents"/>
              <w:bidi w:val="0"/>
              <w:spacing w:before="0" w:after="283"/>
              <w:ind w:left="0" w:right="0" w:firstLine="840"/>
              <w:jc w:val="left"/>
              <w:rPr/>
            </w:pPr>
            <w:r>
              <w:rPr/>
              <w:t> </w:t>
            </w:r>
          </w:p>
        </w:tc>
      </w:tr>
      <w:tr>
        <w:trPr/>
        <w:tc>
          <w:tcPr>
            <w:tcW w:w="6017"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Prepaid expenses and other current and long-term assets, net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2,930</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334" w:type="dxa"/>
            <w:tcBorders/>
            <w:shd w:fill="CFF0FC"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017"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(1,123</w:t>
            </w:r>
          </w:p>
        </w:tc>
        <w:tc>
          <w:tcPr>
            <w:tcW w:w="19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7,159</w:t>
            </w:r>
          </w:p>
        </w:tc>
        <w:tc>
          <w:tcPr>
            <w:tcW w:w="1334" w:type="dxa"/>
            <w:tcBorders/>
            <w:shd w:fill="FFFFFF" w:val="clear"/>
            <w:vAlign w:val="center"/>
          </w:tcPr>
          <w:p>
            <w:pPr>
              <w:pStyle w:val="TableContents"/>
              <w:bidi w:val="0"/>
              <w:spacing w:before="0" w:after="283"/>
              <w:ind w:left="0" w:right="0" w:firstLine="840"/>
              <w:jc w:val="left"/>
              <w:rPr/>
            </w:pPr>
            <w:r>
              <w:rPr/>
              <w:t> </w:t>
            </w:r>
          </w:p>
        </w:tc>
      </w:tr>
      <w:tr>
        <w:trPr/>
        <w:tc>
          <w:tcPr>
            <w:tcW w:w="6017"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017" w:type="dxa"/>
            <w:tcBorders/>
            <w:shd w:fill="FFFFFF"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(71,157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(74,460</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1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96"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280"/>
              <w:jc w:val="right"/>
              <w:rPr/>
            </w:pPr>
            <w:r>
              <w:rPr/>
              <w:t> </w:t>
            </w:r>
          </w:p>
        </w:tc>
      </w:tr>
      <w:tr>
        <w:trPr/>
        <w:tc>
          <w:tcPr>
            <w:tcW w:w="601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available-for-sale securities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(11,322</w:t>
            </w:r>
          </w:p>
        </w:tc>
        <w:tc>
          <w:tcPr>
            <w:tcW w:w="19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(27,671</w:t>
            </w:r>
          </w:p>
        </w:tc>
        <w:tc>
          <w:tcPr>
            <w:tcW w:w="133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1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Maturities of available-for-sale securities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68,997</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116,673</w:t>
            </w:r>
          </w:p>
        </w:tc>
        <w:tc>
          <w:tcPr>
            <w:tcW w:w="1334" w:type="dxa"/>
            <w:tcBorders/>
            <w:shd w:fill="CFF0FC" w:val="clear"/>
            <w:vAlign w:val="center"/>
          </w:tcPr>
          <w:p>
            <w:pPr>
              <w:pStyle w:val="TableContents"/>
              <w:bidi w:val="0"/>
              <w:spacing w:before="0" w:after="283"/>
              <w:ind w:left="0" w:right="0" w:firstLine="280"/>
              <w:jc w:val="left"/>
              <w:rPr/>
            </w:pPr>
            <w:r>
              <w:rPr/>
              <w:t> </w:t>
            </w:r>
          </w:p>
        </w:tc>
      </w:tr>
      <w:tr>
        <w:trPr/>
        <w:tc>
          <w:tcPr>
            <w:tcW w:w="601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017" w:type="dxa"/>
            <w:tcBorders/>
            <w:shd w:fill="CFF0FC"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88,698</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17"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196" w:type="dxa"/>
            <w:gridSpan w:val="2"/>
            <w:tcBorders/>
            <w:shd w:fill="FFFFFF" w:val="clear"/>
            <w:vAlign w:val="center"/>
          </w:tcPr>
          <w:p>
            <w:pPr>
              <w:pStyle w:val="TableContents"/>
              <w:bidi w:val="0"/>
              <w:spacing w:before="0" w:after="283"/>
              <w:jc w:val="right"/>
              <w:rPr/>
            </w:pPr>
            <w:r>
              <w:rPr/>
              <w:t> </w:t>
            </w:r>
          </w:p>
        </w:tc>
        <w:tc>
          <w:tcPr>
            <w:tcW w:w="1334" w:type="dxa"/>
            <w:tcBorders/>
            <w:shd w:fill="FFFFFF" w:val="clear"/>
            <w:vAlign w:val="center"/>
          </w:tcPr>
          <w:p>
            <w:pPr>
              <w:pStyle w:val="TableContents"/>
              <w:bidi w:val="0"/>
              <w:spacing w:before="0" w:after="283"/>
              <w:ind w:left="0" w:right="0" w:firstLine="280"/>
              <w:jc w:val="right"/>
              <w:rPr/>
            </w:pPr>
            <w:r>
              <w:rPr/>
              <w:t> </w:t>
            </w:r>
          </w:p>
        </w:tc>
      </w:tr>
      <w:tr>
        <w:trPr/>
        <w:tc>
          <w:tcPr>
            <w:tcW w:w="601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exercise of common stock options and issuance</w:t>
              <w:br/>
              <w:t>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017" w:type="dxa"/>
            <w:tcBorders/>
            <w:shd w:fill="FFFFFF"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(13,355</w:t>
            </w:r>
          </w:p>
        </w:tc>
        <w:tc>
          <w:tcPr>
            <w:tcW w:w="1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14,579</w:t>
            </w:r>
          </w:p>
        </w:tc>
        <w:tc>
          <w:tcPr>
            <w:tcW w:w="1334" w:type="dxa"/>
            <w:tcBorders/>
            <w:shd w:fill="CFF0FC" w:val="clear"/>
            <w:vAlign w:val="center"/>
          </w:tcPr>
          <w:p>
            <w:pPr>
              <w:pStyle w:val="TableContents"/>
              <w:bidi w:val="0"/>
              <w:spacing w:before="0" w:after="283"/>
              <w:jc w:val="left"/>
              <w:rPr/>
            </w:pPr>
            <w:r>
              <w:rPr/>
              <w:t> </w:t>
            </w:r>
          </w:p>
        </w:tc>
      </w:tr>
      <w:tr>
        <w:trPr/>
        <w:tc>
          <w:tcPr>
            <w:tcW w:w="60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96,386</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77,860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110,965</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280" w:after="283"/>
        <w:jc w:val="both"/>
        <w:rPr>
          <w:rFonts w:ascii="Arial" w:hAnsi="Arial"/>
          <w:b/>
          <w:i/>
          <w:color w:val="000000"/>
          <w:sz w:val="20"/>
        </w:rPr>
      </w:pPr>
      <w:r>
        <w:rPr>
          <w:rFonts w:ascii="Arial" w:hAnsi="Arial"/>
          <w:b/>
          <w:i/>
          <w:color w:val="000000"/>
          <w:sz w:val="20"/>
        </w:rPr>
        <w:t>Organization</w:t>
      </w:r>
    </w:p>
    <w:p>
      <w:pPr>
        <w:pStyle w:val="TextBody"/>
        <w:bidi w:val="0"/>
        <w:spacing w:before="280" w:after="283"/>
        <w:jc w:val="both"/>
        <w:rPr>
          <w:rFonts w:ascii="Times New Roman" w:hAnsi="Times New Roman"/>
          <w:sz w:val="20"/>
        </w:rPr>
      </w:pPr>
      <w:r>
        <w:rPr>
          <w:rFonts w:ascii="Arial" w:hAnsi="Arial"/>
          <w:color w:val="000000"/>
          <w:sz w:val="20"/>
        </w:rPr>
        <w:t>Athira Pharma, Inc., or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The Company currently has office and laboratory space in Bothell, Washington. The Company is a clinical-stage biopharmaceutical company focused on developing small molecules to restore neuronal health and slow neurodegeneration.</w:t>
      </w:r>
    </w:p>
    <w:p>
      <w:pPr>
        <w:pStyle w:val="TextBody"/>
        <w:bidi w:val="0"/>
        <w:spacing w:before="28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28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2024, it has raised aggregate net cash proceeds of $407.4</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of September 30, 2024, the Company had cash, cash equivalents and investments of $68.9</w:t>
      </w:r>
      <w:r>
        <w:rPr>
          <w:rFonts w:ascii="Times New Roman" w:hAnsi="Times New Roman"/>
          <w:color w:val="000000"/>
          <w:sz w:val="20"/>
        </w:rPr>
        <w:t xml:space="preserve"> </w:t>
      </w:r>
      <w:r>
        <w:rPr>
          <w:rFonts w:ascii="Arial" w:hAnsi="Arial"/>
          <w:color w:val="000000"/>
          <w:sz w:val="20"/>
        </w:rPr>
        <w:t>million. The Company’s net loss for the nine months ended September 30, 2024 was $81.9</w:t>
      </w:r>
      <w:r>
        <w:rPr>
          <w:rFonts w:ascii="Times New Roman" w:hAnsi="Times New Roman"/>
          <w:color w:val="000000"/>
          <w:sz w:val="20"/>
        </w:rPr>
        <w:t xml:space="preserve"> </w:t>
      </w:r>
      <w:r>
        <w:rPr>
          <w:rFonts w:ascii="Arial" w:hAnsi="Arial"/>
          <w:color w:val="000000"/>
          <w:sz w:val="20"/>
        </w:rPr>
        <w:t>million and cash used in operations for the nine months ended September 30, 2024 was $71.2</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283"/>
        <w:jc w:val="both"/>
        <w:rPr>
          <w:rFonts w:ascii="Times New Roman" w:hAnsi="Times New Roman"/>
          <w:sz w:val="20"/>
        </w:rPr>
      </w:pPr>
      <w:r>
        <w:rPr>
          <w:rFonts w:ascii="Arial" w:hAnsi="Arial"/>
          <w:color w:val="000000"/>
          <w:sz w:val="20"/>
        </w:rPr>
        <w:t>Based upon the Company’s current operating plan, it estimates that its $68.9</w:t>
      </w:r>
      <w:r>
        <w:rPr>
          <w:rFonts w:ascii="Times New Roman" w:hAnsi="Times New Roman"/>
          <w:color w:val="000000"/>
          <w:sz w:val="20"/>
        </w:rPr>
        <w:t xml:space="preserve"> </w:t>
      </w:r>
      <w:r>
        <w:rPr>
          <w:rFonts w:ascii="Arial" w:hAnsi="Arial"/>
          <w:color w:val="000000"/>
          <w:sz w:val="20"/>
        </w:rPr>
        <w:t>million of cash, cash equivalents and investments at September 30, 2024</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12 months following the date of this report. Historically, the Company has incurred net losses from continuing operations and negative operating cash flows. The Company has not yet established an ongoing source of revenue sufficient to cover its operating costs; therefore, the Company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w:t>
      </w:r>
      <w:r>
        <w:rPr>
          <w:rFonts w:ascii="Times New Roman" w:hAnsi="Times New Roman"/>
          <w:color w:val="000000"/>
          <w:sz w:val="20"/>
        </w:rPr>
        <w:t xml:space="preserve"> </w:t>
      </w:r>
      <w:r>
        <w:rPr>
          <w:rFonts w:ascii="Arial" w:hAnsi="Arial"/>
          <w:color w:val="000000"/>
          <w:sz w:val="20"/>
        </w:rPr>
        <w:t>million.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pStyle w:val="TextBody"/>
        <w:bidi w:val="0"/>
        <w:jc w:val="both"/>
        <w:rPr/>
      </w:pPr>
      <w:r>
        <w:rPr/>
        <w:t> </w:t>
      </w:r>
    </w:p>
    <w:p>
      <w:pPr>
        <w:pStyle w:val="TextBody"/>
        <w:bidi w:val="0"/>
        <w:spacing w:before="8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280" w:after="283"/>
        <w:jc w:val="both"/>
        <w:rPr>
          <w:rFonts w:ascii="Arial" w:hAnsi="Arial"/>
          <w:b/>
          <w:i/>
          <w:color w:val="000000"/>
          <w:sz w:val="20"/>
        </w:rPr>
      </w:pPr>
      <w:r>
        <w:rPr>
          <w:rFonts w:ascii="Arial" w:hAnsi="Arial"/>
          <w:b/>
          <w:i/>
          <w:color w:val="000000"/>
          <w:sz w:val="20"/>
        </w:rPr>
        <w:t>Basis of Presentation</w:t>
      </w:r>
    </w:p>
    <w:p>
      <w:pPr>
        <w:pStyle w:val="TextBody"/>
        <w:bidi w:val="0"/>
        <w:spacing w:before="28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or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280" w:after="283"/>
        <w:jc w:val="both"/>
        <w:rPr>
          <w:rFonts w:ascii="Times New Roman" w:hAnsi="Times New Roman"/>
          <w:sz w:val="20"/>
        </w:rPr>
      </w:pPr>
      <w:r>
        <w:rPr>
          <w:rFonts w:ascii="Arial" w:hAnsi="Arial"/>
          <w:color w:val="000000"/>
          <w:sz w:val="20"/>
        </w:rPr>
        <w:t>The accompanying condensed consolidated balance sheet as of September 30, 2024, and condensed consolidated statements of operations and comprehensive loss, cash flows, and stockholders’ equity for the three and nine months ended September 30, 2024 and 2023, are unaudited. The balance sheet as of December 31, 2023 was derived from the audited consolidated financial statements as of and for the year ended December 31, 2023. The unaudited interim condensed consolidated financial statements have been prepared on a basis consistent with the audited annual financial statements as of and for the year ended December 31, 2023, and, in the opinion of management, reflect all adjustments, consisting solely of normal recurring adjustments, necessary for the fair presentation of the Company’s financial position as of September 30, 2024, and the unaudited condensed consolidated results of its operations and its cash flows for the three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and nine months ended September 30, 2024 and 2023. The financial data and other information disclosed in these notes related to the three and nine months ended September 30, 2024 and 2023 are also unaudited. The unaudited condensed consolidated results of operations for the three and nine months ended September 30, 2024 are not necessarily indicative of the results to be expected for the full year ending December 31, 2024 or any other period. These unaudited interim condensed consolidated financial statements should be read in conjunction with the Company’s audited consolidated financial statements as of and for the year ended December 31, 2023</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February 22, 2024.</w:t>
      </w:r>
    </w:p>
    <w:p>
      <w:pPr>
        <w:pStyle w:val="TextBody"/>
        <w:bidi w:val="0"/>
        <w:spacing w:before="280" w:after="283"/>
        <w:jc w:val="both"/>
        <w:rPr>
          <w:rFonts w:ascii="Arial" w:hAnsi="Arial"/>
          <w:b/>
          <w:i/>
          <w:color w:val="000000"/>
          <w:sz w:val="20"/>
        </w:rPr>
      </w:pPr>
      <w:r>
        <w:rPr>
          <w:rFonts w:ascii="Arial" w:hAnsi="Arial"/>
          <w:b/>
          <w:i/>
          <w:color w:val="000000"/>
          <w:sz w:val="20"/>
        </w:rPr>
        <w:t>Fair Value Measurements</w:t>
      </w:r>
    </w:p>
    <w:p>
      <w:pPr>
        <w:pStyle w:val="TextBody"/>
        <w:bidi w:val="0"/>
        <w:spacing w:before="28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283"/>
        <w:jc w:val="both"/>
        <w:rPr>
          <w:rFonts w:ascii="Arial" w:hAnsi="Arial"/>
          <w:b/>
          <w:i/>
          <w:color w:val="000000"/>
          <w:sz w:val="20"/>
        </w:rPr>
      </w:pPr>
      <w:r>
        <w:rPr>
          <w:rFonts w:ascii="Arial" w:hAnsi="Arial"/>
          <w:b/>
          <w:i/>
          <w:color w:val="000000"/>
          <w:sz w:val="20"/>
        </w:rPr>
        <w:t>Restricted Cash</w:t>
      </w:r>
    </w:p>
    <w:p>
      <w:pPr>
        <w:pStyle w:val="TextBody"/>
        <w:bidi w:val="0"/>
        <w:spacing w:before="280" w:after="280"/>
        <w:jc w:val="both"/>
        <w:rPr>
          <w:rFonts w:ascii="Times New Roman" w:hAnsi="Times New Roman"/>
          <w:sz w:val="20"/>
        </w:rPr>
      </w:pPr>
      <w:r>
        <w:rPr>
          <w:rFonts w:ascii="Arial" w:hAnsi="Arial"/>
          <w:color w:val="000000"/>
          <w:sz w:val="20"/>
        </w:rPr>
        <w:t>Restricted cash consists of $8.4</w:t>
      </w:r>
      <w:r>
        <w:rPr>
          <w:rFonts w:ascii="Times New Roman" w:hAnsi="Times New Roman"/>
          <w:color w:val="000000"/>
          <w:sz w:val="20"/>
        </w:rPr>
        <w:t xml:space="preserve"> </w:t>
      </w:r>
      <w:r>
        <w:rPr>
          <w:rFonts w:ascii="Arial" w:hAnsi="Arial"/>
          <w:color w:val="000000"/>
          <w:sz w:val="20"/>
        </w:rPr>
        <w:t>million paid into a settlement fund account pending resolution of the securities class action settlement discussed in Note 7, as well as collateral pledged in connection with the Company's corporate credit cards. The table below reconciles the balances of cash and cash equivalents and restricted cash reported on the unaudited condensed consolidated balance sheets to the balances of cash, cash equivalents and restricted cash reported on the unaudited condensed consolidated statements of cash flows.</w:t>
      </w:r>
    </w:p>
    <w:tbl>
      <w:tblPr>
        <w:tblW w:w="6915" w:type="dxa"/>
        <w:jc w:val="left"/>
        <w:tblInd w:w="0" w:type="dxa"/>
        <w:tblLayout w:type="fixed"/>
        <w:tblCellMar>
          <w:top w:w="28" w:type="dxa"/>
          <w:left w:w="28" w:type="dxa"/>
          <w:bottom w:w="28" w:type="dxa"/>
          <w:right w:w="28" w:type="dxa"/>
        </w:tblCellMar>
      </w:tblPr>
      <w:tblGrid>
        <w:gridCol w:w="3886"/>
        <w:gridCol w:w="146"/>
        <w:gridCol w:w="286"/>
        <w:gridCol w:w="944"/>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current</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non-current</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Short-term Investments</w:t>
      </w:r>
    </w:p>
    <w:p>
      <w:pPr>
        <w:pStyle w:val="TextBody"/>
        <w:bidi w:val="0"/>
        <w:spacing w:before="28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unaudited condensed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80" w:after="283"/>
        <w:jc w:val="both"/>
        <w:rPr>
          <w:rFonts w:ascii="Arial" w:hAnsi="Arial"/>
          <w:b/>
          <w:i/>
          <w:color w:val="000000"/>
          <w:sz w:val="20"/>
        </w:rPr>
      </w:pPr>
      <w:r>
        <w:rPr>
          <w:rFonts w:ascii="Arial" w:hAnsi="Arial"/>
          <w:b/>
          <w:i/>
          <w:color w:val="000000"/>
          <w:sz w:val="20"/>
        </w:rPr>
        <w:t>Use of Estimates</w:t>
      </w:r>
    </w:p>
    <w:p>
      <w:pPr>
        <w:pStyle w:val="TextBody"/>
        <w:bidi w:val="0"/>
        <w:spacing w:before="28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283"/>
        <w:jc w:val="both"/>
        <w:rPr>
          <w:rFonts w:ascii="Arial" w:hAnsi="Arial"/>
          <w:b/>
          <w:i/>
          <w:color w:val="000000"/>
          <w:sz w:val="20"/>
        </w:rPr>
      </w:pPr>
      <w:r>
        <w:rPr>
          <w:rFonts w:ascii="Arial" w:hAnsi="Arial"/>
          <w:b/>
          <w:i/>
          <w:color w:val="000000"/>
          <w:sz w:val="20"/>
        </w:rPr>
        <w:t>Leases</w:t>
      </w:r>
    </w:p>
    <w:p>
      <w:pPr>
        <w:pStyle w:val="TextBody"/>
        <w:bidi w:val="0"/>
        <w:spacing w:before="280" w:after="283"/>
        <w:jc w:val="both"/>
        <w:rPr>
          <w:rFonts w:ascii="Times New Roman" w:hAnsi="Times New Roman"/>
          <w:sz w:val="20"/>
        </w:rPr>
      </w:pPr>
      <w:r>
        <w:rPr>
          <w:rFonts w:ascii="Arial" w:hAnsi="Arial"/>
          <w:color w:val="000000"/>
          <w:sz w:val="20"/>
        </w:rPr>
        <w:t xml:space="preserve">The Company adopted Accounting Standards Codification, or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or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280" w:after="283"/>
        <w:jc w:val="both"/>
        <w:rPr>
          <w:rFonts w:ascii="Arial" w:hAnsi="Arial"/>
          <w:b/>
          <w:i/>
          <w:color w:val="000000"/>
          <w:sz w:val="20"/>
        </w:rPr>
      </w:pPr>
      <w:r>
        <w:rPr>
          <w:rFonts w:ascii="Arial" w:hAnsi="Arial"/>
          <w:b/>
          <w:i/>
          <w:color w:val="000000"/>
          <w:sz w:val="20"/>
        </w:rPr>
        <w:t>Stock-based Compensation</w:t>
      </w:r>
    </w:p>
    <w:p>
      <w:pPr>
        <w:pStyle w:val="TextBody"/>
        <w:bidi w:val="0"/>
        <w:spacing w:before="28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280" w:after="283"/>
        <w:jc w:val="both"/>
        <w:rPr>
          <w:rFonts w:ascii="Arial" w:hAnsi="Arial"/>
          <w:color w:val="000000"/>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283"/>
        <w:jc w:val="both"/>
        <w:rPr>
          <w:rFonts w:ascii="Arial" w:hAnsi="Arial"/>
          <w:b/>
          <w:i/>
          <w:color w:val="000000"/>
          <w:sz w:val="20"/>
        </w:rPr>
      </w:pPr>
      <w:r>
        <w:rPr>
          <w:rFonts w:ascii="Arial" w:hAnsi="Arial"/>
          <w:b/>
          <w:i/>
          <w:color w:val="000000"/>
          <w:sz w:val="20"/>
        </w:rPr>
        <w:t>Segments</w:t>
      </w:r>
    </w:p>
    <w:p>
      <w:pPr>
        <w:pStyle w:val="TextBody"/>
        <w:bidi w:val="0"/>
        <w:spacing w:before="280" w:after="283"/>
        <w:jc w:val="both"/>
        <w:rPr>
          <w:rFonts w:ascii="Times New Roman" w:hAnsi="Times New Roman"/>
          <w:sz w:val="20"/>
        </w:rPr>
      </w:pPr>
      <w:r>
        <w:rPr>
          <w:rFonts w:ascii="Arial" w:hAnsi="Arial"/>
          <w:color w:val="000000"/>
          <w:sz w:val="20"/>
        </w:rPr>
        <w:t>The Company has determined that it operates and manages one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bidi w:val="0"/>
        <w:spacing w:before="280" w:after="283"/>
        <w:jc w:val="both"/>
        <w:rPr>
          <w:rFonts w:ascii="Arial" w:hAnsi="Arial"/>
          <w:b/>
          <w:i/>
          <w:color w:val="000000"/>
          <w:sz w:val="20"/>
        </w:rPr>
      </w:pPr>
      <w:r>
        <w:rPr>
          <w:rFonts w:ascii="Arial" w:hAnsi="Arial"/>
          <w:b/>
          <w:i/>
          <w:color w:val="000000"/>
          <w:sz w:val="20"/>
        </w:rPr>
        <w:t>Corporate Restructuring</w:t>
      </w:r>
    </w:p>
    <w:p>
      <w:pPr>
        <w:pStyle w:val="TextBody"/>
        <w:bidi w:val="0"/>
        <w:spacing w:before="280" w:after="283"/>
        <w:jc w:val="both"/>
        <w:rPr>
          <w:rFonts w:ascii="Times New Roman" w:hAnsi="Times New Roman"/>
          <w:sz w:val="20"/>
        </w:rPr>
      </w:pPr>
      <w:r>
        <w:rPr>
          <w:rFonts w:ascii="Arial" w:hAnsi="Arial"/>
          <w:color w:val="000000"/>
          <w:sz w:val="20"/>
        </w:rPr>
        <w:t>On September 15, 2024, the Company committed to a workforce reduction that is expected to result in the termination of approximately 70% of the Company’s workforce, or the Restructuring. In connection with the Restructuring, the Company currently estimates it will incur costs of approximately $2.8</w:t>
      </w:r>
      <w:r>
        <w:rPr>
          <w:rFonts w:ascii="Times New Roman" w:hAnsi="Times New Roman"/>
          <w:color w:val="000000"/>
          <w:sz w:val="20"/>
        </w:rPr>
        <w:t xml:space="preserve"> </w:t>
      </w:r>
      <w:r>
        <w:rPr>
          <w:rFonts w:ascii="Arial" w:hAnsi="Arial"/>
          <w:color w:val="000000"/>
          <w:sz w:val="20"/>
        </w:rPr>
        <w:t>million, consisting primarily of cash severance costs and termination benefits, which the Company expects to recognize in the third and fourth quarters of 2024. The Company expects to substantially complete the Restructuring by December 31, 2024.</w:t>
      </w:r>
    </w:p>
    <w:p>
      <w:pPr>
        <w:pStyle w:val="TextBody"/>
        <w:bidi w:val="0"/>
        <w:spacing w:before="280" w:after="283"/>
        <w:jc w:val="both"/>
        <w:rPr>
          <w:rFonts w:ascii="Arial" w:hAnsi="Arial"/>
          <w:b/>
          <w:i/>
          <w:color w:val="000000"/>
          <w:sz w:val="20"/>
        </w:rPr>
      </w:pPr>
      <w:r>
        <w:rPr>
          <w:rFonts w:ascii="Arial" w:hAnsi="Arial"/>
          <w:b/>
          <w:i/>
          <w:color w:val="000000"/>
          <w:sz w:val="20"/>
        </w:rPr>
        <w:t>Emerging Growth Company Status</w:t>
      </w:r>
    </w:p>
    <w:p>
      <w:pPr>
        <w:pStyle w:val="TextBody"/>
        <w:bidi w:val="0"/>
        <w:spacing w:before="280" w:after="283"/>
        <w:jc w:val="both"/>
        <w:rPr>
          <w:rFonts w:ascii="Arial" w:hAnsi="Arial"/>
          <w:color w:val="000000"/>
          <w:sz w:val="20"/>
        </w:rPr>
      </w:pPr>
      <w:r>
        <w:rPr>
          <w:rFonts w:ascii="Arial" w:hAnsi="Arial"/>
          <w:color w:val="000000"/>
          <w:sz w:val="20"/>
        </w:rPr>
        <w:t>The Company is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280" w:after="283"/>
        <w:jc w:val="both"/>
        <w:rPr>
          <w:rFonts w:ascii="Arial" w:hAnsi="Arial"/>
          <w:color w:val="000000"/>
          <w:sz w:val="20"/>
        </w:rPr>
      </w:pPr>
      <w:r>
        <w:rPr>
          <w:rFonts w:ascii="Arial" w:hAnsi="Arial"/>
          <w:color w:val="000000"/>
          <w:sz w:val="20"/>
        </w:rPr>
        <w:t>In November 2023, the Financial Accounting Standards Board, or FASB, issued Accounting Standards Update, or ASU, 2023-07, Segment Reporting (Topic 280), Improvements to Reportable Segment Disclosures to improve reportable segment disclosure requirements through enhanced disclosures about significant segment expenses on an interim and annual basis. All disclosure requirements of ASU 2023-07 are required for entities with a single reportable segment. ASU 2023-07 is effective for fiscal years beginning after December 15, 2023, and interim periods for the fiscal years beginning after December 15, 2024, and should be applied on a retrospective basis to all periods presented. Early adoption is permitted. The Company does not expect the adoption of this new guidance to have a material impact on its consolidated financial statements and is currently evaluating the effect of adopting the ASU on its disclosures.</w:t>
      </w:r>
    </w:p>
    <w:p>
      <w:pPr>
        <w:pStyle w:val="TextBody"/>
        <w:bidi w:val="0"/>
        <w:spacing w:before="280" w:after="283"/>
        <w:jc w:val="both"/>
        <w:rPr>
          <w:rFonts w:ascii="Arial" w:hAnsi="Arial"/>
          <w:color w:val="000000"/>
          <w:sz w:val="20"/>
        </w:rPr>
      </w:pPr>
      <w:r>
        <w:rPr>
          <w:rFonts w:ascii="Arial" w:hAnsi="Arial"/>
          <w:color w:val="000000"/>
          <w:sz w:val="20"/>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does not expect the adoption of this new guidance to have a material impact on its consolidated financial statements and is currently evaluating the effect of adopting the ASU on its disclosures.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3. Fair Value</w:t>
      </w:r>
    </w:p>
    <w:p>
      <w:pPr>
        <w:pStyle w:val="TextBody"/>
        <w:bidi w:val="0"/>
        <w:spacing w:before="28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18,125</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23,981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42,139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59,197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59,260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6,427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50,408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80" w:after="283"/>
        <w:jc w:val="both"/>
        <w:rPr>
          <w:rFonts w:ascii="Times New Roman" w:hAnsi="Times New Roman"/>
          <w:sz w:val="20"/>
        </w:rPr>
      </w:pPr>
      <w:r>
        <w:rPr>
          <w:rFonts w:ascii="Arial" w:hAnsi="Arial"/>
          <w:color w:val="000000"/>
          <w:sz w:val="20"/>
        </w:rPr>
        <w:t>As of September 30, 2024,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September 30, 2024</w:t>
      </w:r>
      <w:r>
        <w:rPr>
          <w:rFonts w:ascii="Times New Roman" w:hAnsi="Times New Roman"/>
          <w:color w:val="000000"/>
          <w:sz w:val="20"/>
        </w:rPr>
        <w:t xml:space="preserve"> </w:t>
      </w:r>
      <w:r>
        <w:rPr>
          <w:rFonts w:ascii="Arial" w:hAnsi="Arial"/>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6260" w:type="dxa"/>
        <w:jc w:val="left"/>
        <w:tblInd w:w="0" w:type="dxa"/>
        <w:tblLayout w:type="fixed"/>
        <w:tblCellMar>
          <w:top w:w="28" w:type="dxa"/>
          <w:left w:w="28" w:type="dxa"/>
          <w:bottom w:w="28" w:type="dxa"/>
          <w:right w:w="28" w:type="dxa"/>
        </w:tblCellMar>
      </w:tblPr>
      <w:tblGrid>
        <w:gridCol w:w="2911"/>
        <w:gridCol w:w="146"/>
        <w:gridCol w:w="302"/>
        <w:gridCol w:w="928"/>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w:t>
            </w:r>
          </w:p>
        </w:tc>
        <w:tc>
          <w:tcPr>
            <w:tcW w:w="4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5,722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$243,000</w:t>
      </w:r>
      <w:r>
        <w:rPr>
          <w:rFonts w:ascii="Times New Roman" w:hAnsi="Times New Roman"/>
          <w:color w:val="000000"/>
          <w:sz w:val="20"/>
        </w:rPr>
        <w:t xml:space="preserve"> </w:t>
      </w:r>
      <w:r>
        <w:rPr>
          <w:rFonts w:ascii="Arial" w:hAnsi="Arial"/>
          <w:color w:val="000000"/>
          <w:sz w:val="20"/>
        </w:rPr>
        <w:t>and $727,000</w:t>
      </w:r>
      <w:r>
        <w:rPr>
          <w:rFonts w:ascii="Times New Roman" w:hAnsi="Times New Roman"/>
          <w:color w:val="000000"/>
          <w:sz w:val="20"/>
        </w:rPr>
        <w:t xml:space="preserve"> </w:t>
      </w:r>
      <w:r>
        <w:rPr>
          <w:rFonts w:ascii="Arial" w:hAnsi="Arial"/>
          <w:color w:val="000000"/>
          <w:sz w:val="20"/>
        </w:rPr>
        <w:t>for the three and nine months ended September 30, 2024, respectively. Depreciation expense was $244,000</w:t>
      </w:r>
      <w:r>
        <w:rPr>
          <w:rFonts w:ascii="Times New Roman" w:hAnsi="Times New Roman"/>
          <w:color w:val="000000"/>
          <w:sz w:val="20"/>
        </w:rPr>
        <w:t xml:space="preserve"> </w:t>
      </w:r>
      <w:r>
        <w:rPr>
          <w:rFonts w:ascii="Arial" w:hAnsi="Arial"/>
          <w:color w:val="000000"/>
          <w:sz w:val="20"/>
        </w:rPr>
        <w:t>and $724,000</w:t>
      </w:r>
      <w:r>
        <w:rPr>
          <w:rFonts w:ascii="Times New Roman" w:hAnsi="Times New Roman"/>
          <w:color w:val="000000"/>
          <w:sz w:val="20"/>
        </w:rPr>
        <w:t xml:space="preserve"> </w:t>
      </w:r>
      <w:r>
        <w:rPr>
          <w:rFonts w:ascii="Arial" w:hAnsi="Arial"/>
          <w:color w:val="000000"/>
          <w:sz w:val="20"/>
        </w:rPr>
        <w:t>for the three and nine months ended September 30, 2023, respectively.</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r>
        <w:rPr>
          <w:rFonts w:ascii="Arial" w:hAnsi="Arial"/>
          <w:b/>
          <w:color w:val="000000"/>
          <w:sz w:val="20"/>
        </w:rPr>
        <w:t>5. Accrued Liabilities</w:t>
      </w:r>
    </w:p>
    <w:p>
      <w:pPr>
        <w:pStyle w:val="TextBody"/>
        <w:bidi w:val="0"/>
        <w:spacing w:before="28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700" w:type="dxa"/>
        <w:jc w:val="left"/>
        <w:tblInd w:w="0" w:type="dxa"/>
        <w:tblLayout w:type="fixed"/>
        <w:tblCellMar>
          <w:top w:w="28" w:type="dxa"/>
          <w:left w:w="28" w:type="dxa"/>
          <w:bottom w:w="28" w:type="dxa"/>
          <w:right w:w="28" w:type="dxa"/>
        </w:tblCellMar>
      </w:tblPr>
      <w:tblGrid>
        <w:gridCol w:w="3391"/>
        <w:gridCol w:w="146"/>
        <w:gridCol w:w="286"/>
        <w:gridCol w:w="944"/>
        <w:gridCol w:w="146"/>
        <w:gridCol w:w="146"/>
        <w:gridCol w:w="273"/>
        <w:gridCol w:w="897"/>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11,916</w:t>
            </w:r>
          </w:p>
        </w:tc>
        <w:tc>
          <w:tcPr>
            <w:tcW w:w="47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4,545</w:t>
            </w:r>
          </w:p>
        </w:tc>
        <w:tc>
          <w:tcPr>
            <w:tcW w:w="47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Legal expense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18,343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 Significant Agreements</w:t>
      </w:r>
    </w:p>
    <w:p>
      <w:pPr>
        <w:pStyle w:val="TextBody"/>
        <w:bidi w:val="0"/>
        <w:spacing w:before="280" w:after="283"/>
        <w:jc w:val="both"/>
        <w:rPr>
          <w:rFonts w:ascii="Times New Roman" w:hAnsi="Times New Roman"/>
          <w:sz w:val="20"/>
        </w:rPr>
      </w:pPr>
      <w:r>
        <w:rPr>
          <w:rFonts w:ascii="Arial" w:hAnsi="Arial"/>
          <w:b/>
          <w:i/>
          <w:color w:val="000000"/>
          <w:sz w:val="20"/>
        </w:rPr>
        <w:t>WSU License Agreement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is party to an amended and restated exclusive license agreement with sublicensing terms with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 ATH-1105, the Company’s small molecule drug candidate currently in development for the potential treatment of ALS, is not covered by the WSU license agreement.</w:t>
      </w:r>
    </w:p>
    <w:p>
      <w:pPr>
        <w:pStyle w:val="TextBody"/>
        <w:bidi w:val="0"/>
        <w:spacing w:before="280" w:after="283"/>
        <w:jc w:val="both"/>
        <w:rPr>
          <w:rFonts w:ascii="Arial" w:hAnsi="Arial"/>
          <w:color w:val="000000"/>
          <w:sz w:val="20"/>
        </w:rPr>
      </w:pPr>
      <w:r>
        <w:rPr>
          <w:rFonts w:ascii="Arial" w:hAnsi="Arial"/>
          <w:color w:val="000000"/>
          <w:sz w:val="20"/>
        </w:rPr>
        <w:t>To keep in good standing, the agreement requires the Company to meet certain development milestones and pay annual maintenance fees. All contractual requirements have been met as of September 30, 2024.</w:t>
      </w:r>
    </w:p>
    <w:p>
      <w:pPr>
        <w:pStyle w:val="TextBody"/>
        <w:bidi w:val="0"/>
        <w:spacing w:before="280" w:after="283"/>
        <w:jc w:val="both"/>
        <w:rPr>
          <w:rFonts w:ascii="Times New Roman" w:hAnsi="Times New Roman"/>
          <w:sz w:val="20"/>
        </w:rPr>
      </w:pPr>
      <w:r>
        <w:rPr>
          <w:rFonts w:ascii="Arial" w:hAnsi="Arial"/>
          <w:color w:val="000000"/>
          <w:sz w:val="20"/>
        </w:rPr>
        <w:t>During the year ended December 31, 2020, the Phase 2 clinical trial milestone was reached and a payment of $50,000</w:t>
      </w:r>
      <w:r>
        <w:rPr>
          <w:rFonts w:ascii="Times New Roman" w:hAnsi="Times New Roman"/>
          <w:color w:val="000000"/>
          <w:sz w:val="20"/>
        </w:rPr>
        <w:t xml:space="preserve"> </w:t>
      </w:r>
      <w:r>
        <w:rPr>
          <w:rFonts w:ascii="Arial" w:hAnsi="Arial"/>
          <w:color w:val="000000"/>
          <w:sz w:val="20"/>
        </w:rPr>
        <w:t>to WSU was recorded.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may also be obligated to pay the following if the related milestones are reached: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$300,000</w:t>
      </w:r>
      <w:r>
        <w:rPr>
          <w:color w:val="000000"/>
        </w:rPr>
        <w:t xml:space="preserve"> – </w:t>
      </w:r>
      <w:r>
        <w:rPr>
          <w:rFonts w:ascii="Arial" w:hAnsi="Arial"/>
          <w:color w:val="000000"/>
          <w:sz w:val="20"/>
        </w:rPr>
        <w:t>At initiation of the first Phase 3 clinical trial in the United States, European Union or Japan for the first licensed product;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$600,000</w:t>
      </w:r>
      <w:r>
        <w:rPr>
          <w:color w:val="000000"/>
        </w:rPr>
        <w:t xml:space="preserve"> – </w:t>
      </w:r>
      <w:r>
        <w:rPr>
          <w:rFonts w:ascii="Arial" w:hAnsi="Arial"/>
          <w:color w:val="000000"/>
          <w:sz w:val="20"/>
        </w:rPr>
        <w:t>Upon receipt of marketing approval in the United States, European Union or Japan for the first licensed product.</w:t>
      </w:r>
    </w:p>
    <w:p>
      <w:pPr>
        <w:pStyle w:val="TextBody"/>
        <w:bidi w:val="0"/>
        <w:spacing w:before="280" w:after="283"/>
        <w:jc w:val="both"/>
        <w:rPr>
          <w:rFonts w:ascii="Times New Roman" w:hAnsi="Times New Roman"/>
          <w:sz w:val="20"/>
        </w:rPr>
      </w:pPr>
      <w:r>
        <w:rPr>
          <w:rFonts w:ascii="Arial" w:hAnsi="Arial"/>
          <w:color w:val="000000"/>
          <w:sz w:val="20"/>
        </w:rPr>
        <w:t>Under the terms of the agreement, the Company will pay a royalty in the mid-single digits of net sales, with the first $100,000</w:t>
      </w:r>
      <w:r>
        <w:rPr>
          <w:rFonts w:ascii="Times New Roman" w:hAnsi="Times New Roman"/>
          <w:color w:val="000000"/>
          <w:sz w:val="20"/>
        </w:rPr>
        <w:t xml:space="preserve"> </w:t>
      </w:r>
      <w:r>
        <w:rPr>
          <w:rFonts w:ascii="Arial" w:hAnsi="Arial"/>
          <w:color w:val="000000"/>
          <w:sz w:val="20"/>
        </w:rPr>
        <w:t>of net sales being exempt from royalty payment, and annual minimum royalty payments of $25,000</w:t>
      </w:r>
      <w:r>
        <w:rPr>
          <w:rFonts w:ascii="Times New Roman" w:hAnsi="Times New Roman"/>
          <w:color w:val="000000"/>
          <w:sz w:val="20"/>
        </w:rPr>
        <w:t xml:space="preserve"> </w:t>
      </w:r>
      <w:r>
        <w:rPr>
          <w:rFonts w:ascii="Arial" w:hAnsi="Arial"/>
          <w:color w:val="000000"/>
          <w:sz w:val="20"/>
        </w:rPr>
        <w:t>beginning after the first commercial sale of a licensed product. As of</w:t>
      </w:r>
      <w:r>
        <w:rPr>
          <w:rFonts w:ascii="Times New Roman" w:hAnsi="Times New Roman"/>
          <w:color w:val="000000"/>
          <w:sz w:val="20"/>
        </w:rPr>
        <w:t xml:space="preserve"> </w:t>
      </w:r>
      <w:r>
        <w:rPr>
          <w:rFonts w:ascii="Arial" w:hAnsi="Arial"/>
          <w:color w:val="000000"/>
          <w:sz w:val="20"/>
        </w:rPr>
        <w:t>September 30, 2024, no</w:t>
      </w:r>
      <w:r>
        <w:rPr>
          <w:rFonts w:ascii="Times New Roman" w:hAnsi="Times New Roman"/>
          <w:color w:val="000000"/>
          <w:sz w:val="20"/>
        </w:rPr>
        <w:t xml:space="preserve"> </w:t>
      </w:r>
      <w:r>
        <w:rPr>
          <w:rFonts w:ascii="Arial" w:hAnsi="Arial"/>
          <w:color w:val="000000"/>
          <w:sz w:val="20"/>
        </w:rPr>
        <w:t>sales of any licensed products had occurred and the Company had not incurred a royalty obligation under this agreement.</w:t>
      </w:r>
    </w:p>
    <w:p>
      <w:pPr>
        <w:pStyle w:val="TextBody"/>
        <w:bidi w:val="0"/>
        <w:spacing w:before="280" w:after="283"/>
        <w:jc w:val="both"/>
        <w:rPr>
          <w:rFonts w:ascii="Times New Roman" w:hAnsi="Times New Roman"/>
          <w:sz w:val="20"/>
        </w:rPr>
      </w:pPr>
      <w:r>
        <w:rPr>
          <w:rFonts w:ascii="Arial" w:hAnsi="Arial"/>
          <w:color w:val="000000"/>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payments received, and low twenties of net sales based sublicense royalties. As of September 30, 2024, the Company has not entered into or incurred any liability from a sublicense agreement.</w:t>
      </w:r>
    </w:p>
    <w:p>
      <w:pPr>
        <w:pStyle w:val="TextBody"/>
        <w:bidi w:val="0"/>
        <w:spacing w:before="1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280" w:after="283"/>
        <w:jc w:val="both"/>
        <w:rPr>
          <w:rFonts w:ascii="Arial" w:hAnsi="Arial"/>
          <w:b/>
          <w:i/>
          <w:color w:val="000000"/>
          <w:sz w:val="20"/>
        </w:rPr>
      </w:pPr>
      <w:r>
        <w:rPr>
          <w:rFonts w:ascii="Arial" w:hAnsi="Arial"/>
          <w:b/>
          <w:i/>
          <w:color w:val="000000"/>
          <w:sz w:val="20"/>
        </w:rPr>
        <w:t>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pStyle w:val="TextBody"/>
        <w:bidi w:val="0"/>
        <w:spacing w:before="280" w:after="283"/>
        <w:jc w:val="both"/>
        <w:rPr>
          <w:rFonts w:ascii="Arial" w:hAnsi="Arial"/>
          <w:b/>
          <w:color w:val="000000"/>
          <w:sz w:val="20"/>
        </w:rPr>
      </w:pPr>
      <w:r>
        <w:rPr>
          <w:rFonts w:ascii="Arial" w:hAnsi="Arial"/>
          <w:b/>
          <w:color w:val="000000"/>
          <w:sz w:val="20"/>
        </w:rPr>
        <w:t>Securities Class Actions</w:t>
      </w:r>
    </w:p>
    <w:p>
      <w:pPr>
        <w:pStyle w:val="TextBody"/>
        <w:bidi w:val="0"/>
        <w:spacing w:before="280" w:after="283"/>
        <w:jc w:val="both"/>
        <w:rPr>
          <w:rFonts w:ascii="Times New Roman" w:hAnsi="Times New Roman"/>
          <w:sz w:val="20"/>
        </w:rPr>
      </w:pPr>
      <w:r>
        <w:rPr>
          <w:rFonts w:ascii="Arial" w:hAnsi="Arial"/>
          <w:color w:val="000000"/>
          <w:sz w:val="20"/>
        </w:rPr>
        <w:t>On June 25, 2021, plaintiffs Fan Wang and Hang Gao</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and the Company’s former chief executive officer Dr. Leen Kawas, captioned </w:t>
      </w:r>
      <w:r>
        <w:rPr>
          <w:rFonts w:ascii="Arial" w:hAnsi="Arial"/>
          <w:i/>
          <w:color w:val="000000"/>
          <w:sz w:val="20"/>
        </w:rPr>
        <w:t>Wang v. Athira Pharma, Inc., et al.</w:t>
      </w:r>
      <w:r>
        <w:rPr>
          <w:rFonts w:ascii="Arial" w:hAnsi="Arial"/>
          <w:color w:val="000000"/>
          <w:sz w:val="20"/>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the Company’s business. Specifically, the </w:t>
      </w:r>
      <w:r>
        <w:rPr>
          <w:rFonts w:ascii="Arial" w:hAnsi="Arial"/>
          <w:i/>
          <w:color w:val="000000"/>
          <w:sz w:val="20"/>
        </w:rPr>
        <w:t xml:space="preserve">Wang </w:t>
      </w:r>
      <w:r>
        <w:rPr>
          <w:rFonts w:ascii="Arial" w:hAnsi="Arial"/>
          <w:color w:val="000000"/>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hAnsi="Arial"/>
          <w:i/>
          <w:color w:val="000000"/>
          <w:sz w:val="20"/>
        </w:rPr>
        <w:t xml:space="preserve">Wang </w:t>
      </w:r>
      <w:r>
        <w:rPr>
          <w:rFonts w:ascii="Arial" w:hAnsi="Arial"/>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That same day, on June 25, 2021, plaintiff Harshdeep Jawandha</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or IPO, as well as the IPO underwriters, captioned </w:t>
      </w:r>
      <w:r>
        <w:rPr>
          <w:rFonts w:ascii="Arial" w:hAnsi="Arial"/>
          <w:i/>
          <w:color w:val="000000"/>
          <w:sz w:val="20"/>
        </w:rPr>
        <w:t>Jawandha v. Athira Pharma, Inc., et al.</w:t>
      </w:r>
      <w:r>
        <w:rPr>
          <w:rFonts w:ascii="Arial" w:hAnsi="Arial"/>
          <w:color w:val="000000"/>
          <w:sz w:val="20"/>
        </w:rPr>
        <w:t xml:space="preserve">, No. 2:21-cv-00862. The </w:t>
      </w:r>
      <w:r>
        <w:rPr>
          <w:rFonts w:ascii="Arial" w:hAnsi="Arial"/>
          <w:i/>
          <w:color w:val="000000"/>
          <w:sz w:val="20"/>
        </w:rPr>
        <w:t xml:space="preserve">Jawandha </w:t>
      </w:r>
      <w:r>
        <w:rPr>
          <w:rFonts w:ascii="Arial" w:hAnsi="Arial"/>
          <w:color w:val="000000"/>
          <w:sz w:val="20"/>
        </w:rPr>
        <w:t xml:space="preserve">complaint asserts violations of Sections 11 and 15 of the Securities Act of 1933, or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hAnsi="Arial"/>
          <w:i/>
          <w:color w:val="000000"/>
          <w:sz w:val="20"/>
        </w:rPr>
        <w:t xml:space="preserve">Jawandha </w:t>
      </w:r>
      <w:r>
        <w:rPr>
          <w:rFonts w:ascii="Arial" w:hAnsi="Arial"/>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Also on June 25, 2021, plaintiffs Timothy Slyne and Tai Slyne</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 w:hAnsi="Arial"/>
          <w:i/>
          <w:color w:val="000000"/>
          <w:sz w:val="20"/>
        </w:rPr>
        <w:t xml:space="preserve">Jawandha </w:t>
      </w:r>
      <w:r>
        <w:rPr>
          <w:rFonts w:ascii="Arial" w:hAnsi="Arial"/>
          <w:color w:val="000000"/>
          <w:sz w:val="20"/>
        </w:rPr>
        <w:t xml:space="preserve">complaint, captioned </w:t>
      </w:r>
      <w:r>
        <w:rPr>
          <w:rFonts w:ascii="Arial" w:hAnsi="Arial"/>
          <w:i/>
          <w:color w:val="000000"/>
          <w:sz w:val="20"/>
        </w:rPr>
        <w:t>Slyne v. Athira Pharma, Inc. et al.</w:t>
      </w:r>
      <w:r>
        <w:rPr>
          <w:rFonts w:ascii="Arial" w:hAnsi="Arial"/>
          <w:color w:val="000000"/>
          <w:sz w:val="20"/>
        </w:rPr>
        <w:t xml:space="preserve">, No. 2:21-cv-00864. The </w:t>
      </w:r>
      <w:r>
        <w:rPr>
          <w:rFonts w:ascii="Arial" w:hAnsi="Arial"/>
          <w:i/>
          <w:color w:val="000000"/>
          <w:sz w:val="20"/>
        </w:rPr>
        <w:t xml:space="preserve">Slyne </w:t>
      </w:r>
      <w:r>
        <w:rPr>
          <w:rFonts w:ascii="Arial" w:hAnsi="Arial"/>
          <w:color w:val="000000"/>
          <w:sz w:val="20"/>
        </w:rPr>
        <w:t xml:space="preserve">complaint asserts violations of Sections 11 and 15 of the Securities Act, alleging that purported issues with Dr. Kawas’s doctoral research at WSU should have been disclosed in the Company’s IPO registration statement. The </w:t>
      </w:r>
      <w:r>
        <w:rPr>
          <w:rFonts w:ascii="Arial" w:hAnsi="Arial"/>
          <w:i/>
          <w:color w:val="000000"/>
          <w:sz w:val="20"/>
        </w:rPr>
        <w:t>Slyne</w:t>
      </w:r>
      <w:r>
        <w:rPr>
          <w:rFonts w:ascii="Times New Roman" w:hAnsi="Times New Roman"/>
          <w:color w:val="000000"/>
          <w:sz w:val="20"/>
        </w:rPr>
        <w:t xml:space="preserve"> </w:t>
      </w:r>
      <w:r>
        <w:rPr>
          <w:rFonts w:ascii="Arial" w:hAnsi="Arial"/>
          <w:color w:val="000000"/>
          <w:sz w:val="20"/>
        </w:rPr>
        <w:t>plaintiffs</w:t>
      </w:r>
      <w:r>
        <w:rPr>
          <w:rFonts w:ascii="Times New Roman" w:hAnsi="Times New Roman"/>
          <w:color w:val="000000"/>
          <w:sz w:val="20"/>
        </w:rPr>
        <w:t xml:space="preserve"> </w:t>
      </w:r>
      <w:r>
        <w:rPr>
          <w:rFonts w:ascii="Arial" w:hAnsi="Arial"/>
          <w:color w:val="000000"/>
          <w:sz w:val="20"/>
        </w:rPr>
        <w:t>seek unspecified compensatory damages, reasonable costs and expenses, including attorneys’ fees, and injunctive and other equitable relief.</w:t>
      </w:r>
    </w:p>
    <w:p>
      <w:pPr>
        <w:pStyle w:val="TextBody"/>
        <w:bidi w:val="0"/>
        <w:spacing w:before="280" w:after="283"/>
        <w:jc w:val="both"/>
        <w:rPr>
          <w:rFonts w:ascii="Arial" w:hAnsi="Arial"/>
          <w:color w:val="000000"/>
          <w:sz w:val="20"/>
        </w:rPr>
      </w:pPr>
      <w:r>
        <w:rPr>
          <w:rFonts w:ascii="Arial" w:hAnsi="Arial"/>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Times New Roman" w:hAnsi="Times New Roman"/>
          <w:sz w:val="20"/>
        </w:rPr>
      </w:pPr>
      <w:r>
        <w:rPr>
          <w:rFonts w:ascii="Arial" w:hAnsi="Arial"/>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283"/>
        <w:jc w:val="both"/>
        <w:rPr>
          <w:rFonts w:ascii="Times New Roman" w:hAnsi="Times New Roman"/>
          <w:sz w:val="20"/>
        </w:rPr>
      </w:pPr>
      <w:r>
        <w:rPr>
          <w:rFonts w:ascii="Arial" w:hAnsi="Arial"/>
          <w:color w:val="000000"/>
          <w:sz w:val="20"/>
        </w:rPr>
        <w:t>On August 12, 2022, defendant Dr. Kawas</w:t>
      </w:r>
      <w:r>
        <w:rPr>
          <w:rFonts w:ascii="Times New Roman" w:hAnsi="Times New Roman"/>
          <w:color w:val="000000"/>
          <w:sz w:val="20"/>
        </w:rPr>
        <w:t xml:space="preserve"> </w:t>
      </w:r>
      <w:r>
        <w:rPr>
          <w:rFonts w:ascii="Arial" w:hAnsi="Arial"/>
          <w:color w:val="000000"/>
          <w:sz w:val="20"/>
        </w:rPr>
        <w:t>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pStyle w:val="TextBody"/>
        <w:bidi w:val="0"/>
        <w:spacing w:before="280" w:after="283"/>
        <w:jc w:val="both"/>
        <w:rPr>
          <w:rFonts w:ascii="Times New Roman" w:hAnsi="Times New Roman"/>
          <w:sz w:val="20"/>
        </w:rPr>
      </w:pPr>
      <w:r>
        <w:rPr>
          <w:rFonts w:ascii="Arial" w:hAnsi="Arial"/>
          <w:color w:val="000000"/>
          <w:sz w:val="20"/>
        </w:rPr>
        <w:t>On February 15, 2024, the court issued an order granting in part and deferring in part plaintiffs’ renewed motion for preliminary approval and ordered the parties to submit a joint status report by March 15, 2024. In its order, the court preliminarily approved the proposed settlement and certified a class with two subclasses. The court deferred ruling in part as to the proposed notices and claim form relating to the settlement. On March 29, 2024, the court issued a minute order (i) granting the portion of plaintiffs’ renewed motion for preliminary approval that the court had previously deferred ruling on, (ii) setting a final approval hearing, and (iii) ordering plaintiffs’ motion for final approval of the proposed settlement to be filed on or before September 26, 2024. On September 26, 2024, plaintiffs filed a motion for final approval of class action settlement and plan of allocation. On September 30, 2024, the court issued a minute order requiring additional information related to the claims administration process, to which plaintiffs responded. On October 25, 2024, the court held a settlement final approval hearing and ruled that the terms of the settlement are fair, reasonable and adequate and that notice was reasonable. On November 1, 2024, the court entered a final written judgment and order granting final approval of the settlement and closed the case.</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a result of the foregoing, the Company recorded a legal settlement expense of $10.0</w:t>
      </w:r>
      <w:r>
        <w:rPr>
          <w:rFonts w:ascii="Times New Roman" w:hAnsi="Times New Roman"/>
          <w:color w:val="000000"/>
          <w:sz w:val="20"/>
        </w:rPr>
        <w:t xml:space="preserve"> </w:t>
      </w:r>
      <w:r>
        <w:rPr>
          <w:rFonts w:ascii="Arial" w:hAnsi="Arial"/>
          <w:color w:val="000000"/>
          <w:sz w:val="20"/>
        </w:rPr>
        <w:t>million in operating expenses in the fourth quarter of 2022 and an accrued liability of $10.0</w:t>
      </w:r>
      <w:r>
        <w:rPr>
          <w:rFonts w:ascii="Times New Roman" w:hAnsi="Times New Roman"/>
          <w:color w:val="000000"/>
          <w:sz w:val="20"/>
        </w:rPr>
        <w:t xml:space="preserve"> </w:t>
      </w:r>
      <w:r>
        <w:rPr>
          <w:rFonts w:ascii="Arial" w:hAnsi="Arial"/>
          <w:color w:val="000000"/>
          <w:sz w:val="20"/>
        </w:rPr>
        <w:t>million on the accompanying condensed consolidated balance sheets. Additionally, the Company recorded an insurance recovery of $1.6</w:t>
      </w:r>
      <w:r>
        <w:rPr>
          <w:rFonts w:ascii="Times New Roman" w:hAnsi="Times New Roman"/>
          <w:color w:val="000000"/>
          <w:sz w:val="20"/>
        </w:rPr>
        <w:t xml:space="preserve"> </w:t>
      </w:r>
      <w:r>
        <w:rPr>
          <w:rFonts w:ascii="Arial" w:hAnsi="Arial"/>
          <w:color w:val="000000"/>
          <w:sz w:val="20"/>
        </w:rPr>
        <w:t>million in operating expenses in the fourth quarter of 2023 and an insurance recovery receivable of $1.6</w:t>
      </w:r>
      <w:r>
        <w:rPr>
          <w:rFonts w:ascii="Times New Roman" w:hAnsi="Times New Roman"/>
          <w:color w:val="000000"/>
          <w:sz w:val="20"/>
        </w:rPr>
        <w:t xml:space="preserve"> </w:t>
      </w:r>
      <w:r>
        <w:rPr>
          <w:rFonts w:ascii="Arial" w:hAnsi="Arial"/>
          <w:color w:val="000000"/>
          <w:sz w:val="20"/>
        </w:rPr>
        <w:t>million on the accompanying condensed consolidated balance sheets. This insurance recovery represents the amount of the settlement to be covered by the Company's insurers. The Company has deposited $8.4</w:t>
      </w:r>
      <w:r>
        <w:rPr>
          <w:rFonts w:ascii="Times New Roman" w:hAnsi="Times New Roman"/>
          <w:color w:val="000000"/>
          <w:sz w:val="20"/>
        </w:rPr>
        <w:t xml:space="preserve"> </w:t>
      </w:r>
      <w:r>
        <w:rPr>
          <w:rFonts w:ascii="Arial" w:hAnsi="Arial"/>
          <w:color w:val="000000"/>
          <w:sz w:val="20"/>
        </w:rPr>
        <w:t>million into a settlement fund account pending final payment of the settlement amount, and such funds are legally restricted for use and are included within restricted cash, current on the condensed consolidated balance sheets.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Arial" w:hAnsi="Arial"/>
          <w:color w:val="000000"/>
          <w:sz w:val="20"/>
        </w:rPr>
      </w:pPr>
      <w:r>
        <w:rPr>
          <w:rFonts w:ascii="Arial" w:hAnsi="Arial"/>
          <w:color w:val="000000"/>
          <w:sz w:val="20"/>
        </w:rPr>
        <w:t>On April 14, 2022, a shareholder derivative action was filed by plaintiff Stephen Bushansky in the U.S. District Court for the Western District of Washington against certain current and former members of the Company’s board of directors, captioned Bushansky v. Kawas et al., No. 2:22-cv-497. Plaintiff purported to bring the action derivatively on behalf of the Company, which was a nominal defendant to the action. The derivative complaint alleged that the Company’s board of directors breached its fiduciary duties by failing to prevent alleged misstatements in the Company’s public filings, failing to discover altered images in certain research papers, and failing to take appropriate action. The derivative complaint asserted claims for violations of Section 14(a) of the Exchange Act as well as claims for breach of fiduciary duty, contribution and indemnification, aiding and abetting, and waste of corporate assets. The derivative complaint sought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Arial" w:hAnsi="Arial"/>
          <w:color w:val="000000"/>
          <w:sz w:val="20"/>
        </w:rPr>
      </w:pPr>
      <w:r>
        <w:rPr>
          <w:rFonts w:ascii="Arial" w:hAnsi="Arial"/>
          <w:color w:val="000000"/>
          <w:sz w:val="20"/>
        </w:rPr>
        <w:t>On May 6, 2022, a second shareholder derivative action was filed by plaintiff Thomas Houlihan in the U.S. District Court for the Western District of Washington against certain current and former directors and officers of the Company, captioned Houlihan v. Kawas et al., No. 2:22-cv-620. Plaintiff purported to bring the action derivatively on behalf of the Company, which was a nominal defendant to the action. The derivative complaint alleged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asserted claims for violations of Section 14(a) of the Exchange Act as well as claims for breach of fiduciary duties, contribution, and indemnification. The derivative complaint sought unspecified damages, unspecified corporate governance reforms, restitution,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color w:val="000000"/>
          <w:sz w:val="20"/>
        </w:rPr>
        <w:t>On May 26, 2022, the court issued an order consolidating the cases and staying them until further order of the court. On March 18, 2024, following a mediation and the parties entering into a stipulation of settlement to settle the consolidated derivative action for certain corporate governance reforms and the Company’s payment of a fee and expense award to plaintiffs’ counsel, plaintiffs filed an unopposed motion for preliminary approval of a settlement of the derivative action. On May 3, 2024, the court entered an order preliminarily approving the settlement. On May 17, 2024, plaintiffs filed an unopposed motion for approval of attorneys’ fees and expenses and service awards to plaintiffs. On July 3, 2024, plaintiffs filed an unopposed motion for final approval of derivative settlement. The settlement final approval hearing took place on July 18, 2024, and no Company shareholders objected to the proposed settlement or attorneys’ fees or service awards sought by plaintiffs. After the hearing, on July 18, 2024, the court entered an order and judgment granting plaintiffs’ motion for final approval of derivative settlement, finding the settlement to be fair, reasonable, and adequate to the settling parties and the Company’s shareholders, and dismissing the derivative action with prejudice.</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paid the fee and expense award related to this shareholder derivative action settlement during the third quarter of 2024.</w:t>
      </w:r>
    </w:p>
    <w:p>
      <w:pPr>
        <w:pStyle w:val="TextBody"/>
        <w:bidi w:val="0"/>
        <w:spacing w:before="280" w:after="283"/>
        <w:jc w:val="both"/>
        <w:rPr>
          <w:rFonts w:ascii="Arial" w:hAnsi="Arial"/>
          <w:b/>
          <w:color w:val="000000"/>
          <w:sz w:val="20"/>
        </w:rPr>
      </w:pPr>
      <w:r>
        <w:rPr>
          <w:rFonts w:ascii="Arial" w:hAnsi="Arial"/>
          <w:b/>
          <w:color w:val="000000"/>
          <w:sz w:val="20"/>
        </w:rPr>
        <w:t>Government Investigation</w:t>
      </w:r>
    </w:p>
    <w:p>
      <w:pPr>
        <w:pStyle w:val="TextBody"/>
        <w:bidi w:val="0"/>
        <w:spacing w:before="280" w:after="283"/>
        <w:jc w:val="both"/>
        <w:rPr>
          <w:rFonts w:ascii="Times New Roman" w:hAnsi="Times New Roman"/>
          <w:sz w:val="20"/>
        </w:rPr>
      </w:pPr>
      <w:r>
        <w:rPr>
          <w:rFonts w:ascii="Arial" w:hAnsi="Arial"/>
          <w:color w:val="000000"/>
          <w:sz w:val="20"/>
        </w:rPr>
        <w:t>In November 2022, the Company received a Civil Investigative Demand from the Civil Division of the Department of Justice, or the Demand. The Demand sought documents and information relating to the Company’s relationship with WSU, certain of its grant applications in 2016 and 2019 with the NIH, and the Company’s receipt of an NIH grant in 2020. The Company has been cooperating with the Department of Justice with respect to the Demand</w:t>
      </w:r>
      <w:r>
        <w:rPr>
          <w:rFonts w:ascii="Arial" w:hAnsi="Arial"/>
          <w:b/>
          <w:color w:val="000000"/>
          <w:sz w:val="20"/>
        </w:rPr>
        <w:t>.</w:t>
      </w:r>
    </w:p>
    <w:p>
      <w:pPr>
        <w:pStyle w:val="TextBody"/>
        <w:bidi w:val="0"/>
        <w:spacing w:before="280" w:after="283"/>
        <w:jc w:val="both"/>
        <w:rPr>
          <w:rFonts w:ascii="Times New Roman" w:hAnsi="Times New Roman"/>
          <w:sz w:val="20"/>
        </w:rPr>
      </w:pPr>
      <w:r>
        <w:rPr>
          <w:rFonts w:ascii="Arial" w:hAnsi="Arial"/>
          <w:color w:val="000000"/>
          <w:sz w:val="20"/>
        </w:rPr>
        <w:t>The Company recorded a legal expense of $4.1</w:t>
      </w:r>
      <w:r>
        <w:rPr>
          <w:rFonts w:ascii="Times New Roman" w:hAnsi="Times New Roman"/>
          <w:color w:val="000000"/>
          <w:sz w:val="20"/>
        </w:rPr>
        <w:t xml:space="preserve"> </w:t>
      </w:r>
      <w:r>
        <w:rPr>
          <w:rFonts w:ascii="Arial" w:hAnsi="Arial"/>
          <w:color w:val="000000"/>
          <w:sz w:val="20"/>
        </w:rPr>
        <w:t>million based on developments in the third quarter of 2024 and a corresponding accrued liability on the accompanying condensed consolidated balance sheets. Failure by the Company to obtain a favorable resolution could have a material adverse effect on its business, results of operations and financial condition.</w:t>
      </w:r>
    </w:p>
    <w:p>
      <w:pPr>
        <w:pStyle w:val="TextBody"/>
        <w:bidi w:val="0"/>
        <w:spacing w:before="28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September 30, 2024, the Company was not party to any finance leases.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873" w:type="dxa"/>
        <w:jc w:val="left"/>
        <w:tblInd w:w="0" w:type="dxa"/>
        <w:tblLayout w:type="fixed"/>
        <w:tblCellMar>
          <w:top w:w="28" w:type="dxa"/>
          <w:left w:w="28" w:type="dxa"/>
          <w:bottom w:w="28" w:type="dxa"/>
          <w:right w:w="28" w:type="dxa"/>
        </w:tblCellMar>
      </w:tblPr>
      <w:tblGrid>
        <w:gridCol w:w="4006"/>
        <w:gridCol w:w="146"/>
        <w:gridCol w:w="325"/>
        <w:gridCol w:w="905"/>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Remaining 2024</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4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lease liability</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923" w:type="dxa"/>
        <w:jc w:val="left"/>
        <w:tblInd w:w="0" w:type="dxa"/>
        <w:tblLayout w:type="fixed"/>
        <w:tblCellMar>
          <w:top w:w="28" w:type="dxa"/>
          <w:left w:w="28" w:type="dxa"/>
          <w:bottom w:w="28" w:type="dxa"/>
          <w:right w:w="28" w:type="dxa"/>
        </w:tblCellMar>
      </w:tblPr>
      <w:tblGrid>
        <w:gridCol w:w="4216"/>
        <w:gridCol w:w="146"/>
        <w:gridCol w:w="343"/>
        <w:gridCol w:w="88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spacing w:before="80" w:after="283"/>
        <w:jc w:val="both"/>
        <w:rPr/>
      </w:pPr>
      <w:r>
        <w:rPr/>
        <w:t> </w:t>
      </w:r>
    </w:p>
    <w:tbl>
      <w:tblPr>
        <w:tblW w:w="8668" w:type="dxa"/>
        <w:jc w:val="left"/>
        <w:tblInd w:w="0" w:type="dxa"/>
        <w:tblLayout w:type="fixed"/>
        <w:tblCellMar>
          <w:top w:w="28" w:type="dxa"/>
          <w:left w:w="28" w:type="dxa"/>
          <w:bottom w:w="28" w:type="dxa"/>
          <w:right w:w="28" w:type="dxa"/>
        </w:tblCellMar>
      </w:tblPr>
      <w:tblGrid>
        <w:gridCol w:w="2281"/>
        <w:gridCol w:w="146"/>
        <w:gridCol w:w="460"/>
        <w:gridCol w:w="705"/>
        <w:gridCol w:w="297"/>
        <w:gridCol w:w="297"/>
        <w:gridCol w:w="460"/>
        <w:gridCol w:w="705"/>
        <w:gridCol w:w="146"/>
        <w:gridCol w:w="146"/>
        <w:gridCol w:w="382"/>
        <w:gridCol w:w="788"/>
        <w:gridCol w:w="247"/>
        <w:gridCol w:w="247"/>
        <w:gridCol w:w="382"/>
        <w:gridCol w:w="788"/>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05"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89</w:t>
            </w:r>
          </w:p>
        </w:tc>
        <w:tc>
          <w:tcPr>
            <w:tcW w:w="297"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05"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88"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265</w:t>
            </w:r>
          </w:p>
        </w:tc>
        <w:tc>
          <w:tcPr>
            <w:tcW w:w="247"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88"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265</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297"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247"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80" w:after="283"/>
        <w:jc w:val="both"/>
        <w:rPr/>
      </w:pPr>
      <w:r>
        <w:rPr/>
        <w:t> </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8. Common Stock</w:t>
      </w:r>
    </w:p>
    <w:p>
      <w:pPr>
        <w:pStyle w:val="TextBody"/>
        <w:bidi w:val="0"/>
        <w:spacing w:before="28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62" w:type="dxa"/>
        <w:jc w:val="left"/>
        <w:tblInd w:w="0" w:type="dxa"/>
        <w:tblLayout w:type="fixed"/>
        <w:tblCellMar>
          <w:top w:w="28" w:type="dxa"/>
          <w:left w:w="28" w:type="dxa"/>
          <w:bottom w:w="28" w:type="dxa"/>
          <w:right w:w="28" w:type="dxa"/>
        </w:tblCellMar>
      </w:tblPr>
      <w:tblGrid>
        <w:gridCol w:w="4411"/>
        <w:gridCol w:w="146"/>
        <w:gridCol w:w="148"/>
        <w:gridCol w:w="1082"/>
        <w:gridCol w:w="146"/>
        <w:gridCol w:w="146"/>
        <w:gridCol w:w="146"/>
        <w:gridCol w:w="106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10,785,447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7,130,956</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1,426,486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3,158,094</w:t>
            </w:r>
          </w:p>
        </w:tc>
        <w:tc>
          <w:tcPr>
            <w:tcW w:w="47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1,399,735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1,128,732</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13,961,668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11,417,782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The Company’s 2020 Equity Incentive Plan, or the 2020 Plan, provides for annual increases in the number of shares that may be issued under the 2020 Plan on January 1, 2021 and each subsequent January 1, thereafter, by a number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shares equal to the least of (1) 3,230,000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or the ESPP, provides for annual increases in the number of shares that may be issued under the ESPP on January 1, 2021 and each subsequent January 1, thereafter, by a number of shares equal to the least of (1) 646,000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Effective January 1, 2024, the Company’s 2020 Plan and ESPP reserves increased by 1,908,630</w:t>
      </w:r>
      <w:r>
        <w:rPr>
          <w:rFonts w:ascii="Times New Roman" w:hAnsi="Times New Roman"/>
          <w:color w:val="000000"/>
          <w:sz w:val="20"/>
        </w:rPr>
        <w:t xml:space="preserve"> </w:t>
      </w:r>
      <w:r>
        <w:rPr>
          <w:rFonts w:ascii="Arial" w:hAnsi="Arial"/>
          <w:color w:val="000000"/>
          <w:sz w:val="20"/>
        </w:rPr>
        <w:t>shares and 381,726</w:t>
      </w:r>
      <w:r>
        <w:rPr>
          <w:rFonts w:ascii="Times New Roman" w:hAnsi="Times New Roman"/>
          <w:color w:val="000000"/>
          <w:sz w:val="20"/>
        </w:rPr>
        <w:t xml:space="preserve"> </w:t>
      </w:r>
      <w:r>
        <w:rPr>
          <w:rFonts w:ascii="Arial" w:hAnsi="Arial"/>
          <w:color w:val="000000"/>
          <w:sz w:val="20"/>
        </w:rPr>
        <w:t>shares, respectively.</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Athira Pharma, Inc. 2024 Inducement Equity Incentive Plan, or the 2024 Inducement Plan, and, subject to the adjustment provisions of the 2024 Inducement Plan, reserved 750,000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9. Stock-based Compensation</w:t>
      </w:r>
    </w:p>
    <w:p>
      <w:pPr>
        <w:pStyle w:val="TextBody"/>
        <w:bidi w:val="0"/>
        <w:spacing w:before="28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60"/>
        <w:gridCol w:w="146"/>
        <w:gridCol w:w="314"/>
        <w:gridCol w:w="872"/>
        <w:gridCol w:w="217"/>
        <w:gridCol w:w="217"/>
        <w:gridCol w:w="314"/>
        <w:gridCol w:w="872"/>
        <w:gridCol w:w="146"/>
        <w:gridCol w:w="146"/>
        <w:gridCol w:w="305"/>
        <w:gridCol w:w="847"/>
        <w:gridCol w:w="210"/>
        <w:gridCol w:w="210"/>
        <w:gridCol w:w="305"/>
        <w:gridCol w:w="847"/>
        <w:gridCol w:w="477"/>
      </w:tblGrid>
      <w:tr>
        <w:trPr/>
        <w:tc>
          <w:tcPr>
            <w:tcW w:w="3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21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3,263</w:t>
            </w:r>
          </w:p>
        </w:tc>
        <w:tc>
          <w:tcPr>
            <w:tcW w:w="210"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3,228</w:t>
            </w:r>
          </w:p>
        </w:tc>
        <w:tc>
          <w:tcPr>
            <w:tcW w:w="477" w:type="dxa"/>
            <w:tcBorders/>
            <w:shd w:fill="CFF0FC" w:val="clear"/>
            <w:vAlign w:val="center"/>
          </w:tcPr>
          <w:p>
            <w:pPr>
              <w:pStyle w:val="TableContents"/>
              <w:bidi w:val="0"/>
              <w:spacing w:before="0" w:after="283"/>
              <w:jc w:val="left"/>
              <w:rPr/>
            </w:pPr>
            <w:r>
              <w:rPr/>
              <w:t> </w:t>
            </w:r>
          </w:p>
        </w:tc>
      </w:tr>
      <w:tr>
        <w:trPr/>
        <w:tc>
          <w:tcPr>
            <w:tcW w:w="376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8,820</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8,395</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Valuation Assumptions</w:t>
      </w:r>
    </w:p>
    <w:p>
      <w:pPr>
        <w:pStyle w:val="TextBody"/>
        <w:bidi w:val="0"/>
        <w:spacing w:before="28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color w:val="000000"/>
        </w:rPr>
        <w:t>—</w:t>
      </w:r>
      <w:r>
        <w:rPr>
          <w:rFonts w:ascii="Arial" w:hAnsi="Arial"/>
          <w:color w:val="000000"/>
          <w:sz w:val="20"/>
        </w:rPr>
        <w:t>The fair value of each share of common stock is based on the closing price of the Company’s common stock on the date of grant, or other relevant determination date, as reported on The Nasdaq Global Select Market.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color w:val="000000"/>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color w:val="000000"/>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color w:val="000000"/>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color w:val="000000"/>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80" w:after="283"/>
        <w:jc w:val="both"/>
        <w:rPr>
          <w:rFonts w:ascii="Times New Roman" w:hAnsi="Times New Roman"/>
          <w:sz w:val="20"/>
        </w:rPr>
      </w:pPr>
      <w:r>
        <w:rPr>
          <w:rFonts w:ascii="Arial" w:hAnsi="Arial"/>
          <w:color w:val="000000"/>
          <w:sz w:val="20"/>
        </w:rPr>
        <w:t>The fair value of each stock option was estimated using the Black-Scholes option-pricing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5576" w:type="dxa"/>
        <w:jc w:val="left"/>
        <w:tblInd w:w="0" w:type="dxa"/>
        <w:tblLayout w:type="fixed"/>
        <w:tblCellMar>
          <w:top w:w="28" w:type="dxa"/>
          <w:left w:w="28" w:type="dxa"/>
          <w:bottom w:w="28" w:type="dxa"/>
          <w:right w:w="28" w:type="dxa"/>
        </w:tblCellMar>
      </w:tblPr>
      <w:tblGrid>
        <w:gridCol w:w="2266"/>
        <w:gridCol w:w="146"/>
        <w:gridCol w:w="218"/>
        <w:gridCol w:w="876"/>
        <w:gridCol w:w="427"/>
        <w:gridCol w:w="218"/>
        <w:gridCol w:w="218"/>
        <w:gridCol w:w="87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4.26</w:t>
            </w:r>
          </w:p>
        </w:tc>
        <w:tc>
          <w:tcPr>
            <w:tcW w:w="42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3.54</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96.93</w:t>
            </w:r>
          </w:p>
        </w:tc>
        <w:tc>
          <w:tcPr>
            <w:tcW w:w="42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99.18</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427"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5.48</w:t>
            </w:r>
          </w:p>
        </w:tc>
        <w:tc>
          <w:tcPr>
            <w:tcW w:w="33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427"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grant date fair value of restricted stock units is based upon the fair market value of the Company’s common stock based on its closing price as reported on the date of grant on the Nasdaq Global Select Market.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fair value of options granted during the nine months ended September 30, 2024 and 2023</w:t>
      </w:r>
      <w:r>
        <w:rPr>
          <w:rFonts w:ascii="Times New Roman" w:hAnsi="Times New Roman"/>
          <w:color w:val="000000"/>
          <w:sz w:val="20"/>
        </w:rPr>
        <w:t xml:space="preserve"> </w:t>
      </w:r>
      <w:r>
        <w:rPr>
          <w:rFonts w:ascii="Arial" w:hAnsi="Arial"/>
          <w:color w:val="000000"/>
          <w:sz w:val="20"/>
        </w:rPr>
        <w:t>was $10.2</w:t>
      </w:r>
      <w:r>
        <w:rPr>
          <w:rFonts w:ascii="Times New Roman" w:hAnsi="Times New Roman"/>
          <w:color w:val="000000"/>
          <w:sz w:val="20"/>
        </w:rPr>
        <w:t xml:space="preserve"> </w:t>
      </w:r>
      <w:r>
        <w:rPr>
          <w:rFonts w:ascii="Arial" w:hAnsi="Arial"/>
          <w:color w:val="000000"/>
          <w:sz w:val="20"/>
        </w:rPr>
        <w:t>million and $9.8</w:t>
      </w:r>
      <w:r>
        <w:rPr>
          <w:rFonts w:ascii="Times New Roman" w:hAnsi="Times New Roman"/>
          <w:color w:val="000000"/>
          <w:sz w:val="20"/>
        </w:rPr>
        <w:t xml:space="preserve"> </w:t>
      </w:r>
      <w:r>
        <w:rPr>
          <w:rFonts w:ascii="Arial" w:hAnsi="Arial"/>
          <w:color w:val="000000"/>
          <w:sz w:val="20"/>
        </w:rPr>
        <w:t>million, respectively. The fair value of restricted stock units granted during the nine months ended September 30, 2024 and 2023</w:t>
      </w:r>
      <w:r>
        <w:rPr>
          <w:rFonts w:ascii="Times New Roman" w:hAnsi="Times New Roman"/>
          <w:color w:val="000000"/>
          <w:sz w:val="20"/>
        </w:rPr>
        <w:t xml:space="preserve"> </w:t>
      </w:r>
      <w:r>
        <w:rPr>
          <w:rFonts w:ascii="Arial" w:hAnsi="Arial"/>
          <w:color w:val="000000"/>
          <w:sz w:val="20"/>
        </w:rPr>
        <w:t>was less than $0.1</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both"/>
        <w:rPr>
          <w:rFonts w:ascii="Arial" w:hAnsi="Arial"/>
          <w:b/>
          <w:i/>
          <w:color w:val="000000"/>
          <w:sz w:val="20"/>
        </w:rPr>
      </w:pPr>
      <w:r>
        <w:rPr>
          <w:rFonts w:ascii="Arial" w:hAnsi="Arial"/>
          <w:b/>
          <w:i/>
          <w:color w:val="000000"/>
          <w:sz w:val="20"/>
        </w:rPr>
        <w:t>Stock Option Activity</w:t>
      </w:r>
    </w:p>
    <w:p>
      <w:pPr>
        <w:pStyle w:val="TextBody"/>
        <w:bidi w:val="0"/>
        <w:spacing w:before="280" w:after="283"/>
        <w:jc w:val="both"/>
        <w:rPr>
          <w:rFonts w:ascii="Arial" w:hAnsi="Arial"/>
          <w:color w:val="000000"/>
          <w:sz w:val="20"/>
        </w:rPr>
      </w:pPr>
      <w:r>
        <w:rPr>
          <w:rFonts w:ascii="Arial" w:hAnsi="Arial"/>
          <w:color w:val="000000"/>
          <w:sz w:val="20"/>
        </w:rPr>
        <w:t>Changes in shares available for grant under the 2020 Plan and the 2024 Inducement Plan during the nine months ended September 30, 2024 were as follows:</w:t>
      </w:r>
    </w:p>
    <w:p>
      <w:pPr>
        <w:pStyle w:val="TextBody"/>
        <w:bidi w:val="0"/>
        <w:jc w:val="both"/>
        <w:rPr/>
      </w:pPr>
      <w:r>
        <w:rPr/>
        <w:t> </w:t>
      </w:r>
    </w:p>
    <w:tbl>
      <w:tblPr>
        <w:tblW w:w="5905" w:type="dxa"/>
        <w:jc w:val="left"/>
        <w:tblInd w:w="0" w:type="dxa"/>
        <w:tblLayout w:type="fixed"/>
        <w:tblCellMar>
          <w:top w:w="28" w:type="dxa"/>
          <w:left w:w="28" w:type="dxa"/>
          <w:bottom w:w="28" w:type="dxa"/>
          <w:right w:w="28" w:type="dxa"/>
        </w:tblCellMar>
      </w:tblPr>
      <w:tblGrid>
        <w:gridCol w:w="4381"/>
        <w:gridCol w:w="146"/>
        <w:gridCol w:w="146"/>
        <w:gridCol w:w="102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3,158,094</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1,908,630</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reserved upon adoption of the</w:t>
              <w:br/>
              <w:t>   2024 Inducement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750,000</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(4,090,804</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1,776,486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summary of stock option activity under the 2020 Plan and the 2024 Inducement Plan for the nine months ended September 30, 2024 was as follows:</w:t>
      </w:r>
    </w:p>
    <w:p>
      <w:pPr>
        <w:pStyle w:val="TextBody"/>
        <w:bidi w:val="0"/>
        <w:jc w:val="both"/>
        <w:rPr/>
      </w:pPr>
      <w:r>
        <w:rPr/>
        <w:t> </w:t>
      </w:r>
    </w:p>
    <w:tbl>
      <w:tblPr>
        <w:tblW w:w="8283" w:type="dxa"/>
        <w:jc w:val="left"/>
        <w:tblInd w:w="0" w:type="dxa"/>
        <w:tblLayout w:type="fixed"/>
        <w:tblCellMar>
          <w:top w:w="28" w:type="dxa"/>
          <w:left w:w="28" w:type="dxa"/>
          <w:bottom w:w="28" w:type="dxa"/>
          <w:right w:w="28" w:type="dxa"/>
        </w:tblCellMar>
      </w:tblPr>
      <w:tblGrid>
        <w:gridCol w:w="2866"/>
        <w:gridCol w:w="146"/>
        <w:gridCol w:w="146"/>
        <w:gridCol w:w="1066"/>
        <w:gridCol w:w="166"/>
        <w:gridCol w:w="146"/>
        <w:gridCol w:w="242"/>
        <w:gridCol w:w="674"/>
        <w:gridCol w:w="146"/>
        <w:gridCol w:w="146"/>
        <w:gridCol w:w="241"/>
        <w:gridCol w:w="795"/>
        <w:gridCol w:w="146"/>
        <w:gridCol w:w="146"/>
        <w:gridCol w:w="339"/>
        <w:gridCol w:w="68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6,820,869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4,088,804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(75,660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10,783,447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5,905,187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4,878,260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nine months ended September 30, 2024 and 2023</w:t>
      </w:r>
      <w:r>
        <w:rPr>
          <w:rFonts w:ascii="Times New Roman" w:hAnsi="Times New Roman"/>
          <w:color w:val="000000"/>
          <w:sz w:val="20"/>
        </w:rPr>
        <w:t xml:space="preserve"> </w:t>
      </w:r>
      <w:r>
        <w:rPr>
          <w:rFonts w:ascii="Arial" w:hAnsi="Arial"/>
          <w:color w:val="000000"/>
          <w:sz w:val="20"/>
        </w:rPr>
        <w:t>was $9.2</w:t>
      </w:r>
      <w:r>
        <w:rPr>
          <w:rFonts w:ascii="Times New Roman" w:hAnsi="Times New Roman"/>
          <w:color w:val="000000"/>
          <w:sz w:val="20"/>
        </w:rPr>
        <w:t xml:space="preserve"> </w:t>
      </w:r>
      <w:r>
        <w:rPr>
          <w:rFonts w:ascii="Arial" w:hAnsi="Arial"/>
          <w:color w:val="000000"/>
          <w:sz w:val="20"/>
        </w:rPr>
        <w:t>million and $8.3</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September 30, 2024. The aggregate intrinsic value of options exercised during the nine months ended September 30, 2024 and 2023 was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determined as of the date of option exercise. As of September 30, 2024, there was $17.7</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2.2 years. The Company utilizes newly issued shares to satisfy option exercises.</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Stock options outstanding and exercisable under the 2020 Plan and the 2024 Inducement Plan consisted of the following at September 30, 2024:</w:t>
      </w:r>
    </w:p>
    <w:p>
      <w:pPr>
        <w:pStyle w:val="TextBody"/>
        <w:bidi w:val="0"/>
        <w:jc w:val="both"/>
        <w:rPr/>
      </w:pPr>
      <w:r>
        <w:rPr/>
        <w:t> </w:t>
      </w:r>
    </w:p>
    <w:tbl>
      <w:tblPr>
        <w:tblW w:w="4699" w:type="dxa"/>
        <w:jc w:val="left"/>
        <w:tblInd w:w="0" w:type="dxa"/>
        <w:tblLayout w:type="fixed"/>
        <w:tblCellMar>
          <w:top w:w="28" w:type="dxa"/>
          <w:left w:w="28" w:type="dxa"/>
          <w:bottom w:w="28" w:type="dxa"/>
          <w:right w:w="28" w:type="dxa"/>
        </w:tblCellMar>
      </w:tblPr>
      <w:tblGrid>
        <w:gridCol w:w="1471"/>
        <w:gridCol w:w="146"/>
        <w:gridCol w:w="146"/>
        <w:gridCol w:w="1066"/>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1" w:type="dxa"/>
            <w:gridSpan w:val="6"/>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0.16</w:t>
            </w:r>
            <w:r>
              <w:rPr>
                <w:rFonts w:ascii="Times New Roman" w:hAnsi="Times New Roman"/>
                <w:color w:val="000000"/>
                <w:sz w:val="20"/>
              </w:rPr>
              <w:t> </w:t>
            </w:r>
            <w:r>
              <w:rPr>
                <w:rFonts w:ascii="Arial" w:hAnsi="Arial"/>
                <w:color w:val="000000"/>
                <w:sz w:val="20"/>
              </w:rPr>
              <w:t>to 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7,703,393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2,515,358</w:t>
            </w:r>
          </w:p>
        </w:tc>
        <w:tc>
          <w:tcPr>
            <w:tcW w:w="47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2,727,806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2,084,154</w:t>
            </w:r>
          </w:p>
        </w:tc>
        <w:tc>
          <w:tcPr>
            <w:tcW w:w="47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20.55</w:t>
            </w:r>
            <w:r>
              <w:rPr>
                <w:rFonts w:ascii="Times New Roman" w:hAnsi="Times New Roman"/>
                <w:color w:val="000000"/>
                <w:sz w:val="20"/>
              </w:rPr>
              <w:t> </w:t>
            </w:r>
            <w:r>
              <w:rPr>
                <w:rFonts w:ascii="Arial" w:hAnsi="Arial"/>
                <w:color w:val="000000"/>
                <w:sz w:val="20"/>
              </w:rPr>
              <w:t>to 29.41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278,748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10,783,447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4,878,260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280" w:after="283"/>
        <w:jc w:val="both"/>
        <w:rPr>
          <w:rFonts w:ascii="Arial" w:hAnsi="Arial"/>
          <w:color w:val="000000"/>
          <w:sz w:val="20"/>
        </w:rPr>
      </w:pPr>
      <w:r>
        <w:rPr>
          <w:rFonts w:ascii="Arial" w:hAnsi="Arial"/>
          <w:color w:val="000000"/>
          <w:sz w:val="20"/>
        </w:rPr>
        <w:t>A summary of restricted stock unit, or RSU, activity for the nine months ended September 30, 2024 is as follows:</w:t>
      </w:r>
    </w:p>
    <w:p>
      <w:pPr>
        <w:pStyle w:val="TextBody"/>
        <w:bidi w:val="0"/>
        <w:jc w:val="both"/>
        <w:rPr/>
      </w:pPr>
      <w:r>
        <w:rPr/>
        <w:t> </w:t>
      </w:r>
    </w:p>
    <w:tbl>
      <w:tblPr>
        <w:tblW w:w="5762" w:type="dxa"/>
        <w:jc w:val="left"/>
        <w:tblInd w:w="0" w:type="dxa"/>
        <w:tblLayout w:type="fixed"/>
        <w:tblCellMar>
          <w:top w:w="28" w:type="dxa"/>
          <w:left w:w="28" w:type="dxa"/>
          <w:bottom w:w="28" w:type="dxa"/>
          <w:right w:w="28" w:type="dxa"/>
        </w:tblCellMar>
      </w:tblPr>
      <w:tblGrid>
        <w:gridCol w:w="3151"/>
        <w:gridCol w:w="146"/>
        <w:gridCol w:w="146"/>
        <w:gridCol w:w="856"/>
        <w:gridCol w:w="166"/>
        <w:gridCol w:w="146"/>
        <w:gridCol w:w="253"/>
        <w:gridCol w:w="707"/>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11.44</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28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7200" w:type="dxa"/>
        <w:jc w:val="left"/>
        <w:tblInd w:w="0" w:type="dxa"/>
        <w:tblLayout w:type="fixed"/>
        <w:tblCellMar>
          <w:top w:w="28" w:type="dxa"/>
          <w:left w:w="28" w:type="dxa"/>
          <w:bottom w:w="28" w:type="dxa"/>
          <w:right w:w="28" w:type="dxa"/>
        </w:tblCellMar>
      </w:tblPr>
      <w:tblGrid>
        <w:gridCol w:w="3751"/>
        <w:gridCol w:w="146"/>
        <w:gridCol w:w="158"/>
        <w:gridCol w:w="1157"/>
        <w:gridCol w:w="158"/>
        <w:gridCol w:w="158"/>
        <w:gridCol w:w="158"/>
        <w:gridCol w:w="1043"/>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10,783,447</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7,019,311</w:t>
            </w:r>
          </w:p>
        </w:tc>
        <w:tc>
          <w:tcPr>
            <w:tcW w:w="47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313,337</w:t>
            </w:r>
          </w:p>
        </w:tc>
        <w:tc>
          <w:tcPr>
            <w:tcW w:w="47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8,709</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10,794,156</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7,344,021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80" w:after="283"/>
        <w:jc w:val="both"/>
        <w:rPr>
          <w:rFonts w:ascii="Arial" w:hAnsi="Arial"/>
          <w:b/>
          <w:color w:val="212121"/>
          <w:sz w:val="20"/>
        </w:rPr>
      </w:pPr>
      <w:r>
        <w:rPr>
          <w:rFonts w:ascii="Arial" w:hAnsi="Arial"/>
          <w:b/>
          <w:color w:val="212121"/>
          <w:sz w:val="20"/>
        </w:rPr>
        <w:t>11. Corporate Restructuring</w:t>
      </w:r>
    </w:p>
    <w:p>
      <w:pPr>
        <w:pStyle w:val="TextBody"/>
        <w:bidi w:val="0"/>
        <w:spacing w:before="280" w:after="200"/>
        <w:jc w:val="both"/>
        <w:rPr>
          <w:rFonts w:ascii="Times New Roman" w:hAnsi="Times New Roman"/>
          <w:sz w:val="20"/>
        </w:rPr>
      </w:pPr>
      <w:r>
        <w:rPr>
          <w:rFonts w:ascii="Arial" w:hAnsi="Arial"/>
          <w:color w:val="212121"/>
          <w:sz w:val="20"/>
        </w:rPr>
        <w:t>The Company currently estimates that it will incur costs of approximately $2.8</w:t>
      </w:r>
      <w:r>
        <w:rPr>
          <w:rFonts w:ascii="Times New Roman" w:hAnsi="Times New Roman"/>
          <w:color w:val="212121"/>
          <w:sz w:val="20"/>
        </w:rPr>
        <w:t xml:space="preserve"> </w:t>
      </w:r>
      <w:r>
        <w:rPr>
          <w:rFonts w:ascii="Arial" w:hAnsi="Arial"/>
          <w:color w:val="212121"/>
          <w:sz w:val="20"/>
        </w:rPr>
        <w:t>million for termination benefits relating to the Restructuring, substantially all of which the Company expects to recognize in the third and fourth quarters of 2024 and pay out in cash during the fourth quarter of 2024 and first quarter of 2025.</w:t>
      </w:r>
    </w:p>
    <w:p>
      <w:pPr>
        <w:pStyle w:val="TextBody"/>
        <w:bidi w:val="0"/>
        <w:spacing w:before="280" w:after="200"/>
        <w:jc w:val="both"/>
        <w:rPr>
          <w:rFonts w:ascii="Arial" w:hAnsi="Arial"/>
          <w:color w:val="212121"/>
          <w:sz w:val="20"/>
        </w:rPr>
      </w:pPr>
      <w:r>
        <w:rPr>
          <w:rFonts w:ascii="Arial" w:hAnsi="Arial"/>
          <w:color w:val="212121"/>
          <w:sz w:val="20"/>
        </w:rPr>
        <w:t>The Company expensed the following costs associated with the termination benefit payments resulting from the Restructuring (in thousands):</w:t>
      </w:r>
    </w:p>
    <w:tbl>
      <w:tblPr>
        <w:tblW w:w="5568" w:type="dxa"/>
        <w:jc w:val="left"/>
        <w:tblInd w:w="0" w:type="dxa"/>
        <w:tblLayout w:type="fixed"/>
        <w:tblCellMar>
          <w:top w:w="28" w:type="dxa"/>
          <w:left w:w="28" w:type="dxa"/>
          <w:bottom w:w="28" w:type="dxa"/>
          <w:right w:w="28" w:type="dxa"/>
        </w:tblCellMar>
      </w:tblPr>
      <w:tblGrid>
        <w:gridCol w:w="3286"/>
        <w:gridCol w:w="146"/>
        <w:gridCol w:w="332"/>
        <w:gridCol w:w="1333"/>
        <w:gridCol w:w="47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1,007</w:t>
            </w:r>
          </w:p>
        </w:tc>
        <w:tc>
          <w:tcPr>
            <w:tcW w:w="47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severance expense</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00"/>
        <w:jc w:val="both"/>
        <w:rPr>
          <w:rFonts w:ascii="Times New Roman" w:hAnsi="Times New Roman"/>
          <w:sz w:val="20"/>
        </w:rPr>
      </w:pPr>
      <w:r>
        <w:rPr>
          <w:rFonts w:ascii="Arial" w:hAnsi="Arial"/>
          <w:color w:val="212121"/>
          <w:sz w:val="20"/>
        </w:rPr>
        <w:t>As of September 30, 2024, the accrued liability balance associated with the Restructuring is $2.3</w:t>
      </w:r>
      <w:r>
        <w:rPr>
          <w:rFonts w:ascii="Times New Roman" w:hAnsi="Times New Roman"/>
          <w:color w:val="212121"/>
          <w:sz w:val="20"/>
        </w:rPr>
        <w:t xml:space="preserve"> </w:t>
      </w:r>
      <w:r>
        <w:rPr>
          <w:rFonts w:ascii="Arial" w:hAnsi="Arial"/>
          <w:color w:val="212121"/>
          <w:sz w:val="20"/>
        </w:rPr>
        <w:t>million and is included in the accrued expenses line of the accompanying unaudited condensed consolidated balance sheet.</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February 22, 2024.</w:t>
      </w:r>
    </w:p>
    <w:p>
      <w:pPr>
        <w:pStyle w:val="TextBody"/>
        <w:bidi w:val="0"/>
        <w:spacing w:before="28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28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sufficiency of our existing cash, cash equivalents and investments to fund our future operating expenses and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costs and expected cost savings and related benefits from our workforce reduction initiated in September 2024, or the Restructuring;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ACT-AD and SHAPE trials, LIFT-AD independent unblinded interim efficacy and futility analysis, and LIFT-AD trial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our Phase 1 ATH-1105 clinical trial and any subsequent clinical trials to show the clinical benefits of ATH-1105;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regain compliance with the Nasdaq listing rules;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drug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benefits of any strategic collaborations, partnerships, or other transactions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time during which we will be an emerging growth company under the JOBS Act;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expectations regarding our exploration of strategic alternatives focused on maximizing stockholder value, including whether or not such process will result in a strategic transaction on terms satisfactory to us, or other alternatives which increase stockholder value.</w:t>
      </w:r>
    </w:p>
    <w:p>
      <w:pPr>
        <w:pStyle w:val="TextBody"/>
        <w:bidi w:val="0"/>
        <w:spacing w:before="28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283"/>
        <w:jc w:val="both"/>
        <w:rPr>
          <w:rFonts w:ascii="Arial" w:hAnsi="Arial"/>
          <w:color w:val="000000"/>
          <w:sz w:val="20"/>
        </w:rPr>
      </w:pPr>
      <w:r>
        <w:rPr>
          <w:rFonts w:ascii="Arial" w:hAnsi="Arial"/>
          <w:color w:val="000000"/>
          <w:sz w:val="20"/>
        </w:rPr>
        <w:t>This report includes our trademarks and registered trademarks, including Athira, Athira Pharma, the Athira logo, and other trademarks, trade names, or service marks of Athira. All other trademarks, trade names or service marks appearing in this report belong to their respective holders. Solely for convenience, trademarks, trade names, and service marks referred to in this report are listed without ® or TM symbols, but we will assert, to the fullest extent under applicable law, our rights to these trademarks, trade names, and service marks.</w:t>
      </w:r>
    </w:p>
    <w:p>
      <w:pPr>
        <w:pStyle w:val="TextBody"/>
        <w:bidi w:val="0"/>
        <w:spacing w:before="280" w:after="283"/>
        <w:jc w:val="both"/>
        <w:rPr>
          <w:rFonts w:ascii="Arial" w:hAnsi="Arial"/>
          <w:color w:val="000000"/>
          <w:sz w:val="20"/>
        </w:rPr>
      </w:pPr>
      <w:r>
        <w:rPr>
          <w:rFonts w:ascii="Arial" w:hAnsi="Arial"/>
          <w:color w:val="000000"/>
          <w:sz w:val="20"/>
        </w:rPr>
        <w:t>In this report, “we,” “our,” “us,” “Athira,” and “the Company” refer to Athira Pharma, Inc. and our wholly owned subsidiary.</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Overview</w:t>
      </w:r>
    </w:p>
    <w:p>
      <w:pPr>
        <w:pStyle w:val="TextBody"/>
        <w:bidi w:val="0"/>
        <w:spacing w:before="280" w:after="283"/>
        <w:jc w:val="both"/>
        <w:rPr>
          <w:rFonts w:ascii="Times New Roman" w:hAnsi="Times New Roman"/>
          <w:sz w:val="20"/>
        </w:rPr>
      </w:pPr>
      <w:r>
        <w:rPr>
          <w:rFonts w:ascii="Arial" w:hAnsi="Arial"/>
          <w:color w:val="000000"/>
          <w:sz w:val="20"/>
        </w:rPr>
        <w:t>We are a clinical-stage biopharmaceutical company focused on developing small molecules engineered to restore neuronal health and slow neurodegeneration. Our approach is designed to modulate the neurotrophic hepatocyte growth factor, or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peripheral nervous system, or PNS.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Following recent clinical trial developments for fosgonimeton, our previous lead drug candidate, discussed further below, our lead drug candidate is now ATH-1105. ATH-1105 is a novel, oral, next-generation small molecule drug candidate designed to positively modulate the neurotrophic HGF system for potential treatment of neurodegenerative diseases, including amyotrophic lateral sclerosis, or ALS, and Alzheimer's disease, or AD. ATH-1105 is currently in development for the potential treatment of ALS. We are conducting a first-in-human Phase 1 double-blind, placebo-controlled trial that is enrolling up to 80 healthy volunteers to evaluate single and multiple oral ascending doses of ATH-1105. The study is evaluating the safety and tolerability of ATH-1105 and includes measurements of pharmacokinetic outcomes. The first cohort of healthy volunteers completed the study in June 2024 and we expect to complete the full study by year-end 2024, with a goal to begin dosing ALS patients in 2025.</w:t>
      </w:r>
    </w:p>
    <w:p>
      <w:pPr>
        <w:pStyle w:val="TextBody"/>
        <w:bidi w:val="0"/>
        <w:spacing w:before="280" w:after="283"/>
        <w:jc w:val="both"/>
        <w:rPr>
          <w:rFonts w:ascii="Arial" w:hAnsi="Arial"/>
          <w:color w:val="000000"/>
          <w:sz w:val="20"/>
        </w:rPr>
      </w:pPr>
      <w:r>
        <w:rPr>
          <w:rFonts w:ascii="Arial" w:hAnsi="Arial"/>
          <w:color w:val="000000"/>
          <w:sz w:val="20"/>
        </w:rPr>
        <w:t>Our other drug candidate, fosgonimeton, is a small molecule drug candidate designed to positively modulate the neurotrophic HGF system for potential treatment of neurodegenerative diseases. The effects of fosgonimeton in AD were previously evaluated in our ACT-AD and LIFT-AD clinical trials.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Arial" w:hAnsi="Arial"/>
          <w:color w:val="000000"/>
          <w:sz w:val="20"/>
        </w:rPr>
        <w:t>ACT-AD</w:t>
      </w:r>
      <w:hyperlink w:anchor="mda_footnote_1">
        <w:r>
          <w:rPr>
            <w:rStyle w:val="InternetLink"/>
            <w:rFonts w:ascii="Arial" w:hAnsi="Arial"/>
            <w:color w:val="0000FF"/>
            <w:sz w:val="13"/>
            <w:u w:val="single"/>
          </w:rPr>
          <w:t>1</w:t>
        </w:r>
      </w:hyperlink>
      <w:r>
        <w:rPr>
          <w:rFonts w:ascii="Times New Roman" w:hAnsi="Times New Roman"/>
          <w:color w:val="000000"/>
          <w:sz w:val="20"/>
        </w:rPr>
        <w:t xml:space="preserve"> </w:t>
      </w:r>
      <w:r>
        <w:rPr>
          <w:rFonts w:ascii="Arial" w:hAnsi="Arial"/>
          <w:color w:val="000000"/>
          <w:sz w:val="20"/>
        </w:rPr>
        <w:t>was a randomized, double-blind, placebo-controlled, parallel-group 26-week exploratory Phase 2 clinical trial with fosgonimeton in mild-to-moderate AD, with event-related potential, or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treatment-related serious adverse events or deaths observed.</w:t>
      </w:r>
    </w:p>
    <w:p>
      <w:pPr>
        <w:pStyle w:val="TextBody"/>
        <w:bidi w:val="0"/>
        <w:spacing w:before="280" w:after="283"/>
        <w:jc w:val="both"/>
        <w:rPr>
          <w:rFonts w:ascii="Arial" w:hAnsi="Arial"/>
          <w:color w:val="000000"/>
          <w:sz w:val="20"/>
        </w:rPr>
      </w:pPr>
      <w:r>
        <w:rPr>
          <w:rFonts w:ascii="Arial" w:hAnsi="Arial"/>
          <w:color w:val="000000"/>
          <w:sz w:val="20"/>
        </w:rPr>
        <w:t>LIFT-AD was a randomized, double-blind, placebo-controlled, parallel-group 26-week Phase 2/3 clinical trial with fosgonimeton in mild-to-moderate AD. The primary endpoint for the Phase 2/3 LIFT-AD trial was the Global Statistical Test, or GST, which combines the scores from the co-key secondary endpoints of cognition (Alzheimer's Disease Assessment Scale-Cognitive Subscale (ADAS-Cog11) and function (Alzheimer’s Disease Cooperative Study-Activities of Daily Living, or ADCS-ADL23). Guided by the results from the completed exploratory ACT-AD Phase 2 trial, in September 2022, we proactively amended LIFT-AD to focus on participants not on background AChEIs, and in May 2023, we further amended LIFT-AD to focus on 40 mg dosing, which we had selected for further development and as the potential dose for regulatory approval of fosgonimeton in this indication. In September 2024, we announced the topline results for LIFT-AD, and the primary and key secondary endpoints did not reach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 and to shift our focus to the clinical development of ATH-1105.</w:t>
      </w:r>
    </w:p>
    <w:p>
      <w:pPr>
        <w:pStyle w:val="TextBody"/>
        <w:bidi w:val="0"/>
        <w:spacing w:before="280" w:after="283"/>
        <w:jc w:val="both"/>
        <w:rPr>
          <w:rFonts w:ascii="Times New Roman" w:hAnsi="Times New Roman"/>
          <w:sz w:val="20"/>
        </w:rPr>
      </w:pPr>
      <w:r>
        <w:rPr>
          <w:rFonts w:ascii="Arial" w:hAnsi="Arial"/>
          <w:color w:val="000000"/>
          <w:sz w:val="20"/>
        </w:rPr>
        <w:t>In July 2021, we announced that we would enroll participants into an open-label extension, or OLEX, trial</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for our LIFT-AD and ACT-AD clinical trials, enabling eligible participants who have completed either trial and elect to participate in the OLEX trial to receive open-label treatment with fosgonimeton. In September 2024, based on the results from LIFT-AD, we determined to stop the OLEX trial.</w:t>
      </w:r>
    </w:p>
    <w:p>
      <w:pPr>
        <w:pStyle w:val="TextBody"/>
        <w:pBdr>
          <w:bottom w:val="single" w:sz="4" w:space="1" w:color="000000"/>
        </w:pBdr>
        <w:bidi w:val="0"/>
        <w:jc w:val="left"/>
        <w:rPr/>
      </w:pPr>
      <w:r>
        <w:rPr/>
        <w:t> </w:t>
      </w:r>
    </w:p>
    <w:p>
      <w:pPr>
        <w:pStyle w:val="TextBody"/>
        <w:bidi w:val="0"/>
        <w:spacing w:before="240" w:after="283"/>
        <w:jc w:val="both"/>
        <w:rPr>
          <w:rFonts w:ascii="Times New Roman" w:hAnsi="Times New Roman"/>
          <w:sz w:val="20"/>
        </w:rPr>
      </w:pPr>
      <w:bookmarkStart w:id="10" w:name="mda_footnote_1"/>
      <w:bookmarkEnd w:id="10"/>
      <w:r>
        <w:rPr>
          <w:rFonts w:ascii="Arial" w:hAnsi="Arial"/>
          <w:color w:val="000000"/>
          <w:sz w:val="13"/>
        </w:rPr>
        <w:t xml:space="preserve">1 </w:t>
      </w:r>
      <w:r>
        <w:rPr>
          <w:rFonts w:ascii="Arial" w:hAnsi="Arial"/>
          <w:color w:val="000000"/>
          <w:sz w:val="20"/>
        </w:rPr>
        <w:t>The ACT-AD trial and the related OLEX trial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figure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drug candidates in additional indications in the CNS and PNS as we aim to improve neuronal health in multiple neurodegenerative diseases. Our drug discovery efforts are focused on designing and testing new early compounds to enhance the neurotrophic HGF system for a variety of clinical applications.</w:t>
      </w:r>
    </w:p>
    <w:p>
      <w:pPr>
        <w:pStyle w:val="TextBody"/>
        <w:bidi w:val="0"/>
        <w:jc w:val="both"/>
        <w:rPr/>
      </w:pPr>
      <w:r>
        <w:rPr/>
        <w:t> </w:t>
      </w:r>
    </w:p>
    <w:p>
      <w:pPr>
        <w:pStyle w:val="TextBody"/>
        <w:bidi w:val="0"/>
        <w:jc w:val="center"/>
        <w:rPr/>
      </w:pPr>
      <w:r>
        <w:rPr/>
        <w:drawing>
          <wp:inline distT="0" distB="0" distL="0" distR="0">
            <wp:extent cx="6858000" cy="3152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52775"/>
                    </a:xfrm>
                    <a:prstGeom prst="rect">
                      <a:avLst/>
                    </a:prstGeom>
                  </pic:spPr>
                </pic:pic>
              </a:graphicData>
            </a:graphic>
          </wp:inline>
        </w:drawing>
      </w:r>
    </w:p>
    <w:p>
      <w:pPr>
        <w:pStyle w:val="TextBody"/>
        <w:bidi w:val="0"/>
        <w:spacing w:before="280" w:after="283"/>
        <w:jc w:val="both"/>
        <w:rPr>
          <w:rFonts w:ascii="Times New Roman" w:hAnsi="Times New Roman"/>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Our lead drug candidate, ATH-1105, is currently in clinical development for the potential treatment of ALS, and additional drug candidates are in development.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80" w:after="283"/>
        <w:jc w:val="both"/>
        <w:rPr>
          <w:rFonts w:ascii="Arial" w:hAnsi="Arial"/>
          <w:color w:val="000000"/>
          <w:sz w:val="20"/>
        </w:rPr>
      </w:pPr>
      <w:r>
        <w:rPr>
          <w:rFonts w:ascii="Arial" w:hAnsi="Arial"/>
          <w:color w:val="000000"/>
          <w:sz w:val="20"/>
        </w:rPr>
        <w:t>Following our receipt of the topline results of LIFT-AD, we made the determination to explore strategic alternatives focused on maximizing stockholder value. As part of that effort, we have paused further development of fosgonimeton while continuing our ongoing development of ATH-1105 and are exploring partnering options. Despite devoting significant effort to identifying and evaluating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Given our stage of development, we have not yet established a commercial organization or distribution capabilities. To the extent that we successfully develop our drug candidates, we intend to build a commercial infrastructure to support future sales.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8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September 30, 2024,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$81.9 million and $90.4 million for the nine months ended September 30, 2024 and 2023, respectively. As of September 30, 2024, we had an accumulated deficit of $391.1 million and cash, cash equivalents and investments of $68.9 million.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expect to continue to incur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ATH-1105 and any other drug candidates through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legal expenses associated with ongoing litigation, as further described in “Part II, Item 1—Legal Proceedings,” and elsewhere in this report.</w:t>
      </w:r>
    </w:p>
    <w:p>
      <w:pPr>
        <w:pStyle w:val="TextBody"/>
        <w:bidi w:val="0"/>
        <w:spacing w:before="28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Our Collaboration and Grant Agreements</w:t>
      </w:r>
    </w:p>
    <w:p>
      <w:pPr>
        <w:pStyle w:val="TextBody"/>
        <w:bidi w:val="0"/>
        <w:spacing w:before="280" w:after="283"/>
        <w:jc w:val="both"/>
        <w:rPr>
          <w:rFonts w:ascii="Arial" w:hAnsi="Arial"/>
          <w:color w:val="000000"/>
          <w:sz w:val="20"/>
        </w:rPr>
      </w:pPr>
      <w:r>
        <w:rPr>
          <w:rFonts w:ascii="Arial" w:hAnsi="Arial"/>
          <w:color w:val="000000"/>
          <w:sz w:val="20"/>
        </w:rPr>
        <w:t>We are party to certain collaboration and grant agreements, as described in the section titled “Part I, Item 1 – Business—Our Collaboration and Grant Agreements” in our Annual Report on Form 10-K filed with the SEC on February 22, 2024.</w:t>
      </w:r>
    </w:p>
    <w:p>
      <w:pPr>
        <w:pStyle w:val="TextBody"/>
        <w:bidi w:val="0"/>
        <w:spacing w:before="280" w:after="283"/>
        <w:jc w:val="both"/>
        <w:rPr>
          <w:rFonts w:ascii="Arial" w:hAnsi="Arial"/>
          <w:b/>
          <w:color w:val="000000"/>
          <w:sz w:val="20"/>
        </w:rPr>
      </w:pPr>
      <w:r>
        <w:rPr>
          <w:rFonts w:ascii="Arial" w:hAnsi="Arial"/>
          <w:b/>
          <w:color w:val="000000"/>
          <w:sz w:val="20"/>
        </w:rPr>
        <w:t>Recent Developments</w:t>
      </w:r>
    </w:p>
    <w:p>
      <w:pPr>
        <w:pStyle w:val="TextBody"/>
        <w:bidi w:val="0"/>
        <w:spacing w:before="280" w:after="283"/>
        <w:jc w:val="both"/>
        <w:rPr>
          <w:rFonts w:ascii="Arial" w:hAnsi="Arial"/>
          <w:b/>
          <w:i/>
          <w:color w:val="000000"/>
          <w:sz w:val="20"/>
        </w:rPr>
      </w:pPr>
      <w:r>
        <w:rPr>
          <w:rFonts w:ascii="Arial" w:hAnsi="Arial"/>
          <w:b/>
          <w:i/>
          <w:color w:val="000000"/>
          <w:sz w:val="20"/>
        </w:rPr>
        <w:t>Process to Evaluate Strategic Alternatives</w:t>
      </w:r>
    </w:p>
    <w:p>
      <w:pPr>
        <w:pStyle w:val="TextBody"/>
        <w:bidi w:val="0"/>
        <w:spacing w:before="280" w:after="283"/>
        <w:jc w:val="both"/>
        <w:rPr>
          <w:rFonts w:ascii="Arial" w:hAnsi="Arial"/>
          <w:color w:val="000000"/>
          <w:sz w:val="20"/>
        </w:rPr>
      </w:pPr>
      <w:r>
        <w:rPr>
          <w:rFonts w:ascii="Arial" w:hAnsi="Arial"/>
          <w:color w:val="000000"/>
          <w:sz w:val="20"/>
        </w:rPr>
        <w:t>Following our receipt of the topline results of LIFT-AD, we made the determination to explore strategic alternatives focused on maximizing stockholder value. As part of that effort, we have paused further development of fosgonimeton while continuing our ongoing development of ATH-1105 and are exploring partnering options. We have engaged Cantor Fitzgerald &amp; Co. to act as an advisor in the process to explore strategic alternatives.</w:t>
      </w:r>
    </w:p>
    <w:p>
      <w:pPr>
        <w:pStyle w:val="TextBody"/>
        <w:bidi w:val="0"/>
        <w:spacing w:before="280" w:after="283"/>
        <w:jc w:val="both"/>
        <w:rPr>
          <w:rFonts w:ascii="Arial" w:hAnsi="Arial"/>
          <w:color w:val="000000"/>
          <w:sz w:val="20"/>
        </w:rPr>
      </w:pPr>
      <w:r>
        <w:rPr>
          <w:rFonts w:ascii="Arial" w:hAnsi="Arial"/>
          <w:color w:val="000000"/>
          <w:sz w:val="20"/>
        </w:rPr>
        <w:t>As part of this process, we will explore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There can be no assurance that these efforts will result in the pursuit of a transaction or that any transaction, if pursued, will be completed on attractive terms, if at all. We have not set a timetable for completion of this evaluation process and do not intend to disclose further developments unless and until it is determined that further disclosure is appropriate or necessary.</w:t>
      </w:r>
    </w:p>
    <w:p>
      <w:pPr>
        <w:pStyle w:val="TextBody"/>
        <w:bidi w:val="0"/>
        <w:spacing w:before="280" w:after="283"/>
        <w:jc w:val="both"/>
        <w:rPr>
          <w:rFonts w:ascii="Arial" w:hAnsi="Arial"/>
          <w:b/>
          <w:i/>
          <w:color w:val="000000"/>
          <w:sz w:val="20"/>
        </w:rPr>
      </w:pPr>
      <w:r>
        <w:rPr>
          <w:rFonts w:ascii="Arial" w:hAnsi="Arial"/>
          <w:b/>
          <w:i/>
          <w:color w:val="000000"/>
          <w:sz w:val="20"/>
        </w:rPr>
        <w:t>Workforce Reduction</w:t>
      </w:r>
    </w:p>
    <w:p>
      <w:pPr>
        <w:pStyle w:val="TextBody"/>
        <w:bidi w:val="0"/>
        <w:spacing w:before="280" w:after="283"/>
        <w:jc w:val="both"/>
        <w:rPr>
          <w:rFonts w:ascii="Arial" w:hAnsi="Arial"/>
          <w:color w:val="000000"/>
          <w:sz w:val="20"/>
        </w:rPr>
      </w:pPr>
      <w:r>
        <w:rPr>
          <w:rFonts w:ascii="Arial" w:hAnsi="Arial"/>
          <w:color w:val="000000"/>
          <w:sz w:val="20"/>
        </w:rPr>
        <w:t>On September 15, 2024, we committed to a workforce reduction that is expected to result in the termination of approximately 70% of our workforce. We took this step to decrease our costs, extend our cash runway, and create a more streamlined organization to support our strategic priorities, including the continued development of ATH-1105. We expect to substantially complete the Restructuring by December 31, 2024. See Note 11 to our unaudited condensed consolidated financial statements included in "Part I, Item 1—Financial Statements (Unaudited)” of this report for additional information.</w:t>
      </w:r>
    </w:p>
    <w:p>
      <w:pPr>
        <w:pStyle w:val="TextBody"/>
        <w:bidi w:val="0"/>
        <w:spacing w:before="28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280" w:after="283"/>
        <w:jc w:val="both"/>
        <w:rPr>
          <w:rFonts w:ascii="Arial" w:hAnsi="Arial"/>
          <w:b/>
          <w:i/>
          <w:color w:val="000000"/>
          <w:sz w:val="20"/>
        </w:rPr>
      </w:pPr>
      <w:r>
        <w:rPr>
          <w:rFonts w:ascii="Arial" w:hAnsi="Arial"/>
          <w:b/>
          <w:i/>
          <w:color w:val="000000"/>
          <w:sz w:val="20"/>
        </w:rPr>
        <w:t>Operating Expenses</w:t>
      </w:r>
    </w:p>
    <w:p>
      <w:pPr>
        <w:pStyle w:val="TextBody"/>
        <w:bidi w:val="0"/>
        <w:spacing w:before="28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Times New Roman" w:hAnsi="Times New Roman"/>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to continue to incur research and development expenses for the foreseeable future as we continue to invest in research and development activities related to developing our drug candidates, our drug candidates advance into later stages of development, we conduct larger clinical trials, we seek regulatory approvals for any drug candidates that successfully complete clinical trials, we expand our drug product pipeline, we maintain, expand, protect and enforce our intellectual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property portfolio, and we incur expenses associated with hiring or retaining personnel to support our research and development efforts. We also expect our research and development expenses to decrease in the near term as a result of our decision to pause further development of fosgonimeton and to shift our focus to the clinical development of ATH-1105.</w:t>
      </w:r>
    </w:p>
    <w:p>
      <w:pPr>
        <w:pStyle w:val="TextBody"/>
        <w:bidi w:val="0"/>
        <w:spacing w:before="28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 licensing or similar arrangements and the performance of any related third parties.</w:t>
      </w:r>
    </w:p>
    <w:p>
      <w:pPr>
        <w:pStyle w:val="TextBody"/>
        <w:bidi w:val="0"/>
        <w:spacing w:before="28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General and Administrative</w:t>
      </w:r>
    </w:p>
    <w:p>
      <w:pPr>
        <w:pStyle w:val="TextBody"/>
        <w:bidi w:val="0"/>
        <w:spacing w:before="280" w:after="283"/>
        <w:jc w:val="both"/>
        <w:rPr>
          <w:rFonts w:ascii="Times New Roman" w:hAnsi="Times New Roman"/>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general and administrative expenses to decrease in the near term as a result of the Restructuring and related cost savings.</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color w:val="000000"/>
          <w:sz w:val="20"/>
        </w:rPr>
      </w:pPr>
      <w:r>
        <w:rPr>
          <w:rFonts w:ascii="Arial" w:hAnsi="Arial"/>
          <w:color w:val="000000"/>
          <w:sz w:val="20"/>
        </w:rPr>
        <w:t>Grant income consists of income related to the NIH grant and is recognized as qualifying expenses under the grant agreement are incurred. As of September 30, 2024, we had recognized aggregate grant income of $15.2 million in connection with the NIH grant, equal to the total grant amount approved. We will not recognize additional grant income in connection with the NIH grant in the future.</w:t>
      </w:r>
    </w:p>
    <w:p>
      <w:pPr>
        <w:pStyle w:val="TextBody"/>
        <w:bidi w:val="0"/>
        <w:spacing w:before="2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Times New Roman" w:hAnsi="Times New Roman"/>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r>
        <w:rPr>
          <w:rFonts w:ascii="Arial" w:hAnsi="Arial"/>
          <w:b/>
          <w:color w:val="000000"/>
          <w:sz w:val="20"/>
        </w:rPr>
        <w:t>Results of Operations</w:t>
      </w:r>
    </w:p>
    <w:p>
      <w:pPr>
        <w:pStyle w:val="TextBody"/>
        <w:bidi w:val="0"/>
        <w:spacing w:before="280" w:after="283"/>
        <w:jc w:val="both"/>
        <w:rPr>
          <w:rFonts w:ascii="Arial" w:hAnsi="Arial"/>
          <w:b/>
          <w:i/>
          <w:color w:val="000000"/>
          <w:sz w:val="20"/>
        </w:rPr>
      </w:pPr>
      <w:r>
        <w:rPr>
          <w:rFonts w:ascii="Arial" w:hAnsi="Arial"/>
          <w:b/>
          <w:i/>
          <w:color w:val="000000"/>
          <w:sz w:val="20"/>
        </w:rPr>
        <w:t>Comparison of the Three Months Ended September 30, 2024 and 2023</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results of operations for the periods presented:</w:t>
      </w:r>
    </w:p>
    <w:tbl>
      <w:tblPr>
        <w:tblW w:w="8206"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646"/>
        <w:gridCol w:w="166"/>
        <w:gridCol w:w="146"/>
        <w:gridCol w:w="185"/>
        <w:gridCol w:w="536"/>
        <w:gridCol w:w="7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(9,280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Legal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FFFFFF" w:val="clear"/>
            <w:vAlign w:val="center"/>
          </w:tcPr>
          <w:p>
            <w:pPr>
              <w:pStyle w:val="TableContents"/>
              <w:bidi w:val="0"/>
              <w:spacing w:before="0" w:after="283"/>
              <w:ind w:left="0" w:right="0" w:firstLine="560"/>
              <w:jc w:val="left"/>
              <w:rPr/>
            </w:pPr>
            <w:r>
              <w:rPr/>
              <w:t> </w:t>
            </w:r>
          </w:p>
        </w:tc>
      </w:tr>
      <w:tr>
        <w:trPr/>
        <w:tc>
          <w:tcPr>
            <w:tcW w:w="28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(35,042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321"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751"/>
        <w:gridCol w:w="166"/>
        <w:gridCol w:w="146"/>
        <w:gridCol w:w="185"/>
        <w:gridCol w:w="536"/>
        <w:gridCol w:w="67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(10,722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ATH-1105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71" w:type="dxa"/>
            <w:tcBorders/>
            <w:shd w:fill="CFF0FC" w:val="clear"/>
            <w:vAlign w:val="center"/>
          </w:tcPr>
          <w:p>
            <w:pPr>
              <w:pStyle w:val="TableContents"/>
              <w:bidi w:val="0"/>
              <w:spacing w:before="0" w:after="283"/>
              <w:ind w:left="0" w:right="0" w:firstLine="280"/>
              <w:jc w:val="lef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ATH-1020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80" w:after="283"/>
        <w:jc w:val="both"/>
        <w:rPr>
          <w:rFonts w:ascii="Times New Roman" w:hAnsi="Times New Roman"/>
          <w:sz w:val="20"/>
        </w:rPr>
      </w:pPr>
      <w:r>
        <w:rPr>
          <w:rFonts w:ascii="Arial" w:hAnsi="Arial"/>
          <w:color w:val="000000"/>
          <w:sz w:val="20"/>
        </w:rPr>
        <w:t>Research and development expenses decreased by $9.3 million, from $27.2 million for the three months ended September 30, 2023 to $17.9 million for the three months ended September 30, 2024. The decrease was driven primarily by decreases in fosgonimeton program costs of $10.7 million and preclinical and other direct costs of $0.9 million, and to lesser extents, decreases in ATH-1020 program costs and personnel-related expenses. The decrease in fosgonimeton program costs of $10.7 million was driven by decreases in contract research organization and clinical site visit costs for our Phase 2/3 LIFT-AD clinical trial and the corresponding open-label extension for our Phase 2 ACT-AD and Phase 2/3 LIFT-AD clinical trials of $5.2 million and a decrease in contract manufacturing costs of $5.5 million. These decreases were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partially offset by an increase in ATH-1105 program costs of $2.4 million associated with the Phase 1 clinical trial, which commenced in the second quarter of 2024.</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decreased by approximately $0.2 million, from $7.8 million for the three months ended September 30, 2023 to $7.6 million for the three months ended September 30, 2024. The decrease was due to decreases in general corporate expenses of $0.4 million and in business development expenses of $0.3 million. These decreases were partially offset by an increase in personnel-related expenses of $0.3 million and an increase in professional services expenses of $0.1 million.</w:t>
      </w:r>
    </w:p>
    <w:p>
      <w:pPr>
        <w:pStyle w:val="TextBody"/>
        <w:bidi w:val="0"/>
        <w:spacing w:before="280" w:after="283"/>
        <w:jc w:val="both"/>
        <w:rPr>
          <w:rFonts w:ascii="Arial" w:hAnsi="Arial"/>
          <w:b/>
          <w:i/>
          <w:color w:val="000000"/>
          <w:sz w:val="20"/>
        </w:rPr>
      </w:pPr>
      <w:r>
        <w:rPr>
          <w:rFonts w:ascii="Arial" w:hAnsi="Arial"/>
          <w:b/>
          <w:i/>
          <w:color w:val="000000"/>
          <w:sz w:val="20"/>
        </w:rPr>
        <w:t>Legal Expenses</w:t>
      </w:r>
    </w:p>
    <w:p>
      <w:pPr>
        <w:pStyle w:val="TextBody"/>
        <w:bidi w:val="0"/>
        <w:spacing w:before="280" w:after="283"/>
        <w:jc w:val="both"/>
        <w:rPr>
          <w:rFonts w:ascii="Arial" w:hAnsi="Arial"/>
          <w:color w:val="000000"/>
          <w:sz w:val="20"/>
        </w:rPr>
      </w:pPr>
      <w:r>
        <w:rPr>
          <w:rFonts w:ascii="Arial" w:hAnsi="Arial"/>
          <w:color w:val="000000"/>
          <w:sz w:val="20"/>
        </w:rPr>
        <w:t>In connection with the Department of Justice investigation, we recorded a legal expense of $4.1 million during the three months ended September 30, 2024. For more information, see the section of this report titled "Part II, Item 1—Legal Proceedings".</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color w:val="000000"/>
          <w:sz w:val="20"/>
        </w:rPr>
      </w:pPr>
      <w:r>
        <w:rPr>
          <w:rFonts w:ascii="Arial" w:hAnsi="Arial"/>
          <w:color w:val="000000"/>
          <w:sz w:val="20"/>
        </w:rPr>
        <w:t>Other income, net, decreased by $1.2 million, from $2.1 million for the three months ended September 30, 2023 to $0.9 million for the three months ended September 30,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three months ended September 30, 2024 compared to the three months ended September 30, 2023.</w:t>
      </w:r>
    </w:p>
    <w:p>
      <w:pPr>
        <w:pStyle w:val="TextBody"/>
        <w:bidi w:val="0"/>
        <w:spacing w:before="280" w:after="283"/>
        <w:jc w:val="both"/>
        <w:rPr>
          <w:rFonts w:ascii="Arial" w:hAnsi="Arial"/>
          <w:b/>
          <w:i/>
          <w:color w:val="000000"/>
          <w:sz w:val="20"/>
        </w:rPr>
      </w:pPr>
      <w:r>
        <w:rPr>
          <w:rFonts w:ascii="Arial" w:hAnsi="Arial"/>
          <w:b/>
          <w:i/>
          <w:color w:val="000000"/>
          <w:sz w:val="20"/>
        </w:rPr>
        <w:t>Comparison of the Nine Months Ended September 30, 2024 and 2023</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8311"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751"/>
        <w:gridCol w:w="166"/>
        <w:gridCol w:w="146"/>
        <w:gridCol w:w="167"/>
        <w:gridCol w:w="554"/>
        <w:gridCol w:w="7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1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(8,798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(6,445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Legal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FFFFFF" w:val="clear"/>
            <w:vAlign w:val="center"/>
          </w:tcPr>
          <w:p>
            <w:pPr>
              <w:pStyle w:val="TableContents"/>
              <w:bidi w:val="0"/>
              <w:spacing w:before="0" w:after="283"/>
              <w:ind w:left="0" w:right="0" w:firstLine="560"/>
              <w:jc w:val="left"/>
              <w:rPr/>
            </w:pPr>
            <w:r>
              <w:rPr/>
              <w:t> </w:t>
            </w:r>
          </w:p>
        </w:tc>
      </w:tr>
      <w:tr>
        <w:trPr/>
        <w:tc>
          <w:tcPr>
            <w:tcW w:w="28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(96,452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321"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751"/>
        <w:gridCol w:w="166"/>
        <w:gridCol w:w="146"/>
        <w:gridCol w:w="185"/>
        <w:gridCol w:w="536"/>
        <w:gridCol w:w="67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(12,089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ATH-1105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71" w:type="dxa"/>
            <w:tcBorders/>
            <w:shd w:fill="CFF0FC" w:val="clear"/>
            <w:vAlign w:val="center"/>
          </w:tcPr>
          <w:p>
            <w:pPr>
              <w:pStyle w:val="TableContents"/>
              <w:bidi w:val="0"/>
              <w:spacing w:before="0" w:after="283"/>
              <w:ind w:left="0" w:right="0" w:firstLine="280"/>
              <w:jc w:val="lef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ATH-1020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71" w:type="dxa"/>
            <w:tcBorders/>
            <w:shd w:fill="CFF0FC" w:val="clear"/>
            <w:vAlign w:val="center"/>
          </w:tcPr>
          <w:p>
            <w:pPr>
              <w:pStyle w:val="TableContents"/>
              <w:bidi w:val="0"/>
              <w:spacing w:before="0" w:after="283"/>
              <w:jc w:val="left"/>
              <w:rPr/>
            </w:pPr>
            <w:r>
              <w:rPr/>
              <w:t> </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80" w:after="283"/>
        <w:jc w:val="both"/>
        <w:rPr>
          <w:rFonts w:ascii="Arial" w:hAnsi="Arial"/>
          <w:color w:val="000000"/>
          <w:sz w:val="20"/>
        </w:rPr>
      </w:pPr>
      <w:r>
        <w:rPr>
          <w:rFonts w:ascii="Arial" w:hAnsi="Arial"/>
          <w:color w:val="000000"/>
          <w:sz w:val="20"/>
        </w:rPr>
        <w:t>Research and development expenses decreased by $8.8 million, from $70.1 million for the nine months ended September 30, 2023 to $61.3 million for the nine months ended September 30, 2024. The decrease was driven primarily by decreases in fosgonimeton program costs of $12.1 million, preclinical and other direct costs of $3.1 million, personnel-related expenses of $0.5 million, and ATH-1020 program costs of $0.2 million. The decrease in fosgonimeton program costs of $12.1 million was driven by decreases in contract research organization and clinical site visit costs for our Phase 2/3 LIFT-AD clinical trial and the corresponding open-label extension for our Phase 2 ACT-AD and Phase 2/3 LIFT-AD clinical trials of $7.0 million and a decrease in contract manufacturing costs of $7.9 million, partially offset by an increase in program consulting costs of $3.0 million. These decreases were partially offset by an increase in ATH-1105 program costs of $6.8 million associated with the Phase 1 clinical trial, which commenced in the second quarter of 2024, and to a lesser extent, an increase in facilities and other indirect costs.</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decreased by $6.4 million, from $26.3 million for the nine months ended September 30, 2023 to $19.9 million for the nine months ended September 30, 2024. The decrease was primarily due to a decrease in business development expenses of $2.0 million, a decrease in general corporate expenses of $1.0 million, and a decrease in professional services expenses of $0.9 million. Additionally, legal expenses, excluding expenses recognized in connection with the Department of Justice investigation, decreased by $2.4 million.</w:t>
      </w:r>
    </w:p>
    <w:p>
      <w:pPr>
        <w:pStyle w:val="TextBody"/>
        <w:bidi w:val="0"/>
        <w:spacing w:before="280" w:after="283"/>
        <w:jc w:val="both"/>
        <w:rPr>
          <w:rFonts w:ascii="Arial" w:hAnsi="Arial"/>
          <w:b/>
          <w:i/>
          <w:color w:val="000000"/>
          <w:sz w:val="20"/>
        </w:rPr>
      </w:pPr>
      <w:r>
        <w:rPr>
          <w:rFonts w:ascii="Arial" w:hAnsi="Arial"/>
          <w:b/>
          <w:i/>
          <w:color w:val="000000"/>
          <w:sz w:val="20"/>
        </w:rPr>
        <w:t>Legal Expenses</w:t>
      </w:r>
    </w:p>
    <w:p>
      <w:pPr>
        <w:pStyle w:val="TextBody"/>
        <w:bidi w:val="0"/>
        <w:spacing w:before="280" w:after="283"/>
        <w:jc w:val="both"/>
        <w:rPr>
          <w:rFonts w:ascii="Arial" w:hAnsi="Arial"/>
          <w:color w:val="000000"/>
          <w:sz w:val="20"/>
        </w:rPr>
      </w:pPr>
      <w:r>
        <w:rPr>
          <w:rFonts w:ascii="Arial" w:hAnsi="Arial"/>
          <w:color w:val="000000"/>
          <w:sz w:val="20"/>
        </w:rPr>
        <w:t>In connection with the Department of Justice investigation, we recorded a legal expense of $4.1 million during the nine months ended September 30, 2024. For more information, see the section of this report titled "Part II, Item 1—Legal Proceedings".</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color w:val="000000"/>
          <w:sz w:val="20"/>
        </w:rPr>
      </w:pPr>
      <w:r>
        <w:rPr>
          <w:rFonts w:ascii="Arial" w:hAnsi="Arial"/>
          <w:color w:val="000000"/>
          <w:sz w:val="20"/>
        </w:rPr>
        <w:t>Grant income recognized during the nine months ended September 30, 2023 of $0.2 million represented the remaining balance of the total $15.2 million approved grant amount available at the beginning of the quarter. There was no grant income recognized during the nine months ended September 30, 2024.</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color w:val="000000"/>
          <w:sz w:val="20"/>
        </w:rPr>
      </w:pPr>
      <w:r>
        <w:rPr>
          <w:rFonts w:ascii="Arial" w:hAnsi="Arial"/>
          <w:color w:val="000000"/>
          <w:sz w:val="20"/>
        </w:rPr>
        <w:t>Other income, net, decreased by $2.5 million, from $5.9 million for the nine months ended September 30, 2023 to $3.4 million for the nine months ended September 30,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nine months ended September 30, 2024 compared to the nine months ended September 30, 2023.</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80" w:after="283"/>
        <w:jc w:val="both"/>
        <w:rPr>
          <w:rFonts w:ascii="Arial" w:hAnsi="Arial"/>
          <w:b/>
          <w:i/>
          <w:color w:val="000000"/>
          <w:sz w:val="20"/>
        </w:rPr>
      </w:pPr>
      <w:r>
        <w:rPr>
          <w:rFonts w:ascii="Arial" w:hAnsi="Arial"/>
          <w:b/>
          <w:i/>
          <w:color w:val="000000"/>
          <w:sz w:val="20"/>
        </w:rPr>
        <w:t>Sources of Liquidity</w:t>
      </w:r>
    </w:p>
    <w:p>
      <w:pPr>
        <w:pStyle w:val="TextBody"/>
        <w:bidi w:val="0"/>
        <w:spacing w:before="28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September 30, 2024, we have raised aggregate net cash proceeds of $407.4 million primarily from the issuance of our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As of September 30, 2024, we had $68.9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280" w:after="283"/>
        <w:jc w:val="both"/>
        <w:rPr>
          <w:rFonts w:ascii="Arial" w:hAnsi="Arial"/>
          <w:color w:val="000000"/>
          <w:sz w:val="20"/>
        </w:rPr>
      </w:pPr>
      <w:r>
        <w:rPr>
          <w:rFonts w:ascii="Arial" w:hAnsi="Arial"/>
          <w:color w:val="000000"/>
          <w:sz w:val="20"/>
        </w:rPr>
        <w:t>Our material cash requirements include our operating leases for laboratory and office facilities. As of September 30, 2024, we had lease payment obligations of $1.5 million, with $0.5 million payable within 12 months. For additional information regarding our lease commitments, see Note 7 to our unaudited condensed consolidated financial statements included elsewhere in this report. We are contingently committed to $0.9 million of 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anticipate that our research and development expenses and our general and administrative expenses will decrease in the near-term as a result of our decision to pause further development of fosgonimeton and to shift our focus to the clinical development of ATH-1105, and our decrease in headcount as a result of the Restructuring.</w:t>
      </w:r>
    </w:p>
    <w:p>
      <w:pPr>
        <w:pStyle w:val="TextBody"/>
        <w:bidi w:val="0"/>
        <w:spacing w:before="280" w:after="283"/>
        <w:jc w:val="both"/>
        <w:rPr>
          <w:rFonts w:ascii="Arial" w:hAnsi="Arial"/>
          <w:color w:val="000000"/>
          <w:sz w:val="20"/>
        </w:rPr>
      </w:pPr>
      <w:r>
        <w:rPr>
          <w:rFonts w:ascii="Arial" w:hAnsi="Arial"/>
          <w:color w:val="000000"/>
          <w:sz w:val="20"/>
        </w:rPr>
        <w:t>Based upon our current operating plan, we estimate that our $68.9 million of cash, cash equivalents and investments at September 30, 2024 will be sufficient to fund our operating expenses and capital expenditure requirements through at least the next 12 months following the date of this report. However, our resource requirements could materially change depending on the outcome of our ongoing strategic alternative review process, including to the extent we identify and enter into any potential strategic transaction.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ongoing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any expansion of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8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280" w:after="283"/>
        <w:jc w:val="both"/>
        <w:rPr>
          <w:rFonts w:ascii="Arial" w:hAnsi="Arial"/>
          <w:b/>
          <w:i/>
          <w:color w:val="000000"/>
          <w:sz w:val="20"/>
        </w:rPr>
      </w:pPr>
      <w:r>
        <w:rPr>
          <w:rFonts w:ascii="Arial" w:hAnsi="Arial"/>
          <w:b/>
          <w:i/>
          <w:color w:val="000000"/>
          <w:sz w:val="20"/>
        </w:rPr>
        <w:t>Cash Flows</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9666" w:type="dxa"/>
        <w:jc w:val="left"/>
        <w:tblInd w:w="0" w:type="dxa"/>
        <w:tblLayout w:type="fixed"/>
        <w:tblCellMar>
          <w:top w:w="28" w:type="dxa"/>
          <w:left w:w="28" w:type="dxa"/>
          <w:bottom w:w="28" w:type="dxa"/>
          <w:right w:w="28" w:type="dxa"/>
        </w:tblCellMar>
      </w:tblPr>
      <w:tblGrid>
        <w:gridCol w:w="6196"/>
        <w:gridCol w:w="146"/>
        <w:gridCol w:w="267"/>
        <w:gridCol w:w="952"/>
        <w:gridCol w:w="210"/>
        <w:gridCol w:w="185"/>
        <w:gridCol w:w="267"/>
        <w:gridCol w:w="952"/>
        <w:gridCol w:w="4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1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(71,157</w:t>
            </w:r>
          </w:p>
        </w:tc>
        <w:tc>
          <w:tcPr>
            <w:tcW w:w="21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(74,460</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9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57,642</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88,698</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1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14,579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Operating Activities</w:t>
      </w:r>
    </w:p>
    <w:p>
      <w:pPr>
        <w:pStyle w:val="TextBody"/>
        <w:bidi w:val="0"/>
        <w:spacing w:before="280" w:after="283"/>
        <w:jc w:val="both"/>
        <w:rPr>
          <w:rFonts w:ascii="Arial" w:hAnsi="Arial"/>
          <w:color w:val="000000"/>
          <w:sz w:val="20"/>
        </w:rPr>
      </w:pPr>
      <w:r>
        <w:rPr>
          <w:rFonts w:ascii="Arial" w:hAnsi="Arial"/>
          <w:color w:val="000000"/>
          <w:sz w:val="20"/>
        </w:rPr>
        <w:t>During the nine months ended September 30, 2024, net cash used in operating activities was $71.2 million. This consisted primarily of a net loss of $81.9 million, partially offset by non-cash charges of $9.2 million, and a decrease in our net operating assets of $1.5 million. The non-cash charges primarily consisted of stock-based compensation expense, depreciation expense, and amortization of premiums and accretion of discounts on available-for-sale securities. The decrease in our net operating assets was primarily due to a decrease in prepaid expenses and other assets and an increase in accounts payable, partially offset by a decrease accrued expenses.</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During the nine months ended September 30, 2023, net cash used in operating activities was $74.5 million. This consisted primarily of a net loss of $90.4 million, partially offset by non-cash charges of $8.1 million and a decrease in our net operating assets of $7.8 million. The non-cash charges primarily consisted of stock-based compensation expense, amortization of premiums and accretion of discounts on available-for-sale securities, and depreciation expense. The decrease in our net operating assets was primarily due to an increase in accrued expenses and a decrease in unbilled grant receivable, partially offset by a decrease in accounts payable and an increase in prepaid expenses and other current and long-term assets, net.</w:t>
      </w:r>
      <w:r>
        <w:rPr>
          <w:rFonts w:ascii="Times New Roman" w:hAnsi="Times New Roman"/>
          <w:color w:val="000000"/>
          <w:sz w:val="20"/>
        </w:rPr>
        <w:t xml:space="preserve"> </w:t>
      </w:r>
    </w:p>
    <w:p>
      <w:pPr>
        <w:pStyle w:val="TextBody"/>
        <w:bidi w:val="0"/>
        <w:spacing w:before="280" w:after="283"/>
        <w:jc w:val="both"/>
        <w:rPr>
          <w:rFonts w:ascii="Arial" w:hAnsi="Arial"/>
          <w:b/>
          <w:i/>
          <w:color w:val="000000"/>
          <w:sz w:val="20"/>
        </w:rPr>
      </w:pPr>
      <w:r>
        <w:rPr>
          <w:rFonts w:ascii="Arial" w:hAnsi="Arial"/>
          <w:b/>
          <w:i/>
          <w:color w:val="000000"/>
          <w:sz w:val="20"/>
        </w:rPr>
        <w:t>Investing Activities</w:t>
      </w:r>
    </w:p>
    <w:p>
      <w:pPr>
        <w:pStyle w:val="TextBody"/>
        <w:bidi w:val="0"/>
        <w:spacing w:before="280" w:after="283"/>
        <w:jc w:val="both"/>
        <w:rPr>
          <w:rFonts w:ascii="Arial" w:hAnsi="Arial"/>
          <w:color w:val="000000"/>
          <w:sz w:val="20"/>
        </w:rPr>
      </w:pPr>
      <w:r>
        <w:rPr>
          <w:rFonts w:ascii="Arial" w:hAnsi="Arial"/>
          <w:color w:val="000000"/>
          <w:sz w:val="20"/>
        </w:rPr>
        <w:t>During the nine months ended September 30, 2024, net cash provided by investing was $57.6 million. This consisted of maturities of available-for-sale securities of $68.9 million, partially offset by purchases of available-for-sale securities of $11.3 million.</w:t>
      </w:r>
    </w:p>
    <w:p>
      <w:pPr>
        <w:pStyle w:val="TextBody"/>
        <w:bidi w:val="0"/>
        <w:spacing w:before="280" w:after="283"/>
        <w:jc w:val="both"/>
        <w:rPr>
          <w:rFonts w:ascii="Arial" w:hAnsi="Arial"/>
          <w:color w:val="000000"/>
          <w:sz w:val="20"/>
        </w:rPr>
      </w:pPr>
      <w:r>
        <w:rPr>
          <w:rFonts w:ascii="Arial" w:hAnsi="Arial"/>
          <w:color w:val="000000"/>
          <w:sz w:val="20"/>
        </w:rPr>
        <w:t>During the nine months ended September 30, 2023, net cash provided by investing activities was $88.7 million. This consisted of maturities of available-for-sale securities of $116.7 million, partially offset by purchases of available-for-sale securities of $27.7 million and property and equipment of $0.3 million.</w:t>
      </w:r>
    </w:p>
    <w:p>
      <w:pPr>
        <w:pStyle w:val="TextBody"/>
        <w:bidi w:val="0"/>
        <w:spacing w:before="280" w:after="283"/>
        <w:jc w:val="both"/>
        <w:rPr>
          <w:rFonts w:ascii="Arial" w:hAnsi="Arial"/>
          <w:b/>
          <w:i/>
          <w:color w:val="000000"/>
          <w:sz w:val="20"/>
        </w:rPr>
      </w:pPr>
      <w:r>
        <w:rPr>
          <w:rFonts w:ascii="Arial" w:hAnsi="Arial"/>
          <w:b/>
          <w:i/>
          <w:color w:val="000000"/>
          <w:sz w:val="20"/>
        </w:rPr>
        <w:t>Financing Activities</w:t>
      </w:r>
    </w:p>
    <w:p>
      <w:pPr>
        <w:pStyle w:val="TextBody"/>
        <w:bidi w:val="0"/>
        <w:spacing w:before="280" w:after="283"/>
        <w:jc w:val="both"/>
        <w:rPr>
          <w:rFonts w:ascii="Arial" w:hAnsi="Arial"/>
          <w:color w:val="000000"/>
          <w:sz w:val="20"/>
        </w:rPr>
      </w:pPr>
      <w:r>
        <w:rPr>
          <w:rFonts w:ascii="Arial" w:hAnsi="Arial"/>
          <w:color w:val="000000"/>
          <w:sz w:val="20"/>
        </w:rPr>
        <w:t>During the nine months ended September 30, 2024, net cash provided by financing activities was $0.2 million, consisting of proceeds received from the exercise of stock options and the issuance of common stock under our employee stock purchase plan.</w:t>
      </w:r>
    </w:p>
    <w:p>
      <w:pPr>
        <w:pStyle w:val="TextBody"/>
        <w:bidi w:val="0"/>
        <w:spacing w:before="280" w:after="283"/>
        <w:jc w:val="both"/>
        <w:rPr>
          <w:rFonts w:ascii="Arial" w:hAnsi="Arial"/>
          <w:color w:val="000000"/>
          <w:sz w:val="20"/>
        </w:rPr>
      </w:pPr>
      <w:r>
        <w:rPr>
          <w:rFonts w:ascii="Arial" w:hAnsi="Arial"/>
          <w:color w:val="000000"/>
          <w:sz w:val="20"/>
        </w:rPr>
        <w:t>During the nine months ended September 30, 2023, net cash provided by financing activities was $0.3 million, consisting of proceeds received from exercises of stock options and the issuance of common stock under our employee stock purchase plan.</w:t>
      </w:r>
    </w:p>
    <w:p>
      <w:pPr>
        <w:pStyle w:val="TextBody"/>
        <w:bidi w:val="0"/>
        <w:spacing w:before="28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28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During the nine months ended September 30, 2024,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February 22, 2024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2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280" w:after="283"/>
        <w:jc w:val="both"/>
        <w:rPr>
          <w:rFonts w:ascii="Arial" w:hAnsi="Arial"/>
          <w:color w:val="000000"/>
          <w:sz w:val="20"/>
        </w:rPr>
      </w:pPr>
      <w:r>
        <w:rPr>
          <w:rFonts w:ascii="Arial" w:hAnsi="Arial"/>
          <w:color w:val="000000"/>
          <w:sz w:val="20"/>
        </w:rPr>
        <w:t>See Note 2 to our unaudited condensed consolidated financial statements included in "Part I, Item 1—Financial Statements (Unaudited)” of this report for additional information.</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Emerging Growth Company Status</w:t>
      </w:r>
    </w:p>
    <w:p>
      <w:pPr>
        <w:pStyle w:val="TextBody"/>
        <w:bidi w:val="0"/>
        <w:spacing w:before="280" w:after="283"/>
        <w:jc w:val="both"/>
        <w:rPr>
          <w:rFonts w:ascii="Times New Roman" w:hAnsi="Times New Roman"/>
          <w:sz w:val="20"/>
        </w:rPr>
      </w:pPr>
      <w:r>
        <w:rPr>
          <w:rFonts w:ascii="Arial" w:hAnsi="Arial"/>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bookmarkStart w:id="11" w:name="item_3_quantitative_qualitative_disclos"/>
      <w:bookmarkEnd w:id="11"/>
      <w:r>
        <w:rPr>
          <w:rFonts w:ascii="Arial" w:hAnsi="Arial"/>
          <w:b/>
          <w:color w:val="000000"/>
          <w:sz w:val="20"/>
        </w:rPr>
        <w:t>Item 3. Quantitative and Qualitative Disclosures About Market Risk.</w:t>
      </w:r>
    </w:p>
    <w:p>
      <w:pPr>
        <w:pStyle w:val="TextBody"/>
        <w:bidi w:val="0"/>
        <w:spacing w:before="28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280" w:after="283"/>
        <w:jc w:val="both"/>
        <w:rPr>
          <w:rFonts w:ascii="Arial" w:hAnsi="Arial"/>
          <w:b/>
          <w:color w:val="000000"/>
          <w:sz w:val="20"/>
        </w:rPr>
      </w:pPr>
      <w:bookmarkStart w:id="12" w:name="item_4_controls_procedures"/>
      <w:bookmarkEnd w:id="12"/>
      <w:r>
        <w:rPr>
          <w:rFonts w:ascii="Arial" w:hAnsi="Arial"/>
          <w:b/>
          <w:color w:val="000000"/>
          <w:sz w:val="20"/>
        </w:rPr>
        <w:t>Item 4. Controls and Procedures.</w:t>
      </w:r>
    </w:p>
    <w:p>
      <w:pPr>
        <w:pStyle w:val="TextBody"/>
        <w:bidi w:val="0"/>
        <w:spacing w:before="2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2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28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we are subject to various legal proceedings or claims that arise in the ordinary course of business. The following is a brief description of the more significant legal proceedings in which we are involved.</w:t>
      </w:r>
    </w:p>
    <w:p>
      <w:pPr>
        <w:pStyle w:val="TextBody"/>
        <w:bidi w:val="0"/>
        <w:spacing w:before="280" w:after="283"/>
        <w:jc w:val="left"/>
        <w:rPr>
          <w:rFonts w:ascii="Times New Roman" w:hAnsi="Times New Roman"/>
          <w:sz w:val="20"/>
        </w:rPr>
      </w:pPr>
      <w:r>
        <w:rPr>
          <w:rFonts w:ascii="Arial" w:hAnsi="Arial"/>
          <w:b/>
          <w:color w:val="000000"/>
          <w:sz w:val="20"/>
        </w:rPr>
        <w:t>Securities Class Actions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hAnsi="Arial"/>
          <w:i/>
          <w:color w:val="000000"/>
          <w:sz w:val="20"/>
        </w:rPr>
        <w:t>Wang v. Athira Pharma, Inc., et al.</w:t>
      </w:r>
      <w:r>
        <w:rPr>
          <w:rFonts w:ascii="Arial" w:hAnsi="Arial"/>
          <w:color w:val="000000"/>
          <w:sz w:val="20"/>
        </w:rPr>
        <w:t xml:space="preserve">, No. 2:21-cv-00861. Plaintiffs Wang and Gao assert claims under Sections 10(b) and 20(a) of the Exchange Act, and SEC Rule 10b-5, alleging that the defendants made materially false and misleading statements and omitted material adverse facts regarding our business. Specifically, the </w:t>
      </w:r>
      <w:r>
        <w:rPr>
          <w:rFonts w:ascii="Arial" w:hAnsi="Arial"/>
          <w:i/>
          <w:color w:val="000000"/>
          <w:sz w:val="20"/>
        </w:rPr>
        <w:t xml:space="preserve">Wang </w:t>
      </w:r>
      <w:r>
        <w:rPr>
          <w:rFonts w:ascii="Arial" w:hAnsi="Arial"/>
          <w:color w:val="000000"/>
          <w:sz w:val="20"/>
        </w:rPr>
        <w:t xml:space="preserve">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hAnsi="Arial"/>
          <w:i/>
          <w:color w:val="000000"/>
          <w:sz w:val="20"/>
        </w:rPr>
        <w:t xml:space="preserve">Wang </w:t>
      </w:r>
      <w:r>
        <w:rPr>
          <w:rFonts w:ascii="Arial" w:hAnsi="Arial"/>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 w:hAnsi="Arial"/>
          <w:i/>
          <w:color w:val="000000"/>
          <w:sz w:val="20"/>
        </w:rPr>
        <w:t>Jawandha v. Athira Pharma, Inc., et al.</w:t>
      </w:r>
      <w:r>
        <w:rPr>
          <w:rFonts w:ascii="Arial" w:hAnsi="Arial"/>
          <w:color w:val="000000"/>
          <w:sz w:val="20"/>
        </w:rPr>
        <w:t xml:space="preserve">, No. 2:21-cv-00862. The </w:t>
      </w:r>
      <w:r>
        <w:rPr>
          <w:rFonts w:ascii="Arial" w:hAnsi="Arial"/>
          <w:i/>
          <w:color w:val="000000"/>
          <w:sz w:val="20"/>
        </w:rPr>
        <w:t>Jawandha</w:t>
      </w:r>
      <w:r>
        <w:rPr>
          <w:rFonts w:ascii="Times New Roman" w:hAnsi="Times New Roman"/>
          <w:color w:val="000000"/>
          <w:sz w:val="20"/>
        </w:rPr>
        <w:t xml:space="preserve"> </w:t>
      </w:r>
      <w:r>
        <w:rPr>
          <w:rFonts w:ascii="Arial" w:hAnsi="Arial"/>
          <w:color w:val="000000"/>
          <w:sz w:val="20"/>
        </w:rPr>
        <w:t xml:space="preserve">complaint asserts violations of Sections 11 and 15 of the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hAnsi="Arial"/>
          <w:i/>
          <w:color w:val="000000"/>
          <w:sz w:val="20"/>
        </w:rPr>
        <w:t xml:space="preserve">Jawandha </w:t>
      </w:r>
      <w:r>
        <w:rPr>
          <w:rFonts w:ascii="Arial" w:hAnsi="Arial"/>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 w:hAnsi="Arial"/>
          <w:i/>
          <w:color w:val="000000"/>
          <w:sz w:val="20"/>
        </w:rPr>
        <w:t>Jawandha</w:t>
      </w:r>
      <w:r>
        <w:rPr>
          <w:rFonts w:ascii="Times New Roman" w:hAnsi="Times New Roman"/>
          <w:color w:val="000000"/>
          <w:sz w:val="20"/>
        </w:rPr>
        <w:t xml:space="preserve"> </w:t>
      </w:r>
      <w:r>
        <w:rPr>
          <w:rFonts w:ascii="Arial" w:hAnsi="Arial"/>
          <w:color w:val="000000"/>
          <w:sz w:val="20"/>
        </w:rPr>
        <w:t xml:space="preserve">complaint, captioned </w:t>
      </w:r>
      <w:r>
        <w:rPr>
          <w:rFonts w:ascii="Arial" w:hAnsi="Arial"/>
          <w:i/>
          <w:color w:val="000000"/>
          <w:sz w:val="20"/>
        </w:rPr>
        <w:t>Slyne v. Athira Pharma, Inc. et al.</w:t>
      </w:r>
      <w:r>
        <w:rPr>
          <w:rFonts w:ascii="Arial" w:hAnsi="Arial"/>
          <w:color w:val="000000"/>
          <w:sz w:val="20"/>
        </w:rPr>
        <w:t xml:space="preserve">, No. 2:21-cv-00864. The </w:t>
      </w:r>
      <w:r>
        <w:rPr>
          <w:rFonts w:ascii="Arial" w:hAnsi="Arial"/>
          <w:i/>
          <w:color w:val="000000"/>
          <w:sz w:val="20"/>
        </w:rPr>
        <w:t xml:space="preserve">Slyne </w:t>
      </w:r>
      <w:r>
        <w:rPr>
          <w:rFonts w:ascii="Arial" w:hAnsi="Arial"/>
          <w:color w:val="000000"/>
          <w:sz w:val="20"/>
        </w:rPr>
        <w:t xml:space="preserve">complaint asserts violations of Sections 11 and 15 of the Securities Act, alleging that purported issues with Dr. Kawas’s doctoral research at WSU should have been disclosed in our IPO registration statement. The </w:t>
      </w:r>
      <w:r>
        <w:rPr>
          <w:rFonts w:ascii="Arial" w:hAnsi="Arial"/>
          <w:i/>
          <w:color w:val="000000"/>
          <w:sz w:val="20"/>
        </w:rPr>
        <w:t>Slyne</w:t>
      </w:r>
      <w:r>
        <w:rPr>
          <w:rFonts w:ascii="Times New Roman" w:hAnsi="Times New Roman"/>
          <w:color w:val="000000"/>
          <w:sz w:val="20"/>
        </w:rPr>
        <w:t xml:space="preserve"> </w:t>
      </w:r>
      <w:r>
        <w:rPr>
          <w:rFonts w:ascii="Arial" w:hAnsi="Arial"/>
          <w:color w:val="000000"/>
          <w:sz w:val="20"/>
        </w:rPr>
        <w:t>plaintiffs</w:t>
      </w:r>
      <w:r>
        <w:rPr>
          <w:rFonts w:ascii="Times New Roman" w:hAnsi="Times New Roman"/>
          <w:color w:val="000000"/>
          <w:sz w:val="20"/>
        </w:rPr>
        <w:t xml:space="preserve"> </w:t>
      </w:r>
      <w:r>
        <w:rPr>
          <w:rFonts w:ascii="Arial" w:hAnsi="Arial"/>
          <w:color w:val="000000"/>
          <w:sz w:val="20"/>
        </w:rPr>
        <w:t>seek unspecified compensatory damages, reasonable costs and expenses, including attorneys’ fees, and injunctive and other equitable relief.</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Times New Roman" w:hAnsi="Times New Roman"/>
          <w:sz w:val="20"/>
        </w:rPr>
      </w:pPr>
      <w:r>
        <w:rPr>
          <w:rFonts w:ascii="Arial" w:hAnsi="Arial"/>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color w:val="000000"/>
          <w:sz w:val="20"/>
        </w:rPr>
        <w:t xml:space="preserve"> </w:t>
      </w:r>
      <w:r>
        <w:rPr>
          <w:rFonts w:ascii="Arial" w:hAnsi="Arial"/>
          <w:color w:val="000000"/>
          <w:sz w:val="20"/>
        </w:rPr>
        <w:t>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283"/>
        <w:jc w:val="both"/>
        <w:rPr>
          <w:rFonts w:ascii="Times New Roman" w:hAnsi="Times New Roman"/>
          <w:sz w:val="20"/>
        </w:rPr>
      </w:pPr>
      <w:r>
        <w:rPr>
          <w:rFonts w:ascii="Arial" w:hAnsi="Arial"/>
          <w:color w:val="000000"/>
          <w:sz w:val="20"/>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court entered an order setting certain case deadlines. On November 4, 2022, we and Dr. Kawas filed our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On March 10, 2023, following a mediation and the parties’ agreement in principle to settle the securities class action for $10.0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pStyle w:val="TextBody"/>
        <w:bidi w:val="0"/>
        <w:spacing w:before="280" w:after="283"/>
        <w:jc w:val="both"/>
        <w:rPr>
          <w:rFonts w:ascii="Arial" w:hAnsi="Arial"/>
          <w:color w:val="000000"/>
          <w:sz w:val="20"/>
        </w:rPr>
      </w:pPr>
      <w:r>
        <w:rPr>
          <w:rFonts w:ascii="Arial" w:hAnsi="Arial"/>
          <w:color w:val="000000"/>
          <w:sz w:val="20"/>
        </w:rPr>
        <w:t>On February 15, 2024, the court issued an order granting in part and deferring in part plaintiffs’ renewed motion for preliminary approval and ordered the parties to submit a joint status report by March 15, 2024. In its order, the court preliminarily approved the proposed settlement and certified a class with two subclasses. The court deferred ruling in part as to the proposed notices and claim form relating to the settlement. On March 29, 2024, the court issued a minute order (i) granting the portion of plaintiffs’ renewed motion for preliminary approval that the court had previously deferred ruling on, (ii) setting a final approval hearing, and (iii) ordering plaintiffs’ motion for final approval of the proposed settlement to be filed on or before September 26, 2024. On September 26, 2024, plaintiffs filed a motion for final approval of class action settlement and plan of allocation. On September 30, 2024, the court issued a minute order requiring additional information related to the claims administration process, to which plaintiffs responded. On October 25, 2024, the court held a settlement final approval hearing and ruled that the terms of the settlement are fair, reasonable and adequate and that notice was reasonable. On November 1, 2024, the court entered a final written judgment and order granting final approval of the settlement and closed the case.</w:t>
      </w:r>
    </w:p>
    <w:p>
      <w:pPr>
        <w:pStyle w:val="TextBody"/>
        <w:bidi w:val="0"/>
        <w:spacing w:before="280" w:after="283"/>
        <w:jc w:val="both"/>
        <w:rPr>
          <w:rFonts w:ascii="Arial" w:hAnsi="Arial"/>
          <w:color w:val="000000"/>
          <w:sz w:val="20"/>
        </w:rPr>
      </w:pPr>
      <w:r>
        <w:rPr>
          <w:rFonts w:ascii="Arial" w:hAnsi="Arial"/>
          <w:color w:val="000000"/>
          <w:sz w:val="20"/>
        </w:rPr>
        <w:t>As a result of the foregoing, we recorded a legal settlement expense of $10.0 million in operating expenses in the fourth quarter of 2022 and an accrued liability of $10.0 million on the accompanying condensed consolidated balance sheets. Additionally, we recorded an insurance recovery of $1.6 million in operating expenses in the fourth quarter of 2023 and an insurance recovery receivable of $1.6 million on the accompanying condensed consolidated balance sheets. This insurance recovery represents the amount of the settlement to be covered by our insurers.</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Arial" w:hAnsi="Arial"/>
          <w:color w:val="000000"/>
          <w:sz w:val="20"/>
        </w:rPr>
      </w:pPr>
      <w:r>
        <w:rPr>
          <w:rFonts w:ascii="Arial" w:hAnsi="Arial"/>
          <w:color w:val="000000"/>
          <w:sz w:val="20"/>
        </w:rPr>
        <w:t>On April 14, 2022, a shareholder derivative action was filed by plaintiff Stephen Bushansky in the U.S. District Court for the Western District of Washington against certain current and former members of our board of directors, captioned Bushansky v. Kawas et al., No. 2:22-cv-497. Plaintiff purported to bring the action derivatively on our behalf, and we were a nominal defendant to the action. The derivative complaint alleged that our board of directors breached its fiduciary duties by failing to prevent alleged misstatements in our public filings, failing to discover altered images in certain research papers, and failing to take appropriate action. The derivative complaint asserted claims for violations of Section 14(a) of the Exchange Act as well as claims for breach of fiduciary duty, contribution and indemnification, aiding and abetting, and waste of corporate assets. The derivative complaint sought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Arial" w:hAnsi="Arial"/>
          <w:color w:val="000000"/>
          <w:sz w:val="20"/>
        </w:rPr>
      </w:pPr>
      <w:r>
        <w:rPr>
          <w:rFonts w:ascii="Arial" w:hAnsi="Arial"/>
          <w:color w:val="000000"/>
          <w:sz w:val="20"/>
        </w:rPr>
        <w:t>On May 6, 2022, a second shareholder derivative action was filed by plaintiff Thomas Houlihan in the U.S. District Court for the Western District of Washington against certain of our current and former directors and officers, captioned Houlihan v. Kawas et al., No. 2:22-cv-620. Plaintiff purported to bring the action derivatively on our behalf, and we were a nominal defendant to the action. The derivative complaint alleged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asserted claims for violations of Section 14(a) of the Exchange Act as well as claims for breach of fiduciary duties, contribution, and indemnification. The derivative complaint sought unspecified damages, unspecified corporate governance reforms, restitution,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color w:val="000000"/>
          <w:sz w:val="20"/>
        </w:rPr>
        <w:t>On May 26, 2022, the court issued an order consolidating the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May 3, 2024, the court entered an order preliminarily approving the settlement and scheduling a final approval hearing for July 18,</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2024. On May 17, 2024, plaintiffs filed an unopposed motion for approval of attorneys’ fees and expenses and service awards to plaintiffs. On July 3, 2024, plaintiffs filed an unopposed motion for final approval of derivative settlement. The settlement final approval hearing took place on July 18, 2024, and no shareholders objected to the proposed settlement or attorneys’ fees or service awards sought by plaintiffs. After the hearing, on July 18, 2024, the court entered an order and judgment granting plaintiffs’ motion for final approval of derivative settlement, finding the settlement to be fair, reasonable, and adequate to the settling parties and our shareholders, and dismissing the derivative action with prejudice.</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paid the fee and expense award related to this shareholder derivative action settlement during the third quarter of 2024.</w:t>
      </w:r>
    </w:p>
    <w:p>
      <w:pPr>
        <w:pStyle w:val="TextBody"/>
        <w:bidi w:val="0"/>
        <w:spacing w:before="280" w:after="283"/>
        <w:jc w:val="both"/>
        <w:rPr>
          <w:rFonts w:ascii="Arial" w:hAnsi="Arial"/>
          <w:b/>
          <w:color w:val="000000"/>
          <w:sz w:val="20"/>
        </w:rPr>
      </w:pPr>
      <w:r>
        <w:rPr>
          <w:rFonts w:ascii="Arial" w:hAnsi="Arial"/>
          <w:b/>
          <w:color w:val="000000"/>
          <w:sz w:val="20"/>
        </w:rPr>
        <w:t>Government Investigation</w:t>
      </w:r>
    </w:p>
    <w:p>
      <w:pPr>
        <w:pStyle w:val="TextBody"/>
        <w:bidi w:val="0"/>
        <w:spacing w:before="280" w:after="283"/>
        <w:jc w:val="both"/>
        <w:rPr>
          <w:rFonts w:ascii="Times New Roman" w:hAnsi="Times New Roman"/>
          <w:sz w:val="20"/>
        </w:rPr>
      </w:pPr>
      <w:r>
        <w:rPr>
          <w:rFonts w:ascii="Arial" w:hAnsi="Arial"/>
          <w:color w:val="000000"/>
          <w:sz w:val="20"/>
        </w:rPr>
        <w:t>In November 2022, we received a Civil Investigative Demand from the Civil Division of the Department of Justice, or the Demand. The Demand sought documents and information relating to our relationship with WSU, certain of our grant applications in 2016 and 2019 with the NIH, and our receipt of an NIH grant in 2020. We have been cooperating with the Department of Justice with respect to the Demand</w:t>
      </w:r>
      <w:r>
        <w:rPr>
          <w:rFonts w:ascii="Arial" w:hAnsi="Arial"/>
          <w:b/>
          <w:color w:val="000000"/>
          <w:sz w:val="20"/>
        </w:rPr>
        <w:t>.</w:t>
      </w:r>
    </w:p>
    <w:p>
      <w:pPr>
        <w:pStyle w:val="TextBody"/>
        <w:bidi w:val="0"/>
        <w:spacing w:before="280" w:after="283"/>
        <w:jc w:val="both"/>
        <w:rPr>
          <w:rFonts w:ascii="Arial" w:hAnsi="Arial"/>
          <w:color w:val="000000"/>
          <w:sz w:val="20"/>
        </w:rPr>
      </w:pPr>
      <w:r>
        <w:rPr>
          <w:rFonts w:ascii="Arial" w:hAnsi="Arial"/>
          <w:color w:val="000000"/>
          <w:sz w:val="20"/>
        </w:rPr>
        <w:t>We recorded a legal expense of $4.1 million based on developments in the third quarter of 2024 and a corresponding accrued liability on the accompanying condensed consolidated balance sheets. Failure by us to obtain a favorable resolution could have a material adverse effect on our business, results of operations and financial condition.</w:t>
      </w:r>
    </w:p>
    <w:p>
      <w:pPr>
        <w:pStyle w:val="TextBody"/>
        <w:bidi w:val="0"/>
        <w:spacing w:before="28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28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b/>
          <w:color w:val="000000"/>
          <w:sz w:val="20"/>
        </w:rPr>
      </w:pPr>
      <w:r>
        <w:rPr>
          <w:rFonts w:ascii="Arial" w:hAnsi="Arial"/>
          <w:b/>
          <w:color w:val="000000"/>
          <w:sz w:val="20"/>
        </w:rPr>
        <w:t>Risks Relating to Our Business and the Development of Our Drug Candidates</w:t>
      </w:r>
    </w:p>
    <w:p>
      <w:pPr>
        <w:pStyle w:val="TextBody"/>
        <w:bidi w:val="0"/>
        <w:spacing w:before="240" w:after="283"/>
        <w:jc w:val="both"/>
        <w:rPr>
          <w:rFonts w:ascii="Arial" w:hAnsi="Arial"/>
          <w:b/>
          <w:i/>
          <w:color w:val="000000"/>
          <w:sz w:val="20"/>
        </w:rPr>
      </w:pPr>
      <w:r>
        <w:rPr>
          <w:rFonts w:ascii="Arial" w:hAnsi="Arial"/>
          <w:b/>
          <w:i/>
          <w:color w:val="000000"/>
          <w:sz w:val="20"/>
        </w:rPr>
        <w:t>We are a clinical-stage biopharmaceutical company with a limited operating history.</w:t>
      </w:r>
    </w:p>
    <w:p>
      <w:pPr>
        <w:pStyle w:val="TextBody"/>
        <w:bidi w:val="0"/>
        <w:spacing w:before="240" w:after="283"/>
        <w:jc w:val="both"/>
        <w:rPr>
          <w:rFonts w:ascii="Times New Roman" w:hAnsi="Times New Roman"/>
          <w:sz w:val="20"/>
        </w:rPr>
      </w:pPr>
      <w:r>
        <w:rPr>
          <w:rFonts w:ascii="Arial" w:hAnsi="Arial"/>
          <w:color w:val="000000"/>
          <w:sz w:val="20"/>
        </w:rPr>
        <w:t>We are a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currently focusing our efforts on the development of ATH-1105 and we may fail to or be unable to design and execute clinical trials to support marketing approval of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 which may also limit its commercial potential.</w:t>
      </w:r>
    </w:p>
    <w:p>
      <w:pPr>
        <w:pStyle w:val="TextBody"/>
        <w:bidi w:val="0"/>
        <w:spacing w:before="240" w:after="283"/>
        <w:jc w:val="both"/>
        <w:rPr>
          <w:rFonts w:ascii="Times New Roman" w:hAnsi="Times New Roman"/>
          <w:sz w:val="20"/>
        </w:rPr>
      </w:pPr>
      <w:r>
        <w:rPr>
          <w:rFonts w:ascii="Arial" w:hAnsi="Arial"/>
          <w:b/>
          <w:i/>
          <w:color w:val="000000"/>
          <w:sz w:val="20"/>
        </w:rPr>
        <w:t>Our approach to targeting neurotrophic factors through the use of small molecules is based on a novel therapeutic approach, which exposes us to unforeseen risks. We have limited data from preclinical studies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clinical trials to date, including for ATH-1105, and we cannot be certain that future trials will yield data in support of the safety, efficacy and tolerability of our drug candidates.</w:t>
      </w:r>
    </w:p>
    <w:p>
      <w:pPr>
        <w:pStyle w:val="TextBody"/>
        <w:bidi w:val="0"/>
        <w:spacing w:before="240" w:after="283"/>
        <w:jc w:val="both"/>
        <w:rPr>
          <w:rFonts w:ascii="Arial" w:hAnsi="Arial"/>
          <w:color w:val="000000"/>
          <w:sz w:val="20"/>
        </w:rPr>
      </w:pPr>
      <w:r>
        <w:rPr>
          <w:rFonts w:ascii="Arial" w:hAnsi="Arial"/>
          <w:color w:val="000000"/>
          <w:sz w:val="20"/>
        </w:rPr>
        <w:t>We have discovered and are developing a pipeline of small molecule drug candidates to treat neurodegenerative diseases, including ALS and AD.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pStyle w:val="TextBody"/>
        <w:bidi w:val="0"/>
        <w:spacing w:before="240" w:after="283"/>
        <w:jc w:val="both"/>
        <w:rPr>
          <w:rFonts w:ascii="Arial" w:hAnsi="Arial"/>
          <w:color w:val="000000"/>
          <w:sz w:val="20"/>
        </w:rPr>
      </w:pPr>
      <w:r>
        <w:rPr>
          <w:rFonts w:ascii="Arial" w:hAnsi="Arial"/>
          <w:color w:val="000000"/>
          <w:sz w:val="20"/>
        </w:rPr>
        <w:t>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pStyle w:val="TextBody"/>
        <w:bidi w:val="0"/>
        <w:spacing w:before="240" w:after="283"/>
        <w:jc w:val="both"/>
        <w:rPr>
          <w:rFonts w:ascii="Arial" w:hAnsi="Arial"/>
          <w:color w:val="000000"/>
          <w:sz w:val="20"/>
        </w:rPr>
      </w:pPr>
      <w:r>
        <w:rPr>
          <w:rFonts w:ascii="Arial" w:hAnsi="Arial"/>
          <w:color w:val="000000"/>
          <w:sz w:val="20"/>
        </w:rPr>
        <w:t>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 and to shift our focus to the clinical development of ATH-1105.</w:t>
      </w:r>
    </w:p>
    <w:p>
      <w:pPr>
        <w:pStyle w:val="TextBody"/>
        <w:bidi w:val="0"/>
        <w:spacing w:before="240" w:after="283"/>
        <w:jc w:val="both"/>
        <w:rPr>
          <w:rFonts w:ascii="Arial" w:hAnsi="Arial"/>
          <w:color w:val="000000"/>
          <w:sz w:val="20"/>
        </w:rPr>
      </w:pPr>
      <w:r>
        <w:rPr>
          <w:rFonts w:ascii="Arial" w:hAnsi="Arial"/>
          <w:color w:val="000000"/>
          <w:sz w:val="20"/>
        </w:rPr>
        <w:t>Following the readout of topline data from LIFT/AD, in September 2024 we announced our intention to focus on advancing the clinical development program for ATH-1105 as a potential treatment for ALS. We have yet to complete our first-in-human Phase 1 clinical trial in healthy volunteers evaluating the safety and tolerability of ATH-1105, which is under development.</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ATH-1105 and other small molecules in our drug product pipeline. We may ultimately determine that ATH-1105, or any of our other small molecules, does not possess certain properties required for therapeutic effectiveness. We may spend substantial funds attempting to develop these drug candidates and never succeed in doing so.</w:t>
      </w:r>
    </w:p>
    <w:p>
      <w:pPr>
        <w:pStyle w:val="TextBody"/>
        <w:bidi w:val="0"/>
        <w:spacing w:before="240" w:after="283"/>
        <w:jc w:val="both"/>
        <w:rPr>
          <w:rFonts w:ascii="Arial" w:hAnsi="Arial"/>
          <w:b/>
          <w:i/>
          <w:color w:val="000000"/>
          <w:sz w:val="20"/>
        </w:rPr>
      </w:pPr>
      <w:r>
        <w:rPr>
          <w:rFonts w:ascii="Arial" w:hAnsi="Arial"/>
          <w:b/>
          <w:i/>
          <w:color w:val="000000"/>
          <w:sz w:val="20"/>
        </w:rPr>
        <w:t>Our development of ATH-1105 may never lead to a marketable product.</w:t>
      </w:r>
    </w:p>
    <w:p>
      <w:pPr>
        <w:pStyle w:val="TextBody"/>
        <w:bidi w:val="0"/>
        <w:spacing w:before="240" w:after="283"/>
        <w:jc w:val="both"/>
        <w:rPr>
          <w:rFonts w:ascii="Arial" w:hAnsi="Arial"/>
          <w:color w:val="000000"/>
          <w:sz w:val="20"/>
        </w:rPr>
      </w:pPr>
      <w:r>
        <w:rPr>
          <w:rFonts w:ascii="Arial" w:hAnsi="Arial"/>
          <w:color w:val="000000"/>
          <w:sz w:val="20"/>
        </w:rPr>
        <w:t>We are developing ATH-1105 as a small molecule aimed at restoring neuronal health. We have not received regulatory approval for ATH-1105 and cannot be certain that our approach will lead to the development of an approvable or marketable product, alone or in combination with other therapies.</w:t>
      </w:r>
    </w:p>
    <w:p>
      <w:pPr>
        <w:pStyle w:val="TextBody"/>
        <w:bidi w:val="0"/>
        <w:spacing w:before="240" w:after="283"/>
        <w:jc w:val="both"/>
        <w:rPr>
          <w:rFonts w:ascii="Arial" w:hAnsi="Arial"/>
          <w:color w:val="000000"/>
          <w:sz w:val="20"/>
        </w:rPr>
      </w:pPr>
      <w:r>
        <w:rPr>
          <w:rFonts w:ascii="Arial" w:hAnsi="Arial"/>
          <w:color w:val="000000"/>
          <w:sz w:val="20"/>
        </w:rPr>
        <w:t>Advancing ATH-1105 as a small molecule aimed at restoring neuronal health creates significant challenges for us,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ATH-1105 is approved, educating medical personnel regarding the potential efficacy and safety benefits, as well as the challenges, of incorporating ATH-1105 into existing treatment regimens, including in combination with other treatments for ALS and AD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prospects are highly dependent on the successful development of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neurodegenerative diseases, including ALS and AD. Like fosgonimeton, ATH-1105 is a small molecule designed to positively modulate the HGF system. Although we are encouraged about the potential for ATH-1105 based on preclinical data, we may decide to discontinue development of some or all of our product candidates, including if we do not demonstrate the safety and efficacy of ATH-1105 in current and future clinical trials, and may pursue strategic alternatives to maximize stockholder value, which could involve, without limitation, exploring the potential for a possible merger, business combination, investment, a purchase, license or other acquisition of assets or return of capital to stockholders.</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or any other drug candidates we may seek to develop.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or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arrangements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Times New Roman" w:hAnsi="Times New Roman"/>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Arial" w:hAnsi="Arial"/>
          <w:color w:val="000000"/>
          <w:sz w:val="20"/>
        </w:rPr>
      </w:pPr>
      <w:r>
        <w:rPr>
          <w:rFonts w:ascii="Arial" w:hAnsi="Arial"/>
          <w:color w:val="000000"/>
          <w:sz w:val="20"/>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240" w:after="283"/>
        <w:jc w:val="both"/>
        <w:rPr>
          <w:rFonts w:ascii="Times New Roman" w:hAnsi="Times New Roman"/>
          <w:sz w:val="20"/>
        </w:rPr>
      </w:pPr>
      <w:r>
        <w:rPr>
          <w:rFonts w:ascii="Arial" w:hAnsi="Arial"/>
          <w:b/>
          <w:i/>
          <w:color w:val="000000"/>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283"/>
        <w:jc w:val="both"/>
        <w:rPr>
          <w:rFonts w:ascii="Arial" w:hAnsi="Arial"/>
          <w:b/>
          <w:i/>
          <w:color w:val="000000"/>
          <w:sz w:val="20"/>
        </w:rPr>
      </w:pPr>
      <w:r>
        <w:rPr>
          <w:rFonts w:ascii="Arial" w:hAnsi="Arial"/>
          <w:b/>
          <w:i/>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240" w:after="283"/>
        <w:jc w:val="both"/>
        <w:rPr>
          <w:rFonts w:ascii="Arial" w:hAnsi="Arial"/>
          <w:color w:val="000000"/>
          <w:sz w:val="20"/>
        </w:rPr>
      </w:pPr>
      <w:r>
        <w:rPr>
          <w:rFonts w:ascii="Arial" w:hAnsi="Arial"/>
          <w:color w:val="000000"/>
          <w:sz w:val="20"/>
        </w:rPr>
        <w:t>Our lead drug candidate, ATH-1105, is currently in clinical development for the potential treatment of ALS, and we have additional drug candidates in development. It is impossible to predict when or if any of our drug candidates will prove to be effective and safe in humans or will receive regulatory approval.</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our drug candidates, we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in our fosgonimeton Phase 1a/b clinical trial, which enrolled 88 patients,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subsequent Phase 2 ACT-AD clinical trial in AD did not meet its primary endpoint of a change in ERP P300 latency for the full study population nor did it meet the secondary endpoints, and our Phase 2/3 LIFT-AD clinical trial in AD did not meet its primary endpoint (the GST, a combination of results from measures of cognition (ADAS-Cog11) and function (ADCS-ADL23)) nor its key secondary endpoints of ADAS-Cog11 and ADCS-ADL23. Based on these results, we decided to pause further development of fosgonimeton and to shift our focus to the clinical development of ATH-1105.</w:t>
      </w:r>
    </w:p>
    <w:p>
      <w:pPr>
        <w:pStyle w:val="TextBody"/>
        <w:bidi w:val="0"/>
        <w:spacing w:before="240" w:after="283"/>
        <w:jc w:val="both"/>
        <w:rPr>
          <w:rFonts w:ascii="Arial" w:hAnsi="Arial"/>
          <w:color w:val="000000"/>
          <w:sz w:val="20"/>
        </w:rPr>
      </w:pPr>
      <w:r>
        <w:rPr>
          <w:rFonts w:ascii="Arial" w:hAnsi="Arial"/>
          <w:color w:val="000000"/>
          <w:sz w:val="20"/>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pStyle w:val="TextBody"/>
        <w:bidi w:val="0"/>
        <w:spacing w:before="240" w:after="283"/>
        <w:jc w:val="both"/>
        <w:rPr>
          <w:rFonts w:ascii="Arial" w:hAnsi="Arial"/>
          <w:color w:val="000000"/>
          <w:sz w:val="20"/>
        </w:rPr>
      </w:pPr>
      <w:r>
        <w:rPr>
          <w:rFonts w:ascii="Arial" w:hAnsi="Arial"/>
          <w:color w:val="000000"/>
          <w:sz w:val="20"/>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pStyle w:val="TextBody"/>
        <w:bidi w:val="0"/>
        <w:spacing w:before="240" w:after="283"/>
        <w:jc w:val="both"/>
        <w:rPr>
          <w:rFonts w:ascii="Arial" w:hAnsi="Arial"/>
          <w:color w:val="000000"/>
          <w:sz w:val="20"/>
        </w:rPr>
      </w:pPr>
      <w:r>
        <w:rPr>
          <w:rFonts w:ascii="Arial" w:hAnsi="Arial"/>
          <w:color w:val="000000"/>
          <w:sz w:val="20"/>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the drug candidate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240" w:after="283"/>
        <w:jc w:val="both"/>
        <w:rPr>
          <w:rFonts w:ascii="Arial" w:hAnsi="Arial"/>
          <w:b/>
          <w:i/>
          <w:color w:val="000000"/>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240" w:after="283"/>
        <w:jc w:val="both"/>
        <w:rPr>
          <w:rFonts w:ascii="Times New Roman" w:hAnsi="Times New Roman"/>
          <w:sz w:val="20"/>
        </w:rPr>
      </w:pPr>
      <w:r>
        <w:rPr>
          <w:rFonts w:ascii="Arial" w:hAnsi="Arial"/>
          <w:color w:val="000000"/>
          <w:sz w:val="20"/>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royalty arrangements in cases in which it would have been more advantageous for us to retain sole development and commercialization rights.</w:t>
      </w:r>
    </w:p>
    <w:p>
      <w:pPr>
        <w:pStyle w:val="TextBody"/>
        <w:bidi w:val="0"/>
        <w:spacing w:before="240" w:after="283"/>
        <w:jc w:val="both"/>
        <w:rPr>
          <w:rFonts w:ascii="Arial" w:hAnsi="Arial"/>
          <w:b/>
          <w:i/>
          <w:color w:val="000000"/>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p>
    <w:p>
      <w:pPr>
        <w:pStyle w:val="TextBody"/>
        <w:bidi w:val="0"/>
        <w:spacing w:before="240" w:after="283"/>
        <w:jc w:val="both"/>
        <w:rPr>
          <w:rFonts w:ascii="Arial" w:hAnsi="Arial"/>
          <w:color w:val="000000"/>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240" w:after="283"/>
        <w:jc w:val="both"/>
        <w:rPr>
          <w:rFonts w:ascii="Arial" w:hAnsi="Arial"/>
          <w:b/>
          <w:i/>
          <w:color w:val="000000"/>
          <w:sz w:val="20"/>
        </w:rPr>
      </w:pPr>
      <w:r>
        <w:rPr>
          <w:rFonts w:ascii="Arial" w:hAnsi="Arial"/>
          <w:b/>
          <w:i/>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240" w:after="283"/>
        <w:jc w:val="both"/>
        <w:rPr>
          <w:rFonts w:ascii="Arial" w:hAnsi="Arial"/>
          <w:color w:val="000000"/>
          <w:sz w:val="20"/>
        </w:rPr>
      </w:pPr>
      <w:r>
        <w:rPr>
          <w:rFonts w:ascii="Arial" w:hAnsi="Arial"/>
          <w:color w:val="000000"/>
          <w:sz w:val="20"/>
        </w:rPr>
        <w:t>We have been and may in the future be subject to claims, lawsuits, arbitration proceedings, government investigations, securities class action litigation and other legal, regulatory and administrative proceedings. For example, in November 2022, we received a Civil Investigative Demand from the Civil Division of the Department of Justice, or the Demand. The Demand sought documents and information relating to our relationship with WSU, certain of our grant applications in 2016 and 2019 with the NIH, and our receipt of a NIH grant in 2020. We have been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cooperated with the SEC with respect to the subpoena. On March 29, 2024, we received a letter from the SEC stating that the SEC had concluded its investigation without any enforcement action against us.</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Arial" w:hAnsi="Arial"/>
          <w:color w:val="000000"/>
          <w:sz w:val="20"/>
        </w:rPr>
      </w:pPr>
      <w:r>
        <w:rPr>
          <w:rFonts w:ascii="Arial" w:hAnsi="Arial"/>
          <w:color w:val="000000"/>
          <w:sz w:val="20"/>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both"/>
        <w:rPr>
          <w:rFonts w:ascii="Times New Roman" w:hAnsi="Times New Roman"/>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240" w:after="283"/>
        <w:jc w:val="both"/>
        <w:rPr>
          <w:rFonts w:ascii="Arial" w:hAnsi="Arial"/>
          <w:b/>
          <w:i/>
          <w:color w:val="000000"/>
          <w:sz w:val="20"/>
        </w:rPr>
      </w:pPr>
      <w:r>
        <w:rPr>
          <w:rFonts w:ascii="Arial" w:hAnsi="Arial"/>
          <w:b/>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p>
    <w:p>
      <w:pPr>
        <w:pStyle w:val="TextBody"/>
        <w:bidi w:val="0"/>
        <w:spacing w:before="240" w:after="283"/>
        <w:jc w:val="both"/>
        <w:rPr>
          <w:rFonts w:ascii="Times New Roman" w:hAnsi="Times New Roman"/>
          <w:sz w:val="20"/>
        </w:rPr>
      </w:pPr>
      <w:r>
        <w:rPr>
          <w:rFonts w:ascii="Arial" w:hAnsi="Arial"/>
          <w:color w:val="000000"/>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drug candidates or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pStyle w:val="TextBody"/>
        <w:bidi w:val="0"/>
        <w:spacing w:before="240" w:after="283"/>
        <w:jc w:val="both"/>
        <w:rPr>
          <w:rFonts w:ascii="Times New Roman" w:hAnsi="Times New Roman"/>
          <w:sz w:val="20"/>
        </w:rPr>
      </w:pPr>
      <w:r>
        <w:rPr>
          <w:rFonts w:ascii="Arial" w:hAnsi="Arial"/>
          <w:color w:val="000000"/>
          <w:sz w:val="20"/>
        </w:rPr>
        <w:t>As disclosed elsewhere in this report, including in this “Risk Factors” section under the heading “</w:t>
      </w:r>
      <w:r>
        <w:rPr>
          <w:rFonts w:ascii="Times New Roman" w:hAnsi="Times New Roman"/>
          <w:color w:val="000000"/>
          <w:sz w:val="20"/>
        </w:rPr>
        <w:t>—</w:t>
      </w:r>
      <w:r>
        <w:rPr>
          <w:rFonts w:ascii="Arial" w:hAnsi="Arial"/>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color w:val="000000"/>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pStyle w:val="TextBody"/>
        <w:bidi w:val="0"/>
        <w:spacing w:before="240" w:after="283"/>
        <w:jc w:val="both"/>
        <w:rPr>
          <w:rFonts w:ascii="Arial" w:hAnsi="Arial"/>
          <w:b/>
          <w:i/>
          <w:color w:val="000000"/>
          <w:sz w:val="20"/>
        </w:rPr>
      </w:pPr>
      <w:r>
        <w:rPr>
          <w:rFonts w:ascii="Arial" w:hAnsi="Arial"/>
          <w:b/>
          <w:i/>
          <w:color w:val="000000"/>
          <w:sz w:val="20"/>
        </w:rPr>
        <w:t>WSU has undertaken a review of claims of potential research misconduct involving our former chief executive officer’s doctoral research at WSU. We cannot predict what conclusions WSU will reach, whether or when WSU will share its conclusions with us or the public, and what effect, if any, this investigation may have on our business and reputation.</w:t>
      </w:r>
    </w:p>
    <w:p>
      <w:pPr>
        <w:pStyle w:val="TextBody"/>
        <w:bidi w:val="0"/>
        <w:spacing w:before="240" w:after="283"/>
        <w:jc w:val="both"/>
        <w:rPr>
          <w:rFonts w:ascii="Times New Roman" w:hAnsi="Times New Roman"/>
          <w:sz w:val="20"/>
        </w:rPr>
      </w:pPr>
      <w:r>
        <w:rPr>
          <w:rFonts w:ascii="Arial" w:hAnsi="Arial"/>
          <w:color w:val="000000"/>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cannot predict what, if any, effect this investigation may have on our business and reputation. It is possible that the investigation by WSU could come to different conclusions, or uncover additional or different information, than the investigation of the independent special committee of our board of directors, the conclusions of which are discussed under “—</w:t>
      </w:r>
      <w:r>
        <w:rPr>
          <w:rFonts w:ascii="Arial" w:hAnsi="Arial"/>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dihexa patent, exclusively licensed to us, incorporated certain of these altered images</w:t>
      </w:r>
      <w:r>
        <w:rPr>
          <w:rFonts w:ascii="Times New Roman" w:hAnsi="Times New Roman"/>
          <w:color w:val="000000"/>
          <w:sz w:val="20"/>
        </w:rPr>
        <w:t>”</w:t>
      </w:r>
      <w:r>
        <w:rPr>
          <w:rFonts w:ascii="Arial" w:hAnsi="Arial"/>
          <w:color w:val="000000"/>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pStyle w:val="TextBody"/>
        <w:bidi w:val="0"/>
        <w:spacing w:before="24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pStyle w:val="TextBody"/>
        <w:bidi w:val="0"/>
        <w:spacing w:before="240" w:after="283"/>
        <w:jc w:val="both"/>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projected timeline for announcing our topline data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ATH-1105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Times New Roman" w:hAnsi="Times New Roman"/>
          <w:sz w:val="20"/>
        </w:rPr>
      </w:pPr>
      <w:r>
        <w:rPr>
          <w:rFonts w:ascii="Arial" w:hAnsi="Arial"/>
          <w:color w:val="000000"/>
          <w:sz w:val="20"/>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For example, the U.S. Centers for Medicare &amp; Medicaid Services, or CMS, announced a two-part National Coverage Determination, or NCD, under which Medicare will cover monoclonal antibodies that target amyloid (or plaque) for the treatment of AD that receive traditional approval from the FDA under coverage with evidence development. Additionally, for drugs that FDA has not determined to have shown a clinical benefit or that received an accelerated approval, Medicare will provide coverage in FDA or NIH approved clinical trials. In June 2023, CMS announced that Medicare will cover new AD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10-K filed with the SEC on February 22,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develop drug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occurrence of any of these risks could result in our own drug products, if approved, being removed from the market or being less successful commercially.</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 ATH-1105,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pStyle w:val="TextBody"/>
        <w:bidi w:val="0"/>
        <w:spacing w:before="240" w:after="283"/>
        <w:jc w:val="both"/>
        <w:rPr>
          <w:rFonts w:ascii="Arial" w:hAnsi="Arial"/>
          <w:b/>
          <w:color w:val="000000"/>
          <w:sz w:val="20"/>
        </w:rPr>
      </w:pPr>
      <w:r>
        <w:rPr>
          <w:rFonts w:ascii="Arial" w:hAnsi="Arial"/>
          <w:b/>
          <w:color w:val="000000"/>
          <w:sz w:val="20"/>
        </w:rPr>
        <w:t>Risks Relating to Our Financial Position and Capital Needs</w:t>
      </w:r>
    </w:p>
    <w:p>
      <w:pPr>
        <w:pStyle w:val="TextBody"/>
        <w:bidi w:val="0"/>
        <w:spacing w:before="240" w:after="283"/>
        <w:jc w:val="both"/>
        <w:rPr>
          <w:rFonts w:ascii="Arial" w:hAnsi="Arial"/>
          <w:b/>
          <w:i/>
          <w:color w:val="000000"/>
          <w:sz w:val="20"/>
        </w:rPr>
      </w:pPr>
      <w:r>
        <w:rPr>
          <w:rFonts w:ascii="Arial" w:hAnsi="Arial"/>
          <w:b/>
          <w:i/>
          <w:color w:val="000000"/>
          <w:sz w:val="20"/>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pStyle w:val="TextBody"/>
        <w:bidi w:val="0"/>
        <w:spacing w:before="240" w:after="283"/>
        <w:jc w:val="both"/>
        <w:rPr>
          <w:rFonts w:ascii="Times New Roman" w:hAnsi="Times New Roman"/>
          <w:sz w:val="20"/>
        </w:rPr>
      </w:pPr>
      <w:r>
        <w:rPr>
          <w:rFonts w:ascii="Arial" w:hAnsi="Arial"/>
          <w:color w:val="000000"/>
          <w:sz w:val="20"/>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Developing ATH-1105 and conducting clinical trials for the potential treatment of ALS and/or AD, and any other indications that we may pursue in the future will require substantial amounts of capital. In addition, if we obtain marketing approval for ATH-1105 or any future drug candidates, we expect to incur significant commercialization expenses related to sales, marketing, manufacturing, and distribution. Furthermore, we expect to continue to incur additional costs associated with operating as a public company</w:t>
      </w:r>
      <w:r>
        <w:rPr>
          <w:rFonts w:ascii="Arial" w:hAnsi="Arial"/>
          <w:color w:val="212529"/>
          <w:sz w:val="20"/>
        </w:rPr>
        <w:t>.</w:t>
      </w:r>
      <w:r>
        <w:rPr>
          <w:rFonts w:ascii="Times New Roman" w:hAnsi="Times New Roman"/>
          <w:color w:val="212529"/>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Accordingly, we will need to obtain substantial additional funding in connection with our continuing operations. As of September 30, 2024, we had cash, cash equivalents and investments of $68.9 million.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ATH-1105 and other clinical trials, including for potential additional indications that we may pursue beyond ALS, such as AD;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and EMA to accept ATH-1105 clinical trial data, as well as data from any completed and planned clinical and nonclinical studies and other work, as the basis for review and approval of ATH-1105 for ALS and the potential need for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outcome, costs and timing of seeking and obtaining FDA, EMA and any other regulatory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Arial" w:hAnsi="Arial"/>
          <w:color w:val="000000"/>
          <w:sz w:val="20"/>
        </w:rPr>
      </w:pPr>
      <w:r>
        <w:rPr>
          <w:rFonts w:ascii="Arial" w:hAnsi="Arial"/>
          <w:color w:val="000000"/>
          <w:sz w:val="20"/>
        </w:rPr>
        <w:t>Because we have undertaken a process to assess strategic alternatives, the timing of which is uncertain, our future capital requirements may vary significantly from what we expect. If a strategic transaction is not consummated, we will require substantial additional funding to support our continuing operations and development. In addition, even if we are successful in completing a strategic transaction, we may still need to raise additional funds for any research and development or clinical programs we choose to pursue. 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pStyle w:val="TextBody"/>
        <w:bidi w:val="0"/>
        <w:spacing w:before="240" w:after="283"/>
        <w:jc w:val="both"/>
        <w:rPr>
          <w:rFonts w:ascii="Times New Roman" w:hAnsi="Times New Roman"/>
          <w:sz w:val="20"/>
        </w:rPr>
      </w:pPr>
      <w:r>
        <w:rPr>
          <w:rFonts w:ascii="Arial" w:hAnsi="Arial"/>
          <w:color w:val="000000"/>
          <w:sz w:val="20"/>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pStyle w:val="TextBody"/>
        <w:bidi w:val="0"/>
        <w:spacing w:before="24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24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$81.9 million and $90.4 million for the nine months ended September 30, 2024 and 2023</w:t>
      </w:r>
      <w:r>
        <w:rPr>
          <w:rFonts w:ascii="Arial" w:hAnsi="Arial"/>
          <w:color w:val="212529"/>
          <w:sz w:val="20"/>
        </w:rPr>
        <w:t>, respectively, and an accumulated deficit of $391.1 million as of September 30, 2024.</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operating losses for the foreseeable future, including as a result of the following actions that we may take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expenses in connection with legal proceedings, and addressing potential stockholder activism.</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experience any delays or encounter issues with any of the above, are required by the FDA, the European Medicines Agency, or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24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240" w:after="283"/>
        <w:jc w:val="both"/>
        <w:rPr>
          <w:rFonts w:ascii="Arial" w:hAnsi="Arial"/>
          <w:color w:val="000000"/>
          <w:sz w:val="20"/>
        </w:rPr>
      </w:pPr>
      <w:r>
        <w:rPr>
          <w:rFonts w:ascii="Arial" w:hAnsi="Arial"/>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termination of cash management arrangements or delays in accessing or actual loss of funds subject to cash management arrangements.</w:t>
      </w:r>
    </w:p>
    <w:p>
      <w:pPr>
        <w:pStyle w:val="TextBody"/>
        <w:bidi w:val="0"/>
        <w:spacing w:before="240" w:after="283"/>
        <w:jc w:val="both"/>
        <w:rPr>
          <w:rFonts w:ascii="Times New Roman" w:hAnsi="Times New Roman"/>
          <w:sz w:val="20"/>
        </w:rPr>
      </w:pPr>
      <w:r>
        <w:rPr>
          <w:rFonts w:ascii="Arial" w:hAnsi="Arial"/>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24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240" w:after="283"/>
        <w:jc w:val="both"/>
        <w:rPr>
          <w:rFonts w:ascii="Times New Roman" w:hAnsi="Times New Roman"/>
          <w:sz w:val="20"/>
        </w:rPr>
      </w:pPr>
      <w:r>
        <w:rPr>
          <w:rFonts w:ascii="Arial" w:hAnsi="Arial"/>
          <w:b/>
          <w:i/>
          <w:color w:val="212529"/>
          <w:sz w:val="20"/>
        </w:rPr>
        <w:t xml:space="preserve">Our ability to use net operating </w:t>
      </w:r>
      <w:r>
        <w:rPr>
          <w:rFonts w:ascii="Arial" w:hAnsi="Arial"/>
          <w:b/>
          <w:i/>
          <w:color w:val="000000"/>
          <w:sz w:val="20"/>
        </w:rPr>
        <w:t>losses</w:t>
      </w:r>
      <w:r>
        <w:rPr>
          <w:rFonts w:ascii="Times New Roman" w:hAnsi="Times New Roman"/>
          <w:color w:val="212529"/>
          <w:sz w:val="20"/>
        </w:rPr>
        <w:t xml:space="preserve"> </w:t>
      </w:r>
      <w:r>
        <w:rPr>
          <w:rFonts w:ascii="Arial" w:hAnsi="Arial"/>
          <w:b/>
          <w:i/>
          <w:color w:val="212529"/>
          <w:sz w:val="20"/>
        </w:rPr>
        <w:t>to offset future taxable income may be subject to certain limitations.</w:t>
      </w:r>
      <w:r>
        <w:rPr>
          <w:rFonts w:ascii="Times New Roman" w:hAnsi="Times New Roman"/>
          <w:color w:val="212529"/>
          <w:sz w:val="20"/>
        </w:rPr>
        <w:t xml:space="preserve"> </w:t>
      </w:r>
    </w:p>
    <w:p>
      <w:pPr>
        <w:pStyle w:val="TextBody"/>
        <w:bidi w:val="0"/>
        <w:spacing w:before="240" w:after="283"/>
        <w:jc w:val="both"/>
        <w:rPr>
          <w:rFonts w:ascii="Arial" w:hAnsi="Arial"/>
          <w:color w:val="212529"/>
          <w:sz w:val="20"/>
        </w:rPr>
      </w:pPr>
      <w:r>
        <w:rPr>
          <w:rFonts w:ascii="Arial" w:hAnsi="Arial"/>
          <w:color w:val="212529"/>
          <w:sz w:val="20"/>
        </w:rPr>
        <w:t>As of December 31, 2023, we had federal net operating loss carryforwards, or NOLs, to offset future taxable income of approximately $9.5 million and federal tax credit carryforwards of approximately $12.4 million, which expire over a period of 8 to 14 years. Federal NOLs of $138.7 million generated after the 2017 tax year will carry forward indefinitely and will be subject to the 80% of taxable income limitation. At December 31, 2023, we also had state NOLs of $3.3 million, which expire over a period of 18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240" w:after="283"/>
        <w:jc w:val="both"/>
        <w:rPr>
          <w:rFonts w:ascii="Arial" w:hAnsi="Arial"/>
          <w:b/>
          <w:i/>
          <w:color w:val="212529"/>
          <w:sz w:val="20"/>
        </w:rPr>
      </w:pPr>
      <w:r>
        <w:rPr>
          <w:rFonts w:ascii="Arial" w:hAnsi="Arial"/>
          <w:b/>
          <w:i/>
          <w:color w:val="212529"/>
          <w:sz w:val="20"/>
        </w:rPr>
        <w:t>Changes in tax laws could have a material adverse effect on our business, cash flows, results of operations or financial condition.</w:t>
      </w:r>
    </w:p>
    <w:p>
      <w:pPr>
        <w:pStyle w:val="TextBody"/>
        <w:bidi w:val="0"/>
        <w:spacing w:before="240" w:after="283"/>
        <w:jc w:val="both"/>
        <w:rPr>
          <w:rFonts w:ascii="Times New Roman" w:hAnsi="Times New Roman"/>
          <w:sz w:val="20"/>
        </w:rPr>
      </w:pPr>
      <w:r>
        <w:rPr>
          <w:rFonts w:ascii="Arial" w:hAnsi="Arial"/>
          <w:color w:val="212529"/>
          <w:sz w:val="20"/>
        </w:rPr>
        <w:t xml:space="preserve">We </w:t>
      </w:r>
      <w:r>
        <w:rPr>
          <w:rFonts w:ascii="Arial" w:hAnsi="Arial"/>
          <w:color w:val="000000"/>
          <w:sz w:val="20"/>
        </w:rPr>
        <w:t>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hAnsi="Arial"/>
          <w:color w:val="212529"/>
          <w:sz w:val="20"/>
        </w:rPr>
        <w:t>.</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Relating to Strategic Process and Potential Strategic Transaction</w:t>
      </w:r>
    </w:p>
    <w:p>
      <w:pPr>
        <w:pStyle w:val="TextBody"/>
        <w:bidi w:val="0"/>
        <w:spacing w:before="240" w:after="283"/>
        <w:jc w:val="both"/>
        <w:rPr>
          <w:rFonts w:ascii="Arial" w:hAnsi="Arial"/>
          <w:b/>
          <w:i/>
          <w:color w:val="000000"/>
          <w:sz w:val="20"/>
        </w:rPr>
      </w:pPr>
      <w:r>
        <w:rPr>
          <w:rFonts w:ascii="Arial" w:hAnsi="Arial"/>
          <w:b/>
          <w:i/>
          <w:color w:val="000000"/>
          <w:sz w:val="20"/>
        </w:rPr>
        <w:t>We may not be successful in identifying and implementing any strategic transaction and any strategic transactions that we may consummate in the future may not be successful.</w:t>
      </w:r>
    </w:p>
    <w:p>
      <w:pPr>
        <w:pStyle w:val="TextBody"/>
        <w:bidi w:val="0"/>
        <w:spacing w:before="240" w:after="283"/>
        <w:jc w:val="both"/>
        <w:rPr>
          <w:rFonts w:ascii="Arial" w:hAnsi="Arial"/>
          <w:color w:val="000000"/>
          <w:sz w:val="20"/>
        </w:rPr>
      </w:pPr>
      <w:r>
        <w:rPr>
          <w:rFonts w:ascii="Arial" w:hAnsi="Arial"/>
          <w:color w:val="000000"/>
          <w:sz w:val="20"/>
        </w:rPr>
        <w:t>Following our receipt of the topline results of LIFT-AD, we made the determination to explore strategic alternatives focused on maximizing stockholder value. As part of this process, we will explore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However, there can be no assurance that we will be able to successfully consummate any particular strategic transaction. The process of continuing to evaluate these strategic options may be very costly, time-consuming and complex and we may incur significant costs related to this continued evaluation.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potential cash distributions to our stockholders. In addition, we may not be able to adequately limit or avoid future liabilities, including future costs relating to the lease on our headquarters, which may impair the value of any potential transaction or present additional challenges to completing a strategic transaction.</w:t>
      </w:r>
    </w:p>
    <w:p>
      <w:pPr>
        <w:pStyle w:val="TextBody"/>
        <w:bidi w:val="0"/>
        <w:spacing w:before="240" w:after="283"/>
        <w:jc w:val="both"/>
        <w:rPr>
          <w:rFonts w:ascii="Arial" w:hAnsi="Arial"/>
          <w:color w:val="000000"/>
          <w:sz w:val="20"/>
        </w:rPr>
      </w:pPr>
      <w:r>
        <w:rPr>
          <w:rFonts w:ascii="Arial" w:hAnsi="Arial"/>
          <w:color w:val="000000"/>
          <w:sz w:val="20"/>
        </w:rPr>
        <w:t>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reduce or delay any future distributions to our stockholders.</w:t>
      </w:r>
    </w:p>
    <w:p>
      <w:pPr>
        <w:pStyle w:val="TextBody"/>
        <w:bidi w:val="0"/>
        <w:spacing w:before="240" w:after="283"/>
        <w:jc w:val="both"/>
        <w:rPr>
          <w:rFonts w:ascii="Arial" w:hAnsi="Arial"/>
          <w:b/>
          <w:i/>
          <w:color w:val="000000"/>
          <w:sz w:val="20"/>
        </w:rPr>
      </w:pPr>
      <w:r>
        <w:rPr>
          <w:rFonts w:ascii="Arial" w:hAnsi="Arial"/>
          <w:b/>
          <w:i/>
          <w:color w:val="000000"/>
          <w:sz w:val="20"/>
        </w:rPr>
        <w:t>We may not realize any additional value in a strategic transaction.</w:t>
      </w:r>
    </w:p>
    <w:p>
      <w:pPr>
        <w:pStyle w:val="TextBody"/>
        <w:bidi w:val="0"/>
        <w:spacing w:before="240" w:after="283"/>
        <w:jc w:val="both"/>
        <w:rPr>
          <w:rFonts w:ascii="Arial" w:hAnsi="Arial"/>
          <w:color w:val="000000"/>
          <w:sz w:val="20"/>
        </w:rPr>
      </w:pPr>
      <w:r>
        <w:rPr>
          <w:rFonts w:ascii="Arial" w:hAnsi="Arial"/>
          <w:color w:val="000000"/>
          <w:sz w:val="20"/>
        </w:rPr>
        <w:t>The market capitalization of our company is currently below the value of our current cash, cash equivalents and short-term investments. Potential counterparties in a strategic transaction involving our company may place minimal or no value on our assets, including ATH-1105. Further, the development and any potential commercialization of our product candidates would require substantial additional cash to fund the costs associated with conducting the necessary preclinical and clinical testing and obtaining regulatory approval. Consequently, any potential counterparty in a strategic transaction involving our company may choose not to spend the additional resources necessary to continue developing our product candidates and may attribute little or no value, in such a transaction, to those product candidates.</w:t>
      </w:r>
    </w:p>
    <w:p>
      <w:pPr>
        <w:pStyle w:val="TextBody"/>
        <w:bidi w:val="0"/>
        <w:spacing w:before="240" w:after="283"/>
        <w:jc w:val="both"/>
        <w:rPr>
          <w:rFonts w:ascii="Arial" w:hAnsi="Arial"/>
          <w:b/>
          <w:i/>
          <w:color w:val="000000"/>
          <w:sz w:val="20"/>
        </w:rPr>
      </w:pPr>
      <w:r>
        <w:rPr>
          <w:rFonts w:ascii="Arial" w:hAnsi="Arial"/>
          <w:b/>
          <w:i/>
          <w:color w:val="000000"/>
          <w:sz w:val="20"/>
        </w:rPr>
        <w:t>If we are successful in completing a strategic transaction, we may be exposed to other operational and financial risks.</w:t>
      </w:r>
    </w:p>
    <w:p>
      <w:pPr>
        <w:pStyle w:val="TextBody"/>
        <w:bidi w:val="0"/>
        <w:spacing w:before="240" w:after="283"/>
        <w:jc w:val="both"/>
        <w:rPr>
          <w:rFonts w:ascii="Arial" w:hAnsi="Arial"/>
          <w:color w:val="000000"/>
          <w:sz w:val="20"/>
        </w:rPr>
      </w:pPr>
      <w:r>
        <w:rPr>
          <w:rFonts w:ascii="Arial" w:hAnsi="Arial"/>
          <w:color w:val="000000"/>
          <w:sz w:val="20"/>
        </w:rPr>
        <w:t>Although there can be no assurance that a strategic transaction will result from the process we have undertaken to assess strategic alternatives, the negotiation and consummation of any such transaction will require significant time on the part of our management, and the diversion of management’s attention may disrupt the orderly operation of our company. The negotiation and consummation of any such transaction may also require more time or greater cash resources than we anticipate and expose us to other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near-term and long-term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higher than expected acquisition, disposition or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incurrence of substantial debt or dilutive issuances of equity securities to fund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write-downs of assets or incurrence of non-recurring, impairment or other charges;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difficulty and cost in combining the operations and personnel of any acquired business with our operations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impairment of relationships with key suppliers or customers of any acquired business due to changes in management and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inability to retain key employees of our company or any acquired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possibility of future litigation.</w:t>
      </w:r>
    </w:p>
    <w:p>
      <w:pPr>
        <w:pStyle w:val="TextBody"/>
        <w:bidi w:val="0"/>
        <w:spacing w:before="240" w:after="283"/>
        <w:jc w:val="both"/>
        <w:rPr>
          <w:rFonts w:ascii="Arial" w:hAnsi="Arial"/>
          <w:color w:val="000000"/>
          <w:sz w:val="20"/>
        </w:rPr>
      </w:pPr>
      <w:r>
        <w:rPr>
          <w:rFonts w:ascii="Arial" w:hAnsi="Arial"/>
          <w:color w:val="000000"/>
          <w:sz w:val="20"/>
        </w:rPr>
        <w:t>Any of the foregoing risks could have a material adverse effect on our business, financial condition and prospects.</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240" w:after="283"/>
        <w:jc w:val="both"/>
        <w:rPr>
          <w:rFonts w:ascii="Arial" w:hAnsi="Arial"/>
          <w:color w:val="000000"/>
          <w:sz w:val="20"/>
        </w:rPr>
      </w:pPr>
      <w:r>
        <w:rPr>
          <w:rFonts w:ascii="Arial" w:hAnsi="Arial"/>
          <w:color w:val="000000"/>
          <w:sz w:val="20"/>
        </w:rPr>
        <w:t>There can be no assurance that a strategic transaction will be pursued or completed, and, whether or not such strategic transaction is completed, our board of directors may decide to pursue a dissolution and liquidation of our company.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before="240" w:after="283"/>
        <w:jc w:val="both"/>
        <w:rPr>
          <w:rFonts w:ascii="Arial" w:hAnsi="Arial"/>
          <w:b/>
          <w:color w:val="000000"/>
          <w:sz w:val="20"/>
        </w:rPr>
      </w:pPr>
      <w:r>
        <w:rPr>
          <w:rFonts w:ascii="Arial" w:hAnsi="Arial"/>
          <w:b/>
          <w:color w:val="000000"/>
          <w:sz w:val="20"/>
        </w:rPr>
        <w:t>Risks Relating to Regulatory Approval and Other Legal Compliance Matters</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Arial" w:hAnsi="Arial"/>
          <w:color w:val="000000"/>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 but may still impact the success of our clinical trials, including, for example, by interfering with the effects of our drug candidates.</w:t>
      </w:r>
    </w:p>
    <w:p>
      <w:pPr>
        <w:pStyle w:val="TextBody"/>
        <w:bidi w:val="0"/>
        <w:spacing w:before="240" w:after="283"/>
        <w:jc w:val="both"/>
        <w:rPr>
          <w:rFonts w:ascii="Times New Roman" w:hAnsi="Times New Roman"/>
          <w:sz w:val="20"/>
        </w:rPr>
      </w:pPr>
      <w:r>
        <w:rPr>
          <w:rFonts w:ascii="Arial" w:hAnsi="Arial"/>
          <w:color w:val="000000"/>
          <w:sz w:val="20"/>
        </w:rPr>
        <w:t>The inclusion of elderly patients in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24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Disruptions at the FDA, the SEC and other government agencies caused by the outcome of the 2024 presidential election, funding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the outcome of the 2024 presidential election, changes in the administration,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the outcome of the 2024 presidential election, changes in the administration,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and our clinical development programs.</w:t>
      </w:r>
    </w:p>
    <w:p>
      <w:pPr>
        <w:pStyle w:val="TextBody"/>
        <w:bidi w:val="0"/>
        <w:spacing w:before="24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both"/>
        <w:rPr>
          <w:rFonts w:ascii="Times New Roman" w:hAnsi="Times New Roman"/>
          <w:sz w:val="20"/>
        </w:rPr>
      </w:pPr>
      <w:r>
        <w:rPr>
          <w:rFonts w:ascii="Arial" w:hAnsi="Arial"/>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judicial challenges in view of the Supreme Court’s overruling of the </w:t>
      </w:r>
      <w:r>
        <w:rPr>
          <w:rFonts w:ascii="Arial" w:hAnsi="Arial"/>
          <w:i/>
          <w:color w:val="000000"/>
          <w:sz w:val="20"/>
        </w:rPr>
        <w:t>Chevron</w:t>
      </w:r>
      <w:r>
        <w:rPr>
          <w:rFonts w:ascii="Times New Roman" w:hAnsi="Times New Roman"/>
          <w:color w:val="000000"/>
          <w:sz w:val="20"/>
        </w:rPr>
        <w:t xml:space="preserve"> </w:t>
      </w:r>
      <w:r>
        <w:rPr>
          <w:rFonts w:ascii="Arial" w:hAnsi="Arial"/>
          <w:color w:val="000000"/>
          <w:sz w:val="20"/>
        </w:rPr>
        <w:t>doctrine,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Arial" w:hAnsi="Arial"/>
          <w:color w:val="000000"/>
          <w:sz w:val="20"/>
        </w:rPr>
      </w:pPr>
      <w:r>
        <w:rPr>
          <w:rFonts w:ascii="Arial" w:hAnsi="Arial"/>
          <w:color w:val="000000"/>
          <w:sz w:val="20"/>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Times New Roman" w:hAnsi="Times New Roman"/>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federal Health Insurance Portability and Accountability Act of 1996, or HIPAA, which created new federal criminal statutes that prohibit knowingly and willfully executing, or attempting to execute, a scheme to defraud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283"/>
        <w:jc w:val="both"/>
        <w:rPr>
          <w:rFonts w:ascii="Arial" w:hAnsi="Arial"/>
          <w:b/>
          <w:color w:val="000000"/>
          <w:sz w:val="20"/>
        </w:rPr>
      </w:pPr>
      <w:r>
        <w:rPr>
          <w:rFonts w:ascii="Arial" w:hAnsi="Arial"/>
          <w:b/>
          <w:color w:val="000000"/>
          <w:sz w:val="20"/>
        </w:rPr>
        <w:t>Risks Relating to Our Reliance on Third Parties</w:t>
      </w:r>
    </w:p>
    <w:p>
      <w:pPr>
        <w:pStyle w:val="TextBody"/>
        <w:bidi w:val="0"/>
        <w:spacing w:before="24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40" w:after="283"/>
        <w:jc w:val="both"/>
        <w:rPr>
          <w:rFonts w:ascii="Arial" w:hAnsi="Arial"/>
          <w:color w:val="000000"/>
          <w:sz w:val="20"/>
        </w:rPr>
      </w:pPr>
      <w:r>
        <w:rPr>
          <w:rFonts w:ascii="Arial" w:hAnsi="Arial"/>
          <w:color w:val="000000"/>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both"/>
        <w:rPr>
          <w:rFonts w:ascii="Arial" w:hAnsi="Arial"/>
          <w:b/>
          <w:i/>
          <w:color w:val="000000"/>
          <w:sz w:val="20"/>
        </w:rPr>
      </w:pPr>
      <w:r>
        <w:rPr>
          <w:rFonts w:ascii="Arial" w:hAnsi="Arial"/>
          <w:b/>
          <w:i/>
          <w:color w:val="000000"/>
          <w:sz w:val="20"/>
        </w:rPr>
        <w:t>We may use strategic collaborations, licensing arrangements or partnerships to accelerate the development and maximize the commercial potential of our programs, and we may not realize the benefits of such collaborations, arrangements or partnerships.</w:t>
      </w:r>
    </w:p>
    <w:p>
      <w:pPr>
        <w:pStyle w:val="TextBody"/>
        <w:bidi w:val="0"/>
        <w:spacing w:before="240" w:after="283"/>
        <w:jc w:val="both"/>
        <w:rPr>
          <w:rFonts w:ascii="Arial" w:hAnsi="Arial"/>
          <w:color w:val="000000"/>
          <w:sz w:val="20"/>
        </w:rPr>
      </w:pPr>
      <w:r>
        <w:rPr>
          <w:rFonts w:ascii="Arial" w:hAnsi="Arial"/>
          <w:color w:val="000000"/>
          <w:sz w:val="20"/>
        </w:rPr>
        <w:t>We own or in-license worldwide intellectual property rights to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Times New Roman" w:hAnsi="Times New Roman"/>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 In addition, the effects to our business and reputation discussed in “—</w:t>
      </w:r>
      <w:r>
        <w:rPr>
          <w:rFonts w:ascii="Arial" w:hAnsi="Arial"/>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r>
        <w:rPr>
          <w:rFonts w:ascii="Arial" w:hAnsi="Arial"/>
          <w:color w:val="000000"/>
          <w:sz w:val="20"/>
        </w:rPr>
        <w:t>,” may discourage potential counterparties from entering into relationships with us.</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24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283"/>
        <w:jc w:val="both"/>
        <w:rPr>
          <w:rFonts w:ascii="Arial" w:hAnsi="Arial"/>
          <w:b/>
          <w:i/>
          <w:color w:val="000000"/>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pStyle w:val="TextBody"/>
        <w:bidi w:val="0"/>
        <w:spacing w:before="24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Times New Roman" w:hAnsi="Times New Roman"/>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legislative proposals have been passed in the House of Representatives and been referred to the Senate that would limit the extension of certain specific types of government contracts or renewals, loans, or grants, to companies that may do business with select Chinese biotechnology equipment or service providers. If enacted, such legislation will preclude certain U.S. biotechnology companies from using equipment or services produced or provided by those Chinese biotechnology companies when performing on the specified types of agreements with the U.S. government. Further,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or may cause significant industry-wide supply delays or capacity limitations that could materially disrupt our operations, supply chain, and ability to produce, sell and distribute our drug candidates. 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 In addition, we cannot predict what products and services may be subject to such actions or what actions may be taken by the other countries in retaliation, any of which may materially and adversely affect our business, financial condition, results of operations, and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24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240" w:after="283"/>
        <w:jc w:val="both"/>
        <w:rPr>
          <w:rFonts w:ascii="Times New Roman" w:hAnsi="Times New Roman"/>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both"/>
        <w:rPr>
          <w:rFonts w:ascii="Arial" w:hAnsi="Arial"/>
          <w:b/>
          <w:color w:val="000000"/>
          <w:sz w:val="20"/>
        </w:rPr>
      </w:pPr>
      <w:r>
        <w:rPr>
          <w:rFonts w:ascii="Arial" w:hAnsi="Arial"/>
          <w:b/>
          <w:color w:val="000000"/>
          <w:sz w:val="20"/>
        </w:rPr>
        <w:t>Risks Relating to Our Ability to Commercialize our Drug Products</w:t>
      </w:r>
    </w:p>
    <w:p>
      <w:pPr>
        <w:pStyle w:val="TextBody"/>
        <w:bidi w:val="0"/>
        <w:spacing w:before="24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24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240" w:after="283"/>
        <w:jc w:val="both"/>
        <w:rPr>
          <w:rFonts w:ascii="Arial" w:hAnsi="Arial"/>
          <w:color w:val="000000"/>
          <w:sz w:val="20"/>
        </w:rPr>
      </w:pPr>
      <w:r>
        <w:rPr>
          <w:rFonts w:ascii="Arial" w:hAnsi="Arial"/>
          <w:color w:val="000000"/>
          <w:sz w:val="20"/>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212529"/>
          <w:sz w:val="20"/>
        </w:rPr>
      </w:pPr>
      <w:r>
        <w:rPr>
          <w:rFonts w:ascii="Arial" w:hAnsi="Arial"/>
          <w:color w:val="212529"/>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Times New Roman" w:hAnsi="Times New Roman"/>
          <w:sz w:val="20"/>
        </w:rPr>
      </w:pPr>
      <w:r>
        <w:rPr>
          <w:rFonts w:ascii="Arial" w:hAnsi="Arial"/>
          <w:color w:val="212529"/>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hAnsi="Arial"/>
          <w:color w:val="000000"/>
          <w:sz w:val="20"/>
        </w:rPr>
        <w:t>.</w:t>
      </w:r>
    </w:p>
    <w:p>
      <w:pPr>
        <w:pStyle w:val="TextBody"/>
        <w:bidi w:val="0"/>
        <w:spacing w:before="24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TextBody"/>
        <w:bidi w:val="0"/>
        <w:spacing w:before="240" w:after="283"/>
        <w:jc w:val="both"/>
        <w:rPr>
          <w:rFonts w:ascii="Arial" w:hAnsi="Arial"/>
          <w:b/>
          <w:color w:val="000000"/>
          <w:sz w:val="20"/>
        </w:rPr>
      </w:pPr>
      <w:r>
        <w:rPr>
          <w:rFonts w:ascii="Arial" w:hAnsi="Arial"/>
          <w:b/>
          <w:color w:val="000000"/>
          <w:sz w:val="20"/>
        </w:rPr>
        <w:t>Risks Relating to Our Intellectual Property</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terms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Arial" w:hAnsi="Arial"/>
          <w:color w:val="000000"/>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hAnsi="Arial"/>
          <w:i/>
          <w:color w:val="000000"/>
          <w:sz w:val="20"/>
        </w:rPr>
        <w:t xml:space="preserve">inter partes </w:t>
      </w:r>
      <w:r>
        <w:rPr>
          <w:rFonts w:ascii="Arial" w:hAnsi="Arial"/>
          <w:color w:val="000000"/>
          <w:sz w:val="20"/>
        </w:rPr>
        <w:t>review, or IPR, or other similar proceedings challenging our patent rights. An adverse determination in any such submission, proceeding or litigation could reduce the scope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in view of the lawsuits disclosed elsewhere in this report including in this “Risk Factors” section under the heading “</w:t>
      </w:r>
      <w:r>
        <w:rPr>
          <w:rFonts w:ascii="Times New Roman" w:hAnsi="Times New Roman"/>
          <w:color w:val="000000"/>
          <w:sz w:val="20"/>
        </w:rPr>
        <w:t>—</w:t>
      </w:r>
      <w:r>
        <w:rPr>
          <w:rFonts w:ascii="Arial" w:hAnsi="Arial"/>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color w:val="000000"/>
          <w:sz w:val="20"/>
        </w:rPr>
        <w:t>,” and in “Part II, Item 1—Legal Proceedings,” third parties may challenge the validity or enforceability of our in-licensed patents and patent applications. The outcome following legal assertions of invalidity and unenforceability is unpredictable. Such challenges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may result in loss of patent rights, loss of exclusivity or in patent claims being narrowed, invalidated or held unenforceable, which could limit our ability to stop others from using or commercializing similar technology and drug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our small molecule drug candidates,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240" w:after="283"/>
        <w:jc w:val="both"/>
        <w:rPr>
          <w:rFonts w:ascii="Arial" w:hAnsi="Arial"/>
          <w:color w:val="000000"/>
          <w:sz w:val="20"/>
        </w:rPr>
      </w:pPr>
      <w:r>
        <w:rPr>
          <w:rFonts w:ascii="Arial" w:hAnsi="Arial"/>
          <w:color w:val="000000"/>
          <w:sz w:val="20"/>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supplemental 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bidi w:val="0"/>
        <w:spacing w:before="240" w:after="283"/>
        <w:jc w:val="both"/>
        <w:rPr>
          <w:rFonts w:ascii="Arial" w:hAnsi="Arial"/>
          <w:color w:val="000000"/>
          <w:sz w:val="20"/>
        </w:rPr>
      </w:pPr>
      <w:r>
        <w:rPr>
          <w:rFonts w:ascii="Arial" w:hAnsi="Arial"/>
          <w:color w:val="000000"/>
          <w:sz w:val="20"/>
        </w:rPr>
        <w:t>ATH-1105, our small molecule drug candidate currently in development for the potential treatment of ALS, is not covered by the WSU license agreement.</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Arial" w:hAnsi="Arial"/>
          <w:color w:val="000000"/>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bidi w:val="0"/>
        <w:spacing w:before="240" w:after="283"/>
        <w:jc w:val="both"/>
        <w:rPr>
          <w:rFonts w:ascii="Times New Roman" w:hAnsi="Times New Roman"/>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24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24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24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Arial" w:hAnsi="Arial"/>
          <w:color w:val="000000"/>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successful in defending against such claims, litigation could result in substantial costs and distraction to management and other employees.</w:t>
      </w:r>
    </w:p>
    <w:p>
      <w:pPr>
        <w:pStyle w:val="TextBody"/>
        <w:bidi w:val="0"/>
        <w:spacing w:before="24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24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24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Times New Roman" w:hAnsi="Times New Roman"/>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Arial" w:hAnsi="Arial"/>
          <w:color w:val="000000"/>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24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products identical to ours.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24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entered an exclusive license agreement with WSU for certain licensed patents that include intellectual property that was generated through the use of U.S. government funding, and we received a grant from the NIA of the NIH to support our ACT-AD clinical trial. Pursuant to the Bayh-Dole Act of 1980, or the Bayh-Dole Act, the U.S. government may have 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Act requirements were delayed for the patent family directed to methods of treating AD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Relating to Cybersecurity</w:t>
      </w:r>
    </w:p>
    <w:p>
      <w:pPr>
        <w:pStyle w:val="TextBody"/>
        <w:bidi w:val="0"/>
        <w:spacing w:before="24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discussed in the section titled "Part 1, Item 1.C—Cybersecurity," in our Annual Report on Form 10-K filed with the SEC on February 22, 2024,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Arial" w:hAnsi="Arial"/>
          <w:color w:val="000000"/>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283"/>
        <w:jc w:val="both"/>
        <w:rPr>
          <w:rFonts w:ascii="Arial" w:hAnsi="Arial"/>
          <w:b/>
          <w:color w:val="000000"/>
          <w:sz w:val="20"/>
        </w:rPr>
      </w:pPr>
      <w:r>
        <w:rPr>
          <w:rFonts w:ascii="Arial" w:hAnsi="Arial"/>
          <w:b/>
          <w:color w:val="000000"/>
          <w:sz w:val="20"/>
        </w:rPr>
        <w:t>Risks Relating to Ownership of Our Common Stock</w:t>
      </w:r>
    </w:p>
    <w:p>
      <w:pPr>
        <w:pStyle w:val="TextBody"/>
        <w:bidi w:val="0"/>
        <w:spacing w:before="240" w:after="283"/>
        <w:jc w:val="both"/>
        <w:rPr>
          <w:rFonts w:ascii="Times New Roman" w:hAnsi="Times New Roman"/>
          <w:sz w:val="20"/>
        </w:rPr>
      </w:pPr>
      <w:r>
        <w:rPr>
          <w:rFonts w:ascii="Arial" w:hAnsi="Arial"/>
          <w:b/>
          <w:i/>
          <w:color w:val="000000"/>
          <w:sz w:val="20"/>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in the past and we may in the future fail to comply with the Nasdaq listing rules, including, the minimum $1.00 per share closing bid price requirement, the minimum $50.0 million market value of listed securities requirement, and the minimum $15.0 million market value of publicly held shares requirement. From September 4, 2024 to November [5], 2024, our common stock has had a closing bid price below the minimum $1.00 requirement and the market value of our listed securities has been below the minimum $50 million requirement. We received a deficiency notice from Nasdaq with respect to the closing bid price requirement on October 16, 2024. If our common stock ceases to be listed for trading on the Nasdaq</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for failure to comply with the minimum $1.00 per share closing bid price requirement, the $50 million market value of listed securities requirement, or for any other reason, it may harm our stock price, increase the volatility of our stock price, decrease the level of trading activity and make it more difficult for investors to buy or sell shares of our common stock. If we are not listed on the Nasdaq, our ability to raise capital will be adversely impacted. Trading in our common stock may also be halted or suspended in the future on the Nasdaq due to market or trading conditions at the discretion of the Nasdaq. Any halt or suspension in the trading in our common stock may negatively impact the market price of our common stock.</w:t>
      </w:r>
    </w:p>
    <w:p>
      <w:pPr>
        <w:pStyle w:val="TextBody"/>
        <w:bidi w:val="0"/>
        <w:spacing w:before="24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including in connection with our workforce reduction announced in September 2024;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status of ongoing litigation and government investigations and potential commencement of additional litigation or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results of an investigation into our former CEO, Leen Kawas, by WSU;</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 including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“Part II, Item 1A—Risk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and certain of our directors and executive officers have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described elsewhere in this report in “Part II, Item 1—Legal Proceedings,” we and certain of our executive officers and directors were named as defendants in a class action lawsuit that generally alleged that we and certain of our officers and directors violated Sections 10(b) and 20(a) of the Exchange Act and Rule 10b-5 promulgated thereunder and Sections 11, 12, and 15 of the Securities Act by making allegedly false or misleading statements and omitting material adverse facts regarding our business. Certain of our executive officers and directors were also named as defendants in derivative actions, which were based on similar allegations, and generally alleged that defendants breached their fiduciary duties to us, among other things. We were named as a nominal defendant in these derivative proceedings. These complaints sought unspecified compensatory and punitive damages, and reasonable costs and expenses, including attorneys’ fees, and other relief. Although we have insurance, it provides for a substantial retention of liability and is subject to limitations and may not cover a significant portion, or any, of the expenses or liabilities we may incur or be subject to in connection with any class action lawsuit or other litigation to which we become party. Moreover, any conclusion of such matters in a manner adverse to us and for which we incur substantial costs or damages not covered by our directors’ and officers’ liability insurance would have a material adverse effect on our financial condition and business. In addition, such litigation would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24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24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may interfere with any efforts that we undertake in the future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283"/>
        <w:jc w:val="left"/>
        <w:rPr>
          <w:rFonts w:ascii="Arial" w:hAnsi="Arial"/>
          <w:color w:val="000000"/>
          <w:sz w:val="20"/>
        </w:rPr>
      </w:pPr>
      <w:r>
        <w:rPr>
          <w:rFonts w:ascii="Arial" w:hAnsi="Arial"/>
          <w:color w:val="000000"/>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24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24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beneficially own a substantial amount of our outstanding common stock as of September 30, 2024.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240" w:after="283"/>
        <w:jc w:val="both"/>
        <w:rPr>
          <w:rFonts w:ascii="Arial" w:hAnsi="Arial"/>
          <w:b/>
          <w:color w:val="000000"/>
          <w:sz w:val="20"/>
        </w:rPr>
      </w:pPr>
      <w:r>
        <w:rPr>
          <w:rFonts w:ascii="Arial" w:hAnsi="Arial"/>
          <w:b/>
          <w:color w:val="000000"/>
          <w:sz w:val="20"/>
        </w:rPr>
        <w:t>General Risk Factors</w:t>
      </w:r>
    </w:p>
    <w:p>
      <w:pPr>
        <w:pStyle w:val="TextBody"/>
        <w:bidi w:val="0"/>
        <w:spacing w:before="240" w:after="283"/>
        <w:jc w:val="both"/>
        <w:rPr>
          <w:rFonts w:ascii="Arial" w:hAnsi="Arial"/>
          <w:b/>
          <w:i/>
          <w:color w:val="212529"/>
          <w:sz w:val="20"/>
        </w:rPr>
      </w:pPr>
      <w:r>
        <w:rPr>
          <w:rFonts w:ascii="Arial" w:hAnsi="Arial"/>
          <w:b/>
          <w:i/>
          <w:color w:val="212529"/>
          <w:sz w:val="20"/>
        </w:rPr>
        <w:t>We may fail to achieve the expected cost savings and related benefits from our reduction in workforce initiated in September 2024.</w:t>
      </w:r>
    </w:p>
    <w:p>
      <w:pPr>
        <w:pStyle w:val="TextBody"/>
        <w:bidi w:val="0"/>
        <w:spacing w:before="240" w:after="283"/>
        <w:jc w:val="both"/>
        <w:rPr>
          <w:rFonts w:ascii="Arial" w:hAnsi="Arial"/>
          <w:color w:val="000000"/>
          <w:sz w:val="20"/>
        </w:rPr>
      </w:pPr>
      <w:r>
        <w:rPr>
          <w:rFonts w:ascii="Arial" w:hAnsi="Arial"/>
          <w:color w:val="000000"/>
          <w:sz w:val="20"/>
        </w:rPr>
        <w:t>In September 2024, we committed to a workforce reduction that is expected to result in the termination of approximately 70% of our workforce, or the Restructuring. We took this step to decrease our costs, extend our cash runway, and create a more streamlined organization to support our strategic priorities, including the continued development of ATH-1105.</w:t>
      </w:r>
    </w:p>
    <w:p>
      <w:pPr>
        <w:pStyle w:val="TextBody"/>
        <w:bidi w:val="0"/>
        <w:spacing w:before="240" w:after="283"/>
        <w:jc w:val="both"/>
        <w:rPr>
          <w:rFonts w:ascii="Arial" w:hAnsi="Arial"/>
          <w:color w:val="000000"/>
          <w:sz w:val="20"/>
        </w:rPr>
      </w:pPr>
      <w:r>
        <w:rPr>
          <w:rFonts w:ascii="Arial" w:hAnsi="Arial"/>
          <w:color w:val="000000"/>
          <w:sz w:val="20"/>
        </w:rPr>
        <w:t>We may fail to effectively execute on, or achieve the stated goals of, the reduction in workforce. Our plans may also change to the extent we continue to refocus on our key priorities. These actions may take more time than we currently estimate and we may not be able to achieve the cost-efficiencies sought.</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24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283"/>
        <w:jc w:val="both"/>
        <w:rPr>
          <w:rFonts w:ascii="Arial" w:hAnsi="Arial"/>
          <w:color w:val="000000"/>
          <w:sz w:val="20"/>
        </w:rPr>
      </w:pPr>
      <w:r>
        <w:rPr>
          <w:rFonts w:ascii="Arial" w:hAnsi="Arial"/>
          <w:color w:val="000000"/>
          <w:sz w:val="20"/>
        </w:rPr>
        <w:t>In addition, the Restructuring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pStyle w:val="TextBody"/>
        <w:bidi w:val="0"/>
        <w:spacing w:before="24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24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240" w:after="283"/>
        <w:jc w:val="both"/>
        <w:rPr>
          <w:rFonts w:ascii="Arial" w:hAnsi="Arial"/>
          <w:color w:val="000000"/>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jc w:val="both"/>
        <w:rPr/>
      </w:pPr>
      <w:r>
        <w:rPr/>
        <w:t> </w:t>
      </w:r>
    </w:p>
    <w:p>
      <w:pPr>
        <w:pStyle w:val="TextBody"/>
        <w:bidi w:val="0"/>
        <w:spacing w:before="240" w:after="283"/>
        <w:jc w:val="both"/>
        <w:rPr>
          <w:rFonts w:ascii="Times New Roman" w:hAnsi="Times New Roman"/>
          <w:sz w:val="20"/>
        </w:rPr>
      </w:pPr>
      <w:r>
        <w:rPr>
          <w:rFonts w:ascii="Arial" w:hAnsi="Arial"/>
          <w:color w:val="000000"/>
          <w:sz w:val="20"/>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240" w:after="283"/>
        <w:jc w:val="both"/>
        <w:rPr>
          <w:rFonts w:ascii="Times New Roman" w:hAnsi="Times New Roman"/>
          <w:sz w:val="20"/>
        </w:rPr>
      </w:pPr>
      <w:r>
        <w:rPr>
          <w:rFonts w:ascii="Arial" w:hAnsi="Arial"/>
          <w:b/>
          <w:i/>
          <w:color w:val="000000"/>
          <w:sz w:val="20"/>
        </w:rPr>
        <w:t>Attention to ESG (environmental, social and governance) matters may cause us to incur additional costs or expose us to additional risks.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80" w:after="283"/>
        <w:jc w:val="both"/>
        <w:rPr>
          <w:rFonts w:ascii="Arial" w:hAnsi="Arial"/>
          <w:b/>
          <w:color w:val="000000"/>
          <w:sz w:val="20"/>
        </w:rPr>
      </w:pPr>
      <w:bookmarkStart w:id="16" w:name="item_2_unregistered_sales_equity_securit"/>
      <w:bookmarkEnd w:id="16"/>
      <w:r>
        <w:rPr>
          <w:rFonts w:ascii="Arial" w:hAnsi="Arial"/>
          <w:b/>
          <w:color w:val="000000"/>
          <w:sz w:val="20"/>
        </w:rPr>
        <w:t>Item 2. Unregistered Sales of Equity Securities and Use of Proceeds.</w:t>
      </w:r>
    </w:p>
    <w:p>
      <w:pPr>
        <w:pStyle w:val="TextBody"/>
        <w:bidi w:val="0"/>
        <w:spacing w:before="28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280" w:after="283"/>
        <w:jc w:val="both"/>
        <w:rPr>
          <w:rFonts w:ascii="Arial" w:hAnsi="Arial"/>
          <w:color w:val="000000"/>
          <w:sz w:val="20"/>
        </w:rPr>
      </w:pPr>
      <w:r>
        <w:rPr>
          <w:rFonts w:ascii="Arial" w:hAnsi="Arial"/>
          <w:color w:val="000000"/>
          <w:sz w:val="20"/>
        </w:rPr>
        <w:t>None.</w:t>
      </w:r>
    </w:p>
    <w:p>
      <w:pPr>
        <w:pStyle w:val="TextBody"/>
        <w:bidi w:val="0"/>
        <w:spacing w:before="28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9" w:name="item_5_or_information"/>
      <w:bookmarkEnd w:id="19"/>
      <w:r>
        <w:rPr>
          <w:rFonts w:ascii="Arial" w:hAnsi="Arial"/>
          <w:b/>
          <w:color w:val="000000"/>
          <w:sz w:val="20"/>
        </w:rPr>
        <w:t>Item 5. Other Information.</w:t>
      </w:r>
    </w:p>
    <w:p>
      <w:pPr>
        <w:pStyle w:val="TextBody"/>
        <w:bidi w:val="0"/>
        <w:spacing w:before="28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6047"/>
        <w:gridCol w:w="526"/>
        <w:gridCol w:w="728"/>
        <w:gridCol w:w="661"/>
        <w:gridCol w:w="1308"/>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89"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04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8"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308"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the Amended and Restated Certificate of Incorporation of the Company dated May 23,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18, 2022</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Employment Offer Letter between the Company and Robert Renninger.</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Change in Control Agreement between the Company and Robert Renninger.</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10.3</w:t>
            </w: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Separation Agreement and Release between Andrew Gengos and Athira Pharma, Inc. dated October 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October 7,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10.4</w:t>
            </w: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Separation Agreement and Release between Rachel Lenington and Athira Pharma, Inc. dated October 1,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October 7,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40" w:after="283"/>
        <w:jc w:val="both"/>
        <w:rPr>
          <w:rFonts w:ascii="Arial" w:hAnsi="Arial"/>
          <w:color w:val="000000"/>
          <w:sz w:val="16"/>
        </w:rPr>
      </w:pPr>
      <w:r>
        <w:rPr>
          <w:rFonts w:ascii="Arial" w:hAnsi="Arial"/>
          <w:color w:val="000000"/>
          <w:sz w:val="16"/>
        </w:rPr>
        <w:t>** Indicates a management contract or compensatory plan.</w:t>
      </w:r>
    </w:p>
    <w:p>
      <w:pPr>
        <w:pStyle w:val="TextBody"/>
        <w:bidi w:val="0"/>
        <w:spacing w:before="40" w:after="283"/>
        <w:jc w:val="both"/>
        <w:rPr>
          <w:rFonts w:ascii="Arial" w:hAnsi="Arial"/>
          <w:color w:val="000000"/>
          <w:sz w:val="16"/>
        </w:rPr>
      </w:pPr>
      <w:r>
        <w:rPr>
          <w:rFonts w:ascii="Arial" w:hAnsi="Arial"/>
          <w:color w:val="000000"/>
          <w:sz w:val="16"/>
        </w:rPr>
        <w:t> Certain portions of this exhibit have been omitted because they are not material and is the type of information that the Company treats as private or confidential.</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8977" w:type="dxa"/>
        <w:jc w:val="left"/>
        <w:tblInd w:w="0" w:type="dxa"/>
        <w:tblLayout w:type="fixed"/>
        <w:tblCellMar>
          <w:top w:w="28" w:type="dxa"/>
          <w:left w:w="28" w:type="dxa"/>
          <w:bottom w:w="28" w:type="dxa"/>
          <w:right w:w="28" w:type="dxa"/>
        </w:tblCellMar>
      </w:tblPr>
      <w:tblGrid>
        <w:gridCol w:w="2236"/>
        <w:gridCol w:w="109"/>
        <w:gridCol w:w="406"/>
        <w:gridCol w:w="6226"/>
      </w:tblGrid>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Athira Pharma, Inc.</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Robert Renninger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Robert Renninger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Vice President of Finance (</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bookmarkStart w:id="22" w:name="atha-ex31_1.htm"/>
      <w:bookmarkStart w:id="23" w:name="ksatha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Date: November 7, 2024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tha-ex31_2.htm"/>
      <w:bookmarkStart w:id="25" w:name="ksatha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Renninger,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Date: November 7, 2024</w:t>
      </w:r>
    </w:p>
    <w:tbl>
      <w:tblPr>
        <w:tblW w:w="4032" w:type="dxa"/>
        <w:jc w:val="left"/>
        <w:tblInd w:w="0" w:type="dxa"/>
        <w:tblLayout w:type="fixed"/>
        <w:tblCellMar>
          <w:top w:w="28" w:type="dxa"/>
          <w:left w:w="28" w:type="dxa"/>
          <w:bottom w:w="28" w:type="dxa"/>
          <w:right w:w="28" w:type="dxa"/>
        </w:tblCellMar>
      </w:tblPr>
      <w:tblGrid>
        <w:gridCol w:w="384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c>
          <w:tcPr>
            <w:tcW w:w="191" w:type="dxa"/>
            <w:tcBorders/>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Vice President of Finance</w:t>
            </w:r>
          </w:p>
        </w:tc>
        <w:tc>
          <w:tcPr>
            <w:tcW w:w="191" w:type="dxa"/>
            <w:tcBorders/>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tha-ex32_1.htm"/>
      <w:bookmarkStart w:id="27" w:name="ksatha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September 30, 2024,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Date: November 7, 2024</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tha-ex32_2.htm"/>
      <w:bookmarkStart w:id="29" w:name="ksatha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September 30, 2024, as filed with the Securities and Exchange Commission on the date hereof (the “Report”), I, Robert Renninger, Vice President of Finance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November 7, 2024</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r>
      <w:tr>
        <w:trPr/>
        <w:tc>
          <w:tcPr>
            <w:tcW w:w="388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r>
      <w:tr>
        <w:trPr/>
        <w:tc>
          <w:tcPr>
            <w:tcW w:w="388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Vice President of Finance</w:t>
            </w:r>
          </w:p>
        </w:tc>
      </w:tr>
      <w:tr>
        <w:trPr/>
        <w:tc>
          <w:tcPr>
            <w:tcW w:w="388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ix?doc=/Archives/edgar/data/1620463/000095017024065914/atha-20240523.htm" TargetMode="External"/><Relationship Id="rId5" Type="http://schemas.openxmlformats.org/officeDocument/2006/relationships/hyperlink" Target="https://www.sec.gov/Archives/edgar/data/1620463/000095017022025442/atha-ex3_1.htm" TargetMode="External"/><Relationship Id="rId6" Type="http://schemas.openxmlformats.org/officeDocument/2006/relationships/hyperlink" Target="https://www.sec.gov/ix?doc=/Archives/edgar/data/1620463/000095017024107031/atha-20240915.htm" TargetMode="External"/><Relationship Id="rId7" Type="http://schemas.openxmlformats.org/officeDocument/2006/relationships/hyperlink" Target="https://www.sec.gov/ix?doc=/Archives/edgar/data/1620463/000095017024107031/atha-20240915.htm" TargetMode="External"/><Relationship Id="rId8" Type="http://schemas.openxmlformats.org/officeDocument/2006/relationships/hyperlink" Target="https://www.sec.gov/ix?doc=/Archives/edgar/data/1620463/000095017024113210/atha-20241001.htm" TargetMode="External"/><Relationship Id="rId9" Type="http://schemas.openxmlformats.org/officeDocument/2006/relationships/hyperlink" Target="https://www.sec.gov/ix?doc=/Archives/edgar/data/1620463/000095017024113210/atha-202410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69512</Words>
  <Characters>388848</Characters>
  <CharactersWithSpaces>458308</CharactersWithSpaces>
  <Paragraphs>5789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