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659765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148590</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6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8-K/A</w:t>
      </w:r>
    </w:p>
    <w:p>
      <w:pPr>
        <w:spacing w:after="0" w:line="9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133985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8"/>
          <w:szCs w:val="38"/>
          <w:b w:val="1"/>
          <w:bCs w:val="1"/>
          <w:color w:val="auto"/>
        </w:rPr>
        <w:t>Athira Pharma, Inc.</w:t>
      </w:r>
    </w:p>
    <w:p>
      <w:pPr>
        <w:spacing w:after="0" w:line="7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680" w:type="dxa"/>
        <w:tblCellMar>
          <w:top w:w="0" w:type="dxa"/>
          <w:left w:w="0" w:type="dxa"/>
          <w:bottom w:w="0" w:type="dxa"/>
          <w:right w:w="0" w:type="dxa"/>
        </w:tblCellMar>
      </w:tblPr>
      <w:tr>
        <w:trPr>
          <w:trHeight w:val="208"/>
        </w:trPr>
        <w:tc>
          <w:tcPr>
            <w:tcW w:w="2360" w:type="dxa"/>
            <w:vAlign w:val="bottom"/>
          </w:tcPr>
          <w:p>
            <w:pPr>
              <w:jc w:val="center"/>
              <w:ind w:right="87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5260" w:type="dxa"/>
            <w:vAlign w:val="bottom"/>
          </w:tcPr>
          <w:p>
            <w:pPr>
              <w:ind w:left="220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2020" w:type="dxa"/>
            <w:vAlign w:val="bottom"/>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43"/>
        </w:trPr>
        <w:tc>
          <w:tcPr>
            <w:tcW w:w="2360" w:type="dxa"/>
            <w:vAlign w:val="bottom"/>
          </w:tcPr>
          <w:p>
            <w:pPr>
              <w:jc w:val="center"/>
              <w:ind w:right="872"/>
              <w:spacing w:after="0" w:line="143"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5260" w:type="dxa"/>
            <w:vAlign w:val="bottom"/>
          </w:tcPr>
          <w:p>
            <w:pPr>
              <w:ind w:left="2180"/>
              <w:spacing w:after="0" w:line="143"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020" w:type="dxa"/>
            <w:vAlign w:val="bottom"/>
          </w:tcPr>
          <w:p>
            <w:pPr>
              <w:jc w:val="center"/>
              <w:ind w:left="932"/>
              <w:spacing w:after="0" w:line="143"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360" w:type="dxa"/>
            <w:vAlign w:val="bottom"/>
          </w:tcPr>
          <w:p>
            <w:pPr>
              <w:jc w:val="center"/>
              <w:ind w:right="872"/>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5260" w:type="dxa"/>
            <w:vAlign w:val="bottom"/>
          </w:tcPr>
          <w:p>
            <w:pPr>
              <w:ind w:left="218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020" w:type="dxa"/>
            <w:vAlign w:val="bottom"/>
          </w:tcPr>
          <w:p>
            <w:pPr>
              <w:jc w:val="center"/>
              <w:ind w:left="95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46"/>
        </w:trPr>
        <w:tc>
          <w:tcPr>
            <w:tcW w:w="2360" w:type="dxa"/>
            <w:vAlign w:val="bottom"/>
          </w:tcPr>
          <w:p>
            <w:pPr>
              <w:spacing w:after="0"/>
              <w:rPr>
                <w:sz w:val="24"/>
                <w:szCs w:val="24"/>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2020" w:type="dxa"/>
            <w:vAlign w:val="bottom"/>
          </w:tcPr>
          <w:p>
            <w:pPr>
              <w:spacing w:after="0"/>
              <w:rPr>
                <w:sz w:val="24"/>
                <w:szCs w:val="24"/>
                <w:color w:val="auto"/>
              </w:rPr>
            </w:pPr>
          </w:p>
        </w:tc>
      </w:tr>
      <w:tr>
        <w:trPr>
          <w:trHeight w:val="186"/>
        </w:trPr>
        <w:tc>
          <w:tcPr>
            <w:tcW w:w="2360" w:type="dxa"/>
            <w:vAlign w:val="bottom"/>
          </w:tcPr>
          <w:p>
            <w:pPr>
              <w:spacing w:after="0"/>
              <w:rPr>
                <w:sz w:val="16"/>
                <w:szCs w:val="16"/>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Bothell, WA 98011</w:t>
            </w:r>
          </w:p>
        </w:tc>
        <w:tc>
          <w:tcPr>
            <w:tcW w:w="2020" w:type="dxa"/>
            <w:vAlign w:val="bottom"/>
          </w:tcPr>
          <w:p>
            <w:pPr>
              <w:spacing w:after="0"/>
              <w:rPr>
                <w:sz w:val="16"/>
                <w:szCs w:val="16"/>
                <w:color w:val="auto"/>
              </w:rPr>
            </w:pPr>
          </w:p>
        </w:tc>
      </w:tr>
      <w:tr>
        <w:trPr>
          <w:trHeight w:val="166"/>
        </w:trPr>
        <w:tc>
          <w:tcPr>
            <w:tcW w:w="2360" w:type="dxa"/>
            <w:vAlign w:val="bottom"/>
          </w:tcPr>
          <w:p>
            <w:pPr>
              <w:spacing w:after="0"/>
              <w:rPr>
                <w:sz w:val="14"/>
                <w:szCs w:val="14"/>
                <w:color w:val="auto"/>
              </w:rPr>
            </w:pPr>
          </w:p>
        </w:tc>
        <w:tc>
          <w:tcPr>
            <w:tcW w:w="52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2020" w:type="dxa"/>
            <w:vAlign w:val="bottom"/>
          </w:tcPr>
          <w:p>
            <w:pPr>
              <w:spacing w:after="0"/>
              <w:rPr>
                <w:sz w:val="14"/>
                <w:szCs w:val="14"/>
                <w:color w:val="auto"/>
              </w:rPr>
            </w:pPr>
          </w:p>
        </w:tc>
      </w:tr>
      <w:tr>
        <w:trPr>
          <w:trHeight w:val="259"/>
        </w:trPr>
        <w:tc>
          <w:tcPr>
            <w:tcW w:w="2360" w:type="dxa"/>
            <w:vAlign w:val="bottom"/>
          </w:tcPr>
          <w:p>
            <w:pPr>
              <w:spacing w:after="0"/>
              <w:rPr>
                <w:sz w:val="22"/>
                <w:szCs w:val="22"/>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2020" w:type="dxa"/>
            <w:vAlign w:val="bottom"/>
          </w:tcPr>
          <w:p>
            <w:pPr>
              <w:spacing w:after="0"/>
              <w:rPr>
                <w:sz w:val="22"/>
                <w:szCs w:val="22"/>
                <w:color w:val="auto"/>
              </w:rPr>
            </w:pPr>
          </w:p>
        </w:tc>
      </w:tr>
      <w:tr>
        <w:trPr>
          <w:trHeight w:val="166"/>
        </w:trPr>
        <w:tc>
          <w:tcPr>
            <w:tcW w:w="2360" w:type="dxa"/>
            <w:vAlign w:val="bottom"/>
          </w:tcPr>
          <w:p>
            <w:pPr>
              <w:spacing w:after="0"/>
              <w:rPr>
                <w:sz w:val="14"/>
                <w:szCs w:val="14"/>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20" w:type="dxa"/>
            <w:vAlign w:val="bottom"/>
          </w:tcPr>
          <w:p>
            <w:pPr>
              <w:spacing w:after="0"/>
              <w:rPr>
                <w:sz w:val="14"/>
                <w:szCs w:val="14"/>
                <w:color w:val="auto"/>
              </w:rPr>
            </w:pPr>
          </w:p>
        </w:tc>
      </w:tr>
      <w:tr>
        <w:trPr>
          <w:trHeight w:val="201"/>
        </w:trPr>
        <w:tc>
          <w:tcPr>
            <w:tcW w:w="2360" w:type="dxa"/>
            <w:vAlign w:val="bottom"/>
          </w:tcPr>
          <w:p>
            <w:pPr>
              <w:spacing w:after="0"/>
              <w:rPr>
                <w:sz w:val="17"/>
                <w:szCs w:val="17"/>
                <w:color w:val="auto"/>
              </w:rPr>
            </w:pPr>
          </w:p>
        </w:tc>
        <w:tc>
          <w:tcPr>
            <w:tcW w:w="52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2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208915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440" w:hanging="341"/>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1185" w:right="559" w:bottom="1440" w:gutter="0" w:footer="0" w:header="0"/>
        </w:sectPr>
      </w:pPr>
    </w:p>
    <w:p>
      <w:pPr>
        <w:spacing w:after="0" w:line="9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5" w:lineRule="exact"/>
        <w:rPr>
          <w:sz w:val="24"/>
          <w:szCs w:val="24"/>
          <w:color w:val="auto"/>
        </w:rPr>
      </w:pPr>
    </w:p>
    <w:p>
      <w:pPr>
        <w:sectPr>
          <w:pgSz w:w="11900" w:h="16838" w:orient="portrait"/>
          <w:cols w:equalWidth="0" w:num="3">
            <w:col w:w="4400" w:space="720"/>
            <w:col w:w="2280" w:space="720"/>
            <w:col w:w="2900"/>
          </w:cols>
          <w:pgMar w:left="320" w:top="1185" w:right="5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ATHA</w:t>
      </w:r>
    </w:p>
    <w:p>
      <w:pPr>
        <w:spacing w:after="0" w:line="20" w:lineRule="exact"/>
        <w:rPr>
          <w:sz w:val="24"/>
          <w:szCs w:val="24"/>
          <w:color w:val="auto"/>
        </w:rPr>
      </w:pPr>
      <w:r>
        <w:rPr>
          <w:sz w:val="24"/>
          <w:szCs w:val="24"/>
          <w:color w:val="auto"/>
        </w:rPr>
        <w:br w:type="column"/>
      </w:r>
    </w:p>
    <w:p>
      <w:pPr>
        <w:jc w:val="right"/>
        <w:ind w:right="860"/>
        <w:spacing w:after="0"/>
        <w:rPr>
          <w:sz w:val="20"/>
          <w:szCs w:val="20"/>
          <w:color w:val="auto"/>
        </w:rPr>
      </w:pPr>
      <w:r>
        <w:rPr>
          <w:rFonts w:ascii="Times New Roman" w:cs="Times New Roman" w:eastAsia="Times New Roman" w:hAnsi="Times New Roman"/>
          <w:sz w:val="14"/>
          <w:szCs w:val="14"/>
          <w:color w:val="auto"/>
        </w:rPr>
        <w:t>The Nasdaq Stock Market LLC</w:t>
      </w:r>
    </w:p>
    <w:p>
      <w:pPr>
        <w:jc w:val="right"/>
        <w:ind w:right="900"/>
        <w:spacing w:after="0"/>
        <w:rPr>
          <w:sz w:val="20"/>
          <w:szCs w:val="20"/>
          <w:color w:val="auto"/>
        </w:rPr>
      </w:pPr>
      <w:r>
        <w:rPr>
          <w:rFonts w:ascii="Times New Roman" w:cs="Times New Roman" w:eastAsia="Times New Roman" w:hAnsi="Times New Roman"/>
          <w:sz w:val="14"/>
          <w:szCs w:val="14"/>
          <w:color w:val="auto"/>
        </w:rPr>
        <w:t>(The Nasdaq Capital Market)</w:t>
      </w:r>
    </w:p>
    <w:p>
      <w:pPr>
        <w:spacing w:after="0" w:line="76" w:lineRule="exact"/>
        <w:rPr>
          <w:sz w:val="24"/>
          <w:szCs w:val="24"/>
          <w:color w:val="auto"/>
        </w:rPr>
      </w:pPr>
    </w:p>
    <w:p>
      <w:pPr>
        <w:sectPr>
          <w:pgSz w:w="11900" w:h="16838" w:orient="portrait"/>
          <w:cols w:equalWidth="0" w:num="3">
            <w:col w:w="4720" w:space="720"/>
            <w:col w:w="2220" w:space="720"/>
            <w:col w:w="2640"/>
          </w:cols>
          <w:pgMar w:left="320" w:top="1185" w:right="559" w:bottom="1440" w:gutter="0" w:footer="0" w:header="0"/>
          <w:type w:val="continuous"/>
        </w:sectPr>
      </w:pPr>
    </w:p>
    <w:p>
      <w:pPr>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40"/>
        <w:spacing w:after="0" w:line="184"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highlight w:val="black"/>
        </w:rPr>
        <w:t>☒</w:t>
      </w:r>
    </w:p>
    <w:p>
      <w:pPr>
        <w:spacing w:after="0" w:line="311" w:lineRule="exact"/>
        <w:rPr>
          <w:sz w:val="24"/>
          <w:szCs w:val="24"/>
          <w:color w:val="auto"/>
        </w:rPr>
      </w:pPr>
    </w:p>
    <w:p>
      <w:pPr>
        <w:ind w:left="40"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706755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020"/>
          </w:cols>
          <w:pgMar w:left="320" w:top="1185"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63" w:lineRule="exact"/>
        <w:rPr>
          <w:sz w:val="20"/>
          <w:szCs w:val="20"/>
          <w:color w:val="auto"/>
        </w:rPr>
      </w:pPr>
    </w:p>
    <w:p>
      <w:pPr>
        <w:jc w:val="both"/>
        <w:ind w:right="500"/>
        <w:spacing w:after="0" w:line="206" w:lineRule="exact"/>
        <w:rPr>
          <w:sz w:val="20"/>
          <w:szCs w:val="20"/>
          <w:color w:val="auto"/>
        </w:rPr>
      </w:pPr>
      <w:r>
        <w:rPr>
          <w:rFonts w:ascii="Times New Roman" w:cs="Times New Roman" w:eastAsia="Times New Roman" w:hAnsi="Times New Roman"/>
          <w:sz w:val="15"/>
          <w:szCs w:val="15"/>
          <w:color w:val="auto"/>
        </w:rPr>
        <w:t>This Amendment No. 1 on Form 8</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K/A (this “</w:t>
      </w:r>
      <w:r>
        <w:rPr>
          <w:rFonts w:ascii="Times New Roman" w:cs="Times New Roman" w:eastAsia="Times New Roman" w:hAnsi="Times New Roman"/>
          <w:sz w:val="15"/>
          <w:szCs w:val="15"/>
          <w:b w:val="1"/>
          <w:bCs w:val="1"/>
          <w:color w:val="auto"/>
        </w:rPr>
        <w:t>Amendment</w:t>
      </w:r>
      <w:r>
        <w:rPr>
          <w:rFonts w:ascii="Times New Roman" w:cs="Times New Roman" w:eastAsia="Times New Roman" w:hAnsi="Times New Roman"/>
          <w:sz w:val="15"/>
          <w:szCs w:val="15"/>
          <w:color w:val="auto"/>
        </w:rPr>
        <w:t>”) amends the Current Report on Form 8</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 of Athira Pharma, Inc. filed on December 18, 2025 (the “</w:t>
      </w:r>
      <w:r>
        <w:rPr>
          <w:rFonts w:ascii="Times New Roman" w:cs="Times New Roman" w:eastAsia="Times New Roman" w:hAnsi="Times New Roman"/>
          <w:sz w:val="15"/>
          <w:szCs w:val="15"/>
          <w:b w:val="1"/>
          <w:bCs w:val="1"/>
          <w:color w:val="auto"/>
        </w:rPr>
        <w:t>Original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Report</w:t>
      </w:r>
      <w:r>
        <w:rPr>
          <w:rFonts w:ascii="Times New Roman" w:cs="Times New Roman" w:eastAsia="Times New Roman" w:hAnsi="Times New Roman"/>
          <w:sz w:val="15"/>
          <w:szCs w:val="15"/>
          <w:color w:val="auto"/>
        </w:rPr>
        <w:t>”). This Amendment is being filed for the sole purpose of including hyperlinks to the exhibits filed with the Original Report. The full text of the Original Report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repeated in this Amendment for convenience, but has not been modified from the text of the Original Report except solely to include the hyperlinks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Private Placement Financing</w:t>
      </w:r>
    </w:p>
    <w:p>
      <w:pPr>
        <w:spacing w:after="0" w:line="19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On December 18, 2025, Athira Pharma,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Athira</w:t>
      </w:r>
      <w:r>
        <w:rPr>
          <w:rFonts w:ascii="Times New Roman" w:cs="Times New Roman" w:eastAsia="Times New Roman" w:hAnsi="Times New Roman"/>
          <w:sz w:val="16"/>
          <w:szCs w:val="16"/>
          <w:color w:val="auto"/>
        </w:rPr>
        <w:t>”) entered into a securities purchase agreement (the “</w:t>
      </w:r>
      <w:r>
        <w:rPr>
          <w:rFonts w:ascii="Times New Roman" w:cs="Times New Roman" w:eastAsia="Times New Roman" w:hAnsi="Times New Roman"/>
          <w:sz w:val="16"/>
          <w:szCs w:val="16"/>
          <w:b w:val="1"/>
          <w:bCs w:val="1"/>
          <w:color w:val="auto"/>
        </w:rPr>
        <w:t>PIPE Securities Purchase Agreement</w:t>
      </w:r>
      <w:r>
        <w:rPr>
          <w:rFonts w:ascii="Times New Roman" w:cs="Times New Roman" w:eastAsia="Times New Roman" w:hAnsi="Times New Roman"/>
          <w:sz w:val="16"/>
          <w:szCs w:val="16"/>
          <w:color w:val="auto"/>
        </w:rPr>
        <w:t>”) with a select group of investors, including Commodore Capital LP (“</w:t>
      </w:r>
      <w:r>
        <w:rPr>
          <w:rFonts w:ascii="Times New Roman" w:cs="Times New Roman" w:eastAsia="Times New Roman" w:hAnsi="Times New Roman"/>
          <w:sz w:val="16"/>
          <w:szCs w:val="16"/>
          <w:b w:val="1"/>
          <w:bCs w:val="1"/>
          <w:color w:val="auto"/>
        </w:rPr>
        <w:t>Commodore</w:t>
      </w:r>
      <w:r>
        <w:rPr>
          <w:rFonts w:ascii="Times New Roman" w:cs="Times New Roman" w:eastAsia="Times New Roman" w:hAnsi="Times New Roman"/>
          <w:sz w:val="16"/>
          <w:szCs w:val="16"/>
          <w:color w:val="auto"/>
        </w:rPr>
        <w:t>”), TCG Crossover Management LLC (“</w:t>
      </w:r>
      <w:r>
        <w:rPr>
          <w:rFonts w:ascii="Times New Roman" w:cs="Times New Roman" w:eastAsia="Times New Roman" w:hAnsi="Times New Roman"/>
          <w:sz w:val="16"/>
          <w:szCs w:val="16"/>
          <w:b w:val="1"/>
          <w:bCs w:val="1"/>
          <w:color w:val="auto"/>
        </w:rPr>
        <w:t>TGCX</w:t>
      </w:r>
      <w:r>
        <w:rPr>
          <w:rFonts w:ascii="Times New Roman" w:cs="Times New Roman" w:eastAsia="Times New Roman" w:hAnsi="Times New Roman"/>
          <w:sz w:val="16"/>
          <w:szCs w:val="16"/>
          <w:color w:val="auto"/>
        </w:rPr>
        <w:t>”), Perceptive Advisors (“</w:t>
      </w:r>
      <w:r>
        <w:rPr>
          <w:rFonts w:ascii="Times New Roman" w:cs="Times New Roman" w:eastAsia="Times New Roman" w:hAnsi="Times New Roman"/>
          <w:sz w:val="16"/>
          <w:szCs w:val="16"/>
          <w:b w:val="1"/>
          <w:bCs w:val="1"/>
          <w:color w:val="auto"/>
        </w:rPr>
        <w:t>Perceptive</w:t>
      </w:r>
      <w:r>
        <w:rPr>
          <w:rFonts w:ascii="Times New Roman" w:cs="Times New Roman" w:eastAsia="Times New Roman" w:hAnsi="Times New Roman"/>
          <w:sz w:val="16"/>
          <w:szCs w:val="16"/>
          <w:color w:val="auto"/>
        </w:rPr>
        <w:t>”) and other accredited investors, one of which is affiliated with a member of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of the Company (collectively, the “</w:t>
      </w:r>
      <w:r>
        <w:rPr>
          <w:rFonts w:ascii="Times New Roman" w:cs="Times New Roman" w:eastAsia="Times New Roman" w:hAnsi="Times New Roman"/>
          <w:sz w:val="16"/>
          <w:szCs w:val="16"/>
          <w:b w:val="1"/>
          <w:bCs w:val="1"/>
          <w:color w:val="auto"/>
        </w:rPr>
        <w:t>PIPE Purchasers</w:t>
      </w:r>
      <w:r>
        <w:rPr>
          <w:rFonts w:ascii="Times New Roman" w:cs="Times New Roman" w:eastAsia="Times New Roman" w:hAnsi="Times New Roman"/>
          <w:sz w:val="16"/>
          <w:szCs w:val="16"/>
          <w:color w:val="auto"/>
        </w:rPr>
        <w:t>”), pursuant to which the PIPE Purchasers have agreed to purchase and the Company has agreed to issue and sell, by way of a private placement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an aggregate of (a) 5,356,547 shares (the “</w:t>
      </w:r>
      <w:r>
        <w:rPr>
          <w:rFonts w:ascii="Times New Roman" w:cs="Times New Roman" w:eastAsia="Times New Roman" w:hAnsi="Times New Roman"/>
          <w:sz w:val="16"/>
          <w:szCs w:val="16"/>
          <w:b w:val="1"/>
          <w:bCs w:val="1"/>
          <w:color w:val="auto"/>
        </w:rPr>
        <w:t>PIPE Initial Shares</w:t>
      </w:r>
      <w:r>
        <w:rPr>
          <w:rFonts w:ascii="Times New Roman" w:cs="Times New Roman" w:eastAsia="Times New Roman" w:hAnsi="Times New Roman"/>
          <w:sz w:val="16"/>
          <w:szCs w:val="16"/>
          <w:color w:val="auto"/>
        </w:rPr>
        <w:t>”) of the Company’s common stock,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(b) pre-funded warrants (the “</w:t>
      </w:r>
      <w:r>
        <w:rPr>
          <w:rFonts w:ascii="Times New Roman" w:cs="Times New Roman" w:eastAsia="Times New Roman" w:hAnsi="Times New Roman"/>
          <w:sz w:val="16"/>
          <w:szCs w:val="16"/>
          <w:b w:val="1"/>
          <w:bCs w:val="1"/>
          <w:color w:val="auto"/>
        </w:rPr>
        <w:t>PIPE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Pre-Funded Warrants</w:t>
      </w:r>
      <w:r>
        <w:rPr>
          <w:rFonts w:ascii="Times New Roman" w:cs="Times New Roman" w:eastAsia="Times New Roman" w:hAnsi="Times New Roman"/>
          <w:sz w:val="16"/>
          <w:szCs w:val="16"/>
          <w:color w:val="auto"/>
        </w:rPr>
        <w:t>”) to purchase 8,816,684 shares of Common Stock (the “</w:t>
      </w:r>
      <w:r>
        <w:rPr>
          <w:rFonts w:ascii="Times New Roman" w:cs="Times New Roman" w:eastAsia="Times New Roman" w:hAnsi="Times New Roman"/>
          <w:sz w:val="16"/>
          <w:szCs w:val="16"/>
          <w:b w:val="1"/>
          <w:bCs w:val="1"/>
          <w:color w:val="auto"/>
        </w:rPr>
        <w:t>PIPE Pre-Funded Warrant Shares</w:t>
      </w:r>
      <w:r>
        <w:rPr>
          <w:rFonts w:ascii="Times New Roman" w:cs="Times New Roman" w:eastAsia="Times New Roman" w:hAnsi="Times New Roman"/>
          <w:sz w:val="16"/>
          <w:szCs w:val="16"/>
          <w:color w:val="auto"/>
        </w:rPr>
        <w:t>”) and (c) accompanying warrants (the “</w:t>
      </w:r>
      <w:r>
        <w:rPr>
          <w:rFonts w:ascii="Times New Roman" w:cs="Times New Roman" w:eastAsia="Times New Roman" w:hAnsi="Times New Roman"/>
          <w:sz w:val="16"/>
          <w:szCs w:val="16"/>
          <w:b w:val="1"/>
          <w:bCs w:val="1"/>
          <w:color w:val="auto"/>
        </w:rPr>
        <w:t>PIPE Series A Common Warrants</w:t>
      </w:r>
      <w:r>
        <w:rPr>
          <w:rFonts w:ascii="Times New Roman" w:cs="Times New Roman" w:eastAsia="Times New Roman" w:hAnsi="Times New Roman"/>
          <w:sz w:val="16"/>
          <w:szCs w:val="16"/>
          <w:color w:val="auto"/>
        </w:rPr>
        <w:t>”) to purchase 23,031,494 shares of Common Stock and/or shares underlying pre-funded warrants, representing 162.5% of the aggregate of PIPE Initial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Shares and the shares of Common Stock underlying the PIPE Pre-Funded Warrants (the shares, or the shares issuable pursuant to such pre-funded warrants, the “</w:t>
      </w:r>
      <w:r>
        <w:rPr>
          <w:rFonts w:ascii="Times New Roman" w:cs="Times New Roman" w:eastAsia="Times New Roman" w:hAnsi="Times New Roman"/>
          <w:sz w:val="16"/>
          <w:szCs w:val="16"/>
          <w:b w:val="1"/>
          <w:bCs w:val="1"/>
          <w:color w:val="auto"/>
        </w:rPr>
        <w:t>PIPE Series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Common Warrant Shares</w:t>
      </w:r>
      <w:r>
        <w:rPr>
          <w:rFonts w:ascii="Times New Roman" w:cs="Times New Roman" w:eastAsia="Times New Roman" w:hAnsi="Times New Roman"/>
          <w:sz w:val="16"/>
          <w:szCs w:val="16"/>
          <w:color w:val="auto"/>
        </w:rPr>
        <w:t>”) and (d) accompanying warrants (the “</w:t>
      </w:r>
      <w:r>
        <w:rPr>
          <w:rFonts w:ascii="Times New Roman" w:cs="Times New Roman" w:eastAsia="Times New Roman" w:hAnsi="Times New Roman"/>
          <w:sz w:val="16"/>
          <w:szCs w:val="16"/>
          <w:b w:val="1"/>
          <w:bCs w:val="1"/>
          <w:color w:val="auto"/>
        </w:rPr>
        <w:t>PIPE Series B Common Warrants</w:t>
      </w:r>
      <w:r>
        <w:rPr>
          <w:rFonts w:ascii="Times New Roman" w:cs="Times New Roman" w:eastAsia="Times New Roman" w:hAnsi="Times New Roman"/>
          <w:sz w:val="16"/>
          <w:szCs w:val="16"/>
          <w:color w:val="auto"/>
        </w:rPr>
        <w:t>” and, together with the PIPE Series A Common Warrants and the PIPE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Pre-Funded Warrants, the “</w:t>
      </w:r>
      <w:r>
        <w:rPr>
          <w:rFonts w:ascii="Times New Roman" w:cs="Times New Roman" w:eastAsia="Times New Roman" w:hAnsi="Times New Roman"/>
          <w:sz w:val="16"/>
          <w:szCs w:val="16"/>
          <w:b w:val="1"/>
          <w:bCs w:val="1"/>
          <w:color w:val="auto"/>
        </w:rPr>
        <w:t>PIPE Warrants</w:t>
      </w:r>
      <w:r>
        <w:rPr>
          <w:rFonts w:ascii="Times New Roman" w:cs="Times New Roman" w:eastAsia="Times New Roman" w:hAnsi="Times New Roman"/>
          <w:sz w:val="16"/>
          <w:szCs w:val="16"/>
          <w:color w:val="auto"/>
        </w:rPr>
        <w:t>”, and the PIPE Warrants, together with the PIPE Initial Shares, the “</w:t>
      </w:r>
      <w:r>
        <w:rPr>
          <w:rFonts w:ascii="Times New Roman" w:cs="Times New Roman" w:eastAsia="Times New Roman" w:hAnsi="Times New Roman"/>
          <w:sz w:val="16"/>
          <w:szCs w:val="16"/>
          <w:b w:val="1"/>
          <w:bCs w:val="1"/>
          <w:color w:val="auto"/>
        </w:rPr>
        <w:t>PIPE Securities</w:t>
      </w:r>
      <w:r>
        <w:rPr>
          <w:rFonts w:ascii="Times New Roman" w:cs="Times New Roman" w:eastAsia="Times New Roman" w:hAnsi="Times New Roman"/>
          <w:sz w:val="16"/>
          <w:szCs w:val="16"/>
          <w:color w:val="auto"/>
        </w:rPr>
        <w:t>”) to purchase 21,259,842 shares of Common Stock and/or shares underlying pre-funded warrants, representing 150% of the aggregate of PIPE Initial Shares and the shares of Common Stock underlying the PIPE Pre-Funded Warrants (the shares, or the shares issuable pursuant to such pre-funded warrants, the “</w:t>
      </w:r>
      <w:r>
        <w:rPr>
          <w:rFonts w:ascii="Times New Roman" w:cs="Times New Roman" w:eastAsia="Times New Roman" w:hAnsi="Times New Roman"/>
          <w:sz w:val="16"/>
          <w:szCs w:val="16"/>
          <w:b w:val="1"/>
          <w:bCs w:val="1"/>
          <w:color w:val="auto"/>
        </w:rPr>
        <w:t>PIPE Series B Common Warrant Shares</w:t>
      </w:r>
      <w:r>
        <w:rPr>
          <w:rFonts w:ascii="Times New Roman" w:cs="Times New Roman" w:eastAsia="Times New Roman" w:hAnsi="Times New Roman"/>
          <w:sz w:val="16"/>
          <w:szCs w:val="16"/>
          <w:color w:val="auto"/>
        </w:rPr>
        <w:t>” and, together with the PIPE Initial Shares, the PIPE Pre-Funded Warrant Shares and the PIPE Series A Common Warrant Shares, the “</w:t>
      </w:r>
      <w:r>
        <w:rPr>
          <w:rFonts w:ascii="Times New Roman" w:cs="Times New Roman" w:eastAsia="Times New Roman" w:hAnsi="Times New Roman"/>
          <w:sz w:val="16"/>
          <w:szCs w:val="16"/>
          <w:b w:val="1"/>
          <w:bCs w:val="1"/>
          <w:color w:val="auto"/>
        </w:rPr>
        <w:t>PIPE Shares</w:t>
      </w:r>
      <w:r>
        <w:rPr>
          <w:rFonts w:ascii="Times New Roman" w:cs="Times New Roman" w:eastAsia="Times New Roman" w:hAnsi="Times New Roman"/>
          <w:sz w:val="16"/>
          <w:szCs w:val="16"/>
          <w:color w:val="auto"/>
        </w:rPr>
        <w:t>”). The purchase price for each PIPE Initial Share (including the accompanying PIPE Series A Common Warrants and PIPE Series B Common Warrants) is $6.35 and the purchase price for each PIPE Pre-Funded Warrant (including the accompanying PIPE Series A Common Warrants and PIPE Series B Common Warrants) is $6.349 per each underlying PIPE Pre-Funded Warrant Share. Gross proceeds from the Private Placement are expected to be approximately $90 million, excluding placement agent fees and offering expenses. The closing of the Private Placement (the “</w:t>
      </w:r>
      <w:r>
        <w:rPr>
          <w:rFonts w:ascii="Times New Roman" w:cs="Times New Roman" w:eastAsia="Times New Roman" w:hAnsi="Times New Roman"/>
          <w:sz w:val="16"/>
          <w:szCs w:val="16"/>
          <w:b w:val="1"/>
          <w:bCs w:val="1"/>
          <w:color w:val="auto"/>
        </w:rPr>
        <w:t>Private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Placement Closing</w:t>
      </w:r>
      <w:r>
        <w:rPr>
          <w:rFonts w:ascii="Times New Roman" w:cs="Times New Roman" w:eastAsia="Times New Roman" w:hAnsi="Times New Roman"/>
          <w:sz w:val="16"/>
          <w:szCs w:val="16"/>
          <w:color w:val="auto"/>
        </w:rPr>
        <w:t>”) is expected to occur on or about December 23, 2025, subject to customary closing conditions.</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At the Private Placement Closing, the Company will enter into a registration rights agreement (the “</w:t>
      </w:r>
      <w:r>
        <w:rPr>
          <w:rFonts w:ascii="Times New Roman" w:cs="Times New Roman" w:eastAsia="Times New Roman" w:hAnsi="Times New Roman"/>
          <w:sz w:val="16"/>
          <w:szCs w:val="16"/>
          <w:b w:val="1"/>
          <w:bCs w:val="1"/>
          <w:color w:val="auto"/>
        </w:rPr>
        <w:t>PIPE Registration Rights Agreement</w:t>
      </w:r>
      <w:r>
        <w:rPr>
          <w:rFonts w:ascii="Times New Roman" w:cs="Times New Roman" w:eastAsia="Times New Roman" w:hAnsi="Times New Roman"/>
          <w:sz w:val="16"/>
          <w:szCs w:val="16"/>
          <w:color w:val="auto"/>
        </w:rPr>
        <w:t>”) with the PIPE Purchasers pursuant to which the Company is required to prepare and file a registration statement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to register the resale of the PIPE Shares within 30 calendar days after the date of the Private Placement Closing, and to use reasonable best efforts to have the registration statement declared effective at the earliest possible date but no later than the earlier of (a) 75 calendar days after the filing date if the SEC notifies the Company that it will review the registration statement and (b) the fifth business day after the Company is notified by the SEC that the registration statement will not be reviewed or will not be subject to further review. If the Company fails to meet certain of the requirements in the PIPE Registration Rights Agreement following the Private Placement Closing, the Company will pay liquidated damages to the PIPE Purchasers as provided in the PIPE Registration Rights Agreement.</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PIPE Pre-Funded Warrants will be exercisable at an exercise price of $0.001 per share, subject to customary adjustments under the terms thereof and will be exercisable at any time on or after issuance, subject to the restriction discussed below. The PIPE Series A Common Warrants will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the Company publicly announces,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2" w:name="page3"/>
    <w:bookmarkEnd w:id="2"/>
    <w:p>
      <w:pPr>
        <w:ind w:right="20"/>
        <w:spacing w:after="0" w:line="249" w:lineRule="auto"/>
        <w:rPr>
          <w:sz w:val="20"/>
          <w:szCs w:val="20"/>
          <w:color w:val="auto"/>
        </w:rPr>
      </w:pPr>
      <w:r>
        <w:rPr>
          <w:rFonts w:ascii="Times New Roman" w:cs="Times New Roman" w:eastAsia="Times New Roman" w:hAnsi="Times New Roman"/>
          <w:sz w:val="16"/>
          <w:szCs w:val="16"/>
          <w:color w:val="auto"/>
        </w:rPr>
        <w:t>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(the “</w:t>
      </w:r>
      <w:r>
        <w:rPr>
          <w:rFonts w:ascii="Times New Roman" w:cs="Times New Roman" w:eastAsia="Times New Roman" w:hAnsi="Times New Roman"/>
          <w:sz w:val="16"/>
          <w:szCs w:val="16"/>
          <w:b w:val="1"/>
          <w:bCs w:val="1"/>
          <w:color w:val="auto"/>
        </w:rPr>
        <w:t>ELAINE-3 Enrollment Date</w:t>
      </w:r>
      <w:r>
        <w:rPr>
          <w:rFonts w:ascii="Times New Roman" w:cs="Times New Roman" w:eastAsia="Times New Roman" w:hAnsi="Times New Roman"/>
          <w:sz w:val="16"/>
          <w:szCs w:val="16"/>
          <w:color w:val="auto"/>
        </w:rPr>
        <w:t>”); and (c) the date on which the FDA approves or issues a complete response letter to Eli Lilly &amp; Co.'s marketing application, including a supplement to a new drug application, for imlunestrant in combination with abemaciclib in breast cancer, and (2) October 31, 2026 ( the “</w:t>
      </w:r>
      <w:r>
        <w:rPr>
          <w:rFonts w:ascii="Times New Roman" w:cs="Times New Roman" w:eastAsia="Times New Roman" w:hAnsi="Times New Roman"/>
          <w:sz w:val="16"/>
          <w:szCs w:val="16"/>
          <w:b w:val="1"/>
          <w:bCs w:val="1"/>
          <w:color w:val="auto"/>
        </w:rPr>
        <w:t>Series A Common Warrant Initial Exercise Date</w:t>
      </w:r>
      <w:r>
        <w:rPr>
          <w:rFonts w:ascii="Times New Roman" w:cs="Times New Roman" w:eastAsia="Times New Roman" w:hAnsi="Times New Roman"/>
          <w:sz w:val="16"/>
          <w:szCs w:val="16"/>
          <w:color w:val="auto"/>
        </w:rPr>
        <w:t>”). The PIPE Series A Common Warrants will remain exercisable until the 30th day following the Series A Common Warrant Initial Exercise Date (the “</w:t>
      </w:r>
      <w:r>
        <w:rPr>
          <w:rFonts w:ascii="Times New Roman" w:cs="Times New Roman" w:eastAsia="Times New Roman" w:hAnsi="Times New Roman"/>
          <w:sz w:val="16"/>
          <w:szCs w:val="16"/>
          <w:b w:val="1"/>
          <w:bCs w:val="1"/>
          <w:color w:val="auto"/>
        </w:rPr>
        <w:t>Series A Common Warrant Termination Date</w:t>
      </w:r>
      <w:r>
        <w:rPr>
          <w:rFonts w:ascii="Times New Roman" w:cs="Times New Roman" w:eastAsia="Times New Roman" w:hAnsi="Times New Roman"/>
          <w:sz w:val="16"/>
          <w:szCs w:val="16"/>
          <w:color w:val="auto"/>
        </w:rPr>
        <w:t>”), except that if the Series A Common Warrant Initial Exercise Date has not occurred by December 23, 2030, then December 23, 2030 will be the Series A Common Warrant Termination Date. The PIPE Series B Common Warrants will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Trial (the later of (1) and (2), the “</w:t>
      </w:r>
      <w:r>
        <w:rPr>
          <w:rFonts w:ascii="Times New Roman" w:cs="Times New Roman" w:eastAsia="Times New Roman" w:hAnsi="Times New Roman"/>
          <w:sz w:val="16"/>
          <w:szCs w:val="16"/>
          <w:b w:val="1"/>
          <w:bCs w:val="1"/>
          <w:color w:val="auto"/>
        </w:rPr>
        <w:t>Series B Common Warrant Initial Exercise Date</w:t>
      </w:r>
      <w:r>
        <w:rPr>
          <w:rFonts w:ascii="Times New Roman" w:cs="Times New Roman" w:eastAsia="Times New Roman" w:hAnsi="Times New Roman"/>
          <w:sz w:val="16"/>
          <w:szCs w:val="16"/>
          <w:color w:val="auto"/>
        </w:rPr>
        <w:t>”). The PIPE Series B Common Warrants will remain exercisable until the 30th day following the Series B Common Warrant Initial Exercise Date (the “</w:t>
      </w:r>
      <w:r>
        <w:rPr>
          <w:rFonts w:ascii="Times New Roman" w:cs="Times New Roman" w:eastAsia="Times New Roman" w:hAnsi="Times New Roman"/>
          <w:sz w:val="16"/>
          <w:szCs w:val="16"/>
          <w:b w:val="1"/>
          <w:bCs w:val="1"/>
          <w:color w:val="auto"/>
        </w:rPr>
        <w:t>Series B Common Warrant Termination Date</w:t>
      </w:r>
      <w:r>
        <w:rPr>
          <w:rFonts w:ascii="Times New Roman" w:cs="Times New Roman" w:eastAsia="Times New Roman" w:hAnsi="Times New Roman"/>
          <w:sz w:val="16"/>
          <w:szCs w:val="16"/>
          <w:color w:val="auto"/>
        </w:rPr>
        <w:t>”), except that if the Series B Common Warrant Initial Exercise Date has not occurred by December 23, 2030, then December 23, 2030 will be the Series B Common Warrant Termination Date.</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Common Stock would be aggregated with the PIPE Purchaser for purposes of Section 13(d)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would beneficially own more than 4.99%, 9.99% or 19.99%, at the election of the PIPE Purchaser (in each case, the “</w:t>
      </w:r>
      <w:r>
        <w:rPr>
          <w:rFonts w:ascii="Times New Roman" w:cs="Times New Roman" w:eastAsia="Times New Roman" w:hAnsi="Times New Roman"/>
          <w:sz w:val="16"/>
          <w:szCs w:val="16"/>
          <w:b w:val="1"/>
          <w:bCs w:val="1"/>
          <w:color w:val="auto"/>
        </w:rPr>
        <w:t>PIPE Maximum Percentage</w:t>
      </w:r>
      <w:r>
        <w:rPr>
          <w:rFonts w:ascii="Times New Roman" w:cs="Times New Roman" w:eastAsia="Times New Roman" w:hAnsi="Times New Roman"/>
          <w:sz w:val="16"/>
          <w:szCs w:val="16"/>
          <w:color w:val="auto"/>
        </w:rPr>
        <w:t>”) of the total number of issued and outstanding shares of Common Stock of the Company following such exercise. If, upon exercise of the PIPE Series A Common Warrants or PIPE Series B Common Warrants, a PIPE Purchaser would exceed the PIPE Maximum Percentage, then the PIPE Series A Common Warrants and PIPE Series B Common Warrants may be exercised for pre-funded warrants to purchase shares of Common Stock, which pre-funded warrants will have terms substantially the same as the PIPE Pre-Funded Warrants. The PIPE Maximum Percentage may be increased or decreased by a PIPE Purchaser with 61 days’ written notice to the Company; provided, however, that such percentage may in no event exceed (x) 19.99% prior to a vote of the Company’s stockholders approving the removal of such exercise limitation or (y) with respect to certain PIPE Purchasers, 4.99%.</w:t>
      </w:r>
    </w:p>
    <w:p>
      <w:pPr>
        <w:spacing w:after="0" w:line="16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The offer and sale of the PIPE Securities, including the PIPE Shares, have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or any state securities laws. The Company has relied on the exemption from the registration requirements of the Securities Act under Section 4(a)(2) thereof, for a transaction by an issuer not involving any public offering, and/or Regulation S thereunder for sales to non-U.S. investors outside of the United States. The Company relied on these exemptions from registration based in part on representations made by the PIPE Purchasers.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Cantor is acting as sole placement agent in connection with the Private Placement.</w:t>
      </w:r>
    </w:p>
    <w:p>
      <w:pPr>
        <w:spacing w:after="0" w:line="19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Perceptive Life Sciences Master Fund Ltd. (“</w:t>
      </w:r>
      <w:r>
        <w:rPr>
          <w:rFonts w:ascii="Times New Roman" w:cs="Times New Roman" w:eastAsia="Times New Roman" w:hAnsi="Times New Roman"/>
          <w:sz w:val="15"/>
          <w:szCs w:val="15"/>
          <w:b w:val="1"/>
          <w:bCs w:val="1"/>
          <w:color w:val="auto"/>
        </w:rPr>
        <w:t>Perceptive</w:t>
      </w:r>
      <w:r>
        <w:rPr>
          <w:rFonts w:ascii="Times New Roman" w:cs="Times New Roman" w:eastAsia="Times New Roman" w:hAnsi="Times New Roman"/>
          <w:sz w:val="15"/>
          <w:szCs w:val="15"/>
          <w:color w:val="auto"/>
        </w:rPr>
        <w:t>”), a current stockholder of the Company, together with an affiliated fund, have agreed to purchase an aggregate of $20.0 million of the PIPE Securities. Joseph Edelman, a member of the Company’s Board, is the managing member of Perceptive Advisors LLC, the investment manager of Perceptive.</w:t>
      </w:r>
    </w:p>
    <w:p>
      <w:pPr>
        <w:spacing w:after="0" w:line="12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t>The Company will use the net proceeds from the Private Placement for working capital and will not use such proceeds for (1) the repayment of borrowed debt, (2) to redeem any Common Stock or any securities of the Company that would entitle the holder thereof to acquire at any time Common Stock, subject to certain exceptions, (3) for the settlement of any litigation that is outstanding as of the Private Placement Closing, and (4) to in-license or develop a drug candidate other than lasofoxifene or any drug or drug candidate in the Company’s pipeline as of the Private Placement Closing until the earlier of such time as the topline results of ELAINE-3 become available and the second anniversary of the effective date of the PIPE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3" w:name="page4"/>
    <w:bookmarkEnd w:id="3"/>
    <w:p>
      <w:pPr>
        <w:ind w:right="60"/>
        <w:spacing w:after="0" w:line="252" w:lineRule="auto"/>
        <w:rPr>
          <w:sz w:val="20"/>
          <w:szCs w:val="20"/>
          <w:color w:val="auto"/>
        </w:rPr>
      </w:pPr>
      <w:r>
        <w:rPr>
          <w:rFonts w:ascii="Times New Roman" w:cs="Times New Roman" w:eastAsia="Times New Roman" w:hAnsi="Times New Roman"/>
          <w:sz w:val="16"/>
          <w:szCs w:val="16"/>
          <w:color w:val="auto"/>
        </w:rPr>
        <w:t>Pursuant to the terms of the PIPE Securities Purchase Agreement, for so long as funds affiliated with each of Commodore and TCGX, respectively, beneficially own 5% or more in the aggregate of the issued and outstanding common stock of the Company (including any shares of common stock issuable upon the exercise of any outstanding PIPE Warrants whose initial exercise date has occurred), each of Commodore and TCGX will be entitled to designate one member of the Board, and the Company will take all actions reasonably necessary to have such designee promptly appointed to the Board of Directors, including, but not limited to, increasing the size of the Board to accommodate the appointment of such designee, subject to specified conditions. In addition, the Company has agreed to use its reasonable best efforts to cause the resignation of two (2) current members of the Board by the six (6) month anniversary of the PIPE Closing Date.</w:t>
      </w:r>
    </w:p>
    <w:p>
      <w:pPr>
        <w:spacing w:after="0" w:line="16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The above description of the Private Placement is qualified in its entirety by reference to the PIPE Securities Purchase Agreement attached hereto as Exhibit 10.1, the Form of PIPE Registration Rights Agreement attached hereto as Exhibit 4.1, the Form of PIPE Pre-Funded Warrant attached hereto as Exhibit 4.2, the Form of PIPE Series A Common Warrant attached hereto as Exhibit 4.3 and the Form of PIPE Series B Common Warrant attached hereto as Exhibit 4.4.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Sermonix Transaction</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December 18, 2025, the Company entered into agreements with Sermonix Pharmaceuticals, Inc. (“</w:t>
      </w:r>
      <w:r>
        <w:rPr>
          <w:rFonts w:ascii="Times New Roman" w:cs="Times New Roman" w:eastAsia="Times New Roman" w:hAnsi="Times New Roman"/>
          <w:sz w:val="16"/>
          <w:szCs w:val="16"/>
          <w:b w:val="1"/>
          <w:bCs w:val="1"/>
          <w:color w:val="auto"/>
        </w:rPr>
        <w:t>Sermonix</w:t>
      </w:r>
      <w:r>
        <w:rPr>
          <w:rFonts w:ascii="Times New Roman" w:cs="Times New Roman" w:eastAsia="Times New Roman" w:hAnsi="Times New Roman"/>
          <w:sz w:val="16"/>
          <w:szCs w:val="16"/>
          <w:color w:val="auto"/>
        </w:rPr>
        <w:t>”) and Ligand Pharmaceuticals Incorporated (“</w:t>
      </w:r>
      <w:r>
        <w:rPr>
          <w:rFonts w:ascii="Times New Roman" w:cs="Times New Roman" w:eastAsia="Times New Roman" w:hAnsi="Times New Roman"/>
          <w:sz w:val="16"/>
          <w:szCs w:val="16"/>
          <w:b w:val="1"/>
          <w:bCs w:val="1"/>
          <w:color w:val="auto"/>
        </w:rPr>
        <w:t>Ligand</w:t>
      </w:r>
      <w:r>
        <w:rPr>
          <w:rFonts w:ascii="Times New Roman" w:cs="Times New Roman" w:eastAsia="Times New Roman" w:hAnsi="Times New Roman"/>
          <w:sz w:val="16"/>
          <w:szCs w:val="16"/>
          <w:color w:val="auto"/>
        </w:rPr>
        <w:t>”) granting the Company exclusive licenses and rights to develop, manufacture and commercialize oral forms of the selective estrogen-receptor modulator known as lasofoxifene in all countries and territories of the world except for Asia and certain countries in the Middle East. Under the terms of the Company’s license agreement with Sermonix (the “</w:t>
      </w:r>
      <w:r>
        <w:rPr>
          <w:rFonts w:ascii="Times New Roman" w:cs="Times New Roman" w:eastAsia="Times New Roman" w:hAnsi="Times New Roman"/>
          <w:sz w:val="16"/>
          <w:szCs w:val="16"/>
          <w:b w:val="1"/>
          <w:bCs w:val="1"/>
          <w:color w:val="auto"/>
        </w:rPr>
        <w:t>Sermonix License</w:t>
      </w:r>
      <w:r>
        <w:rPr>
          <w:rFonts w:ascii="Times New Roman" w:cs="Times New Roman" w:eastAsia="Times New Roman" w:hAnsi="Times New Roman"/>
          <w:sz w:val="16"/>
          <w:szCs w:val="16"/>
          <w:color w:val="auto"/>
        </w:rPr>
        <w:t>”), the Company is assuming responsibility, in such countries and territories, for the ongoing global phase 3 clinical trial of oral lasofoxifene entitled “Evaluation of Lasofoxifene in ESR1 Mutations (ELAINE-3)” (the “</w:t>
      </w:r>
      <w:r>
        <w:rPr>
          <w:rFonts w:ascii="Times New Roman" w:cs="Times New Roman" w:eastAsia="Times New Roman" w:hAnsi="Times New Roman"/>
          <w:sz w:val="16"/>
          <w:szCs w:val="16"/>
          <w:b w:val="1"/>
          <w:bCs w:val="1"/>
          <w:color w:val="auto"/>
        </w:rPr>
        <w:t>ELAINE-3 Study</w:t>
      </w:r>
      <w:r>
        <w:rPr>
          <w:rFonts w:ascii="Times New Roman" w:cs="Times New Roman" w:eastAsia="Times New Roman" w:hAnsi="Times New Roman"/>
          <w:sz w:val="16"/>
          <w:szCs w:val="16"/>
          <w:color w:val="auto"/>
        </w:rPr>
        <w:t>”) and the Company is coordinating with Sermonix and Shanghai Henlius Biotech, Inc. (“</w:t>
      </w:r>
      <w:r>
        <w:rPr>
          <w:rFonts w:ascii="Times New Roman" w:cs="Times New Roman" w:eastAsia="Times New Roman" w:hAnsi="Times New Roman"/>
          <w:sz w:val="16"/>
          <w:szCs w:val="16"/>
          <w:b w:val="1"/>
          <w:bCs w:val="1"/>
          <w:color w:val="auto"/>
        </w:rPr>
        <w:t>Henlius</w:t>
      </w:r>
      <w:r>
        <w:rPr>
          <w:rFonts w:ascii="Times New Roman" w:cs="Times New Roman" w:eastAsia="Times New Roman" w:hAnsi="Times New Roman"/>
          <w:sz w:val="16"/>
          <w:szCs w:val="16"/>
          <w:color w:val="auto"/>
        </w:rPr>
        <w:t>”), Sermonix’s exclusive licensee for oral lasofoxifene in Asia and certain countries in the Middle East (the “</w:t>
      </w:r>
      <w:r>
        <w:rPr>
          <w:rFonts w:ascii="Times New Roman" w:cs="Times New Roman" w:eastAsia="Times New Roman" w:hAnsi="Times New Roman"/>
          <w:sz w:val="16"/>
          <w:szCs w:val="16"/>
          <w:b w:val="1"/>
          <w:bCs w:val="1"/>
          <w:color w:val="auto"/>
        </w:rPr>
        <w:t>Retained Territory</w:t>
      </w:r>
      <w:r>
        <w:rPr>
          <w:rFonts w:ascii="Times New Roman" w:cs="Times New Roman" w:eastAsia="Times New Roman" w:hAnsi="Times New Roman"/>
          <w:sz w:val="16"/>
          <w:szCs w:val="16"/>
          <w:color w:val="auto"/>
        </w:rPr>
        <w:t>”), with respect to Henlius’ conduct of the ELAINE-3 Study in the Retained Territory.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Sermonix License</w:t>
      </w:r>
    </w:p>
    <w:p>
      <w:pPr>
        <w:spacing w:after="0" w:line="1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i w:val="1"/>
          <w:iCs w:val="1"/>
          <w:color w:val="auto"/>
        </w:rPr>
        <w:t>Licenses and Exclusivity</w:t>
      </w:r>
      <w:r>
        <w:rPr>
          <w:rFonts w:ascii="Times New Roman" w:cs="Times New Roman" w:eastAsia="Times New Roman" w:hAnsi="Times New Roman"/>
          <w:sz w:val="16"/>
          <w:szCs w:val="16"/>
          <w:color w:val="auto"/>
        </w:rPr>
        <w:t>. Under the Sermonix License, the Company received from Sermonix an exclusive (even as to Sermonix), sublicensable license, under relevant patents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know-how owned or in-licensed by Sermonix, to develop, manufacture, commercialize and otherwise exploit products containing lasofoxifene (the “</w:t>
      </w:r>
      <w:r>
        <w:rPr>
          <w:rFonts w:ascii="Times New Roman" w:cs="Times New Roman" w:eastAsia="Times New Roman" w:hAnsi="Times New Roman"/>
          <w:sz w:val="16"/>
          <w:szCs w:val="16"/>
          <w:b w:val="1"/>
          <w:bCs w:val="1"/>
          <w:color w:val="auto"/>
        </w:rPr>
        <w:t>Licensed Products</w:t>
      </w:r>
      <w:r>
        <w:rPr>
          <w:rFonts w:ascii="Times New Roman" w:cs="Times New Roman" w:eastAsia="Times New Roman" w:hAnsi="Times New Roman"/>
          <w:sz w:val="16"/>
          <w:szCs w:val="16"/>
          <w:color w:val="auto"/>
        </w:rPr>
        <w:t>”) in all countries outside the Retained Territory (the “</w:t>
      </w:r>
      <w:r>
        <w:rPr>
          <w:rFonts w:ascii="Times New Roman" w:cs="Times New Roman" w:eastAsia="Times New Roman" w:hAnsi="Times New Roman"/>
          <w:sz w:val="16"/>
          <w:szCs w:val="16"/>
          <w:b w:val="1"/>
          <w:bCs w:val="1"/>
          <w:color w:val="auto"/>
        </w:rPr>
        <w:t>Licensed Territory</w:t>
      </w:r>
      <w:r>
        <w:rPr>
          <w:rFonts w:ascii="Times New Roman" w:cs="Times New Roman" w:eastAsia="Times New Roman" w:hAnsi="Times New Roman"/>
          <w:sz w:val="16"/>
          <w:szCs w:val="16"/>
          <w:color w:val="auto"/>
        </w:rPr>
        <w:t>”). Such license does not include a sublicense under the patents and know-how that Sermonix previously in-licensed from Ligand because the Company and Ligand entered into a direct license agreement (the “</w:t>
      </w:r>
      <w:r>
        <w:rPr>
          <w:rFonts w:ascii="Times New Roman" w:cs="Times New Roman" w:eastAsia="Times New Roman" w:hAnsi="Times New Roman"/>
          <w:sz w:val="16"/>
          <w:szCs w:val="16"/>
          <w:b w:val="1"/>
          <w:bCs w:val="1"/>
          <w:color w:val="auto"/>
        </w:rPr>
        <w:t>Ligand Agreement</w:t>
      </w:r>
      <w:r>
        <w:rPr>
          <w:rFonts w:ascii="Times New Roman" w:cs="Times New Roman" w:eastAsia="Times New Roman" w:hAnsi="Times New Roman"/>
          <w:sz w:val="16"/>
          <w:szCs w:val="16"/>
          <w:color w:val="auto"/>
        </w:rPr>
        <w:t>”) to replace Sermonix’s license from Ligand with respect to Licensed Products in the Licensed Territory. During the term of the Sermonix License, Sermonix and its affiliates are prohibited from developing, manufacturing, commercializing or otherwise exploiting products that selectively modulate the estrogen receptor, although Sermonix retains the ability to fulfill its obligations under its license agreement with Henlius (the “</w:t>
      </w:r>
      <w:r>
        <w:rPr>
          <w:rFonts w:ascii="Times New Roman" w:cs="Times New Roman" w:eastAsia="Times New Roman" w:hAnsi="Times New Roman"/>
          <w:sz w:val="16"/>
          <w:szCs w:val="16"/>
          <w:b w:val="1"/>
          <w:bCs w:val="1"/>
          <w:color w:val="auto"/>
        </w:rPr>
        <w:t>Sermonix-Henlius Agreement</w:t>
      </w:r>
      <w:r>
        <w:rPr>
          <w:rFonts w:ascii="Times New Roman" w:cs="Times New Roman" w:eastAsia="Times New Roman" w:hAnsi="Times New Roman"/>
          <w:sz w:val="16"/>
          <w:szCs w:val="16"/>
          <w:color w:val="auto"/>
        </w:rPr>
        <w:t>”) with respect to the Licensed Products in the Retained Territory.</w:t>
      </w:r>
    </w:p>
    <w:p>
      <w:pPr>
        <w:spacing w:after="0" w:line="16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i w:val="1"/>
          <w:iCs w:val="1"/>
          <w:color w:val="auto"/>
        </w:rPr>
        <w:t>Development, Manufacture and Commercialization Activities</w:t>
      </w:r>
      <w:r>
        <w:rPr>
          <w:rFonts w:ascii="Times New Roman" w:cs="Times New Roman" w:eastAsia="Times New Roman" w:hAnsi="Times New Roman"/>
          <w:sz w:val="16"/>
          <w:szCs w:val="16"/>
          <w:color w:val="auto"/>
        </w:rPr>
        <w:t>. Under the Sermonix License, the Company has the sole right to conduct all development (including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manufacturing and commercialization of Licensed Products in the Licensed Territory, at the Company’s sole cost and expense. The Company is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The Company has assumed certain of Sermonix’s agreements with third parties that are conducting or supporting the ELAINE-3 Study in the Licensed Territory and certain agreements with third-party contract manufacturers that have been supplying drug substance and drug product for the ELAINE-3 Study. All of Sermonix’s existing inventory of Licensed Product drug substance and drug product will be transferred to the Company at no additional cost and the Company will provide a portion of such inventory to Henlius for use in the ELAINE-3 Study in the Retained Territory.</w:t>
      </w:r>
    </w:p>
    <w:p>
      <w:pPr>
        <w:spacing w:after="0" w:line="164"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i w:val="1"/>
          <w:iCs w:val="1"/>
          <w:color w:val="auto"/>
        </w:rPr>
        <w:t>Financial Terms</w:t>
      </w:r>
      <w:r>
        <w:rPr>
          <w:rFonts w:ascii="Times New Roman" w:cs="Times New Roman" w:eastAsia="Times New Roman" w:hAnsi="Times New Roman"/>
          <w:sz w:val="16"/>
          <w:szCs w:val="16"/>
          <w:color w:val="auto"/>
        </w:rPr>
        <w:t>. As consideration for the rights granted to the Company under the Sermonix License, the Company will issue Sermonix approximately $34.9 million in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pursuant to a securities purchase agreement (the “</w:t>
      </w:r>
      <w:r>
        <w:rPr>
          <w:rFonts w:ascii="Times New Roman" w:cs="Times New Roman" w:eastAsia="Times New Roman" w:hAnsi="Times New Roman"/>
          <w:sz w:val="16"/>
          <w:szCs w:val="16"/>
          <w:b w:val="1"/>
          <w:bCs w:val="1"/>
          <w:color w:val="auto"/>
        </w:rPr>
        <w:t>Sermonix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 w:name="page5"/>
    <w:bookmarkEnd w:id="4"/>
    <w:p>
      <w:pPr>
        <w:spacing w:after="0" w:line="248" w:lineRule="auto"/>
        <w:rPr>
          <w:sz w:val="20"/>
          <w:szCs w:val="20"/>
          <w:color w:val="auto"/>
        </w:rPr>
      </w:pP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as further described below, make payments to certain of Sermonix’s third-party service providers that total approximately $16.8 million, and make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Sermonix of $75,000 per month, subject to adjustment from time to time upon mutual agreement of the parties. The Company may credit the amount of such monthly payments against all milestone, royalty, and net proceed payments that become due to Sermonix under the Sermonix License, and the Company’s obligation to make such monthly payments will end upon Sermonix’s receipt of the first such milestone, royalty or net proceeds payment. If the Company or its affiliates achieve certain commercialization or annual net sales milestones with respect to the Licensed Products, the Company will make milestone payments to Sermonix up to a maximum aggregate total of $100.0 million, a portion of which may be payable in cash or shares of Common Stock at the Company’s discretion, with final terms to be negotiated between the parties. In addition, the Company is obligated to make royalty payments to Sermonix based on the Company’s and its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 (i) the expiration of the last valid claim of a patent licensed to the Company by Sermonix that covers such Licensed Product in such country, (ii) the expiration of regulatory exclusivity of such Licensed Product in such country; and (iii) 10 years after the first commercial sale of such Licensed Product in such country. If the Company sublicenses or divests its rights to the Licensed Products to a third party, then in lieu of the milestone and royalty payments described above, the Company will pay to Sermonix a percentage of the net proceeds from such sublicensing or divestiture transaction. The applicable percentage is based on the type of payment received by the Company from the third party as well as status of development of the Licensed Products at the time that the sublicense or divestiture transaction is entered into, with rates starting in the high-double digit and decreasing to low-double digit percentages. As consideration for the Company’s payment and other obligations under the Sermonix License, the Company will be eligible to receive from Henlius all milestone and royalty payments that Henlius owes to Sermonix under the Sermonix-Henlius Agreement other than royalties that Sermonix owes to Ligand on account of Sermonix’s license agreement with Ligand, and with the further exception that, if Henlius and Sermonix later agree to share the costs of developing the Licensed Products in Japan, then the Company will not be entitled to receive Sermonix’s share of income arising from the sublicensing of Japanese rights to the Licensed Product.</w:t>
      </w:r>
    </w:p>
    <w:p>
      <w:pPr>
        <w:spacing w:after="0" w:line="17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i w:val="1"/>
          <w:iCs w:val="1"/>
          <w:color w:val="auto"/>
        </w:rPr>
        <w:t>Term and Termination</w:t>
      </w:r>
      <w:r>
        <w:rPr>
          <w:rFonts w:ascii="Times New Roman" w:cs="Times New Roman" w:eastAsia="Times New Roman" w:hAnsi="Times New Roman"/>
          <w:sz w:val="16"/>
          <w:szCs w:val="16"/>
          <w:color w:val="auto"/>
        </w:rPr>
        <w:t>. The Sermonix License will remain in effect until the Company, its affiliates and its sublicensees are no longer developing or commercializing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Licensed Product in the Licensed Territory. Each party may terminate the Sermonix License in its entirety for the uncured material breach by or insolvency of the other party. The Company may terminate the Sermonix License in its entirety for safety reasons or for convenience at any time after the topline data readout of the ELAINE 3 Study. Upon termination, all rights and licenses granted to Company will revert to Sermonix.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Sermonix License includes certain other customary terms and conditions, including mutual representations and warranties, indemnification, and confidentiality provisions.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Cantor is acting as exclusive financial advisor in connection with the license transaction.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affiliate of Perceptive currently holds approximately 29% of the outstanding capital stock of Sermonix (excluding securities convertible into shares of capital stock).</w:t>
      </w:r>
    </w:p>
    <w:p>
      <w:pPr>
        <w:spacing w:after="0" w:line="194"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Sermonix License does not purport to be complete and is qualified in its entirety by reference to the full text of the Sermonix License, a copy of which will be filed as an exhibit to the Company’s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Ligand Agreement</w:t>
      </w:r>
    </w:p>
    <w:p>
      <w:pPr>
        <w:spacing w:after="0" w:line="26"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6"/>
          <w:szCs w:val="16"/>
          <w:i w:val="1"/>
          <w:iCs w:val="1"/>
          <w:color w:val="auto"/>
        </w:rPr>
        <w:t>Licenses and Exclusivity</w:t>
      </w:r>
      <w:r>
        <w:rPr>
          <w:rFonts w:ascii="Times New Roman" w:cs="Times New Roman" w:eastAsia="Times New Roman" w:hAnsi="Times New Roman"/>
          <w:sz w:val="16"/>
          <w:szCs w:val="16"/>
          <w:color w:val="auto"/>
        </w:rPr>
        <w:t>. Under the Ligand Agreement, the Company received from Ligand an exclusive (even as to Ligand), sublicensable license, under relevant know-how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certain patents owned or in-licensed by Ligand, to develop, manufacture and sell Licensed Products for oral use in the Licensed Territory. Ligand does not have any restrictions on its ability to develop, manufacture or sell products (other than the Licensed Products) that selectively modulate the estrogen receptor. The Company granted to Ligand a non-exclusive, sublicensable, worldwide license, under the Company’s improvements to Ligand’s licensed technology, to develop, manufacture and sell products containing lasofoxifene for topical and other non-oral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ind w:right="40"/>
        <w:spacing w:after="0" w:line="254" w:lineRule="auto"/>
        <w:rPr>
          <w:sz w:val="20"/>
          <w:szCs w:val="20"/>
          <w:color w:val="auto"/>
        </w:rPr>
      </w:pPr>
      <w:r>
        <w:rPr>
          <w:rFonts w:ascii="Times New Roman" w:cs="Times New Roman" w:eastAsia="Times New Roman" w:hAnsi="Times New Roman"/>
          <w:sz w:val="16"/>
          <w:szCs w:val="16"/>
          <w:i w:val="1"/>
          <w:iCs w:val="1"/>
          <w:color w:val="auto"/>
        </w:rPr>
        <w:t>Development, Manufacture and Commercialization Activities</w:t>
      </w:r>
      <w:r>
        <w:rPr>
          <w:rFonts w:ascii="Times New Roman" w:cs="Times New Roman" w:eastAsia="Times New Roman" w:hAnsi="Times New Roman"/>
          <w:sz w:val="16"/>
          <w:szCs w:val="16"/>
          <w:color w:val="auto"/>
        </w:rPr>
        <w:t>. Under the Ligand Agreement, the Company has the sole right to conduct all development (including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activities), manufacturing and commercialization of Licensed Products for oral use in the Licensed Territory, at the Company’s sole cost and expense. The Company is obligated to diligently develop, manufacture and sell oral Licensed Products in the Licensed Territory, to use commercially reasonable efforts to develop oral Licensed Products for treatment of metastatic breast cancer and develop markets for oral Licensed Products in the Licensed Territory, and to obtain all necessary regulatory approvals for its manufacture, use, importation and sale of oral Licensed Products in the Licensed Territory.</w:t>
      </w:r>
    </w:p>
    <w:p>
      <w:pPr>
        <w:spacing w:after="0" w:line="1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i w:val="1"/>
          <w:iCs w:val="1"/>
          <w:color w:val="auto"/>
        </w:rPr>
        <w:t>Financial Terms</w:t>
      </w:r>
      <w:r>
        <w:rPr>
          <w:rFonts w:ascii="Times New Roman" w:cs="Times New Roman" w:eastAsia="Times New Roman" w:hAnsi="Times New Roman"/>
          <w:sz w:val="15"/>
          <w:szCs w:val="15"/>
          <w:color w:val="auto"/>
        </w:rPr>
        <w:t>. The financial terms of the Ligand Agreement are the same, with respect to the Licensed Territory, as the financial terms of Sermonix’s license agreement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Ligand that was in place immediately prior to the Sermonix transaction (the “</w:t>
      </w:r>
      <w:r>
        <w:rPr>
          <w:rFonts w:ascii="Times New Roman" w:cs="Times New Roman" w:eastAsia="Times New Roman" w:hAnsi="Times New Roman"/>
          <w:sz w:val="15"/>
          <w:szCs w:val="15"/>
          <w:b w:val="1"/>
          <w:bCs w:val="1"/>
          <w:color w:val="auto"/>
        </w:rPr>
        <w:t>Prior Sermonix-Ligand Agreement</w:t>
      </w:r>
      <w:r>
        <w:rPr>
          <w:rFonts w:ascii="Times New Roman" w:cs="Times New Roman" w:eastAsia="Times New Roman" w:hAnsi="Times New Roman"/>
          <w:sz w:val="15"/>
          <w:szCs w:val="15"/>
          <w:color w:val="auto"/>
        </w:rPr>
        <w:t>”) As a result, the following payments, which are owed by the Company to Ligand, are identical to the amounts that Sermonix would have owed to Ligand if the Prior Sermonix-Ligand Agreement had not been replaced, with respect to the Licensed Territory, by the Ligand Agreement. If the Company or its affiliate or sublicensee achieves certain regulatory approval and commercialization milestones with respect to any oral Licensed Product in the Licensed Territory, the Company will make milestone payments to Ligand up to a maximum aggregate total of $10.5 million in regulatory milestones and $10.5 million in commercialization milestones per Licensed Product. In addition, the Company is obligated to make royalty payments to Ligand based on the Company’s and its affiliates’ and sublicensees’ annual net sales of oral Licensed Products in the Licensed Territory, with the applicable royalty rates ranging from mid-single digit to low-double digit percentages, subject to reductions for generic product sales and amounts paid to third parties for certain intellectual property licenses. Such royalty obligation will expire on a Licensed Product-by-Licensed Product and country-by-country basis on the latest of (i) the expiration of the last valid claim of a patent licensed to the Company by Ligand in such country, (ii) the expiration of regulatory exclusivity of such Licensed Product in such country, and (iii) 15 years after the first commercial sale of such Licensed Product in such country. If the Company sublicenses its rights to the oral Licensed Products to a third party, then in addition to the milestone and royalty payments described above, the Company will pay to Ligand a mid-teen percentage of certain amounts received by the Company from such third-party sublicensee.</w:t>
      </w:r>
    </w:p>
    <w:p>
      <w:pPr>
        <w:spacing w:after="0" w:line="1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i w:val="1"/>
          <w:iCs w:val="1"/>
          <w:color w:val="auto"/>
        </w:rPr>
        <w:t>Term and Termination</w:t>
      </w:r>
      <w:r>
        <w:rPr>
          <w:rFonts w:ascii="Times New Roman" w:cs="Times New Roman" w:eastAsia="Times New Roman" w:hAnsi="Times New Roman"/>
          <w:sz w:val="16"/>
          <w:szCs w:val="16"/>
          <w:color w:val="auto"/>
        </w:rPr>
        <w:t>. The Ligand Agreement will remain in effect so long as the Company, its affiliates and its sublicensees are developing, manufacturing, using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commercializing any Licensed Product in the Licensed Territory. Each party may terminate the Ligand Agreement in its entirety for the uncured material breach by or insolvency of the other party. The Company may terminate the Ligand Agreement in its entirety or on a product-by-product or country-by-country basis, prior to regulatory approval, for safety reasons or failure to achieve the primary efficacy endpoint in any clinical trial of a Licensed Product for oral use. Ligand may terminate the Ligand Agreement if the Company or its affiliate or sublicensee challenges the validity or enforceability of any patent licensed to the Company by Ligand. Upon termination, all rights and licenses granted to Company will revert to Ligand and the Company is obligated to transfer to Ligand the Company’s data, regulatory approvals, domain names and trademarks for the oral Licensed Products in the Licensed Territory.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Ligand Agreement includes certain other customary terms and conditions, including mutual representations and warranties, indemnification, and confidentiality provisions.</w:t>
      </w:r>
    </w:p>
    <w:p>
      <w:pPr>
        <w:spacing w:after="0" w:line="20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The foregoing description of the Ligand Agreement does not purport to be complete and is qualified in its entirety by reference to the full text of the Ligand Agreement, a copy of which will be filed as an exhibit to the Company’s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Sermonix Securities Issuance</w:t>
      </w:r>
    </w:p>
    <w:p>
      <w:pPr>
        <w:spacing w:after="0" w:line="1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connection with entry into the Sermonix License Agreement, on December 18, 2025 the Company and Sermonix entered into a securities purchase agreement (the “</w:t>
      </w:r>
      <w:r>
        <w:rPr>
          <w:rFonts w:ascii="Times New Roman" w:cs="Times New Roman" w:eastAsia="Times New Roman" w:hAnsi="Times New Roman"/>
          <w:sz w:val="16"/>
          <w:szCs w:val="16"/>
          <w:b w:val="1"/>
          <w:bCs w:val="1"/>
          <w:color w:val="auto"/>
        </w:rPr>
        <w:t>Sermonix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pursuant to which Sermonix will be issued a pre-funded warrant (the “</w:t>
      </w:r>
      <w:r>
        <w:rPr>
          <w:rFonts w:ascii="Times New Roman" w:cs="Times New Roman" w:eastAsia="Times New Roman" w:hAnsi="Times New Roman"/>
          <w:sz w:val="16"/>
          <w:szCs w:val="16"/>
          <w:b w:val="1"/>
          <w:bCs w:val="1"/>
          <w:color w:val="auto"/>
        </w:rPr>
        <w:t>Sermonix Pre-Funded Warrant</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Sermonix Securities</w:t>
      </w:r>
      <w:r>
        <w:rPr>
          <w:rFonts w:ascii="Times New Roman" w:cs="Times New Roman" w:eastAsia="Times New Roman" w:hAnsi="Times New Roman"/>
          <w:sz w:val="16"/>
          <w:szCs w:val="16"/>
          <w:color w:val="auto"/>
        </w:rPr>
        <w: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 5,502,402 shares of Common Stock (the “</w:t>
      </w:r>
      <w:r>
        <w:rPr>
          <w:rFonts w:ascii="Times New Roman" w:cs="Times New Roman" w:eastAsia="Times New Roman" w:hAnsi="Times New Roman"/>
          <w:sz w:val="16"/>
          <w:szCs w:val="16"/>
          <w:b w:val="1"/>
          <w:bCs w:val="1"/>
          <w:color w:val="auto"/>
        </w:rPr>
        <w:t>Sermonix Pre-Funded Warrant Shares</w:t>
      </w:r>
      <w:r>
        <w:rPr>
          <w:rFonts w:ascii="Times New Roman" w:cs="Times New Roman" w:eastAsia="Times New Roman" w:hAnsi="Times New Roman"/>
          <w:sz w:val="16"/>
          <w:szCs w:val="16"/>
          <w:color w:val="auto"/>
        </w:rPr>
        <w:t>”). The Sermonix Securities will be issued as partial consideration for Sermonix’s entry into the Sermonix License Agreement. The closing of the purchase and sale of the Sermonix Securities (the “</w:t>
      </w:r>
      <w:r>
        <w:rPr>
          <w:rFonts w:ascii="Times New Roman" w:cs="Times New Roman" w:eastAsia="Times New Roman" w:hAnsi="Times New Roman"/>
          <w:sz w:val="16"/>
          <w:szCs w:val="16"/>
          <w:b w:val="1"/>
          <w:bCs w:val="1"/>
          <w:color w:val="auto"/>
        </w:rPr>
        <w:t>Sermonix Closing</w:t>
      </w:r>
      <w:r>
        <w:rPr>
          <w:rFonts w:ascii="Times New Roman" w:cs="Times New Roman" w:eastAsia="Times New Roman" w:hAnsi="Times New Roman"/>
          <w:sz w:val="16"/>
          <w:szCs w:val="16"/>
          <w:color w:val="auto"/>
        </w:rPr>
        <w:t>”) is expected to occur on or about December 23, 2025,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 w:name="page7"/>
    <w:bookmarkEnd w:id="6"/>
    <w:p>
      <w:pPr>
        <w:ind w:right="60"/>
        <w:spacing w:after="0" w:line="254" w:lineRule="auto"/>
        <w:rPr>
          <w:sz w:val="20"/>
          <w:szCs w:val="20"/>
          <w:color w:val="auto"/>
        </w:rPr>
      </w:pPr>
      <w:r>
        <w:rPr>
          <w:rFonts w:ascii="Times New Roman" w:cs="Times New Roman" w:eastAsia="Times New Roman" w:hAnsi="Times New Roman"/>
          <w:sz w:val="16"/>
          <w:szCs w:val="16"/>
          <w:color w:val="auto"/>
        </w:rPr>
        <w:t>At the Sermonix Closing, the Company will enter into a registration rights agreement (the “</w:t>
      </w:r>
      <w:r>
        <w:rPr>
          <w:rFonts w:ascii="Times New Roman" w:cs="Times New Roman" w:eastAsia="Times New Roman" w:hAnsi="Times New Roman"/>
          <w:sz w:val="16"/>
          <w:szCs w:val="16"/>
          <w:b w:val="1"/>
          <w:bCs w:val="1"/>
          <w:color w:val="auto"/>
        </w:rPr>
        <w:t>Sermonix Registration Rights Agreement</w:t>
      </w:r>
      <w:r>
        <w:rPr>
          <w:rFonts w:ascii="Times New Roman" w:cs="Times New Roman" w:eastAsia="Times New Roman" w:hAnsi="Times New Roman"/>
          <w:sz w:val="16"/>
          <w:szCs w:val="16"/>
          <w:color w:val="auto"/>
        </w:rPr>
        <w:t>”) with Sermonix pursuant to which the Company is required to prepare and file a registration statement with the SEC to register the resale of the Sermonix Pre-Funded Warrant Shares within 30 calendar days after the date of the Sermonix Closing, and to use reasonable best efforts to have the registration statement declared effective at the earliest possible date but no later than the earlier of (a) 75 calendar days after the filing date if the SEC notifies the Company that it will review the registration statement and (b) the fifth business day after the Company is notified by the SEC that the registration statement will not be reviewed or will not be subject to further review.</w:t>
      </w:r>
    </w:p>
    <w:p>
      <w:pPr>
        <w:spacing w:after="0" w:line="1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Sermonix Pre-Funded Warrant has an exercise price of $0.001 per share, subject to customary adjustments under the terms thereof. The Sermonix Pre-Funded Warrant will not be exercisable until the Sermonix Stockholder Approval (as defined below) is obtained. Following receipt of the Sermonix Stockholder Approval, the Sermonix Pre-Funded Warrant will be exercisable at any time, except that the Sermonix Pre-Funded Warrant cannot be exercised if, immediately prior to or following such exercise, Sermonix, together with its affiliates and any other persons whose beneficial ownership of shares of Common Stock would be aggregated with Sermonix for purposes of Section 13(d) of the Exchange Act, would beneficially own more than 4.99% (the “</w:t>
      </w:r>
      <w:r>
        <w:rPr>
          <w:rFonts w:ascii="Times New Roman" w:cs="Times New Roman" w:eastAsia="Times New Roman" w:hAnsi="Times New Roman"/>
          <w:sz w:val="16"/>
          <w:szCs w:val="16"/>
          <w:b w:val="1"/>
          <w:bCs w:val="1"/>
          <w:color w:val="auto"/>
        </w:rPr>
        <w:t>Sermonix Maximum Percentage</w:t>
      </w:r>
      <w:r>
        <w:rPr>
          <w:rFonts w:ascii="Times New Roman" w:cs="Times New Roman" w:eastAsia="Times New Roman" w:hAnsi="Times New Roman"/>
          <w:sz w:val="16"/>
          <w:szCs w:val="16"/>
          <w:color w:val="auto"/>
        </w:rPr>
        <w:t>”) of the total number of issued and outstanding shares of Common Stock of the Company following such exercise. The Sermonix Maximum Percentage may be increased or decreased by Sermonix with 61 days’ written notice to the Company; provided, however, that such percentage may in no event exceed 19.99% prior to receipt of the Sermonix Stockholder Approval.</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The Company has agreed to, no later than in connection with its 2026 annual meeting of stockholders (the “</w:t>
      </w:r>
      <w:r>
        <w:rPr>
          <w:rFonts w:ascii="Times New Roman" w:cs="Times New Roman" w:eastAsia="Times New Roman" w:hAnsi="Times New Roman"/>
          <w:sz w:val="15"/>
          <w:szCs w:val="15"/>
          <w:b w:val="1"/>
          <w:bCs w:val="1"/>
          <w:color w:val="auto"/>
        </w:rPr>
        <w:t>Annual Meeting</w:t>
      </w:r>
      <w:r>
        <w:rPr>
          <w:rFonts w:ascii="Times New Roman" w:cs="Times New Roman" w:eastAsia="Times New Roman" w:hAnsi="Times New Roman"/>
          <w:sz w:val="15"/>
          <w:szCs w:val="15"/>
          <w:color w:val="auto"/>
        </w:rPr>
        <w:t>”), provide notice of, and solicit proxies from the Company’s stockholders to obtain approval such that the Sermonix Pre-Funded Warrant can be exercised at any time without restriction or additional stockholder approval (the “</w:t>
      </w:r>
      <w:r>
        <w:rPr>
          <w:rFonts w:ascii="Times New Roman" w:cs="Times New Roman" w:eastAsia="Times New Roman" w:hAnsi="Times New Roman"/>
          <w:sz w:val="15"/>
          <w:szCs w:val="15"/>
          <w:b w:val="1"/>
          <w:bCs w:val="1"/>
          <w:color w:val="auto"/>
        </w:rPr>
        <w:t>Sermonix Stockholder Approval</w:t>
      </w:r>
      <w:r>
        <w:rPr>
          <w:rFonts w:ascii="Times New Roman" w:cs="Times New Roman" w:eastAsia="Times New Roman" w:hAnsi="Times New Roman"/>
          <w:sz w:val="15"/>
          <w:szCs w:val="15"/>
          <w:color w:val="auto"/>
        </w:rPr>
        <w:t>”). If the Sermonix Stockholder Approval is not obtained at or before the Annual Meeting, the Company has agreed to cause an additional meeting (special or general) of the Company’s stockholders to be held every 90 days thereafter for the purpose of obtaining the Sermonix Stockholder Approval until the Sermonix Stockholder Approval is obtained. If the Sermonix Stockholder Approval has not been obtained by the first anniversary of the original issuance of the Sermonix Pre-Funded Warrant, Sermonix shall have the right (the “</w:t>
      </w:r>
      <w:r>
        <w:rPr>
          <w:rFonts w:ascii="Times New Roman" w:cs="Times New Roman" w:eastAsia="Times New Roman" w:hAnsi="Times New Roman"/>
          <w:sz w:val="15"/>
          <w:szCs w:val="15"/>
          <w:b w:val="1"/>
          <w:bCs w:val="1"/>
          <w:color w:val="auto"/>
        </w:rPr>
        <w:t>Sermonix Redemption Right</w:t>
      </w:r>
      <w:r>
        <w:rPr>
          <w:rFonts w:ascii="Times New Roman" w:cs="Times New Roman" w:eastAsia="Times New Roman" w:hAnsi="Times New Roman"/>
          <w:sz w:val="15"/>
          <w:szCs w:val="15"/>
          <w:color w:val="auto"/>
        </w:rPr>
        <w:t>”) at any time and from time to time prior to such time that the Sermonix Stockholder Approval is obtained thereafter, to cause the Company to pay, at the option of Sermonix, an amount up to (a) $6.35 (the “</w:t>
      </w:r>
      <w:r>
        <w:rPr>
          <w:rFonts w:ascii="Times New Roman" w:cs="Times New Roman" w:eastAsia="Times New Roman" w:hAnsi="Times New Roman"/>
          <w:sz w:val="15"/>
          <w:szCs w:val="15"/>
          <w:b w:val="1"/>
          <w:bCs w:val="1"/>
          <w:color w:val="auto"/>
        </w:rPr>
        <w:t>Sermonix Redemption Price</w:t>
      </w:r>
      <w:r>
        <w:rPr>
          <w:rFonts w:ascii="Times New Roman" w:cs="Times New Roman" w:eastAsia="Times New Roman" w:hAnsi="Times New Roman"/>
          <w:sz w:val="15"/>
          <w:szCs w:val="15"/>
          <w:color w:val="auto"/>
        </w:rPr>
        <w:t>”) multiplied by (b) the number of shares of Common Stock with respect to which Sermonix is exercising the Sermonix Redemption Right. The Sermonix Redemption Right shall terminate on the earlier of (1) such time as an aggregate of $7.5 million in aggregate Sermonix Redemption Price (the “</w:t>
      </w:r>
      <w:r>
        <w:rPr>
          <w:rFonts w:ascii="Times New Roman" w:cs="Times New Roman" w:eastAsia="Times New Roman" w:hAnsi="Times New Roman"/>
          <w:sz w:val="15"/>
          <w:szCs w:val="15"/>
          <w:b w:val="1"/>
          <w:bCs w:val="1"/>
          <w:color w:val="auto"/>
        </w:rPr>
        <w:t>Sermonix Redemption Cap</w:t>
      </w:r>
      <w:r>
        <w:rPr>
          <w:rFonts w:ascii="Times New Roman" w:cs="Times New Roman" w:eastAsia="Times New Roman" w:hAnsi="Times New Roman"/>
          <w:sz w:val="15"/>
          <w:szCs w:val="15"/>
          <w:color w:val="auto"/>
        </w:rPr>
        <w:t>”) has been paid by the Company to Sermonix in connection with one or more exercises of the Sermonix Redemption Right; and (2) immediately upon receipt of the Sermonix Stockholder Approval.</w:t>
      </w:r>
    </w:p>
    <w:p>
      <w:pPr>
        <w:spacing w:after="0" w:line="15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6"/>
          <w:szCs w:val="16"/>
          <w:color w:val="auto"/>
        </w:rPr>
        <w:t>The offer and sale of the Sermonix Securities has not been registered under the Securities Act or any state securities laws. The Company has relied on the exemption from the registration requirements of the Securities Act under Section 4(a)(2) thereof, for a transaction by an issuer not involving any public offering. The Company relied on this exemption from registration based in part on representations made by Sermonix.</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Sermonix Securities Purchase Agreement, Sermonix Pre-Funded Warrant and Sermonix Registration Rights Agreement and the transactions related thereto are referred to herein as the “</w:t>
      </w:r>
      <w:r>
        <w:rPr>
          <w:rFonts w:ascii="Times New Roman" w:cs="Times New Roman" w:eastAsia="Times New Roman" w:hAnsi="Times New Roman"/>
          <w:sz w:val="16"/>
          <w:szCs w:val="16"/>
          <w:b w:val="1"/>
          <w:bCs w:val="1"/>
          <w:color w:val="auto"/>
        </w:rPr>
        <w:t>Sermonix Securities Issuance</w:t>
      </w:r>
      <w:r>
        <w:rPr>
          <w:rFonts w:ascii="Times New Roman" w:cs="Times New Roman" w:eastAsia="Times New Roman" w:hAnsi="Times New Roman"/>
          <w:sz w:val="16"/>
          <w:szCs w:val="16"/>
          <w:color w:val="auto"/>
        </w:rPr>
        <w:t>.” The Sermonix Securities Issuance, together with the Sermonix License and the Ligand Agreement, are referred to herein as the “</w:t>
      </w:r>
      <w:r>
        <w:rPr>
          <w:rFonts w:ascii="Times New Roman" w:cs="Times New Roman" w:eastAsia="Times New Roman" w:hAnsi="Times New Roman"/>
          <w:sz w:val="16"/>
          <w:szCs w:val="16"/>
          <w:b w:val="1"/>
          <w:bCs w:val="1"/>
          <w:color w:val="auto"/>
        </w:rPr>
        <w:t>Sermonix Transaction</w:t>
      </w:r>
      <w:r>
        <w:rPr>
          <w:rFonts w:ascii="Times New Roman" w:cs="Times New Roman" w:eastAsia="Times New Roman" w:hAnsi="Times New Roman"/>
          <w:sz w:val="16"/>
          <w:szCs w:val="16"/>
          <w:color w:val="auto"/>
        </w:rPr>
        <w:t>.” The foregoing description of the material terms of the Sermonix Securities Issuance is qualified in its entirety by reference to the Sermonix Securities Purchase Agreement attached hereto as Exhibit 10.2, the Form of Sermonix Registration Rights Agreement attached hereto as Exhibit 4.5, and the Form of Sermonix Pre-Funded Warrant attached hereto as Exhibit 4.4.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The PIPE Securities and the Sermonix Securities are collectively referred to herein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sale and issuance of the Securities have not been registered under the Securities Act or any state securities laws. The Securities may not be offered or sold in the United States absent registration or an applicable exemption from registration requirements. Neither this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Report on Form 8-K, nor the exhibits attached hereto is an offer to sell or the solicitation of an offer to buy the Securities described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descriptions in Item 1.01 of the Private Placement and the Sermonix Securities Issuance are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5"/>
          <w:szCs w:val="15"/>
          <w:color w:val="auto"/>
        </w:rPr>
        <w:t>As previously reported, as of September 30, 2025, the Company had cash, cash equivalents and investments of $25.2 million. The Company expects that its existing cash resources as of September 30, 2025, when combined with the anticipated net proceeds to be received at the closing of the Private Placement, will enable the Company to fund its planned operations, including the ongoing development of lasofoxifene and ATH-1105, into 2028 (excluding any cash received from the potential exercise of the PIPE Warrants).</w:t>
      </w:r>
    </w:p>
    <w:p>
      <w:pPr>
        <w:spacing w:after="0" w:line="140"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On December 18, 2025, the Company issued a press release announcing the transactions described in this Current Report on Form 8-K. The press release also announced the Company’s intent to change its name. A copy of this press release is furnished as Exhibit 99.1 to this Current Report on Form 8-K.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December 18, 2025, the Company released an updated corporate presentation, including information regarding the transactions described in this Current Report on Form 8-K.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corporate presentation is furnished as Exhibit 99.2 to this Current Report on Form 8-K.</w:t>
      </w:r>
    </w:p>
    <w:p>
      <w:pPr>
        <w:spacing w:after="0" w:line="1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information provided under this Item 7.01 (including Exhibit 99.1 and Exhibit 99.2 attached hereto)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In connection with the entry into and anticipated consummation of the transactions described in this Current Report on Form 8-K, the Company has included in this Item 8.01 updated disclosures for the following sections of its Annual Report on Form 10-K filed on February 27, 2025 (Part I, Item 1—“Business”) and its Quarterly Report on Form 10-Q filed on November 6, 2025 (“Research and Development Expense” and “Liquidity and Capital Resources” in Part I, Item 2—“Management’s Discussion and Analysis of Financial Condition and Results of Operations”, and Part II, Item 1A—“Risk Factors”) The following disclosures assume the consummation of the transactions described in this Current Report on Form 8-K and such disclosures constitute forward-looking statements as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Athira is a clinical-stage biopharmaceutical company dedicated to the development of novel therapeutics for high unmet medical needs, including treatment-resistant metastatic breast cancer and amyotrophic lateral sclerosis (“ALS”), with the goal of improving patients’ lives.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Following a review of potential therapeutic and business opportunities, the Company is acquiring rights to a promising late-stage asset, lasofoxifene, for the potential treatment of ESR1-mutated (“mESR1”) metastatic breast cancer. This late-stage program has generated promising clinical data and the Company believes it represents a unique and exciting opportunity to diversify its pipeline. Athira believes this program will fit well with its later-stage clinical development experience, and complement the Company’s in-house asset, ATH-1105, a Phase-2 ready program for the potential treatment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8" w:name="page9"/>
    <w:bookmarkEnd w:id="8"/>
    <w:p>
      <w:pPr>
        <w:ind w:right="160"/>
        <w:spacing w:after="0" w:line="261" w:lineRule="auto"/>
        <w:rPr>
          <w:sz w:val="20"/>
          <w:szCs w:val="20"/>
          <w:color w:val="auto"/>
        </w:rPr>
      </w:pPr>
      <w:r>
        <w:rPr>
          <w:rFonts w:ascii="Times New Roman" w:cs="Times New Roman" w:eastAsia="Times New Roman" w:hAnsi="Times New Roman"/>
          <w:sz w:val="16"/>
          <w:szCs w:val="16"/>
          <w:color w:val="auto"/>
        </w:rPr>
        <w:t>The drug development landscape in both neuroscience and oncology is evolving rapidly, driven by breakthroughs in genetics, disease biology, and molecular pathway research. Athira is leveraging this scientific momentum to advance a pipeline of innovative, late-stage assets both internally developed and strategically in-licensed with the goal of accelerating their path to market and maximizing their clinical and commercial impact.</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Company’s lead drug candidates, lasofoxifene and ATH-1105 , are novel, small molecule therapies with the potential to address devastating diseases where current treatment options are limited or ineffective. With a strong commitment to scientific excellence and patient-centered innovation, Athira aims to advance meaningful new therapies that are designed to treat patients with treatment-resistant metastatic breast cancer and ALS.</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Athira’s other product candidates include ATH-1020, fosgonimeton, and new early compounds to address neurodegenerative diseases. The disclosure included in this Item 8.01 is focused on lasofoxifene and ATH-1105. For additional information regarding Athira’s other product candidates and early compounds, please refer to the Company’s Annual Report on Form 10-K filed with the SEC on February 27, 2025 and the Company’s Quarterly Reports on Form 10-Q filed with the SEC on May 9, 2025, August 7, 2025 and November 6,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Athira’s Pipeline</w:t>
      </w:r>
    </w:p>
    <w:p>
      <w:pPr>
        <w:spacing w:after="0" w:line="19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Figure 1 below illustrates the current development stage of Athira’s lead therapeutic drug programs, following this transaction. Each program targets unmet needs in either oncology or neurology, leveraging differentiated mechanisms of action supported by preclinical and clinical evidence. Lasofoxifene, a selective estrogen receptor modulator (“SERM”), is currently being evaluated in an ongoing registrational Phase 3 trial for metastatic breast cancer with ESR1 mutations. ATH-1105, a small-molecule positive modulator of the neurotrophic HGF system, has completed a first-in-human Phase 1 trial, and planning for a Phase 2 clinical trial for the treatment of ALS is underway. Athira aims to advance these programs with a focus on disciplined clinical strategy and execution, data-driven decision making, and potential commercialization following receipt of applicable regulatory approvals.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1. Summary of Athira’s Lead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135255</wp:posOffset>
            </wp:positionV>
            <wp:extent cx="4828540" cy="127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8540" cy="127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above summary excludes Athira’s other product candidates, including ATH-1020, fosgonimeton, and Athira’s early compounds.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Lasofoxifene</w:t>
      </w:r>
    </w:p>
    <w:p>
      <w:pPr>
        <w:spacing w:after="0" w:line="19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Lasofoxifene is a highly potent, orally bioavailable, small molecule, selective estrogen receptor modulator that inhibits estrogen receptor signaling in both WT and mESR1 breast cancer.</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Lasofoxifene was discovered through a research collaboration between Pfizer Inc. (“Pfizer”) and Ligand Pharmaceuticals (“Ligand”). Pfizer continued development of the drug in osteoporosis, female sexual dysfunction, and vaginal atrophy. In 2009, lasofoxifene was approved by the EMA in Europe for the treatment of osteoporosis, under the drug name Fablyn. Multiple NDAs were submitted by Pfizer for the prevention of osteoporosis, and vulvar and vaginal atrophy, but no approvals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 w:name="page10"/>
    <w:bookmarkEnd w:id="9"/>
    <w:p>
      <w:pPr>
        <w:ind w:right="180"/>
        <w:spacing w:after="0" w:line="276" w:lineRule="auto"/>
        <w:rPr>
          <w:sz w:val="20"/>
          <w:szCs w:val="20"/>
          <w:color w:val="auto"/>
        </w:rPr>
      </w:pPr>
      <w:r>
        <w:rPr>
          <w:rFonts w:ascii="Times New Roman" w:cs="Times New Roman" w:eastAsia="Times New Roman" w:hAnsi="Times New Roman"/>
          <w:sz w:val="16"/>
          <w:szCs w:val="16"/>
          <w:color w:val="auto"/>
        </w:rPr>
        <w:t>granted in the United States for these indications. Pfizer determined not to launch Fablyn in Europe and marketing authorization was withdrawn automatically under the Sunset Provision in 2012. Currently, lasofoxifene is not authorized for marketing anywhere in the world.</w:t>
      </w:r>
    </w:p>
    <w:p>
      <w:pPr>
        <w:spacing w:after="0" w:line="1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 2011, Pfizer returned global rights of lasofoxifene to Ligand. In 2015, Sermonix subsequently in-licensed exclusive rights to oral lasofoxifene from Ligand, and in 2016, in-licensed intellectual property in ESR1 mutations from Duke University. In 2018, patents were issued for lasofoxifene in ER+ breast and ovarian cancers with an ESR1 mutation. Sermonix initiated a Phase 2/3 development program of lasofoxifene for the treatment of men or women with locally advanced or metastatic estrogen receptor-positive (ER+) breast cancer with an ESR1 mutation (ELAINE-1 and ELAINE-2 studies). In May 2019, the FDA granted lasofoxifene Fast Track Designation. A pivotal Phase 3 trial (ELAINE-3) is underway with topline data expected in 2027.</w:t>
      </w:r>
    </w:p>
    <w:p>
      <w:pPr>
        <w:spacing w:after="0" w:line="162"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In December 2025, Athira in-licensed lasofoxifene globally, excluding Asia and certain countries in the Middle East. Athira plans to complete the ELAINE-3 trial to position lasofoxifene for potential approval in the United States and Europe, if successful.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Disease</w:t>
      </w:r>
    </w:p>
    <w:p>
      <w:pPr>
        <w:spacing w:after="0" w:line="16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Estrogen receptor–positive (“ER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breast cancer accounts for roughly 70% of all breast cancer cases and relies on estrogen-mediated signaling for tumor growth and survival. Endocrine therapy, through aromatase inhibitors (“AIs”), selective estrogen receptor modulators, or selective estrogen receptor degraders (“SERDs”), remains the standard of care, but a majority of patients with metastatic disease eventually develop resistance. A key mechanism underlying this acquired resistance is mutation of the ESR1 gene, which encodes the estrogen receptor alpha (ERα). ESR1 mutation arise primarily due to the selective pressure from endocrine therapies. While endocrine therapies are initially effective, over time, a portion of tumor cells enter a quiet state where they rewire survival pathways, often in the form of ESR1 mutations that are resistant to therapies. The result is persistent estrogen-mediated activation, uncontrolled cell proliferation, and metastatic potential despite ongoing endocrine therapy. Tumors harboring these mutations exhibit diminished sensitivity to standard agents such as fulvestrant, leading to relapse after CDK4/6 inhibitor–based combinations and limited progression-free survival (“PFS”) in the post-CDK4/6 setting, highlighting a critical unmet need.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Action</w:t>
      </w:r>
    </w:p>
    <w:p>
      <w:pPr>
        <w:spacing w:after="0" w:line="19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Lasofoxifene is a next-generation selective estrogen receptor modulator that inhibits estrogen receptor signaling in both WT and mESR1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disrupts the activation helix within the ER ligand-binding domain, preventing downstream estrogen signaling. This mechanism effectively shuts down the constitutive signaling that drives proliferation and metastasis in mESR1 tumors.</w:t>
      </w:r>
    </w:p>
    <w:p>
      <w:pPr>
        <w:spacing w:after="0" w:line="16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In preclinical models, lasofoxifene demonstrated superior antitumor activity compared with fulvestrant, both as a single agent and in combination with CDK4/6 inhibitors, achieving robust tumor responses. Clinically, lasofoxifene acts as a tissue-selective ER modulator – antagonistic in breast tissue while maintaining beneficial estrogenic activity in bone tissues, supporting an improved tolerability and quality-of-life profile compared to SERDs. Lasofoxifene has also demonstrated excellent combinability with targeted agents such as CDK4/6 or PI3K inhibitors.</w:t>
      </w:r>
    </w:p>
    <w:p>
      <w:pPr>
        <w:spacing w:after="0" w:line="161" w:lineRule="exact"/>
        <w:rPr>
          <w:sz w:val="20"/>
          <w:szCs w:val="20"/>
          <w:color w:val="auto"/>
        </w:rPr>
      </w:pPr>
    </w:p>
    <w:p>
      <w:pPr>
        <w:ind w:right="40"/>
        <w:spacing w:after="0" w:line="210" w:lineRule="exact"/>
        <w:rPr>
          <w:sz w:val="20"/>
          <w:szCs w:val="20"/>
          <w:color w:val="auto"/>
        </w:rPr>
      </w:pPr>
      <w:r>
        <w:rPr>
          <w:rFonts w:ascii="Times New Roman" w:cs="Times New Roman" w:eastAsia="Times New Roman" w:hAnsi="Times New Roman"/>
          <w:sz w:val="16"/>
          <w:szCs w:val="16"/>
          <w:color w:val="auto"/>
        </w:rPr>
        <w:t>Through this unique receptor-stabilizing mechanism, lasofoxifene represents a mechanistically distinct and potent strategy to overcome ESR1-driven endocrine resistance and re-establish durable ER pathway control in metastatic 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/HER2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breast cancer.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Evidence for Treatment of mESR1 Metastatic Breast Cancer</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 robust clinical efficacy and safety database was generated by Pfizer during their development of lasofoxifene, including 23 Phase 1 trials, 11 Phase 2 trials, and 6 Phase 3 trials. These data position lasofoxifene as one of the more well-characterized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0" w:name="page11"/>
    <w:bookmarkEnd w:id="10"/>
    <w:p>
      <w:pPr>
        <w:ind w:right="280"/>
        <w:spacing w:after="0" w:line="261" w:lineRule="auto"/>
        <w:rPr>
          <w:sz w:val="20"/>
          <w:szCs w:val="20"/>
          <w:color w:val="auto"/>
        </w:rPr>
      </w:pPr>
      <w:r>
        <w:rPr>
          <w:rFonts w:ascii="Times New Roman" w:cs="Times New Roman" w:eastAsia="Times New Roman" w:hAnsi="Times New Roman"/>
          <w:sz w:val="16"/>
          <w:szCs w:val="16"/>
          <w:color w:val="auto"/>
        </w:rPr>
        <w:t>novel endocrine therapies under development for advanced mBC. Athira plans to leverage the existing data to advance the development of lasofoxifene. Of note, over 5,000 patients were treated with lasofoxifene in Pfizer’s Phase 3 (PEARL; NCT00141323) osteoporosis trial for up to 5 years, which demonstrated reduction in bone fractures and a reduction in new-onset breast cancer. After 5 years, women treated with 0.5 mg lasofoxifene had an 81% (p&lt;0.001) decrease in risk of ER+ breast cancer.</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ELAINE-1 (NCT03781063) was an open-label, randomized, multicenter, Phase 2 trial, designed as a proof-of-concept of lasofoxifene compared to fulvestrant for the treatment of pre- and postmenopausal women with locally advanced or metastatic ER+/HER2− breast cancer with an acquired ESR1 mutation and who have disease progression on an AI in combination with a cyclin dependent kinase (CDK) 4/6 inhibitor. The primary outcome measure was PFS and the median PFS was 5.6 and 3.7 months for lasofoxifene treated participants and fulvestrant treated participants, respectively (Figure 12). Lasofoxifene and fulvestrant were both safe and well tolerated, with no significant differences between groups. While the trial was not powered, it sufficiently demonstrated the potential benefit of monotherapy lasofoxifene.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2. Kaplan-Meier estimates of PFS for lasofoxifene versus fulvestrant.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574415" cy="1802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441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Crosses indicate censored patients. CI, confidence interval; Fulv, fulvestrant; HR, hazard ratio; LAS, lasofoxifene.</w:t>
      </w:r>
    </w:p>
    <w:p>
      <w:pPr>
        <w:spacing w:after="0" w:line="19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color w:val="auto"/>
        </w:rPr>
        <w:t>ELAINE-2 (NCT04432454) was an open-label, multicenter, single-arm Phase 2 trial, designed to evaluate the safety and tolerability of the lasofoxifene and abemaciclib (a subsequently approved treatment) combination for the treatment of pre- and postmenopausal women with locally advanced or metastatic ER+/HER2− breast cancer with an acquired ESR1 mutation who have disease progression while on first and/or second lines of hormonal treatment. The combination treatment of lasofoxifene with abemaciclib demonstrated a 13-month (56 weeks) median PFS, which the Company believes is the longest duration observed in 2L/3L post-CDK4/6i patients (Figure 13). The combined treatment delivered a high tumor response (56% ORR) and durable disease control (65.5% CBR). The deep ctDNA and ESR1 clearance correlated with PFS, which is suggestive of target engagement and clinical benefits for patients with co-mutations. Safety outcomes of participants treated with abemaciclib and lasofoxifene resembled the established safety profile of abemaciclib and lasofoxifene, separately, with no notable increases in adverse event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1725930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 xml:space="preserve">Figure 3: </w:t>
      </w:r>
      <w:r>
        <w:rPr>
          <w:rFonts w:ascii="Times New Roman" w:cs="Times New Roman" w:eastAsia="Times New Roman" w:hAnsi="Times New Roman"/>
          <w:sz w:val="16"/>
          <w:szCs w:val="16"/>
          <w:color w:val="auto"/>
        </w:rPr>
        <w:t>Kaplan-Meier analysis of PFS.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326765" cy="175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6765" cy="175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CI, confidence interval; NE, not estimable; PFS, progression-free survival.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Development Plan for Lasofoxifene in mESR1 Metastatic Breast Cancer</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 September 2022, an End of Phase 2 (EOP2) meeting was held with the FDA. Following the completion of ELAINE-2, these data were discussed with FDA and a pivotal, global Phase 3 trial protocol (ELAINE-3; NCT05696626) to evaluate lasofoxifene with abemaciclib was agreed upon. ELAINE-3 aims to demonstrate the potential superiority of lasofoxifene with abemaciclib, as a new standard-of-care versus fulvestrant with abemaciclib for ESR1-driven post-CDK4/6i metastatic breast cancer (Figure 14). The primary endpoint is determined by a blinded independent review of centralized scans using industry standard RECIST criteria. The primary readout will be conducted when 285 participants have been determined to meet the RECIST criteria for progression.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ELAINE-3 was initiated in 2024; as of December 2025, over 50% of recruitment was completed and Athira anticipates completion of recruitment in the first half of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4: ELAINE-3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2525395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38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86300" cy="1381760"/>
                    </a:xfrm>
                    <a:prstGeom prst="rect">
                      <a:avLst/>
                    </a:prstGeom>
                    <a:noFill/>
                  </pic:spPr>
                </pic:pic>
              </a:graphicData>
            </a:graphic>
          </wp:anchor>
        </w:drawing>
      </w:r>
    </w:p>
    <w:p>
      <w:pPr>
        <w:sectPr>
          <w:pgSz w:w="11900" w:h="16838" w:orient="portrait"/>
          <w:cols w:equalWidth="0" w:num="1">
            <w:col w:w="11220"/>
          </w:cols>
          <w:pgMar w:left="320" w:top="12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color w:val="auto"/>
        </w:rPr>
        <w:t>Market Opportunity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effective treatment options for ER+/HER2-, ESR1 mutated breast cancer remain limited, particularly after progression on AIs and CDK4/6 inhibitor therapy.</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Athira believes that if lasofoxifene, in combination treatment with abemaciclib (Verzenio), demonstrates a competitive PFS, a substantial objective response rate, and a favorable tolerability and quality of life profile, it will represent a compelling profile for approval and commercialization. In a quantitative survey of 50 physicians, Sermonix reported that 86% of physicians indicated that they definitely would or probably would prescribe a lasofoxifene combination regimen to treat patients with ER+/HER2- advanced breast cancer with an ESR1 mutation. The Company believes lasofoxifene, if approved, will represent a desirable commercial option for patients with ER+/HER2-, ESR1 mutated breast cancer. Based on the prevalence of ER+/HER2- mBC cases in 2L+ therapy and rate of ESR1 mutations, Athira’s market research suggests that the U.S. market opportunity for lasofoxifene may exceed $1.0 billion in peak annual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Potential Commercialization Plan</w:t>
      </w:r>
    </w:p>
    <w:p>
      <w:pPr>
        <w:spacing w:after="0" w:line="19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6"/>
          <w:szCs w:val="16"/>
          <w:color w:val="auto"/>
        </w:rPr>
        <w:t>Lasofoxifene is currently in development for the potential treatment of ER+/HER2-, ESR1 mutated metastatic breast cancer, a genetically defined, high-value market segment with limited effective options following AI and CDK4/6 inhibitor therapy. The potential commercialization strategy is centered around lasofoxifene as a 2L/3L+ therapy in combination with abemaciclib (CDK4/6i) after progression on endocrine therapy + CDK4/6i. Athira aims to demonstrate that lasofoxifene provides compelling combination efficacy while offering quality-of-life advantages unmatched by current endocrine therapies. If successful, the Company may evaluate lasofoxifene in earlier-line use and in combinations with other targeted therapies such as mTOR or PI3K pathway inhibitors.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196"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Athira does not operate its own facilities for manufacturing, storing, or distributing drug candidates. It utilizes third-party CDMOs to manufacture and supply preclinical and clinical materials during the development of drug candidates.</w:t>
      </w:r>
    </w:p>
    <w:p>
      <w:pPr>
        <w:spacing w:after="0" w:line="14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6"/>
          <w:szCs w:val="16"/>
          <w:color w:val="auto"/>
        </w:rPr>
        <w:t>Lasofoxifene is purified as a stable solid and then released to other CDMOs for formulation and packaging into the final tablet drug product for use in clinical testing and commercial supply. The drug chemistry is well established, the highly potent API has been well characterized, and the impurity profile is well controlled. Athira believes the synthesis of lasofoxifene tablets is reliable and reproducible and the synthetic routes can be further optimized to enable large-scale production, including the manufacturing of API in a high-potent suite. Current manufactured drug product follows the original Pfizer formulation. Clinical supply manufacturing is on track to meet the projected drug supply demand of the ongoing ELAINE-3 trial. Ongoing process optimization is being conducted to establish larger clinical and commercial supplies that meet quality and manufacturing standards for the potential commercial manufacturing of lasofoxifene, with an anticipated 4-year shelf life.</w:t>
      </w:r>
    </w:p>
    <w:p>
      <w:pPr>
        <w:spacing w:after="0" w:line="165"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For the potential commercialization of any drug candidates that receive regulatory approval, Athira expects to rely on any potential partner’s manufacturing capabilities or use similar third-party CDMO contract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9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6"/>
          <w:szCs w:val="16"/>
          <w:color w:val="auto"/>
        </w:rPr>
        <w:t>The biotechnology and biopharmaceuticals industries are characterized by rapid technological advancement, significant competition, and an emphasis on intellectual property. The mBC market is active, especially in the 2L+ treatment landscape. Athira expects increased competitive pressures from both large and small pharmaceutical companies and from established and emerging biotechnology companies, as well as academic, government, public, and private research institutions.</w:t>
      </w:r>
    </w:p>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While lasofoxifene is a novel SERM, several pharmaceutical and biotechnology companies are developing or marketing 1L+ therapies for patients with ESR1 mBC. These include, but are not limited to, Stemline Therapeutics, Inc. (Orsedu ®), Eli Lilly (Inluriyo ®), AstraZeneca, Sanofi, Arvinas, Olema, Novartis Pharmaceuticals, and F. Hoffman-La Roche AG. Although SERDs and SERMs may have utility in the 1L setting, Athira believes that demonstrating a substantial and clinically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6"/>
          <w:szCs w:val="16"/>
          <w:color w:val="auto"/>
        </w:rPr>
        <w:t>meaningful improvement from the current standard of care remains challenging. Existing AI and CDK4/6i combinations have demonstrated efficacy, safety, tolerability, and cost effectiveness that are difficult to displace. SERDs have been found to be most effective in patients with low ESR1 mutation rates. Given common clinical practice to sequence therapies with different mechanisms of action upon disease progression, a SERM such as lasofoxifene may be positioned for use following prior exposure to SERDs, AIs, CDK4/6i, or other therapies utilized in earlier stages of the disease.</w:t>
      </w:r>
    </w:p>
    <w:p>
      <w:pPr>
        <w:spacing w:after="0" w:line="1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Athira believes that the key competitive factors affecting the success of lasofoxifene will include efficacy, quality of life improvement, safety profile, convenience, cost, and intellectual property protection compared to existing treatments. Compared to its competitors, the Company believes lasofoxifene has the potential to deliver durable efficacy (13 months PFS in CDK4/6i combo setting), superior tolerability (grade 1/2 AEs such as diarrhea), and combination potential (minimal DDIs). In addition, Athira believes that lasofoxifene is the only targeted novel endocrine treatment with potential QoL benefits (improved urogenital symptoms and potential bone density and lipid health benefits) in precision oncology medicine. Thus, Athira believes that these advantages may position lasofoxifene as a potential standard in endocrine therapy. Newly approved treatments for ESR1+ mBC will have to compete with existing therapies as well as therapies currently in development and that may be developed in the future. Many of the Company’s current and potential competitors possess greater financial, technical, and human resources, along with deeper experience in drug discovery, clinical development, and obtaining regulatory approval for therapies in the U.S. and abroad. They also have extensive expertise in commercializing approved therapies and leveraging established market channels. Mergers and acquisitions in the pharmaceutical and biotechnology industries continue to concentrate these capabilities among a smaller number of companies. As a result, competitors may achieve regulatory approval more rapidly, secure broad market penetration, and gain stronger physician and payer adoption.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ATH-1105</w:t>
      </w:r>
    </w:p>
    <w:p>
      <w:pPr>
        <w:spacing w:after="0" w:line="19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5"/>
          <w:szCs w:val="15"/>
          <w:color w:val="auto"/>
        </w:rPr>
        <w:t>ATH-1105 is a novel, orally available, brain-penetrant, next generation, small-molecule drug candidate designed to positively modulate the neurotrophic HGF system. Athira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spacing w:after="0" w:line="14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 xml:space="preserve">In preclinical models of ALS, treatment with ATH-1105 resulted in improvements in motor neuron survival and function. In vitro, ATH-1105 treatment protected primary spinal motor neurons from glutamate toxicity and prevented accumulation of toxic protein aggregates. Additionally, ATH-1105 induced target activation in cultures of ALS patient-derived motor neurons. In a preclinical mouse model of ALS, treatment with ATH-1105 significantly prevented loss of body weight, and improved motor function including balance, coordination and muscle strength. Athira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and published in </w:t>
      </w:r>
      <w:r>
        <w:rPr>
          <w:rFonts w:ascii="Times New Roman" w:cs="Times New Roman" w:eastAsia="Times New Roman" w:hAnsi="Times New Roman"/>
          <w:sz w:val="16"/>
          <w:szCs w:val="16"/>
          <w:i w:val="1"/>
          <w:iCs w:val="1"/>
          <w:color w:val="auto"/>
        </w:rPr>
        <w:t>Frontiers in Neuroscience</w:t>
      </w:r>
      <w:r>
        <w:rPr>
          <w:rFonts w:ascii="Times New Roman" w:cs="Times New Roman" w:eastAsia="Times New Roman" w:hAnsi="Times New Roman"/>
          <w:sz w:val="16"/>
          <w:szCs w:val="16"/>
          <w:color w:val="auto"/>
        </w:rPr>
        <w:t>, 2024. Weight loss, motor deficits, inflammation, loss of functional nerve signaling, and motor neurodegeneration and demyelination are all hallmarks of ALS disease; treatment with ATH-1105 significantly improved all of these aspects in the preclinical models tested.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Disease</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Causes of neurodegenerative diseases are not fully understood as they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80" w:right="379" w:bottom="1440" w:gutter="0" w:footer="0" w:header="0"/>
        </w:sectPr>
      </w:pPr>
    </w:p>
    <w:bookmarkStart w:id="14" w:name="page15"/>
    <w:bookmarkEnd w:id="14"/>
    <w:p>
      <w:pPr>
        <w:spacing w:after="0" w:line="250" w:lineRule="auto"/>
        <w:rPr>
          <w:sz w:val="20"/>
          <w:szCs w:val="20"/>
          <w:color w:val="auto"/>
        </w:rPr>
      </w:pPr>
      <w:r>
        <w:rPr>
          <w:rFonts w:ascii="Times New Roman" w:cs="Times New Roman" w:eastAsia="Times New Roman" w:hAnsi="Times New Roman"/>
          <w:sz w:val="16"/>
          <w:szCs w:val="16"/>
          <w:color w:val="auto"/>
        </w:rPr>
        <w:t>Scientific evidence supporting the neurotrophic HGF system as a naturally occurring repair mechanism is backed by over 30 years of research. MET is one of the most stably expressed genes in the adult human brain and is essential to a healthy, functional nervous system. HGF/MET signaling plays a critical role in both the development and maintenance of nervous system tissue. In ALS, studies have highlighted the importance of HGF in key processes affected by the disease. HGF functions as a potent survival factor for motor neurons, and impaired HGF/MET signaling has detrimental effects on neuromuscular junction integrity. Preclinical studies in ALS animal models show that HGF delivery reduces motor neuron degeneration, improves motor function, and prolongs lifespan. Additionally, HGF signaling has been linked to muscle function, the loss of which is a key feature of ALS. And although evidence supports the neurotrophic HGF system as an attractive target for combating neurodegenerative diseases, such as ALS,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limited distribution and more invasive delivery requirements, such as intrathecal or intravenous, or locally restricted to the periphery, such as via intramuscular routes of administration.</w:t>
      </w:r>
    </w:p>
    <w:p>
      <w:pPr>
        <w:spacing w:after="0" w:line="1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To date, drug developers have been deploying approaches that typically address only a single factor of the cascade of pathologies that lead to neurodegeneration, and translating early successful results to meaningful clinical benefit has been mixed. Athira believes that addressing such complex and multifactorial diseases requires a novel multimodal approach, such as targeting the neurotrophic HGF system through non-invasive small molecules that enhance levels of HGF system activation to protect and repair neuronal networks.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Mechanism of Action</w:t>
      </w:r>
    </w:p>
    <w:p>
      <w:pPr>
        <w:spacing w:after="0" w:line="196"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6"/>
          <w:szCs w:val="16"/>
          <w:color w:val="auto"/>
        </w:rPr>
        <w:t>Athira has developed a pipeline of proprietary small molecule compounds, or ATH positive modulators, designed to enhance the neurotrophic HGF system and promote its neuroprotective, neurotrophic and anti-inflammatory effects, including protection of neurons from a variety of insults. These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6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6"/>
          <w:szCs w:val="16"/>
          <w:color w:val="auto"/>
        </w:rPr>
        <w:t>Figure 3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color w:val="auto"/>
        </w:rPr>
        <w:t>Figure 5.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2718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8630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As ATH positive modulators interact with the HGF system, neurotrophic and neuroprotective pathways are activated downstream, including the activation of the extracellular-signal regulated kinase (“ERK”) and protein kinase B, or AKT pathways, which play critical roles in protecting neurons from damage and death, including from oxidative stress, excitotoxicity, and apoptosis. Figure 4 below shows cell culture data demonstrating that one of the key mechanisms of action of ATH positive modulators is through activation of AKT and ERK via MET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color w:val="auto"/>
        </w:rPr>
        <w:t>Figure 6. ATH-1105 enhances HGF signaling and promotes neurotrophic and neuroprotective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97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86300"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Positively modulating the neurotrophic HGF system promotes its multimodal effects, which Athira believes can potentially address the complex pathology in neurodegenerative diseases. These positive multimodal effects taken together may lead to improvement in function.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ATH-1105 Preclinical Evidence for ALS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Transactive response (“</w:t>
      </w:r>
      <w:r>
        <w:rPr>
          <w:rFonts w:ascii="Times New Roman" w:cs="Times New Roman" w:eastAsia="Times New Roman" w:hAnsi="Times New Roman"/>
          <w:sz w:val="16"/>
          <w:szCs w:val="16"/>
          <w:b w:val="1"/>
          <w:bCs w:val="1"/>
          <w:color w:val="auto"/>
        </w:rPr>
        <w:t>TAR</w:t>
      </w:r>
      <w:r>
        <w:rPr>
          <w:rFonts w:ascii="Times New Roman" w:cs="Times New Roman" w:eastAsia="Times New Roman" w:hAnsi="Times New Roman"/>
          <w:sz w:val="16"/>
          <w:szCs w:val="16"/>
          <w:color w:val="auto"/>
        </w:rPr>
        <w:t>”) DNA-binding protein 43 (“TDP-43”). Figure 5 summarizes the data with images of microtubule-associated protein-2 (“MAP-2”)-labeled spinal motor neurons in green, and extranuclear TDP-43 in red. In the control image on the left with no excitotoxic insult (glutamate), there is minimal overlap of MAP-2 neurons with extranuclear TDP-43. When glutamate is applied to the motor neuron cultures, there is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878"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color w:val="auto"/>
        </w:rPr>
        <w:t>Figure 7.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1884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86300" cy="188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Data presented as mean + SEM. Statistics applied: 1-way ANOVA with Fisher least significant difference test. *p&lt;0.05; **p&lt;0.01; ***p&lt;0.001 versus Glutamate Control. Scale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bar: 100 µm. n=5-6 per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MAP-2, microtubule-associated protein-2; TDP-43, TAR DNA-binding protein 43.</w:t>
      </w:r>
    </w:p>
    <w:p>
      <w:pPr>
        <w:spacing w:after="0" w:line="19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ATH-1105 has also demonstrated target engagement in ALS patient-derived induced pluripotent stem cells (iPSCs) that were differentiated into motor neurons. In this model, as summarized in Figure 6, ALS patient-derived motor neurons treated with ATH-1105 10 nM exhibited a significant increase in MET activation (pMET) demonstrating engagement of HGF signaling, when compared to motor neurons treated with vehicle. Furthermore, treatment with ATH-1105 led to enhanced neuronal survival of ALS patient-derived motor neurons.</w:t>
      </w:r>
    </w:p>
    <w:p>
      <w:pPr>
        <w:spacing w:after="0" w:line="3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Figure 8. ATH-1105 enhances MET activation and survival in ALS patient-derived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135255</wp:posOffset>
            </wp:positionV>
            <wp:extent cx="4761230" cy="1779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1230" cy="177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 xml:space="preserve">Human iPSC-derived motor neurons derived from four people with sporadic ALS were sourced from Cedar Sinai via AnswerALS consortium. Motor neurons were cultured in growth factor deprived media and treated with vehicle or ATH-1105 every 48h for six days. MET activation: Data presented as mean ± SEM. Statistical significance was determined via paired </w:t>
      </w:r>
      <w:r>
        <w:rPr>
          <w:rFonts w:ascii="Times New Roman" w:cs="Times New Roman" w:eastAsia="Times New Roman" w:hAnsi="Times New Roman"/>
          <w:sz w:val="16"/>
          <w:szCs w:val="16"/>
          <w:i w:val="1"/>
          <w:iCs w:val="1"/>
          <w:color w:val="auto"/>
        </w:rPr>
        <w:t>t</w:t>
      </w:r>
      <w:r>
        <w:rPr>
          <w:rFonts w:ascii="Times New Roman" w:cs="Times New Roman" w:eastAsia="Times New Roman" w:hAnsi="Times New Roman"/>
          <w:sz w:val="16"/>
          <w:szCs w:val="16"/>
          <w:color w:val="auto"/>
        </w:rPr>
        <w:t>-test comparing MET activation (pMET/Total MET) in motor neurons treated with vehicle or ATH-1105 [10] nM for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18" w:name="page19"/>
    <w:bookmarkEnd w:id="18"/>
    <w:p>
      <w:pPr>
        <w:ind w:right="100"/>
        <w:spacing w:after="0" w:line="256" w:lineRule="auto"/>
        <w:rPr>
          <w:sz w:val="20"/>
          <w:szCs w:val="20"/>
          <w:color w:val="auto"/>
        </w:rPr>
      </w:pPr>
      <w:r>
        <w:rPr>
          <w:rFonts w:ascii="Times New Roman" w:cs="Times New Roman" w:eastAsia="Times New Roman" w:hAnsi="Times New Roman"/>
          <w:sz w:val="16"/>
          <w:szCs w:val="16"/>
          <w:color w:val="auto"/>
        </w:rPr>
        <w:t xml:space="preserve">n = 2-3 technical replicates from each donor. Neuronal survival: Representative image highlighting effect of ATH-1105 on ALS patient-derived motor neurons (ALS 1) in culture. Neuronal survival (number of Tuji1+ neurons) was measured as surviving neurons on Day 6 divided by number of neurons on Day 1 (control expressed as 100%). Scale bar = 100 µm. Data expressed as fold-change between vehicle and ATH-1105 and presented as mean ± SEM. Statistical significance was determined via paired </w:t>
      </w:r>
      <w:r>
        <w:rPr>
          <w:rFonts w:ascii="Times New Roman" w:cs="Times New Roman" w:eastAsia="Times New Roman" w:hAnsi="Times New Roman"/>
          <w:sz w:val="16"/>
          <w:szCs w:val="16"/>
          <w:i w:val="1"/>
          <w:iCs w:val="1"/>
          <w:color w:val="auto"/>
        </w:rPr>
        <w:t>t</w:t>
      </w:r>
      <w:r>
        <w:rPr>
          <w:rFonts w:ascii="Times New Roman" w:cs="Times New Roman" w:eastAsia="Times New Roman" w:hAnsi="Times New Roman"/>
          <w:sz w:val="16"/>
          <w:szCs w:val="16"/>
          <w:color w:val="auto"/>
        </w:rPr>
        <w:t>-test comparing vehicle (containing HGF 0.05 ng/ml) with ATH-1105 [10] nM; n = 3-6 technical replicates from each donor. Select doses shown.</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Plasma biomarkers of inflammation and neurodegeneration were significantly reduced following treatment with ATH-1105 in a transgenic TDP-43-driven mouse model of ALS (Figure 7). These results support the anti-inflammatory and neuroprotective effects of ATH-1105 through enhancement of neurotrophic HGF system signaling. In the TDP-43-driven ALS model, significant increases in the proinflammatory cytokines tumor necrosis factor alpha (“TNF-alpha”), and interleukin 6 (“IL-6”), were observed compared to healthy wild-type (“WT”), control animals. When ALS-model mice, or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Figure 9.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950335" cy="1314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5033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6"/>
          <w:szCs w:val="16"/>
          <w:i w:val="1"/>
          <w:iCs w:val="1"/>
          <w:color w:val="auto"/>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IL-6, interleukin 6; NfL, neurofilament light chain; TNF-α, tumor necrosis factor alpha; WT, wild-type.</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Treatment with ATH-1105 in a mouse model of ALS protected against axon degeneration and demyelination as observed from histological examination of cross-sections of the sciatic nerve. Figure 8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i w:val="1"/>
          <w:iCs w:val="1"/>
          <w:color w:val="auto"/>
        </w:rPr>
        <w:t>Figure 10.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912870" cy="2493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2870"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Histology images of sciatic nerve cross-sections stained with toluidine blue to label myelin. Scale is 10 μm (all panels). Graphical representation of the number of axons (per 100 µm2),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WT, wild-type.</w:t>
      </w:r>
    </w:p>
    <w:p>
      <w:pPr>
        <w:spacing w:after="0" w:line="1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Further analyses of electrophysiological and behavioral assessments indicated the protection of the motor neurons with ATH-1105 translated to improved nerve and motor function (Figure 9). Compound muscle action potential (“CMAP”), and nerve conduction velocity (“NCV”), are two electrophysiological measures of functional nerve signaling. Treatment with ATH-1105 in a mouse model of ALS demonstrated consistent and significant improvements of nerve function compared to ALS disease control animals.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color w:val="auto"/>
        </w:rPr>
        <w:t>Figure 11.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514725" cy="3529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4725" cy="352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Graphical representation of CMAP amplitude, NCV, rotarod latency, and grip strength at baseline and after one and two months of treatment. Data presented as mean ± SEM.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Statistical significance was determined by 2-way ANOVA with the Dunnett’s test versus ALS + vehicle. **p&lt;0.01; ***p&lt;0.001; ****p&lt;0.0001. N=10 per group.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ALS, amyotrophic lateral sclerosis; CMAP, compound muscle action potential; NCV, nerve conduction velocity; WT, wild-type.</w:t>
      </w:r>
    </w:p>
    <w:p>
      <w:pPr>
        <w:spacing w:after="0" w:line="19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above study results, depicted in Figure 9, were presented at the American Academy of Neurology (“AAN”), in April 2023, and the ALS Drug Development Summit in May 2023.</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Treatment with ATH-1105 in a mouse model of ALS extends survival and improves other disease-related measures. Figure 10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color w:val="auto"/>
        </w:rPr>
        <w:t>Figure 12.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3236595" cy="2200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6595" cy="220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Data presented as Kaplan-Meier curve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Statistics applied: Log-rank (Mantel-Cox) test for survival curve comparison, **p&lt;0.01. n=20 mice per group at start</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Treatment with ATH-1105 in a mouse model of ALS outperforms treatment with riluzole under the conditions tested in assessments of motor function, nerve function, and in reducing disease-related plasma biomarkers. Figure 11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Furthermore, ATH-1105 significantly reduced levels of pTDP-43 in the sciatic nerve, whereas riluzole did not. These findings were reported at the Northeast ALS Consortium meeting in October 2023, and the Motor Neurone Disease Association conference in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color w:val="auto"/>
        </w:rPr>
        <w:t>Figure 13. ATH-1105 Preserves Motor and Nerve Function and Reduces Plasma NfL Compared with Riluzole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4686300" cy="2230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86300"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i w:val="1"/>
          <w:iCs w:val="1"/>
          <w:color w:val="auto"/>
        </w:rPr>
        <w:t>Graphical representation of change from baseline following two months of treatment in grip test, CMAP amplitude, and Plasma Nfl. Data presented as mean ± SEM, or box-and-whisker plots</w:t>
      </w:r>
    </w:p>
    <w:p>
      <w:pPr>
        <w:spacing w:after="0" w:line="14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i w:val="1"/>
          <w:iCs w:val="1"/>
          <w:color w:val="auto"/>
        </w:rPr>
        <w:t>Statistics applied: One-way ANOVA with Dunnett’s test. *p&lt;0.05; **p&lt;0.01; *** p&lt;0.001; **** p&lt;0.0001. n=10 mice per group; Abbreviations: CFB, change from baseline, CMAP, compound muscle action potential, NfL, neurofilament light chain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Evidence for ATH-1105 in ALS</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Athira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exhibited a favorable safety and tolerability profile, dose-proportional PK, and CNS penetration. In an exploratory target engagement study, analysis of neuron-derived extracellular vesicles from human plasma showed a treatment-associated increase in phospho-GSK3β(Ser9), supporting its potential use as a biomarker for future clinical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Development Plan for ATH-1105 in ALS</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Athira is proposing a Phase 2a, open-label, multicenter, single-arm trial designed to assess plasma NfL levels, safety, pharmacokinetics, and exploratory outcomes for a once daily single-dose treatment of ATH-1105 for a minimum of 6-months in people living with ALS. NfL is a well-established biomarker of axonal injury and is elevated in people living with ALS, reflecting rate of neurodegeneration. In the Company’s proposed Phase 2 study, demonstrating a reduction or stabilization of NfL would deliver proof-of-concept for neuroprotection, indicating that ATH-1105 may slow the biological drivers of ALS progression. Exploratory outcome measures may include ALSFRS-R, Slow Vital Capacity, and other ALS related biomarkers. The trial population would include males or females between ≥18 and 80 years of age, inclusive with sporadic or familial ALS who are diagnosed with definite ALS, probable ALS, probable ALS laboratory results supported or possible ALS according to the El Escorial revised criteria for the diagnosis of ALS. Approximately 40 participants are expected to enroll in the trial. This trial is anticipated to provide clinical evidence to support the design and conduct of a larger pivotal clinical trial.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Phase 2a trial in people living with ALS has an anticipated start in 2026, with topline results expected as early as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782320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color w:val="auto"/>
        </w:rPr>
        <w:t>Market Opportunity</w:t>
      </w:r>
    </w:p>
    <w:p>
      <w:pPr>
        <w:spacing w:after="0" w:line="19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potential target indications for Athira’s ATH-1105 include ALS and other neurodegenerative diseases. ALS is a progressive and fatal neurodegenerative disease with a typical life expectancy of only 2-5 years after diagnosis. Given its severity, persistent unmet medical need, and lack of any effective therapies, any treatment that demonstrates meaningful clinical benefit has the potential for rapid adoption. A recent study estimated that approximately 33,000 persons in the United States are affected with ALS. This number was projected to increase to approximately 36,000 by 2030. Prevalence at the global level varies geographically. Cases worldwide have been projected to increase from approximately 223,000 in 2015 to approximately 377,000 in 2040.</w:t>
      </w:r>
    </w:p>
    <w:p>
      <w:pPr>
        <w:spacing w:after="0" w:line="162"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Currently, there are only four approved drugs that are specifically indicated for the treatment of ALS, of which none targets neurotrophic factor systems with a multimodal mechanism of action with the potential to offer neuroprotective, anti-inflammatory and potentially disease modifying effects.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Potential Commercialization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ATH-1105 is currently in development for the potential treatment of ALS. The potential commercialization strategy is expected to consider the following key elements:</w:t>
      </w:r>
    </w:p>
    <w:p>
      <w:pPr>
        <w:spacing w:after="0" w:line="194" w:lineRule="exact"/>
        <w:rPr>
          <w:sz w:val="20"/>
          <w:szCs w:val="20"/>
          <w:color w:val="auto"/>
        </w:rPr>
      </w:pPr>
    </w:p>
    <w:p>
      <w:pPr>
        <w:ind w:left="1020" w:hanging="515"/>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first-line therapy;</w:t>
      </w:r>
    </w:p>
    <w:p>
      <w:pPr>
        <w:spacing w:after="0" w:line="9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add-on therapy for patients on existing therapies; and</w:t>
      </w:r>
    </w:p>
    <w:p>
      <w:pPr>
        <w:spacing w:after="0" w:line="22"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therapy for patients who have stopped existing therapies.</w:t>
      </w:r>
    </w:p>
    <w:p>
      <w:pPr>
        <w:spacing w:after="0" w:line="1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Athira aims to demonstrate the therapeutic potential of ATH-1105 in ALS as an initial indication. Given the unique potential of ATH-1105 to provide broad protection against neurodegeneration, there may be therapeutic application in additional neurodegenerative indications including but not limited to frontal temporal dementia, Parkinson’s disease, Alzheimer’s disease, primary lateral sclerosis, progressive muscle atrophy, polyneuropathies, and others. Athira expects its commercialization strategies, including distribution plans, will evolve as clinical development progresses.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Athira is actively reviewing options for partnerships or other arrangements that will allow it to realize the commercial potential of its drug candidates.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Athira’s focus on small molecule therapeutics enables it to use well-established and widely available manufacturing processes and infrastructure, formulation compositions, and drug administration technologies or devices. Athira does not operate its own facilities for manufacturing, storing, or distributing drug candidates. It utilizes third-party CDMOs to manufacture and supply preclinical and clinical materials during the development of drug candidates. Athira and various regulatory bodies have audited the CDMOs it contracts with, and such CDMOs have a proven track record of GMP-compliant manufacturing.</w:t>
      </w:r>
    </w:p>
    <w:p>
      <w:pPr>
        <w:spacing w:after="0" w:line="1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ATH-1105 is purified as a stable solid and then released to other CDMOs for formulation and packaging into the final drug product for use in clinical testing. Athira believes the synthesis of ATH-1105 is reliable and reproducible and the synthetic routes can be further optimized to enable large-scale production that continues to avoid use of toxic materials or specialized equipment or handling during the manufacturing process.</w:t>
      </w:r>
    </w:p>
    <w:p>
      <w:pPr>
        <w:spacing w:after="0" w:line="157"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6"/>
          <w:szCs w:val="16"/>
          <w:color w:val="auto"/>
        </w:rPr>
        <w:t>For the potential commercialization of any drug candidates that receive regulatory approval, Athira expects to rely on partners’ manufacturing capabilities or use similar third-party CDMO contract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19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slow neurodegeneration, with its principal drug candidate focused on the treatment of ALS, Athira faces, and in the future may face, increased competitive pressures from both large and small pharmaceutical companies and from established and emerging biotechnology companies, as well as academic, government, and public and private research institutions. Any drug candidates that Athira successfully develops and commercializes will compete with current treatments and new treatments that may become available in the future. With the advancement of ATH-1105 as a novel small molecule therapeutic that positively modulates the neurotrophic HGF system, Athira must consider companies as competitors who are developing other novel approaches, including those that target other neurotrophic systems to address ALS and other neurological diseases. Additionally, because ATH-1105 is orally administered, Athira must also consider as competitors companies developing ALS therapies as oral therapeutics or with other routes of administration.</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Because of the range of potential competitors, many of Athira’s competitors, alone or with strategic partners, have greater access to financial resources, market presence, and resources and expertise in development, preclinical and clinical testing, manufacturing, commercialization, the regulatory approval process, or marketing and sales than Athira does. In addition, these same competitors, who may be in a clinical development stage, could also be competing with Athira for patient recruitment, clinical research organization, and operational resources. These entities also compete with Athira in the recruitment and retaining of qualified scientific and management personnel, as well as the acquisition of enabling or complementary technologies for advancing Athira’s product candidates across all competitors. Merger and acquisition activity in the biotechnology and biopharmaceutical industries may result in even more resources being concentrated among a smaller number of Athira’s competitors. Smaller or early-stage companies may also prove to be significant competitors, particularly through collaborative arrangements with large and established companies. Athira’s commercial opportunity could be substantially limited if its competitors develop and commercialize products that are more effective, safer, more convenient or less expensive than Athira’s comparable drug products. In geographies that are critical to Athira’s commercial success, competitors may also obtain regulatory approvals first, resulting in these competitors building a strong market position in advance of the entry of Athira’s drug candidates. In addition, Athira’s ability to compete may be affected in many cases by insurers or other third-party payors seeking to encourage the use of other treatments.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Specific to targeting HGF/MET, however, Athira is not aware of any direct competitors currently developing small molecules targeting the neurotrophic HGF system for ALS. Athira is aware of two companies developing HGF/MET-directed therapies for ALS, including VM202, a plasmid DNA encoding human HGF developed by Helixmith, and KP-100, a recombinant HGF protein developed by Kringle Pharma. Both assets have been investigated in Phase 2 clinical trials for ALS, where they were shown to be safe and well-tolerated but failed to reach statistical significance on efficacy endpoints.</w:t>
      </w:r>
    </w:p>
    <w:p>
      <w:pPr>
        <w:spacing w:after="0" w:line="1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ATH-1105 has the potential to offer neuroprotective and anti-inflammatory effects by targeting the HGF/MET system. Athira’s preclinical data have demonstrated this multimodal approach may have positive benefits across several biological and clinical measures. While several potential direct competitors may exist, Athira has not yet identified any competitive asset that has demonstrated consistent and congruent positive effects offering neuroprotection, anti-inflammation, reduction in disease-specific protein pathologies, and neurotrophic and functional benefits.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w:t>
      </w:r>
    </w:p>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Athira owns or has in-licensed numerous patents and patent applications and possesses substantial know-how and trade secrets relating to the development and commercialization of its drug candidates, including related manufacturing processes and technologies, as well as their use in the treatment of various diseases. For drug candidates, Athira generally pursues multilayered patent protection covering compositions of matter, methods of use, and methods of manufacture. Athira intends to strengthen the patent protection of drug candidates and technologies through additional patent application filings. Patent terms for our owned or in-licensed patents discussed herein may exclude any patent term extension or patent term adjustment that may be awarded. Further, data and/or market exclusivity based on new chemical entity or other categories may be available in various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5" w:name="page26"/>
    <w:bookmarkEnd w:id="25"/>
    <w:p>
      <w:pPr>
        <w:ind w:left="5"/>
        <w:spacing w:after="0"/>
        <w:rPr>
          <w:sz w:val="20"/>
          <w:szCs w:val="20"/>
          <w:color w:val="auto"/>
        </w:rPr>
      </w:pPr>
      <w:r>
        <w:rPr>
          <w:rFonts w:ascii="Times New Roman" w:cs="Times New Roman" w:eastAsia="Times New Roman" w:hAnsi="Times New Roman"/>
          <w:sz w:val="15"/>
          <w:szCs w:val="15"/>
          <w:color w:val="auto"/>
        </w:rPr>
        <w:t>Athira is in-licensing a portfolio of patents and patent applications from Sermonix and Ligand, centered around lasofoxifene and its method of use in several settings including in</w:t>
      </w:r>
    </w:p>
    <w:p>
      <w:pPr>
        <w:spacing w:after="0" w:line="34" w:lineRule="exact"/>
        <w:rPr>
          <w:sz w:val="20"/>
          <w:szCs w:val="20"/>
          <w:color w:val="auto"/>
        </w:rPr>
      </w:pPr>
    </w:p>
    <w:p>
      <w:pPr>
        <w:ind w:left="5" w:right="20" w:hanging="5"/>
        <w:spacing w:after="0" w:line="248"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combination with abemaciclib for the treatment of ER+/HER2-, locally advanced or metastatic breast cancer with an ESR1 mutation after progression on an AI in combination with the CDK4/6 inhibitor palbociclib or ribociclib, (2) ER+ breast cancer with no ESR1 mutations after progression on an AI, (3) ER+ breast cancer in neoadjuvant setting, and (4) ER+ breast cancer in adjuvant setting. Athira’s in-licensed patent portfolio would include issued patents and pending patent applications in the United States, issued patents and pending patent applications in jurisdictions outside of the United States, and pending international patent applications filed under the Patent Cooperation Treaty. Athira’s in-licensed issued patents would be expected to expire on dates ranging from 2037 to 2039. If patents are issued on Athira’s in-licensed pending patent applications, the resulting patents would be expected to expire on dates ranging from 2037 to 2045.</w:t>
      </w:r>
    </w:p>
    <w:p>
      <w:pPr>
        <w:spacing w:after="0" w:line="167" w:lineRule="exact"/>
        <w:rPr>
          <w:sz w:val="20"/>
          <w:szCs w:val="20"/>
          <w:color w:val="auto"/>
        </w:rPr>
      </w:pPr>
    </w:p>
    <w:p>
      <w:pPr>
        <w:ind w:left="5"/>
        <w:spacing w:after="0" w:line="251" w:lineRule="auto"/>
        <w:rPr>
          <w:sz w:val="20"/>
          <w:szCs w:val="20"/>
          <w:color w:val="auto"/>
        </w:rPr>
      </w:pPr>
      <w:r>
        <w:rPr>
          <w:rFonts w:ascii="Times New Roman" w:cs="Times New Roman" w:eastAsia="Times New Roman" w:hAnsi="Times New Roman"/>
          <w:sz w:val="16"/>
          <w:szCs w:val="16"/>
          <w:color w:val="auto"/>
        </w:rPr>
        <w:t>Athira owns patents and patent applications directed to ATH-1105 and its other small molecule drug candidates, including ATH-1020 and fosgonimeton, directed to compositions of matter and methods of use thereof. Athira’s owned patent portfolio includes issued patents and pending patent applications in the United States, issued patents and pending patent applications in jurisdictions outside of the United States, and two pending international patent applications filed under the Patent Cooperation Treaty. Athira’s owned and issued patents directed to ATH-1105 and its other small molecule drug candidates, including ATH-1020 and fosgonimeton, directed to compositions of matter and methods of use thereof, will expire on dates ranging from 2037 to 2042. If patents are issued on Athira’s owned pending patent applications directed to ATH-1105 and its other small molecule drug candidates, including ATH-1020 and fosgonimeton, directed to compositions of matter and methods of use thereof, the resulting patents are projected to expire on dates ranging from 2037 to 2045, absent any patent term adjustment and/or extension.</w:t>
      </w:r>
    </w:p>
    <w:p>
      <w:pPr>
        <w:spacing w:after="0" w:line="167" w:lineRule="exact"/>
        <w:rPr>
          <w:sz w:val="20"/>
          <w:szCs w:val="20"/>
          <w:color w:val="auto"/>
        </w:rPr>
      </w:pPr>
    </w:p>
    <w:p>
      <w:pPr>
        <w:ind w:left="5" w:right="60"/>
        <w:spacing w:after="0" w:line="270" w:lineRule="auto"/>
        <w:rPr>
          <w:sz w:val="20"/>
          <w:szCs w:val="20"/>
          <w:color w:val="auto"/>
        </w:rPr>
      </w:pPr>
      <w:r>
        <w:rPr>
          <w:rFonts w:ascii="Times New Roman" w:cs="Times New Roman" w:eastAsia="Times New Roman" w:hAnsi="Times New Roman"/>
          <w:sz w:val="15"/>
          <w:szCs w:val="15"/>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1" w:lineRule="exact"/>
        <w:rPr>
          <w:sz w:val="20"/>
          <w:szCs w:val="20"/>
          <w:color w:val="auto"/>
        </w:rPr>
      </w:pPr>
    </w:p>
    <w:p>
      <w:pPr>
        <w:jc w:val="both"/>
        <w:ind w:left="5" w:right="100"/>
        <w:spacing w:after="0" w:line="256" w:lineRule="auto"/>
        <w:rPr>
          <w:sz w:val="20"/>
          <w:szCs w:val="20"/>
          <w:color w:val="auto"/>
        </w:rPr>
      </w:pPr>
      <w:r>
        <w:rPr>
          <w:rFonts w:ascii="Times New Roman" w:cs="Times New Roman" w:eastAsia="Times New Roman" w:hAnsi="Times New Roman"/>
          <w:sz w:val="16"/>
          <w:szCs w:val="16"/>
          <w:color w:val="auto"/>
        </w:rPr>
        <w:t>When appropriate, Athira seeks to protect aspects of its technology and business not amenable to, or that it does not consider appropriate for, patent protection as trade secrets. Athira seeks to protect this intellectual property, in part, as trade secrets, by entering into confidentiality agreements with those who have access to its confidential information, including employees, contractors, consultants, collaborators, and advisors. The company also seeks to preserve the integrity and confidentiality of its proprietary technology and processes by maintaining physical security of its premises and physical and electronic security of its information technology systems.</w:t>
      </w:r>
    </w:p>
    <w:p>
      <w:pPr>
        <w:spacing w:after="0" w:line="161" w:lineRule="exact"/>
        <w:rPr>
          <w:sz w:val="20"/>
          <w:szCs w:val="20"/>
          <w:color w:val="auto"/>
        </w:rPr>
      </w:pPr>
    </w:p>
    <w:p>
      <w:pPr>
        <w:ind w:left="5" w:right="320"/>
        <w:spacing w:after="0" w:line="276" w:lineRule="auto"/>
        <w:rPr>
          <w:sz w:val="20"/>
          <w:szCs w:val="20"/>
          <w:color w:val="auto"/>
        </w:rPr>
      </w:pPr>
      <w:r>
        <w:rPr>
          <w:rFonts w:ascii="Times New Roman" w:cs="Times New Roman" w:eastAsia="Times New Roman" w:hAnsi="Times New Roman"/>
          <w:sz w:val="16"/>
          <w:szCs w:val="16"/>
          <w:color w:val="auto"/>
        </w:rPr>
        <w:t>Athira seeks trademark protection in the United States and in certain other jurisdictions where available and when it deems appropriate. Athira’s trademark portfolio includes issued trademark registrations for Athira Pharma and other pending trademark applications in the United States and internationally.</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w:t>
      </w:r>
    </w:p>
    <w:p>
      <w:pPr>
        <w:spacing w:after="0" w:line="198" w:lineRule="exact"/>
        <w:rPr>
          <w:sz w:val="20"/>
          <w:szCs w:val="20"/>
          <w:color w:val="auto"/>
        </w:rPr>
      </w:pPr>
    </w:p>
    <w:p>
      <w:pPr>
        <w:ind w:left="5" w:right="560"/>
        <w:spacing w:after="0" w:line="286" w:lineRule="auto"/>
        <w:rPr>
          <w:sz w:val="20"/>
          <w:szCs w:val="20"/>
          <w:color w:val="auto"/>
        </w:rPr>
      </w:pPr>
      <w:r>
        <w:rPr>
          <w:rFonts w:ascii="Times New Roman" w:cs="Times New Roman" w:eastAsia="Times New Roman" w:hAnsi="Times New Roman"/>
          <w:sz w:val="15"/>
          <w:szCs w:val="15"/>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the Company is developing. Generally, before a new drug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748030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880" w:right="339" w:bottom="1440" w:gutter="0" w:footer="0" w:header="0"/>
        </w:sectPr>
      </w:pPr>
    </w:p>
    <w:bookmarkStart w:id="26" w:name="page27"/>
    <w:bookmarkEnd w:id="26"/>
    <w:p>
      <w:pPr>
        <w:ind w:right="420"/>
        <w:spacing w:after="0" w:line="276" w:lineRule="auto"/>
        <w:rPr>
          <w:sz w:val="20"/>
          <w:szCs w:val="20"/>
          <w:color w:val="auto"/>
        </w:rPr>
      </w:pPr>
      <w:r>
        <w:rPr>
          <w:rFonts w:ascii="Times New Roman" w:cs="Times New Roman" w:eastAsia="Times New Roman" w:hAnsi="Times New Roman"/>
          <w:sz w:val="16"/>
          <w:szCs w:val="16"/>
          <w:color w:val="auto"/>
        </w:rPr>
        <w:t>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Drug Development Process</w:t>
      </w:r>
    </w:p>
    <w:p>
      <w:pPr>
        <w:spacing w:after="0" w:line="19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process required by the FDA before a drug may be marketed in the United States generally involves the following:</w:t>
      </w:r>
    </w:p>
    <w:p>
      <w:pPr>
        <w:spacing w:after="0" w:line="194" w:lineRule="exact"/>
        <w:rPr>
          <w:sz w:val="20"/>
          <w:szCs w:val="20"/>
          <w:color w:val="auto"/>
        </w:rPr>
      </w:pPr>
    </w:p>
    <w:p>
      <w:pPr>
        <w:ind w:left="1120" w:right="14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nonclinical laboratory tests, animal studies, and formulation studies in accordance with FDA’s good laboratory practice, requirements and other applicable regulations;</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which must become effective before human clinical trials may begin;</w:t>
      </w:r>
    </w:p>
    <w:p>
      <w:pPr>
        <w:spacing w:after="0" w:line="99" w:lineRule="exact"/>
        <w:rPr>
          <w:rFonts w:ascii="Times New Roman" w:cs="Times New Roman" w:eastAsia="Times New Roman" w:hAnsi="Times New Roman"/>
          <w:sz w:val="16"/>
          <w:szCs w:val="16"/>
          <w:color w:val="auto"/>
        </w:rPr>
      </w:pPr>
    </w:p>
    <w:p>
      <w:pPr>
        <w:ind w:left="1120" w:right="2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independent institutional review board (“IRB”), ethics committee, either centralized or with respect to each clinical site, before each clinical trial may be initiated;</w:t>
      </w:r>
    </w:p>
    <w:p>
      <w:pPr>
        <w:spacing w:after="0" w:line="49" w:lineRule="exact"/>
        <w:rPr>
          <w:rFonts w:ascii="Times New Roman" w:cs="Times New Roman" w:eastAsia="Times New Roman" w:hAnsi="Times New Roman"/>
          <w:sz w:val="16"/>
          <w:szCs w:val="16"/>
          <w:color w:val="auto"/>
        </w:rPr>
      </w:pPr>
    </w:p>
    <w:p>
      <w:pPr>
        <w:ind w:left="1120" w:right="180" w:hanging="375"/>
        <w:spacing w:after="0" w:line="276"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human clinical trials in accordance with good clinical practice (“GCP”), requirements to establish the safety and efficacy of the proposed drug for its intended use;</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 New Drug Application (“NDA”), after completion of all pivotal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by the FDA within 60 days of its receipt of an NDA to accept the filing for substantive review;</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advisory committee review, if applicable;</w:t>
      </w:r>
    </w:p>
    <w:p>
      <w:pPr>
        <w:spacing w:after="0" w:line="99" w:lineRule="exact"/>
        <w:rPr>
          <w:rFonts w:ascii="Times New Roman" w:cs="Times New Roman" w:eastAsia="Times New Roman" w:hAnsi="Times New Roman"/>
          <w:sz w:val="16"/>
          <w:szCs w:val="16"/>
          <w:color w:val="auto"/>
        </w:rPr>
      </w:pPr>
    </w:p>
    <w:p>
      <w:pPr>
        <w:ind w:left="1120" w:right="40" w:hanging="375"/>
        <w:spacing w:after="0" w:line="254" w:lineRule="auto"/>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inspection of the manufacturing facility or facilities at which the drug is produced to assess compliance with current good manufacturing practice (“cGMP”), requirements to ensure that the facilities, methods and controls are adequate to preserve the drug’s identity, strength, quality, and purity, and of selected clinical investigation sites to assess compliance with GCPs; and</w:t>
      </w:r>
    </w:p>
    <w:p>
      <w:pPr>
        <w:ind w:left="1120" w:hanging="375"/>
        <w:spacing w:after="0"/>
        <w:tabs>
          <w:tab w:leader="none" w:pos="11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to permit commercial marketing of the product for particular indications for use in the United States.</w:t>
      </w:r>
    </w:p>
    <w:p>
      <w:pPr>
        <w:spacing w:after="0" w:line="17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5"/>
          <w:szCs w:val="15"/>
          <w:color w:val="auto"/>
        </w:rPr>
        <w:t xml:space="preserve">Prior to beginning the first clinical trial with a product candidate in the United States, the Company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7" w:name="page28"/>
    <w:bookmarkEnd w:id="27"/>
    <w:p>
      <w:pPr>
        <w:ind w:right="100"/>
        <w:spacing w:after="0" w:line="251" w:lineRule="auto"/>
        <w:rPr>
          <w:sz w:val="20"/>
          <w:szCs w:val="20"/>
          <w:color w:val="auto"/>
        </w:rPr>
      </w:pPr>
      <w:r>
        <w:rPr>
          <w:rFonts w:ascii="Times New Roman" w:cs="Times New Roman" w:eastAsia="Times New Roman" w:hAnsi="Times New Roman"/>
          <w:sz w:val="16"/>
          <w:szCs w:val="16"/>
          <w:color w:val="auto"/>
        </w:rPr>
        <w:t>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Human clinical trials are typically conducted in three sequential phases that may overlap or be combined:</w:t>
      </w:r>
    </w:p>
    <w:p>
      <w:pPr>
        <w:spacing w:after="0" w:line="192" w:lineRule="exact"/>
        <w:rPr>
          <w:sz w:val="20"/>
          <w:szCs w:val="20"/>
          <w:color w:val="auto"/>
        </w:rPr>
      </w:pPr>
    </w:p>
    <w:p>
      <w:pPr>
        <w:ind w:left="1120" w:right="60" w:hanging="375"/>
        <w:spacing w:after="0" w:line="257"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1</w:t>
      </w:r>
      <w:r>
        <w:rPr>
          <w:rFonts w:ascii="Times New Roman" w:cs="Times New Roman" w:eastAsia="Times New Roman" w:hAnsi="Times New Roman"/>
          <w:sz w:val="16"/>
          <w:szCs w:val="16"/>
          <w:color w:val="auto"/>
        </w:rPr>
        <w:t>: The product candidate is initially introduced into healthy human subjects or patients with the target disease or condition. These studies are designed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63" w:lineRule="exact"/>
        <w:rPr>
          <w:rFonts w:ascii="Times New Roman" w:cs="Times New Roman" w:eastAsia="Times New Roman" w:hAnsi="Times New Roman"/>
          <w:sz w:val="16"/>
          <w:szCs w:val="16"/>
          <w:color w:val="auto"/>
        </w:rPr>
      </w:pPr>
    </w:p>
    <w:p>
      <w:pPr>
        <w:ind w:left="1120" w:hanging="375"/>
        <w:spacing w:after="0" w:line="255"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2</w:t>
      </w:r>
      <w:r>
        <w:rPr>
          <w:rFonts w:ascii="Times New Roman" w:cs="Times New Roman" w:eastAsia="Times New Roman" w:hAnsi="Times New Roman"/>
          <w:sz w:val="16"/>
          <w:szCs w:val="16"/>
          <w:color w:val="auto"/>
        </w:rPr>
        <w:t>: The product candidate is administered to a limited patient population with a specified disease or condition to evaluate the preliminary efficacy, optimal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dosages, and dosing schedule and to identify possible adverse side effects and safety risks. Multiple Phase 2 clinical trials may be conducted to obtain information prior to beginning larger and more expensive Phase 3 clinical trials.</w:t>
      </w:r>
    </w:p>
    <w:p>
      <w:pPr>
        <w:ind w:left="1120" w:right="100" w:hanging="375"/>
        <w:spacing w:after="0" w:line="250" w:lineRule="auto"/>
        <w:tabs>
          <w:tab w:leader="none" w:pos="11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3</w:t>
      </w:r>
      <w:r>
        <w:rPr>
          <w:rFonts w:ascii="Times New Roman" w:cs="Times New Roman" w:eastAsia="Times New Roman" w:hAnsi="Times New Roman"/>
          <w:sz w:val="16"/>
          <w:szCs w:val="16"/>
          <w:color w:val="auto"/>
        </w:rPr>
        <w:t>: The product candidate is administered to an expanded patient population to further evaluate dosage, to provide statistically significant evidence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5"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8" w:name="page29"/>
    <w:bookmarkEnd w:id="28"/>
    <w:p>
      <w:pPr>
        <w:ind w:right="220"/>
        <w:spacing w:after="0" w:line="261" w:lineRule="auto"/>
        <w:rPr>
          <w:sz w:val="20"/>
          <w:szCs w:val="20"/>
          <w:color w:val="auto"/>
        </w:rPr>
      </w:pPr>
      <w:r>
        <w:rPr>
          <w:rFonts w:ascii="Times New Roman" w:cs="Times New Roman" w:eastAsia="Times New Roman" w:hAnsi="Times New Roman"/>
          <w:sz w:val="16"/>
          <w:szCs w:val="16"/>
          <w:color w:val="auto"/>
        </w:rPr>
        <w:t>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NDA Review and Approval Process</w:t>
      </w:r>
    </w:p>
    <w:p>
      <w:pPr>
        <w:spacing w:after="0" w:line="19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6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results of drug development, preclinical studies and clinical trials are submitted to the FDA as part of an NDA. NDAs also must contain extensive chemistry, manufacturing and control information. An NDA must be accompanied by a significant user fee, which may be waived in certain circumstances. The FDA conducts a preliminary review of an NDA within the first 60 days after submission, before accepting the application for filing, to determine whether it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before FDA will review the application. Once the submission has been accepted for filing, the FDA’s goal is to review applications within ten months of the filing date, or if the submission qualifies for priority review, six months from the filing. The review process may also be extended for a three-month period for FDA to review additional information deemed a “major amendment” to the application. 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9" w:name="page30"/>
    <w:bookmarkEnd w:id="29"/>
    <w:p>
      <w:pPr>
        <w:spacing w:after="0" w:line="250"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In addition, the FDA and other regulatory authorities may change their policies, issue additional regulations or revise existing regulations, any of which could delay Athira’s ability to obtain approvals, increase the costs of compliance or restrict the company’s ability to maintain any regulatory approvals it may have obtained. In June 2024, the U.S. Supreme Court overruled the Chevron doctrine, which gives deference to federal agencies’ statutory interpretations in litigation against the agencies where the law is ambiguous. This Supreme Court decision may invite various stakeholders to bring lawsuits against the FDA or other federal agencies to challenge longstanding decisions and policies, including FDA's statutory interpretations of market exclusivities and the “substantial evidence” requirements for drug approvals, which could undermine the FDA’s authority, lead to uncertainties in the industry, and disrupt the agency’s normal operations. Athira cannot predict the full impact of this decision on the company or the pharmaceutical industry in general. Further, changes in the leadership of the FDA and other federal agencies under the new Trump administration can result in further changes in the funding, operations, and policies of the federal agencies, which may impact Athira’s clinical development plans and timelines.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Expedited Development and Review Programs</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30" w:name="page31"/>
    <w:bookmarkEnd w:id="30"/>
    <w:p>
      <w:pPr>
        <w:ind w:right="60"/>
        <w:spacing w:after="0" w:line="276" w:lineRule="auto"/>
        <w:rPr>
          <w:sz w:val="20"/>
          <w:szCs w:val="20"/>
          <w:color w:val="auto"/>
        </w:rPr>
      </w:pPr>
      <w:r>
        <w:rPr>
          <w:rFonts w:ascii="Times New Roman" w:cs="Times New Roman" w:eastAsia="Times New Roman" w:hAnsi="Times New Roman"/>
          <w:sz w:val="16"/>
          <w:szCs w:val="16"/>
          <w:color w:val="auto"/>
        </w:rPr>
        <w:t>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6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The Company may explore some of these opportunities for the Company’s drug product candidates as appropriate.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Post-Approval Requirements</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Any products manufactured or distributed by the Company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the Company and its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the Company and any third-party manufacturers that it may decide to use. Accordingly, manufacturers must continue to expend time, money, and effort in the area of production and quality control to maintain compliance with cGMP and other aspects of regulatory compliance.</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1" w:name="page32"/>
    <w:bookmarkEnd w:id="31"/>
    <w:p>
      <w:pPr>
        <w:ind w:right="120"/>
        <w:spacing w:after="0" w:line="276" w:lineRule="auto"/>
        <w:rPr>
          <w:sz w:val="20"/>
          <w:szCs w:val="20"/>
          <w:color w:val="auto"/>
        </w:rPr>
      </w:pPr>
      <w:r>
        <w:rPr>
          <w:rFonts w:ascii="Times New Roman" w:cs="Times New Roman" w:eastAsia="Times New Roman" w:hAnsi="Times New Roman"/>
          <w:sz w:val="16"/>
          <w:szCs w:val="16"/>
          <w:color w:val="auto"/>
        </w:rPr>
        <w:t>or clinical studies to assess new safety risks; or imposition of distribution restrictions or other restrictions under a REMS program. Other potential consequences include, among other things:</w:t>
      </w:r>
    </w:p>
    <w:p>
      <w:pPr>
        <w:spacing w:after="0" w:line="145" w:lineRule="exact"/>
        <w:rPr>
          <w:sz w:val="20"/>
          <w:szCs w:val="20"/>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untitled letters;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holds on post-approval or Phase IV clinical studies, if applicable;</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pending applications or supplements to approved applications, or suspension or revocation of product license approvals;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drug product seizure or detention, or refusal to permit the import or export of products;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mandated modification of promotional materials and labeling and the issuance of corrective information;</w:t>
      </w:r>
    </w:p>
    <w:p>
      <w:pPr>
        <w:spacing w:after="0" w:line="99" w:lineRule="exact"/>
        <w:rPr>
          <w:rFonts w:ascii="Times New Roman" w:cs="Times New Roman" w:eastAsia="Times New Roman" w:hAnsi="Times New Roman"/>
          <w:sz w:val="16"/>
          <w:szCs w:val="16"/>
          <w:color w:val="auto"/>
        </w:rPr>
      </w:pPr>
    </w:p>
    <w:p>
      <w:pPr>
        <w:ind w:left="1120" w:right="140" w:hanging="375"/>
        <w:spacing w:after="0" w:line="258" w:lineRule="auto"/>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safety alerts, Dear Healthcare Provider letters, press releases, and other communications containing warnings or other safety information about the product; or</w:t>
      </w:r>
    </w:p>
    <w:p>
      <w:pPr>
        <w:ind w:left="1120" w:hanging="375"/>
        <w:spacing w:after="0"/>
        <w:tabs>
          <w:tab w:leader="none" w:pos="11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the Company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Orange Book Listing</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seeking approval of an NDA or a supplement thereto, NDA applicants are required to list with the FDA each patent with claims that cover the applicant’s product or an approved method of using the product. Upon FDA approval, each of the patents listed by the NDA applicant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161" w:lineRule="exact"/>
        <w:rPr>
          <w:sz w:val="20"/>
          <w:szCs w:val="20"/>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patent information on the drug product that is the subject of the application has been submitted to the FDA;</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patent has expired;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such patent expires; or</w:t>
      </w:r>
    </w:p>
    <w:p>
      <w:pPr>
        <w:spacing w:after="0" w:line="22"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patent is invalid, unenforceable or will not be infringed upon by the manufacture, use, or sale of the drug product for which the application is submitted.</w:t>
      </w:r>
    </w:p>
    <w:p>
      <w:pPr>
        <w:spacing w:after="0" w:line="17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2" w:name="page33"/>
    <w:bookmarkEnd w:id="32"/>
    <w:p>
      <w:pPr>
        <w:ind w:left="5"/>
        <w:spacing w:after="0"/>
        <w:rPr>
          <w:sz w:val="20"/>
          <w:szCs w:val="20"/>
          <w:color w:val="auto"/>
        </w:rPr>
      </w:pPr>
      <w:r>
        <w:rPr>
          <w:rFonts w:ascii="Times New Roman" w:cs="Times New Roman" w:eastAsia="Times New Roman" w:hAnsi="Times New Roman"/>
          <w:sz w:val="15"/>
          <w:szCs w:val="15"/>
          <w:color w:val="auto"/>
        </w:rPr>
        <w:t>method of use, the ANDA or 505(b)(2) NDA application will not be approved until all of the listed patents claiming the referenced product have expired. If the ANDA or 505(b)</w:t>
      </w:r>
    </w:p>
    <w:p>
      <w:pPr>
        <w:spacing w:after="0" w:line="34" w:lineRule="exact"/>
        <w:rPr>
          <w:sz w:val="20"/>
          <w:szCs w:val="20"/>
          <w:color w:val="auto"/>
        </w:rPr>
      </w:pPr>
    </w:p>
    <w:p>
      <w:pPr>
        <w:ind w:left="5" w:hanging="5"/>
        <w:spacing w:after="0" w:line="266" w:lineRule="auto"/>
        <w:tabs>
          <w:tab w:leader="none" w:pos="22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Marketing Exclusivity</w:t>
      </w:r>
    </w:p>
    <w:p>
      <w:pPr>
        <w:spacing w:after="0" w:line="196" w:lineRule="exact"/>
        <w:rPr>
          <w:sz w:val="20"/>
          <w:szCs w:val="20"/>
          <w:color w:val="auto"/>
        </w:rPr>
      </w:pPr>
    </w:p>
    <w:p>
      <w:pPr>
        <w:ind w:left="5"/>
        <w:spacing w:after="0" w:line="250" w:lineRule="auto"/>
        <w:rPr>
          <w:sz w:val="20"/>
          <w:szCs w:val="20"/>
          <w:color w:val="auto"/>
        </w:rPr>
      </w:pPr>
      <w:r>
        <w:rPr>
          <w:rFonts w:ascii="Times New Roman" w:cs="Times New Roman" w:eastAsia="Times New Roman" w:hAnsi="Times New Roman"/>
          <w:sz w:val="16"/>
          <w:szCs w:val="16"/>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7" w:lineRule="exact"/>
        <w:rPr>
          <w:sz w:val="20"/>
          <w:szCs w:val="20"/>
          <w:color w:val="auto"/>
        </w:rPr>
      </w:pPr>
    </w:p>
    <w:p>
      <w:pPr>
        <w:ind w:left="5" w:right="180"/>
        <w:spacing w:after="0" w:line="272" w:lineRule="auto"/>
        <w:rPr>
          <w:sz w:val="20"/>
          <w:szCs w:val="20"/>
          <w:color w:val="auto"/>
        </w:rPr>
      </w:pPr>
      <w:r>
        <w:rPr>
          <w:rFonts w:ascii="Times New Roman" w:cs="Times New Roman" w:eastAsia="Times New Roman" w:hAnsi="Times New Roman"/>
          <w:sz w:val="15"/>
          <w:szCs w:val="15"/>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52" w:lineRule="exact"/>
        <w:rPr>
          <w:sz w:val="20"/>
          <w:szCs w:val="20"/>
          <w:color w:val="auto"/>
        </w:rPr>
      </w:pPr>
    </w:p>
    <w:p>
      <w:pPr>
        <w:ind w:left="5" w:right="80"/>
        <w:spacing w:after="0" w:line="261" w:lineRule="auto"/>
        <w:rPr>
          <w:sz w:val="20"/>
          <w:szCs w:val="20"/>
          <w:color w:val="auto"/>
        </w:rPr>
      </w:pPr>
      <w:r>
        <w:rPr>
          <w:rFonts w:ascii="Times New Roman" w:cs="Times New Roman" w:eastAsia="Times New Roman" w:hAnsi="Times New Roman"/>
          <w:sz w:val="16"/>
          <w:szCs w:val="16"/>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Other Healthcare Laws</w:t>
      </w:r>
    </w:p>
    <w:p>
      <w:pPr>
        <w:spacing w:after="0" w:line="196" w:lineRule="exact"/>
        <w:rPr>
          <w:sz w:val="20"/>
          <w:szCs w:val="20"/>
          <w:color w:val="auto"/>
        </w:rPr>
      </w:pPr>
    </w:p>
    <w:p>
      <w:pPr>
        <w:ind w:left="5" w:right="20"/>
        <w:spacing w:after="0" w:line="250" w:lineRule="auto"/>
        <w:rPr>
          <w:sz w:val="20"/>
          <w:szCs w:val="20"/>
          <w:color w:val="auto"/>
        </w:rPr>
      </w:pPr>
      <w:r>
        <w:rPr>
          <w:rFonts w:ascii="Times New Roman" w:cs="Times New Roman" w:eastAsia="Times New Roman" w:hAnsi="Times New Roman"/>
          <w:sz w:val="16"/>
          <w:szCs w:val="16"/>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763270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880" w:right="339" w:bottom="1440" w:gutter="0" w:footer="0" w:header="0"/>
        </w:sectPr>
      </w:pPr>
    </w:p>
    <w:bookmarkStart w:id="33" w:name="page34"/>
    <w:bookmarkEnd w:id="33"/>
    <w:p>
      <w:pPr>
        <w:ind w:right="40"/>
        <w:spacing w:after="0" w:line="261" w:lineRule="auto"/>
        <w:rPr>
          <w:sz w:val="20"/>
          <w:szCs w:val="20"/>
          <w:color w:val="auto"/>
        </w:rPr>
      </w:pPr>
      <w:r>
        <w:rPr>
          <w:rFonts w:ascii="Times New Roman" w:cs="Times New Roman" w:eastAsia="Times New Roman" w:hAnsi="Times New Roman"/>
          <w:sz w:val="16"/>
          <w:szCs w:val="16"/>
          <w:color w:val="auto"/>
        </w:rPr>
        <w:t>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5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risk of the Company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the Company for violations of these laws or regulations, even successfully defended, could cause it to incur significant legal expenses and divert the Company management’s attention from the operation of its business. Also, the Company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the Company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Coverage and Reimbursement</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color w:val="auto"/>
        </w:rPr>
        <w:t>U.S. Healthcare Reform</w:t>
      </w:r>
    </w:p>
    <w:p>
      <w:pPr>
        <w:spacing w:after="0" w:line="1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and the Company expects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new Trump administration will impact the ACA, Athira’s business, financial condition and results of operations.</w:t>
      </w:r>
    </w:p>
    <w:p>
      <w:pPr>
        <w:spacing w:after="0" w:line="14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relief legislation.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effective January 1, 2024,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Athira’s business.</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In August 2022, the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w:t>
      </w:r>
    </w:p>
    <w:p>
      <w:pPr>
        <w:spacing w:after="0" w:line="1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Additionally, the One Big Beautiful Bill Act (OBBBA), which was signed into law in July 2025, includes provisions that will impact the United States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The Company cannot predict the full impact of the OBBBA, executive orders, and new laws focused on reducing prescription drug prices or increasing domestic drug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capacity, or other measures that may be implemented by the current administration related to drug pricing, drug supply chain and manufacturing in the United States.</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2025, the government announced agreements with major pharmaceutical companies to bring American drug prices in line with the lowest price paid by other developed nations. Such action and any other government measures that use most-favored-nation pricing targets for prescription drugs, including the use of international pricing reference to set drug prices in the United States, or increase generic drug and biosimilar entry sooner than expected, could materially harm the Company’s business, including with respect to its ability to set adequate pricing for new drugs to recover its research and development costs.</w:t>
      </w:r>
    </w:p>
    <w:p>
      <w:pPr>
        <w:spacing w:after="0" w:line="16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the Company’s compliance burdens and expose it to greater liability under such state laws once the Company begins commercialization after obtaining regulatory approval for any of the Company’s drug products.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The Company expects that additional state and federal healthcare reform measures will be adopted in the future. The implementation of cost containment measures or other healthcare reforms may prevent the Company from being able to generate revenue, attain profitability or commercialize its drug candidates. Complying with any new legislation and regulatory changes could be time-intensive and expensive, resulting in a material adverse effect on the Company’s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As of November 30, 2025, we had 18 employees, all of whom were full-time and nine of whom were engaged in research and development activities. Six of our employees hold Ph.D. or M.D. degrees. None of our employees is represented by a labor union or covered under a collective bargaining agreement. We consider our relationship with our employees to be good.</w:t>
      </w:r>
    </w:p>
    <w:p>
      <w:pPr>
        <w:spacing w:after="0" w:line="15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Information</w:t>
      </w:r>
    </w:p>
    <w:p>
      <w:pPr>
        <w:spacing w:after="0" w:line="19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16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make available on or through our website certain reports and amendments to those reports that we file with or furnish to the Securities and Exchange Commission (“SEC”), in accordance with the Securities and Exchange Act of 1934. These include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6"/>
          <w:szCs w:val="16"/>
          <w:color w:val="auto"/>
        </w:rPr>
        <w:t>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Management’s Discussion and Analysis - Research and Development Expense</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Research and development expenses consist primarily of direct and indirect costs incurred for the Company’s research activities, including its drug discovery efforts and the development of its drug candidates, including lasofoxifene and ATH-1105.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The Company tracks direct costs by stage of program, clinical or preclinical. However, the Company does not track indirect costs on a program specific basis because these costs are deployed across multiple programs and, as such, are not separately classified.</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Company cannot reasonably determine the nature, timing, and estimated costs of the efforts that will be necessary to complete the development of, and obtain regulatory approval for, any of its drug candidates, including lasofoxifene or ATH-1105. Drug candidates in later stages of development generally have higher development costs than those in earlier stages. The Company expects to incur increased research and development expenses for the foreseeable future as it engages in research and development activities related to developing its drug candidates, including lasofoxifene and ATH-1105, its drug candidates advance into later stages of development, it conducts larger clinical trials, it seeks regulatory approvals for any drug candidates that successfully complete clinical trials, the Company expands or advances its drug product pipeline, the Company maintains, expands, protects and enforces its intellectual property portfolio, and the Company incurs expenses associated with hiring or retaining personnel to support its research and development efforts.</w:t>
      </w:r>
    </w:p>
    <w:p>
      <w:pPr>
        <w:spacing w:after="0" w:line="167"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auto"/>
        </w:rPr>
        <w:t>The process of conducting the necessary clinical research to obtain regulatory approval is costly and time-consuming, and the successful development of the Company’s drug candidates is highly uncertain. The Company’s research and development expenses may vary significantly based on factors such as:</w:t>
      </w:r>
    </w:p>
    <w:p>
      <w:pPr>
        <w:spacing w:after="0" w:line="145" w:lineRule="exact"/>
        <w:rPr>
          <w:sz w:val="20"/>
          <w:szCs w:val="20"/>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activities related to lasofoxifene and ATH-1105;</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of preclinical and IND-enabling studies;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phases of development of the Company’s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and results of the Company’s research and development activities;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subject trial costs;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trials required for regulatory approval;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sites included in the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countries in which the trials are conducted;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time required to enroll eligible subjects and initiate clinical trials;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subjects that participate in the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721995</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37" w:name="page38"/>
    <w:bookmarkEnd w:id="37"/>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drop-out and discontinuation rate of subjects;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safety monitoring requested by regulatory agencies;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duration of subject participation in the trials and follow-up;</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manufacturing of the Company’s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regulatory approvals from applicable regulatory authorities;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marketing approvals from applicable regulatory authorities;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hiring and retention of research and development personnel;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degree to which the Company obtains, maintains, defends and enforces its intellectual property rights;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health epidemics on timelines and clinical operations, which may lead to increased costs; and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the Company establishes collaborations, licensing or similar arrangements and the performance of any related third parties.</w:t>
      </w:r>
    </w:p>
    <w:p>
      <w:pPr>
        <w:spacing w:after="0" w:line="100"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A change in the outcome of any of these variables with respect to the development of any of the Company’s drug candidates could significantly change the costs and timing associated with the development of that drug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Risk Factors</w:t>
      </w:r>
    </w:p>
    <w:p>
      <w:pPr>
        <w:spacing w:after="0" w:line="19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You should carefully consider the risk factors attached hereto as Exhibit 99.3, in addition to the other information contained in this Current Report on Form 8-K (the “</w:t>
      </w:r>
      <w:r>
        <w:rPr>
          <w:rFonts w:ascii="Times New Roman" w:cs="Times New Roman" w:eastAsia="Times New Roman" w:hAnsi="Times New Roman"/>
          <w:sz w:val="16"/>
          <w:szCs w:val="16"/>
          <w:b w:val="1"/>
          <w:bCs w:val="1"/>
          <w:color w:val="auto"/>
        </w:rPr>
        <w:t>Form 8-K</w:t>
      </w:r>
      <w:r>
        <w:rPr>
          <w:rFonts w:ascii="Times New Roman" w:cs="Times New Roman" w:eastAsia="Times New Roman" w:hAnsi="Times New Roman"/>
          <w:sz w:val="16"/>
          <w:szCs w:val="16"/>
          <w:color w:val="auto"/>
        </w:rPr>
        <w:t>”), the Company’s Annual Report on Form 10-K filed on February 27, 2025 and the Company’s Quarterly Report on Form 10-Q filed on November 6, 2025 (together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 8-K, the “</w:t>
      </w:r>
      <w:r>
        <w:rPr>
          <w:rFonts w:ascii="Times New Roman" w:cs="Times New Roman" w:eastAsia="Times New Roman" w:hAnsi="Times New Roman"/>
          <w:sz w:val="16"/>
          <w:szCs w:val="16"/>
          <w:b w:val="1"/>
          <w:bCs w:val="1"/>
          <w:color w:val="auto"/>
        </w:rPr>
        <w:t>SEC Reports</w:t>
      </w:r>
      <w:r>
        <w:rPr>
          <w:rFonts w:ascii="Times New Roman" w:cs="Times New Roman" w:eastAsia="Times New Roman" w:hAnsi="Times New Roman"/>
          <w:sz w:val="16"/>
          <w:szCs w:val="16"/>
          <w:color w:val="auto"/>
        </w:rPr>
        <w:t>”). If any of the events described in the risk factors and the risks described in the SEC Reports occurs, the Company’s business, operating results and financial condition could be seriously harmed. The Form 8-K also contains forward-looking statements that involve risks and uncertainties. Our actual results could differ materially from those anticipated in the forward-looking statements as a result of factors that are described below and elsewhere in the Form 8-K. Our Risk Factors are not guarantees that no such conditions exist as of the date of the Form 8-K and should not be interpreted as an affirmative statement that such risks or conditions have not materialized, in whole or in part.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Liquidity and Capital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2025, we raised aggregate net cash proceeds of $407.4 million primarily from the issuance of our common stock (excluding option exercises), convertible preferred stock, common stock warrants, and convertible notes and as of September 30, 2025, we had $25.2 million in cash, cash equivalents and investments. On December 18, 2025 we announced a private placement of common stock and prefunded warrants to purchase common stock, which, upon closing, will provide us with approximately $90 million in gross proceeds (the “</w:t>
      </w:r>
      <w:r>
        <w:rPr>
          <w:rFonts w:ascii="Times New Roman" w:cs="Times New Roman" w:eastAsia="Times New Roman" w:hAnsi="Times New Roman"/>
          <w:sz w:val="15"/>
          <w:szCs w:val="15"/>
          <w:b w:val="1"/>
          <w:bCs w:val="1"/>
          <w:color w:val="auto"/>
        </w:rPr>
        <w:t>PIPE Financing</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Since our inception we have not generated positive cash flows from operations and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Cash and Future Funding Requirements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material cash requirements include our operating leases for laboratory and office facilities. As of September 30, 2025, we had lease payment obligations of $1.0 million, with $0.5 million payable within 12 months. For additional information regarding our lease commitments, see Note 7 to our consolidated financial statements included in our Form 10-Q filed on November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16"/>
          <w:szCs w:val="16"/>
          <w:color w:val="auto"/>
        </w:rPr>
        <w:t>2025 for the quarter ended September 30, 2025. Additionally, we have purchase obligations and open purchase orders that support normal operations and are primarily due in the next 12 months. We also have payment obligations to certain of Sermonix’s third-party service providers that total approximately $16.8 million, that are primarily due in the next month. These purchase obligations and open purchase orders are generally cancellable in full or in part through the contractual provisions. We anticipate that our research and development expenses and our general and administrative expenses will increase substantially for the foreseeable future in connection with our ongoing activities, particularly as we continue the research and development of, initiate clinical trials of, and seek marketing approval for, lasofoxifene and ATH-1105. Developing lasofoxifene ATH-1105 and conducting clinical trials for the potential treatment of ALS and breast cancer,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Times New Roman" w:cs="Times New Roman" w:eastAsia="Times New Roman" w:hAnsi="Times New Roman"/>
          <w:sz w:val="16"/>
          <w:szCs w:val="16"/>
          <w:color w:val="212529"/>
        </w:rPr>
        <w:t>.</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Based upon our current operating plan, we estimate that our $25.2 million of cash, cash equivalents and investments at September 30, 2025 when combined with the proceeds from the closing of the PIPE Financing will be sufficient to fund our operating expenses and capital expenditure requirements through at least the next 12 months. However,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&amp; Co. (“</w:t>
      </w:r>
      <w:r>
        <w:rPr>
          <w:rFonts w:ascii="Times New Roman" w:cs="Times New Roman" w:eastAsia="Times New Roman" w:hAnsi="Times New Roman"/>
          <w:sz w:val="16"/>
          <w:szCs w:val="16"/>
          <w:b w:val="1"/>
          <w:bCs w:val="1"/>
          <w:color w:val="auto"/>
        </w:rPr>
        <w:t>Cantor</w:t>
      </w:r>
      <w:r>
        <w:rPr>
          <w:rFonts w:ascii="Times New Roman" w:cs="Times New Roman" w:eastAsia="Times New Roman" w:hAnsi="Times New Roman"/>
          <w:sz w:val="16"/>
          <w:szCs w:val="16"/>
          <w:color w:val="auto"/>
        </w:rPr>
        <w:t>”) and BTIG, LLC (“</w:t>
      </w:r>
      <w:r>
        <w:rPr>
          <w:rFonts w:ascii="Times New Roman" w:cs="Times New Roman" w:eastAsia="Times New Roman" w:hAnsi="Times New Roman"/>
          <w:sz w:val="16"/>
          <w:szCs w:val="16"/>
          <w:b w:val="1"/>
          <w:bCs w:val="1"/>
          <w:color w:val="auto"/>
        </w:rPr>
        <w:t>BTIG</w:t>
      </w:r>
      <w:r>
        <w:rPr>
          <w:rFonts w:ascii="Times New Roman" w:cs="Times New Roman" w:eastAsia="Times New Roman" w:hAnsi="Times New Roman"/>
          <w:sz w:val="16"/>
          <w:szCs w:val="16"/>
          <w:color w:val="auto"/>
        </w:rPr>
        <w:t>”) to sell shares of our common stock having aggregate sales proceeds of up to $75.0 million, from time to time, subject to applicable limitations on sales pursuant to SEC rules and regulations, through an ATM equity offering program under which Cantor and BTIG are acting as sales agents.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120" w:hanging="375"/>
        <w:spacing w:after="0"/>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progress and results of our ongoing preclinical studies and clinical trials of our drug candidates;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trials required for regulatory approval;</w:t>
      </w:r>
    </w:p>
    <w:p>
      <w:pPr>
        <w:spacing w:after="0" w:line="99" w:lineRule="exact"/>
        <w:rPr>
          <w:rFonts w:ascii="Times New Roman" w:cs="Times New Roman" w:eastAsia="Times New Roman" w:hAnsi="Times New Roman"/>
          <w:sz w:val="16"/>
          <w:szCs w:val="16"/>
          <w:color w:val="auto"/>
        </w:rPr>
      </w:pPr>
    </w:p>
    <w:p>
      <w:pPr>
        <w:jc w:val="both"/>
        <w:ind w:left="1120" w:right="100" w:hanging="375"/>
        <w:spacing w:after="0" w:line="261"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FDA, EMA and any other regulatory agencies to accept lasofoxifene or ATH-1105 clinical trial data, as well as data from any completed and planned clinical and nonclinical studies and other work, as the basis for review and approval of lasofoxifene for breast cancer and ATH-1105 for ALS, and the potential need for additional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697865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39" w:name="page40"/>
    <w:bookmarkEnd w:id="39"/>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preclinical development, laboratory testing and clinical trials of other drug candidates that we may pursue;</w:t>
      </w:r>
    </w:p>
    <w:p>
      <w:pPr>
        <w:spacing w:after="0" w:line="99" w:lineRule="exact"/>
        <w:rPr>
          <w:rFonts w:ascii="Times New Roman" w:cs="Times New Roman" w:eastAsia="Times New Roman" w:hAnsi="Times New Roman"/>
          <w:sz w:val="16"/>
          <w:szCs w:val="16"/>
          <w:color w:val="auto"/>
        </w:rPr>
      </w:pPr>
    </w:p>
    <w:p>
      <w:pPr>
        <w:ind w:left="1120" w:right="32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collaborations, licensing or other similar arrangements, and the financial terms of any such arrangements, including the timing and amount of any future milestone, royalty or other payments due thereunder;</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drug candidates;</w:t>
      </w:r>
    </w:p>
    <w:p>
      <w:pPr>
        <w:spacing w:after="0" w:line="99" w:lineRule="exact"/>
        <w:rPr>
          <w:rFonts w:ascii="Times New Roman" w:cs="Times New Roman" w:eastAsia="Times New Roman" w:hAnsi="Times New Roman"/>
          <w:sz w:val="16"/>
          <w:szCs w:val="16"/>
          <w:color w:val="auto"/>
        </w:rPr>
      </w:pPr>
    </w:p>
    <w:p>
      <w:pPr>
        <w:ind w:left="1120" w:right="58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drug product manufacturing, marketing, sales and distribution, for any of our drug candidates for which we receive marketing approval;</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sales of our drug candidates for which we receive marketing approval;</w:t>
      </w:r>
    </w:p>
    <w:p>
      <w:pPr>
        <w:spacing w:after="0" w:line="99" w:lineRule="exact"/>
        <w:rPr>
          <w:rFonts w:ascii="Times New Roman" w:cs="Times New Roman" w:eastAsia="Times New Roman" w:hAnsi="Times New Roman"/>
          <w:sz w:val="16"/>
          <w:szCs w:val="16"/>
          <w:color w:val="auto"/>
        </w:rPr>
      </w:pPr>
    </w:p>
    <w:p>
      <w:pPr>
        <w:ind w:left="1120" w:right="460" w:hanging="375"/>
        <w:spacing w:after="0" w:line="276" w:lineRule="auto"/>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4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related to any legal proceedings;</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expenses needed to attract, hire and retain skilled personnel;</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any expansion of our laboratory and office facilities; and</w:t>
      </w:r>
    </w:p>
    <w:p>
      <w:pPr>
        <w:spacing w:after="0" w:line="99"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in-license other companies’ product candidates and technologies or engage in other strategic transactions.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Forward-Looking Statements</w:t>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i w:val="1"/>
          <w:iCs w:val="1"/>
          <w:color w:val="auto"/>
        </w:rPr>
        <w:t>This Current Report on Form 8-K contains certain forward-looking statements within the meaning of Section 27A of the Securities Act and Section 21E of the Exchange Act. Forward-looking statements are based on Company management’s beliefs and assumptions and on information currently available to management. The statements in this Current Report on Form 8-K that are not purely historical forward-looking statements. In some cases, you can identify forward-looking statements by such words as “anticipate,” “believe,” “continue,” “could,” “estimate,” “expect,” “intend,” “may,” “ongoing,” “plan,” “possible,” “potential,” “predict,” “on track,” “project,” “should,” “target”, “will,” “would” or the negative of these terms or words of similar import,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the Company’s future plans, objectives, expectations, intentions and financial performance and the assumptions that underlie these statements. and are based on current expectations that involve risks and uncertainties, such as the Company’s plans, projections, objectives, expectations and intentions. These forward-looking statements include, but are not limited to, statements about:</w:t>
      </w:r>
    </w:p>
    <w:p>
      <w:pPr>
        <w:spacing w:after="0" w:line="167" w:lineRule="exact"/>
        <w:rPr>
          <w:sz w:val="20"/>
          <w:szCs w:val="20"/>
          <w:color w:val="auto"/>
        </w:rPr>
      </w:pPr>
    </w:p>
    <w:p>
      <w:pPr>
        <w:ind w:left="740" w:right="760" w:hanging="370"/>
        <w:spacing w:after="0" w:line="278"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anticipated consummation of the transactions described herein, including without limitation the Private Placement, Sermonix Transaction, and Ligand Agreement;</w:t>
      </w:r>
    </w:p>
    <w:p>
      <w:pPr>
        <w:spacing w:after="0" w:line="141" w:lineRule="exact"/>
        <w:rPr>
          <w:rFonts w:ascii="Times New Roman" w:cs="Times New Roman" w:eastAsia="Times New Roman" w:hAnsi="Times New Roman"/>
          <w:sz w:val="16"/>
          <w:szCs w:val="16"/>
          <w:color w:val="auto"/>
        </w:rPr>
      </w:pPr>
    </w:p>
    <w:p>
      <w:pPr>
        <w:ind w:left="740" w:right="260" w:hanging="370"/>
        <w:spacing w:after="0" w:line="262"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expectation that its existing cash, cash equivalents, and investments as of September 30, 2025 when combined with the proceeds it anticipates receiving in the Private Placement will be sufficient to fund its planned operations until 2028 (excluding any cash received from the potential exercise of the PIPE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4" w:right="319" w:bottom="1440" w:gutter="0" w:footer="0" w:header="0"/>
        </w:sectPr>
      </w:pPr>
    </w:p>
    <w:bookmarkStart w:id="40" w:name="page41"/>
    <w:bookmarkEnd w:id="40"/>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financial performance;</w:t>
      </w:r>
    </w:p>
    <w:p>
      <w:pPr>
        <w:spacing w:after="0" w:line="194" w:lineRule="exact"/>
        <w:rPr>
          <w:rFonts w:ascii="Times New Roman" w:cs="Times New Roman" w:eastAsia="Times New Roman" w:hAnsi="Times New Roman"/>
          <w:sz w:val="16"/>
          <w:szCs w:val="16"/>
          <w:color w:val="auto"/>
        </w:rPr>
      </w:pPr>
    </w:p>
    <w:p>
      <w:pPr>
        <w:ind w:left="370" w:right="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obtain funding for its operations, including funding necessary to develop and commercialize its drug candidates and funding necessary for the payment of future milestone and other payments that may be earned by its collaboration partners;</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ability of the Company’s nonclinical studies and clinical trials to demonstrate safety and efficacy of its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success, cost and timing of the Company’s development activities, nonclinical studies and clinical trials;</w:t>
      </w:r>
    </w:p>
    <w:p>
      <w:pPr>
        <w:spacing w:after="0" w:line="194" w:lineRule="exact"/>
        <w:rPr>
          <w:rFonts w:ascii="Times New Roman" w:cs="Times New Roman" w:eastAsia="Times New Roman" w:hAnsi="Times New Roman"/>
          <w:sz w:val="16"/>
          <w:szCs w:val="16"/>
          <w:color w:val="auto"/>
        </w:rPr>
      </w:pPr>
    </w:p>
    <w:p>
      <w:pPr>
        <w:ind w:left="37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of the Company’s Phase 2 ATH-1105 clinical trial and any subsequent clinical trials to show the beneficial characteristics, safety and efficacy of ATH-1105;</w:t>
      </w:r>
    </w:p>
    <w:p>
      <w:pPr>
        <w:spacing w:after="0" w:line="141" w:lineRule="exact"/>
        <w:rPr>
          <w:rFonts w:ascii="Times New Roman" w:cs="Times New Roman" w:eastAsia="Times New Roman" w:hAnsi="Times New Roman"/>
          <w:sz w:val="16"/>
          <w:szCs w:val="16"/>
          <w:color w:val="auto"/>
        </w:rPr>
      </w:pPr>
    </w:p>
    <w:p>
      <w:pPr>
        <w:ind w:left="370" w:right="3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of the Company to complete the Phase 3 ELAINE-3 clinical trial for lasofoxifene and any subsequent clinical trials to show the clinical benefits of lasofoxifene;</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rate and degree of market acceptance of the Company’s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learnings from the Company’s ongoing clinical trials and their ability to inform and improve future clinical development plans;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timing and focus of the Company’s future clinical trials, and the reporting of data from those trials;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anticipated milestone timelines, such as the timing of data releases, and the Company’s ability to meet such timelines;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relating to commercializing its drug candidates, if approved;</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Company’s plans and ability to establish sales, marketing and distribution infrastructure to commercialize any drug candidates for which it obtains approval;</w:t>
      </w:r>
    </w:p>
    <w:p>
      <w:pPr>
        <w:spacing w:after="0" w:line="205" w:lineRule="exact"/>
        <w:rPr>
          <w:rFonts w:ascii="Times New Roman" w:cs="Times New Roman" w:eastAsia="Times New Roman" w:hAnsi="Times New Roman"/>
          <w:sz w:val="15"/>
          <w:szCs w:val="15"/>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attract and retain key managerial, scientific and clinical personnel and the expected contributions of such personnel to the Company;</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contract with third-party suppliers and manufacturers and their ability to perform adequately;</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for lasofoxifene to be a new standard of care in the genetically defined patient group;</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accuracy of the Company’s estimates regarding expenses, future revenue, capital requirements and needs for additional financing;</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pricing and reimbursement of the Company’s drug candidates, if approved;</w:t>
      </w:r>
    </w:p>
    <w:p>
      <w:pPr>
        <w:spacing w:after="0" w:line="194" w:lineRule="exact"/>
        <w:rPr>
          <w:rFonts w:ascii="Times New Roman" w:cs="Times New Roman" w:eastAsia="Times New Roman" w:hAnsi="Times New Roman"/>
          <w:sz w:val="16"/>
          <w:szCs w:val="16"/>
          <w:color w:val="auto"/>
        </w:rPr>
      </w:pPr>
    </w:p>
    <w:p>
      <w:pPr>
        <w:ind w:left="370" w:right="12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reliance on third parties to conduct clinical trials of its drug candidates, and for the manufacture of its drug candidates for nonclinical studies and clinical trials;</w:t>
      </w:r>
    </w:p>
    <w:p>
      <w:pPr>
        <w:spacing w:after="0" w:line="141"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success of competing therapies that are or may become available;</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beneficial characteristics, safety and efficacy of the Company’s drug candidates;</w:t>
      </w:r>
    </w:p>
    <w:p>
      <w:pPr>
        <w:spacing w:after="0" w:line="194" w:lineRule="exact"/>
        <w:rPr>
          <w:rFonts w:ascii="Times New Roman" w:cs="Times New Roman" w:eastAsia="Times New Roman" w:hAnsi="Times New Roman"/>
          <w:sz w:val="16"/>
          <w:szCs w:val="16"/>
          <w:color w:val="auto"/>
        </w:rPr>
      </w:pPr>
    </w:p>
    <w:p>
      <w:pPr>
        <w:ind w:left="370" w:hanging="370"/>
        <w:spacing w:after="0"/>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developments in the United States and other jurisdictions;</w:t>
      </w:r>
    </w:p>
    <w:p>
      <w:pPr>
        <w:spacing w:after="0" w:line="194" w:lineRule="exact"/>
        <w:rPr>
          <w:rFonts w:ascii="Times New Roman" w:cs="Times New Roman" w:eastAsia="Times New Roman" w:hAnsi="Times New Roman"/>
          <w:sz w:val="16"/>
          <w:szCs w:val="16"/>
          <w:color w:val="auto"/>
        </w:rPr>
      </w:pPr>
    </w:p>
    <w:p>
      <w:pPr>
        <w:ind w:left="370" w:right="160" w:hanging="370"/>
        <w:spacing w:after="0" w:line="278" w:lineRule="auto"/>
        <w:tabs>
          <w:tab w:leader="none" w:pos="37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ability to obtain and maintain regulatory approval of its drug candidates in the United States and other jurisdictions, and any related restrictions, limitations or warnings in the label of any approved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749935</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50"/>
          </w:cols>
          <w:pgMar w:left="690" w:top="878" w:right="459" w:bottom="1440" w:gutter="0" w:footer="0" w:header="0"/>
        </w:sectPr>
      </w:pPr>
    </w:p>
    <w:bookmarkStart w:id="41" w:name="page42"/>
    <w:bookmarkEnd w:id="41"/>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future agreements with third parties in connection with the commercialization of the Company’s drug candidates;</w:t>
      </w:r>
    </w:p>
    <w:p>
      <w:pPr>
        <w:spacing w:after="0" w:line="194" w:lineRule="exact"/>
        <w:rPr>
          <w:rFonts w:ascii="Times New Roman" w:cs="Times New Roman" w:eastAsia="Times New Roman" w:hAnsi="Times New Roman"/>
          <w:sz w:val="16"/>
          <w:szCs w:val="16"/>
          <w:color w:val="auto"/>
        </w:rPr>
      </w:pPr>
    </w:p>
    <w:p>
      <w:pPr>
        <w:ind w:left="740" w:right="360" w:hanging="370"/>
        <w:spacing w:after="0" w:line="278" w:lineRule="auto"/>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capacity and capability relating to the further development and manufacturing of its drug candidates, including additional indications for which it may pursue regulatory approval;</w:t>
      </w:r>
    </w:p>
    <w:p>
      <w:pPr>
        <w:spacing w:after="0" w:line="14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plans and ability to obtain or protect intellectual property rights, including extensions of existing patent terms where available;</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scope of protection the Company is able to establish and maintain for intellectual property rights covering its drug candidates and technology;</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outcome of legal proceedings which may in the future be instituted against the Company and certain of its directors and officers;</w:t>
      </w:r>
    </w:p>
    <w:p>
      <w:pPr>
        <w:spacing w:after="0" w:line="194" w:lineRule="exact"/>
        <w:rPr>
          <w:rFonts w:ascii="Times New Roman" w:cs="Times New Roman" w:eastAsia="Times New Roman" w:hAnsi="Times New Roman"/>
          <w:sz w:val="16"/>
          <w:szCs w:val="16"/>
          <w:color w:val="auto"/>
        </w:rPr>
      </w:pPr>
    </w:p>
    <w:p>
      <w:pPr>
        <w:ind w:left="740" w:right="80" w:hanging="370"/>
        <w:spacing w:after="0" w:line="278" w:lineRule="auto"/>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actions by activist stockholders, which have in the past been, and may in the future be, disruptive and could cause uncertainty about the strategic direction of the Company’s business;</w:t>
      </w:r>
    </w:p>
    <w:p>
      <w:pPr>
        <w:spacing w:after="0" w:line="14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size and growth potential of the markets for the Company’s drug candidates, if approved for commercial use, and the Company’s ability to serve those markets;</w:t>
      </w:r>
    </w:p>
    <w:p>
      <w:pPr>
        <w:spacing w:after="0" w:line="205" w:lineRule="exact"/>
        <w:rPr>
          <w:rFonts w:ascii="Times New Roman" w:cs="Times New Roman" w:eastAsia="Times New Roman" w:hAnsi="Times New Roman"/>
          <w:sz w:val="15"/>
          <w:szCs w:val="15"/>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potential benefits of any strategic collaborations, partnerships, or other transactions the Company may enter into;</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expectations regarding the time during which it will be an emerging growth company under the JOBS Act; and</w:t>
      </w:r>
    </w:p>
    <w:p>
      <w:pPr>
        <w:spacing w:after="0" w:line="19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expected rebranding efforts.</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the Company’s Risk Factors included as Exhibit 99.3 to this Current Report on Form 8-K (the “Risk Factors”) and elsewhere in this Current Report on Form 8-K. These statements, like all statements in this report, speak only as of their date and the Company undertakes no obligation to update or revise these statements in light of future developments. The Company’s ability to consummate the transactions described herein and advance the development of its product candidates thereafter are subject to risks and uncertainties, including: (i) the risk that the conditions to the closing of any or all of the transactions described herein are not satisfied; (ii) uncertainties as to the timing of the consummation of each of the proposed transactions and the ability of each of the parties thereto to consummate them; (iii) unexpected costs, charges or expenses resulting from the transactions; (iv) potential adverse reactions or changes to business relationships resulting from the announcement or completion of any or all of the proposed transactions; and (v) risks associated with the possible failure to realize certain anticipated benefits of any or all of the proposed transactions, including with respect to future financial and operating results. The Company’s Risk Factors are not guarantees that no such conditions exist as of the date of this report and should not be interpreted as an affirmative statement that such risks or conditions have not materialized, in whole or in part.</w:t>
      </w:r>
    </w:p>
    <w:p>
      <w:pPr>
        <w:spacing w:after="0" w:line="16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5"/>
          <w:szCs w:val="15"/>
          <w:i w:val="1"/>
          <w:iCs w:val="1"/>
          <w:color w:val="auto"/>
        </w:rPr>
        <w:t>In addition, statements that “we believe” or “the Company believes” and similar statements reflect the Company’s beliefs and opinions on the relevant subject. These statements are based upon information available to the Company as of the date of this report, and although the Company believes such information forms a reasonable basis for such statements, such information may be limited or incomplete, and the Company’s statements should not be read to indicate that the Company has conducted a thorough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 Exhibits.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1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3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1920" w:type="dxa"/>
            <w:vAlign w:val="bottom"/>
          </w:tcPr>
          <w:p>
            <w:pPr>
              <w:jc w:val="center"/>
              <w:ind w:right="1"/>
              <w:spacing w:after="0" w:line="145" w:lineRule="exact"/>
              <w:rPr>
                <w:sz w:val="20"/>
                <w:szCs w:val="20"/>
                <w:color w:val="auto"/>
              </w:rPr>
            </w:pPr>
            <w:r>
              <w:rPr>
                <w:rFonts w:ascii="Times New Roman" w:cs="Times New Roman" w:eastAsia="Times New Roman" w:hAnsi="Times New Roman"/>
                <w:sz w:val="16"/>
                <w:szCs w:val="16"/>
                <w:color w:val="auto"/>
                <w:w w:val="99"/>
              </w:rPr>
              <w:t>4.1</w:t>
            </w:r>
          </w:p>
        </w:tc>
        <w:tc>
          <w:tcPr>
            <w:tcW w:w="9320" w:type="dxa"/>
            <w:vAlign w:val="bottom"/>
            <w:gridSpan w:val="9"/>
          </w:tcPr>
          <w:p>
            <w:pPr>
              <w:spacing w:after="0" w:line="145" w:lineRule="exact"/>
              <w:rPr>
                <w:sz w:val="20"/>
                <w:szCs w:val="20"/>
                <w:color w:val="auto"/>
              </w:rPr>
            </w:pPr>
            <w:r>
              <w:rPr>
                <w:rFonts w:ascii="Times New Roman" w:cs="Times New Roman" w:eastAsia="Times New Roman" w:hAnsi="Times New Roman"/>
                <w:sz w:val="16"/>
                <w:szCs w:val="16"/>
                <w:color w:val="0000FF"/>
              </w:rPr>
              <w:t>Form of PIPE Pre-Funded Warrant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4.2</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Form of PIPE Series A Common Warrant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4.3</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Form of PIPE Series B Common Warrant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4.4</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Form of Sermonix Pre-Funded Warrant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4.5</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Form of PIPE Registration Rights Agreement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4.6</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Form of Sermonix Registration Rights Agreement</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10.1</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Securities Purchase Agreement dated December 18, 2025, by and among the Company and the PIPE Purchasers</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58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10.2</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Securities Purchase Agreement dated December 18, 2025, by and between the Company and Sermonix Pharmaceuticals, Inc.</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380" w:type="dxa"/>
            <w:vAlign w:val="bottom"/>
            <w:gridSpan w:val="5"/>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99.1</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December 18, 2025.</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Company corporate presentation</w:t>
            </w:r>
          </w:p>
        </w:tc>
      </w:tr>
      <w:tr>
        <w:trPr>
          <w:trHeight w:val="20"/>
        </w:trPr>
        <w:tc>
          <w:tcPr>
            <w:tcW w:w="1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7"/>
          </w:tcPr>
          <w:p>
            <w:pPr>
              <w:spacing w:after="0" w:line="20" w:lineRule="exact"/>
              <w:rPr>
                <w:sz w:val="1"/>
                <w:szCs w:val="1"/>
                <w:color w:val="auto"/>
              </w:rPr>
            </w:pPr>
          </w:p>
        </w:tc>
      </w:tr>
      <w:tr>
        <w:trPr>
          <w:trHeight w:val="169"/>
        </w:trPr>
        <w:tc>
          <w:tcPr>
            <w:tcW w:w="19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99.3</w:t>
            </w:r>
          </w:p>
        </w:tc>
        <w:tc>
          <w:tcPr>
            <w:tcW w:w="9320" w:type="dxa"/>
            <w:vAlign w:val="bottom"/>
            <w:gridSpan w:val="9"/>
          </w:tcPr>
          <w:p>
            <w:pPr>
              <w:spacing w:after="0" w:line="169" w:lineRule="exact"/>
              <w:rPr>
                <w:sz w:val="20"/>
                <w:szCs w:val="20"/>
                <w:color w:val="auto"/>
              </w:rPr>
            </w:pPr>
            <w:r>
              <w:rPr>
                <w:rFonts w:ascii="Times New Roman" w:cs="Times New Roman" w:eastAsia="Times New Roman" w:hAnsi="Times New Roman"/>
                <w:sz w:val="16"/>
                <w:szCs w:val="16"/>
                <w:color w:val="0000FF"/>
              </w:rPr>
              <w:t>Risk factors of Athira Pharma, Inc.</w:t>
            </w:r>
          </w:p>
        </w:tc>
      </w:tr>
      <w:tr>
        <w:trPr>
          <w:trHeight w:val="20"/>
        </w:trPr>
        <w:tc>
          <w:tcPr>
            <w:tcW w:w="20" w:type="dxa"/>
            <w:vAlign w:val="bottom"/>
          </w:tcPr>
          <w:p>
            <w:pPr>
              <w:spacing w:after="0" w:line="20" w:lineRule="exact"/>
              <w:rPr>
                <w:sz w:val="1"/>
                <w:szCs w:val="1"/>
                <w:color w:val="auto"/>
              </w:rPr>
            </w:pPr>
          </w:p>
        </w:tc>
        <w:tc>
          <w:tcPr>
            <w:tcW w:w="19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7" w:lineRule="exact"/>
        <w:rPr>
          <w:sz w:val="20"/>
          <w:szCs w:val="20"/>
          <w:color w:val="auto"/>
        </w:rPr>
      </w:pPr>
    </w:p>
    <w:p>
      <w:pPr>
        <w:ind w:left="1920" w:hanging="1091"/>
        <w:spacing w:after="0"/>
        <w:tabs>
          <w:tab w:leader="none" w:pos="19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w:t>
      </w:r>
    </w:p>
    <w:p>
      <w:pPr>
        <w:spacing w:after="0" w:line="216"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SIGNATURES</w:t>
      </w:r>
    </w:p>
    <w:p>
      <w:pPr>
        <w:spacing w:after="0" w:line="338" w:lineRule="exact"/>
        <w:rPr>
          <w:sz w:val="20"/>
          <w:szCs w:val="20"/>
          <w:color w:val="auto"/>
        </w:rPr>
      </w:pPr>
    </w:p>
    <w:p>
      <w:pPr>
        <w:ind w:right="32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Athira Pharma, Inc.</w:t>
      </w:r>
    </w:p>
    <w:p>
      <w:pPr>
        <w:spacing w:after="0" w:line="327" w:lineRule="exact"/>
        <w:rPr>
          <w:sz w:val="20"/>
          <w:szCs w:val="20"/>
          <w:color w:val="auto"/>
        </w:rPr>
      </w:pPr>
    </w:p>
    <w:p>
      <w:pPr>
        <w:spacing w:after="0"/>
        <w:tabs>
          <w:tab w:leader="none" w:pos="660" w:val="left"/>
          <w:tab w:leader="none" w:pos="484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18,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Mark Litton</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1176655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43" w:name="page44"/>
    <w:bookmarkEnd w:id="43"/>
    <w:p>
      <w:pPr>
        <w:ind w:left="1044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 HEDGING TRANSACTIONS CAN BE CONDUCTED WITH REGARD TO THIS WARRANT EXCEPT AS PERMITTED BY THE SECURITIES ACT.] NOTWITHSTANDING THE FOREGOING, THE SECURITIES MAY BE PLEDGED IN CONNECTION WITH A BONA FIDE MARGIN ACCOUNT OR OTHER LOAN OR FINANCING ARRANGEMENT SECURED BY THE SECURITIES.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Shares: [ ] (subject to adjustment)</w:t>
      </w:r>
    </w:p>
    <w:p>
      <w:pPr>
        <w:spacing w:after="0" w:line="19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Warrant No. [ ]</w:t>
        <w:tab/>
        <w:t>Original Issue Date: December [ ], 2025</w:t>
      </w:r>
    </w:p>
    <w:p>
      <w:pPr>
        <w:spacing w:after="0" w:line="16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at an exercise price per share equal to $0.001 (the “</w:t>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 in each case as adjusted from time to time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upon surrender of this Pre-Funded Warrant to Purchase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any Warrants to Purchase Common Stock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date hereof (the “</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subject to the following terms and conditions:</w:t>
      </w:r>
    </w:p>
    <w:p>
      <w:pPr>
        <w:spacing w:after="0" w:line="160"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similar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ind w:right="4320" w:firstLine="745"/>
        <w:spacing w:after="0" w:line="266" w:lineRule="auto"/>
        <w:tabs>
          <w:tab w:leader="none" w:pos="1129" w:val="left"/>
        </w:tabs>
        <w:numPr>
          <w:ilvl w:val="0"/>
          <w:numId w:val="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868680</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44" w:name="page45"/>
    <w:bookmarkEnd w:id="44"/>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45" w:name="page46"/>
    <w:bookmarkEnd w:id="45"/>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the date of delivery of an applicable Notice of Exercise, which as of the Original Issue Date was “T+1.”</w:t>
      </w:r>
    </w:p>
    <w:p>
      <w:pPr>
        <w:spacing w:after="0" w:line="2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760" w:hanging="387"/>
        <w:spacing w:after="0"/>
        <w:tabs>
          <w:tab w:leader="none" w:pos="76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36" w:lineRule="auto"/>
        <w:tabs>
          <w:tab w:leader="none" w:pos="1176" w:val="left"/>
        </w:tabs>
        <w:numPr>
          <w:ilvl w:val="1"/>
          <w:numId w:val="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transferable, in whole or in part, upon surrender of this Warrant at the principal office of the Company or its designated agent, together with a written assignment of this Warrant substantially in the form attached hereto in Schedule 2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760" w:hanging="387"/>
        <w:spacing w:after="0"/>
        <w:tabs>
          <w:tab w:leader="none" w:pos="76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such rights shall not expire until exercised in full.</w:t>
      </w:r>
    </w:p>
    <w:p>
      <w:pPr>
        <w:spacing w:after="0" w:line="137" w:lineRule="exact"/>
        <w:rPr>
          <w:rFonts w:ascii="Times New Roman" w:cs="Times New Roman" w:eastAsia="Times New Roman" w:hAnsi="Times New Roman"/>
          <w:sz w:val="19"/>
          <w:szCs w:val="19"/>
          <w:color w:val="auto"/>
        </w:rPr>
      </w:pPr>
    </w:p>
    <w:p>
      <w:pPr>
        <w:ind w:firstLine="1496"/>
        <w:spacing w:after="0" w:line="262" w:lineRule="auto"/>
        <w:tabs>
          <w:tab w:leader="none" w:pos="2041" w:val="left"/>
        </w:tabs>
        <w:numPr>
          <w:ilvl w:val="2"/>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6" w:name="page47"/>
    <w:bookmarkEnd w:id="46"/>
    <w:p>
      <w:pPr>
        <w:jc w:val="both"/>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 Date</w:t>
      </w:r>
      <w:r>
        <w:rPr>
          <w:rFonts w:ascii="Times New Roman" w:cs="Times New Roman" w:eastAsia="Times New Roman" w:hAnsi="Times New Roman"/>
          <w:sz w:val="19"/>
          <w:szCs w:val="19"/>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Initial Exercise Date, and consequently no additional consideration (other than the Exercise Price) shall be required to be paid by the Holder to effect any exercise of this Warrant.</w:t>
      </w:r>
    </w:p>
    <w:p>
      <w:pPr>
        <w:spacing w:after="0" w:line="159" w:lineRule="exact"/>
        <w:rPr>
          <w:sz w:val="20"/>
          <w:szCs w:val="20"/>
          <w:color w:val="auto"/>
        </w:rPr>
      </w:pPr>
    </w:p>
    <w:p>
      <w:pPr>
        <w:jc w:val="both"/>
        <w:ind w:right="20" w:firstLine="1496"/>
        <w:spacing w:after="0" w:line="248" w:lineRule="auto"/>
        <w:tabs>
          <w:tab w:leader="none" w:pos="2041"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760" w:hanging="387"/>
        <w:spacing w:after="0"/>
        <w:tabs>
          <w:tab w:leader="none" w:pos="760"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Warrant Shares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firstLine="1496"/>
        <w:spacing w:after="0" w:line="235" w:lineRule="auto"/>
        <w:tabs>
          <w:tab w:leader="none" w:pos="2041"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4" w:lineRule="exact"/>
        <w:rPr>
          <w:rFonts w:ascii="Times New Roman" w:cs="Times New Roman" w:eastAsia="Times New Roman" w:hAnsi="Times New Roman"/>
          <w:sz w:val="19"/>
          <w:szCs w:val="19"/>
          <w:color w:val="auto"/>
        </w:rPr>
      </w:pPr>
    </w:p>
    <w:p>
      <w:pPr>
        <w:jc w:val="both"/>
        <w:ind w:right="20" w:firstLine="1496"/>
        <w:spacing w:after="0" w:line="238" w:lineRule="auto"/>
        <w:tabs>
          <w:tab w:leader="none" w:pos="2041"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883285</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47" w:name="page48"/>
    <w:bookmarkEnd w:id="47"/>
    <w:p>
      <w:pPr>
        <w:jc w:val="both"/>
        <w:spacing w:after="0" w:line="237" w:lineRule="auto"/>
        <w:rPr>
          <w:sz w:val="20"/>
          <w:szCs w:val="20"/>
          <w:color w:val="auto"/>
        </w:rPr>
      </w:pPr>
      <w:r>
        <w:rPr>
          <w:rFonts w:ascii="Times New Roman" w:cs="Times New Roman" w:eastAsia="Times New Roman" w:hAnsi="Times New Roman"/>
          <w:sz w:val="19"/>
          <w:szCs w:val="19"/>
          <w:color w:val="auto"/>
        </w:rPr>
        <w:t>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63" w:lineRule="exact"/>
        <w:rPr>
          <w:sz w:val="20"/>
          <w:szCs w:val="20"/>
          <w:color w:val="auto"/>
        </w:rPr>
      </w:pPr>
    </w:p>
    <w:p>
      <w:pPr>
        <w:jc w:val="both"/>
        <w:ind w:firstLine="1496"/>
        <w:spacing w:after="0" w:line="236"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9"/>
          <w:szCs w:val="19"/>
          <w:u w:val="single" w:color="auto"/>
          <w:color w:val="auto"/>
        </w:rPr>
        <w:t>Section 5(b), nothing</w:t>
      </w:r>
      <w:r>
        <w:rPr>
          <w:rFonts w:ascii="Times New Roman" w:cs="Times New Roman" w:eastAsia="Times New Roman" w:hAnsi="Times New Roman"/>
          <w:sz w:val="19"/>
          <w:szCs w:val="19"/>
          <w:color w:val="auto"/>
        </w:rPr>
        <w:t xml:space="preserve">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5(a).</w:t>
      </w:r>
    </w:p>
    <w:p>
      <w:pPr>
        <w:spacing w:after="0" w:line="165"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ind w:firstLine="745"/>
        <w:spacing w:after="0" w:line="266" w:lineRule="auto"/>
        <w:tabs>
          <w:tab w:leader="none" w:pos="1021"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Exercise Shares shall be made without charge to the Holder for any issue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 tax, transfer agent fee or other incidental tax or expense (excluding any applicable stamp duties) in respect of the issuance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48" w:name="page49"/>
    <w:bookmarkEnd w:id="48"/>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64" w:lineRule="exact"/>
        <w:rPr>
          <w:sz w:val="20"/>
          <w:szCs w:val="20"/>
          <w:color w:val="auto"/>
        </w:rPr>
      </w:pPr>
    </w:p>
    <w:p>
      <w:pPr>
        <w:jc w:val="both"/>
        <w:ind w:firstLine="745"/>
        <w:spacing w:after="0" w:line="256" w:lineRule="auto"/>
        <w:tabs>
          <w:tab w:leader="none" w:pos="102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Applicants for a New Warrant under such circumstances shall also comply with such other reasonable regulations and procedures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53" w:lineRule="exact"/>
        <w:rPr>
          <w:rFonts w:ascii="Times New Roman" w:cs="Times New Roman" w:eastAsia="Times New Roman" w:hAnsi="Times New Roman"/>
          <w:sz w:val="18"/>
          <w:szCs w:val="18"/>
          <w:b w:val="1"/>
          <w:bCs w:val="1"/>
          <w:color w:val="auto"/>
        </w:rPr>
      </w:pPr>
    </w:p>
    <w:p>
      <w:pPr>
        <w:jc w:val="both"/>
        <w:ind w:firstLine="745"/>
        <w:spacing w:after="0" w:line="235" w:lineRule="auto"/>
        <w:tabs>
          <w:tab w:leader="none" w:pos="1021"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772160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9" w:name="page50"/>
    <w:bookmarkEnd w:id="49"/>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Company may satisfy this obligation by obtaining such consent and submitting for filing with the SEC an Information Statement on Schedule 14C.</w:t>
      </w:r>
    </w:p>
    <w:p>
      <w:pPr>
        <w:spacing w:after="0" w:line="134" w:lineRule="exact"/>
        <w:rPr>
          <w:sz w:val="20"/>
          <w:szCs w:val="20"/>
          <w:color w:val="auto"/>
        </w:rPr>
      </w:pPr>
    </w:p>
    <w:p>
      <w:pPr>
        <w:ind w:right="20" w:firstLine="745"/>
        <w:spacing w:after="0" w:line="266" w:lineRule="auto"/>
        <w:tabs>
          <w:tab w:leader="none" w:pos="1021"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Exercise Price and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are subject to adjustment from time to time as set forth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34" w:lineRule="exact"/>
        <w:rPr>
          <w:rFonts w:ascii="Times New Roman" w:cs="Times New Roman" w:eastAsia="Times New Roman" w:hAnsi="Times New Roman"/>
          <w:sz w:val="19"/>
          <w:szCs w:val="19"/>
          <w:b w:val="1"/>
          <w:bCs w:val="1"/>
          <w:color w:val="auto"/>
        </w:rPr>
      </w:pPr>
    </w:p>
    <w:p>
      <w:pPr>
        <w:jc w:val="both"/>
        <w:ind w:left="60" w:firstLine="1511"/>
        <w:spacing w:after="0" w:line="236" w:lineRule="auto"/>
        <w:tabs>
          <w:tab w:leader="none" w:pos="20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7" w:lineRule="exact"/>
        <w:rPr>
          <w:rFonts w:ascii="Times New Roman" w:cs="Times New Roman" w:eastAsia="Times New Roman" w:hAnsi="Times New Roman"/>
          <w:sz w:val="19"/>
          <w:szCs w:val="19"/>
          <w:color w:val="auto"/>
        </w:rPr>
      </w:pPr>
    </w:p>
    <w:p>
      <w:pPr>
        <w:jc w:val="both"/>
        <w:ind w:left="60" w:firstLine="1511"/>
        <w:spacing w:after="0" w:line="236" w:lineRule="auto"/>
        <w:tabs>
          <w:tab w:leader="none" w:pos="202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Subscription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885825</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-3930015</wp:posOffset>
            </wp:positionV>
            <wp:extent cx="2984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-1241425</wp:posOffset>
            </wp:positionV>
            <wp:extent cx="450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0" w:name="page51"/>
    <w:bookmarkEnd w:id="50"/>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6" w:lineRule="exact"/>
        <w:rPr>
          <w:sz w:val="20"/>
          <w:szCs w:val="20"/>
          <w:color w:val="auto"/>
        </w:rPr>
      </w:pPr>
    </w:p>
    <w:p>
      <w:pPr>
        <w:jc w:val="both"/>
        <w:ind w:firstLine="1436"/>
        <w:spacing w:after="0" w:line="235" w:lineRule="auto"/>
        <w:tabs>
          <w:tab w:leader="none" w:pos="196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8"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766445</wp:posOffset>
            </wp:positionV>
            <wp:extent cx="71748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1" w:name="page52"/>
    <w:bookmarkEnd w:id="51"/>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68" w:lineRule="exact"/>
        <w:rPr>
          <w:sz w:val="20"/>
          <w:szCs w:val="20"/>
          <w:color w:val="auto"/>
        </w:rPr>
      </w:pPr>
    </w:p>
    <w:p>
      <w:pPr>
        <w:jc w:val="both"/>
        <w:ind w:firstLine="1436"/>
        <w:spacing w:after="0" w:line="241" w:lineRule="auto"/>
        <w:tabs>
          <w:tab w:leader="none" w:pos="196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w:t>
      </w:r>
      <w:r>
        <w:rPr>
          <w:rFonts w:ascii="Times New Roman" w:cs="Times New Roman" w:eastAsia="Times New Roman" w:hAnsi="Times New Roman"/>
          <w:sz w:val="19"/>
          <w:szCs w:val="19"/>
          <w:color w:val="auto"/>
        </w:rPr>
        <w:t xml:space="preserve">. Simultaneously with any adjustment to the Number of Warrant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56"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43" w:lineRule="auto"/>
        <w:tabs>
          <w:tab w:leader="none" w:pos="196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2" w:name="page53"/>
    <w:bookmarkEnd w:id="52"/>
    <w:p>
      <w:pPr>
        <w:spacing w:after="0" w:line="2" w:lineRule="exact"/>
        <w:rPr>
          <w:sz w:val="20"/>
          <w:szCs w:val="20"/>
          <w:color w:val="auto"/>
        </w:rPr>
      </w:pPr>
    </w:p>
    <w:p>
      <w:pPr>
        <w:ind w:left="60"/>
        <w:spacing w:after="0" w:line="262" w:lineRule="auto"/>
        <w:rPr>
          <w:sz w:val="20"/>
          <w:szCs w:val="20"/>
          <w:color w:val="auto"/>
        </w:rPr>
      </w:pPr>
      <w:r>
        <w:rPr>
          <w:rFonts w:ascii="Times New Roman" w:cs="Times New Roman" w:eastAsia="Times New Roman" w:hAnsi="Times New Roman"/>
          <w:sz w:val="19"/>
          <w:szCs w:val="19"/>
          <w:color w:val="auto"/>
        </w:rPr>
        <w:t>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38" w:lineRule="exact"/>
        <w:rPr>
          <w:sz w:val="20"/>
          <w:szCs w:val="20"/>
          <w:color w:val="auto"/>
        </w:rPr>
      </w:pPr>
    </w:p>
    <w:p>
      <w:pPr>
        <w:jc w:val="both"/>
        <w:ind w:left="60" w:firstLine="1436"/>
        <w:spacing w:after="0" w:line="236" w:lineRule="auto"/>
        <w:tabs>
          <w:tab w:leader="none" w:pos="202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61" w:lineRule="exact"/>
        <w:rPr>
          <w:rFonts w:ascii="Times New Roman" w:cs="Times New Roman" w:eastAsia="Times New Roman" w:hAnsi="Times New Roman"/>
          <w:sz w:val="19"/>
          <w:szCs w:val="19"/>
          <w:color w:val="auto"/>
        </w:rPr>
      </w:pPr>
    </w:p>
    <w:p>
      <w:pPr>
        <w:ind w:left="1580" w:hanging="381"/>
        <w:spacing w:after="0"/>
        <w:tabs>
          <w:tab w:leader="none" w:pos="158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Notwithstanding anything contained herein to the</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ind w:left="1580"/>
        <w:spacing w:after="0" w:line="236"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779145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3" w:name="page54"/>
    <w:bookmarkEnd w:id="53"/>
    <w:p>
      <w:pPr>
        <w:spacing w:after="0" w:line="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 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59" w:lineRule="exact"/>
        <w:rPr>
          <w:sz w:val="20"/>
          <w:szCs w:val="20"/>
          <w:color w:val="auto"/>
        </w:rPr>
      </w:pPr>
    </w:p>
    <w:p>
      <w:pPr>
        <w:ind w:left="760" w:hanging="387"/>
        <w:spacing w:after="0"/>
        <w:tabs>
          <w:tab w:leader="none" w:pos="76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For any reason at any time, upon the written or oral request of the Holder, the Company shall within one business day confirm orally and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768985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4" w:name="page55"/>
    <w:bookmarkEnd w:id="54"/>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specified in such notice; provided that such other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8" w:lineRule="exact"/>
        <w:rPr>
          <w:sz w:val="20"/>
          <w:szCs w:val="20"/>
          <w:color w:val="auto"/>
        </w:rPr>
      </w:pPr>
    </w:p>
    <w:p>
      <w:pPr>
        <w:jc w:val="both"/>
        <w:ind w:firstLine="1496"/>
        <w:spacing w:after="0" w:line="238" w:lineRule="auto"/>
        <w:tabs>
          <w:tab w:leader="none" w:pos="187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Distribution as contemplated in </w:t>
      </w:r>
      <w:r>
        <w:rPr>
          <w:rFonts w:ascii="Times New Roman" w:cs="Times New Roman" w:eastAsia="Times New Roman" w:hAnsi="Times New Roman"/>
          <w:sz w:val="19"/>
          <w:szCs w:val="19"/>
          <w:u w:val="single" w:color="auto"/>
          <w:color w:val="auto"/>
        </w:rPr>
        <w:t>Section 9(b), (ii)</w:t>
      </w:r>
      <w:r>
        <w:rPr>
          <w:rFonts w:ascii="Times New Roman" w:cs="Times New Roman" w:eastAsia="Times New Roman" w:hAnsi="Times New Roman"/>
          <w:sz w:val="19"/>
          <w:szCs w:val="19"/>
          <w:color w:val="auto"/>
        </w:rPr>
        <w:t xml:space="preserve">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5" w:name="page56"/>
    <w:bookmarkEnd w:id="55"/>
    <w:p>
      <w:pPr>
        <w:spacing w:after="0" w:line="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 xml:space="preserve">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52" w:lineRule="exact"/>
        <w:rPr>
          <w:sz w:val="20"/>
          <w:szCs w:val="20"/>
          <w:color w:val="auto"/>
        </w:rPr>
      </w:pPr>
    </w:p>
    <w:p>
      <w:pPr>
        <w:jc w:val="both"/>
        <w:ind w:firstLine="825"/>
        <w:spacing w:after="0" w:line="250"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57"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Transfer Agent prior to 5:30 P.M., New York City time, on a Trading Day (as applicable),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55" w:lineRule="auto"/>
        <w:tabs>
          <w:tab w:leader="none" w:pos="20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756285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6" w:name="page57"/>
    <w:bookmarkEnd w:id="56"/>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51" w:lineRule="exact"/>
        <w:rPr>
          <w:sz w:val="20"/>
          <w:szCs w:val="20"/>
          <w:color w:val="auto"/>
        </w:rPr>
      </w:pPr>
    </w:p>
    <w:p>
      <w:pPr>
        <w:jc w:val="both"/>
        <w:ind w:left="80" w:firstLine="1431"/>
        <w:spacing w:after="0" w:line="236" w:lineRule="auto"/>
        <w:tabs>
          <w:tab w:leader="none" w:pos="197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53" w:lineRule="exact"/>
        <w:rPr>
          <w:rFonts w:ascii="Times New Roman" w:cs="Times New Roman" w:eastAsia="Times New Roman" w:hAnsi="Times New Roman"/>
          <w:sz w:val="19"/>
          <w:szCs w:val="19"/>
          <w:color w:val="auto"/>
        </w:rPr>
      </w:pPr>
    </w:p>
    <w:p>
      <w:pPr>
        <w:jc w:val="both"/>
        <w:ind w:firstLine="1511"/>
        <w:spacing w:after="0" w:line="241"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56" w:lineRule="exact"/>
        <w:rPr>
          <w:rFonts w:ascii="Times New Roman" w:cs="Times New Roman" w:eastAsia="Times New Roman" w:hAnsi="Times New Roman"/>
          <w:sz w:val="19"/>
          <w:szCs w:val="19"/>
          <w:color w:val="auto"/>
        </w:rPr>
      </w:pPr>
    </w:p>
    <w:p>
      <w:pPr>
        <w:jc w:val="both"/>
        <w:ind w:right="20" w:firstLine="1511"/>
        <w:spacing w:after="0" w:line="248"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w:t>
      </w:r>
    </w:p>
    <w:p>
      <w:pPr>
        <w:spacing w:after="0" w:line="150" w:lineRule="exact"/>
        <w:rPr>
          <w:rFonts w:ascii="Times New Roman" w:cs="Times New Roman" w:eastAsia="Times New Roman" w:hAnsi="Times New Roman"/>
          <w:sz w:val="19"/>
          <w:szCs w:val="19"/>
          <w:color w:val="auto"/>
        </w:rPr>
      </w:pPr>
    </w:p>
    <w:p>
      <w:pPr>
        <w:ind w:right="20" w:firstLine="1511"/>
        <w:spacing w:after="0" w:line="262"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firstLine="1511"/>
        <w:spacing w:after="0" w:line="243" w:lineRule="auto"/>
        <w:tabs>
          <w:tab w:leader="none" w:pos="196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19"/>
          <w:szCs w:val="19"/>
          <w:color w:val="auto"/>
        </w:rPr>
        <w:t>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6" w:lineRule="exact"/>
        <w:rPr>
          <w:sz w:val="20"/>
          <w:szCs w:val="20"/>
          <w:color w:val="auto"/>
        </w:rPr>
      </w:pPr>
    </w:p>
    <w:p>
      <w:pPr>
        <w:ind w:right="20" w:firstLine="1511"/>
        <w:spacing w:after="0" w:line="262" w:lineRule="auto"/>
        <w:tabs>
          <w:tab w:leader="none" w:pos="196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931"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58" w:name="page59"/>
    <w:bookmarkEnd w:id="58"/>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1637665</wp:posOffset>
            </wp:positionV>
            <wp:extent cx="71748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-23495</wp:posOffset>
            </wp:positionV>
            <wp:extent cx="91122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59" w:name="page60"/>
    <w:bookmarkEnd w:id="59"/>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w:t>
      </w:r>
    </w:p>
    <w:p>
      <w:pPr>
        <w:spacing w:after="0" w:line="99" w:lineRule="exact"/>
        <w:rPr>
          <w:rFonts w:ascii="MS PGothic" w:cs="MS PGothic" w:eastAsia="MS PGothic" w:hAnsi="MS PGothic"/>
          <w:sz w:val="16"/>
          <w:szCs w:val="16"/>
          <w:color w:val="auto"/>
        </w:rPr>
      </w:pPr>
    </w:p>
    <w:p>
      <w:pPr>
        <w:ind w:left="5" w:right="520" w:hanging="5"/>
        <w:spacing w:after="0" w:line="27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 has elected a Cash Exercise, the Holder shall pay the sum of $ _____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120" w:hanging="5"/>
        <w:spacing w:after="0" w:line="27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Warrant Shares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99" w:lineRule="exact"/>
        <w:rPr>
          <w:rFonts w:ascii="MS PGothic" w:cs="MS PGothic" w:eastAsia="MS PGothic" w:hAnsi="MS PGothic"/>
          <w:sz w:val="16"/>
          <w:szCs w:val="16"/>
          <w:color w:val="auto"/>
        </w:rPr>
      </w:pPr>
    </w:p>
    <w:p>
      <w:pPr>
        <w:ind w:left="5" w:hanging="5"/>
        <w:spacing w:after="0" w:line="256" w:lineRule="auto"/>
        <w:tabs>
          <w:tab w:leader="none" w:pos="22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1210310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61" w:name="page62"/>
    <w:bookmarkEnd w:id="61"/>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1398270</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62" w:name="page63"/>
    <w:bookmarkEnd w:id="62"/>
    <w:p>
      <w:pPr>
        <w:ind w:left="1044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3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AND/OR PRE-FUNDED WARRANTS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[NO HEDGING TRANSACTIONS CAN BE CONDUCTED WITH REGARD TO THIS WARRANT EXCEPT AS PERMITTED BY THE SECURITIES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SERIES A WARRANT TO PURCHASE COMMON STOCK AND/OR PRE-FUNDED WARRANTS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Warrant Shares or PFW Shares: [ ] (subject to adjustment)</w:t>
      </w:r>
    </w:p>
    <w:p>
      <w:pPr>
        <w:spacing w:after="0" w:line="18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9"/>
          <w:szCs w:val="19"/>
          <w:color w:val="auto"/>
        </w:rPr>
        <w:t>Series A Warrant No. [ ]</w:t>
      </w:r>
      <w:r>
        <w:rPr>
          <w:sz w:val="20"/>
          <w:szCs w:val="20"/>
          <w:color w:val="auto"/>
        </w:rPr>
        <w:tab/>
      </w:r>
      <w:r>
        <w:rPr>
          <w:rFonts w:ascii="Times New Roman" w:cs="Times New Roman" w:eastAsia="Times New Roman" w:hAnsi="Times New Roman"/>
          <w:sz w:val="19"/>
          <w:szCs w:val="19"/>
          <w:color w:val="auto"/>
        </w:rPr>
        <w:t>Original Issue Date: December [ ], 2025</w:t>
      </w:r>
    </w:p>
    <w:p>
      <w:pPr>
        <w:spacing w:after="0" w:line="180"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either (x) at an exercise price equal to $6.35 per share (as adjusted from time to time as provided in Section 9 herein, the “</w:t>
      </w:r>
      <w:r>
        <w:rPr>
          <w:rFonts w:ascii="Times New Roman" w:cs="Times New Roman" w:eastAsia="Times New Roman" w:hAnsi="Times New Roman"/>
          <w:sz w:val="19"/>
          <w:szCs w:val="19"/>
          <w:b w:val="1"/>
          <w:bCs w:val="1"/>
          <w:color w:val="auto"/>
        </w:rPr>
        <w:t>Share Exercise Price</w:t>
      </w:r>
      <w:r>
        <w:rPr>
          <w:rFonts w:ascii="Times New Roman" w:cs="Times New Roman" w:eastAsia="Times New Roman" w:hAnsi="Times New Roman"/>
          <w:sz w:val="19"/>
          <w:szCs w:val="19"/>
          <w:color w:val="auto"/>
        </w:rPr>
        <w:t>”),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or (y) in lieu of all or a portion of such Warrant Shares, at (i) the Share Exercise Price, minus (ii) $0.001 (as adjusted from time to time as provided in the Pre-Funded Warrants (as defined below), the “</w:t>
      </w:r>
      <w:r>
        <w:rPr>
          <w:rFonts w:ascii="Times New Roman" w:cs="Times New Roman" w:eastAsia="Times New Roman" w:hAnsi="Times New Roman"/>
          <w:sz w:val="19"/>
          <w:szCs w:val="19"/>
          <w:b w:val="1"/>
          <w:bCs w:val="1"/>
          <w:color w:val="auto"/>
        </w:rPr>
        <w:t>PFW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and, together with the Share Exercise Price, each an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pre-funded warrants, in the form attached as Exhibit B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Purchase Agreement, to purchase up to a total of [ ] shares of Common Stock (the “</w:t>
      </w:r>
      <w:r>
        <w:rPr>
          <w:rFonts w:ascii="Times New Roman" w:cs="Times New Roman" w:eastAsia="Times New Roman" w:hAnsi="Times New Roman"/>
          <w:sz w:val="19"/>
          <w:szCs w:val="19"/>
          <w:b w:val="1"/>
          <w:bCs w:val="1"/>
          <w:color w:val="auto"/>
        </w:rPr>
        <w:t>PFW Shares</w:t>
      </w:r>
      <w:r>
        <w:rPr>
          <w:rFonts w:ascii="Times New Roman" w:cs="Times New Roman" w:eastAsia="Times New Roman" w:hAnsi="Times New Roman"/>
          <w:sz w:val="19"/>
          <w:szCs w:val="19"/>
          <w:color w:val="auto"/>
        </w:rPr>
        <w:t>”) for a future per share exercise price of $0.001, as adjusted from time to time as provided in the Pre-Funded Warrants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and together with the Warrant Shares, each “</w:t>
      </w:r>
      <w:r>
        <w:rPr>
          <w:rFonts w:ascii="Times New Roman" w:cs="Times New Roman" w:eastAsia="Times New Roman" w:hAnsi="Times New Roman"/>
          <w:sz w:val="19"/>
          <w:szCs w:val="19"/>
          <w:b w:val="1"/>
          <w:bCs w:val="1"/>
          <w:color w:val="auto"/>
        </w:rPr>
        <w:t>Exercise Securities</w:t>
      </w:r>
      <w:r>
        <w:rPr>
          <w:rFonts w:ascii="Times New Roman" w:cs="Times New Roman" w:eastAsia="Times New Roman" w:hAnsi="Times New Roman"/>
          <w:sz w:val="19"/>
          <w:szCs w:val="19"/>
          <w:color w:val="auto"/>
        </w:rPr>
        <w:t>”), with such choice between Warrant Shares and Pre-Funded Warrants determined by the Holder in its sole and absolute discretion upon surrender of this Warrant to Purchase Common Stock and/or Pre-Funded Warrants (including any Warrants to Purchase Common Stock and/or Pre-Funded Warrants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Initial Exercise Date (as defined below) and on or prior to 5:00 p.m. (New York City Time) on the Termination Date (as defined below). Any exercise of this Warrant shall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3" w:name="page64"/>
    <w:bookmarkEnd w:id="63"/>
    <w:p>
      <w:pPr>
        <w:spacing w:after="0" w:line="2"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right="4320" w:firstLine="745"/>
        <w:spacing w:after="0" w:line="266" w:lineRule="auto"/>
        <w:tabs>
          <w:tab w:leader="none" w:pos="1129"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ELAINE-3 Trial</w:t>
      </w:r>
      <w:r>
        <w:rPr>
          <w:rFonts w:ascii="Times New Roman" w:cs="Times New Roman" w:eastAsia="Times New Roman" w:hAnsi="Times New Roman"/>
          <w:sz w:val="19"/>
          <w:szCs w:val="19"/>
          <w:color w:val="auto"/>
        </w:rPr>
        <w:t>” means the Company’s ELAINE-3 Phase 3 Study of lasofoxifene.</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U.S. Food and Drug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4" w:name="page65"/>
    <w:bookmarkEnd w:id="64"/>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means the earlier of:</w:t>
      </w:r>
    </w:p>
    <w:p>
      <w:pPr>
        <w:spacing w:after="0" w:line="188" w:lineRule="exact"/>
        <w:rPr>
          <w:sz w:val="20"/>
          <w:szCs w:val="20"/>
          <w:color w:val="auto"/>
        </w:rPr>
      </w:pPr>
    </w:p>
    <w:p>
      <w:pPr>
        <w:ind w:left="1720" w:hanging="224"/>
        <w:spacing w:after="0"/>
        <w:tabs>
          <w:tab w:leader="none" w:pos="17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latest of:</w:t>
      </w:r>
    </w:p>
    <w:p>
      <w:pPr>
        <w:spacing w:after="0" w:line="183" w:lineRule="exact"/>
        <w:rPr>
          <w:rFonts w:ascii="Times New Roman" w:cs="Times New Roman" w:eastAsia="Times New Roman" w:hAnsi="Times New Roman"/>
          <w:sz w:val="19"/>
          <w:szCs w:val="19"/>
          <w:color w:val="auto"/>
        </w:rPr>
      </w:pPr>
    </w:p>
    <w:p>
      <w:pPr>
        <w:ind w:left="2520" w:hanging="274"/>
        <w:spacing w:after="0"/>
        <w:tabs>
          <w:tab w:leader="none" w:pos="252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June 30, 2026;</w:t>
      </w:r>
    </w:p>
    <w:p>
      <w:pPr>
        <w:spacing w:after="0" w:line="183" w:lineRule="exact"/>
        <w:rPr>
          <w:rFonts w:ascii="Times New Roman" w:cs="Times New Roman" w:eastAsia="Times New Roman" w:hAnsi="Times New Roman"/>
          <w:sz w:val="19"/>
          <w:szCs w:val="19"/>
          <w:color w:val="auto"/>
        </w:rPr>
      </w:pPr>
    </w:p>
    <w:p>
      <w:pPr>
        <w:jc w:val="both"/>
        <w:ind w:left="1500" w:firstLine="746"/>
        <w:spacing w:after="0" w:line="241" w:lineRule="auto"/>
        <w:tabs>
          <w:tab w:leader="none" w:pos="252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Company publicly announces,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w:t>
      </w:r>
    </w:p>
    <w:p>
      <w:pPr>
        <w:spacing w:after="0" w:line="156" w:lineRule="exact"/>
        <w:rPr>
          <w:rFonts w:ascii="Times New Roman" w:cs="Times New Roman" w:eastAsia="Times New Roman" w:hAnsi="Times New Roman"/>
          <w:sz w:val="19"/>
          <w:szCs w:val="19"/>
          <w:color w:val="auto"/>
        </w:rPr>
      </w:pPr>
    </w:p>
    <w:p>
      <w:pPr>
        <w:jc w:val="both"/>
        <w:ind w:left="1500" w:right="20" w:firstLine="746"/>
        <w:spacing w:after="0" w:line="248" w:lineRule="auto"/>
        <w:tabs>
          <w:tab w:leader="none" w:pos="2556"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FDA approves or issues a complete response letter to Eli Lilly &amp; Co.’s marketing application, including a supplement to a new drug application, for imlunestrant in combination with abemaciclib in breast cancer; and</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(ii) October 31, 2026.</w:t>
      </w:r>
    </w:p>
    <w:p>
      <w:pPr>
        <w:spacing w:after="0" w:line="180"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7" w:lineRule="exact"/>
        <w:rPr>
          <w:sz w:val="20"/>
          <w:szCs w:val="20"/>
          <w:color w:val="auto"/>
        </w:rPr>
      </w:pPr>
    </w:p>
    <w:p>
      <w:pPr>
        <w:jc w:val="both"/>
        <w:ind w:firstLine="751"/>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Initial Exercise Date , unless such date falls on a day other than a Trading Day or on a date on which trading does not take place on the Principal Trading Market (a “</w:t>
      </w:r>
      <w:r>
        <w:rPr>
          <w:rFonts w:ascii="Times New Roman" w:cs="Times New Roman" w:eastAsia="Times New Roman" w:hAnsi="Times New Roman"/>
          <w:sz w:val="19"/>
          <w:szCs w:val="19"/>
          <w:b w:val="1"/>
          <w:bCs w:val="1"/>
          <w:color w:val="auto"/>
        </w:rPr>
        <w:t>Holiday</w:t>
      </w:r>
      <w:r>
        <w:rPr>
          <w:rFonts w:ascii="Times New Roman" w:cs="Times New Roman" w:eastAsia="Times New Roman" w:hAnsi="Times New Roman"/>
          <w:sz w:val="19"/>
          <w:szCs w:val="19"/>
          <w:color w:val="auto"/>
        </w:rPr>
        <w:t>”), in which case the Termination Date shall be the next day that is not a Holiday. Notwithstanding the immediately preceding sentence, if the Initial Exercise Date has not occurred by December 23, 2030, then, December 23, 2030 shall be the Termination Date.</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65" w:name="page66"/>
    <w:bookmarkEnd w:id="65"/>
    <w:p>
      <w:pPr>
        <w:ind w:left="7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1120" w:hanging="375"/>
        <w:spacing w:after="0"/>
        <w:tabs>
          <w:tab w:leader="none" w:pos="112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36" w:lineRule="auto"/>
        <w:tabs>
          <w:tab w:leader="none" w:pos="1176"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transferable, in whole or in part, upon surrender of this Warrant at the principal office of the Company or its designated agent, together with a written assignment of this Warrant substantially in the form attached hereto in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1500" w:hanging="376"/>
        <w:spacing w:after="0"/>
        <w:tabs>
          <w:tab w:leader="none" w:pos="1500" w:val="left"/>
        </w:tabs>
        <w:numPr>
          <w:ilvl w:val="1"/>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on or before the Termination Date.</w:t>
      </w:r>
    </w:p>
    <w:p>
      <w:pPr>
        <w:spacing w:after="0" w:line="137" w:lineRule="exact"/>
        <w:rPr>
          <w:rFonts w:ascii="Times New Roman" w:cs="Times New Roman" w:eastAsia="Times New Roman" w:hAnsi="Times New Roman"/>
          <w:sz w:val="19"/>
          <w:szCs w:val="19"/>
          <w:color w:val="auto"/>
        </w:rPr>
      </w:pPr>
    </w:p>
    <w:p>
      <w:pPr>
        <w:jc w:val="both"/>
        <w:ind w:firstLine="1496"/>
        <w:spacing w:after="0" w:line="239" w:lineRule="auto"/>
        <w:tabs>
          <w:tab w:leader="none" w:pos="2041"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applicable Exercise Price for the number of Warrant Shares and/or Pre-Funded Warrants as to which this Warrant is being exercised in accordance with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herein (which may take the form of a “cashless exercise” if permitted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and so indicated in the Exercise Notice),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The Holder shall not be required to deliver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66" w:name="page67"/>
    <w:bookmarkEnd w:id="66"/>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in the case of an exercise for cash, its representations contained in Sections 4.1 and 4.3 through 4.15 of the Purchase Agreement are true and correct as of the Exercise Date as if remade in their entirety (or, in the case of any transferee Holder that is not a party to the Purchase Agreement or, in the case of a cashless exercise, its representations contained in Sections 4.1, 4.3 and 4.15 of the Purchase Agreement, such transferee Holder’s certification to the Company that such representations are true and correct as to such transferee Holder as of the Exercise Date). The Holder and the Company shall maintain records showing the number of Warrant Shares and/or Pre-Funded Warrants purchased and the date of such purchases. The Company shall deliver any objection to any Exercise Notice within two (2) Trading Days of receipt of such notice.</w:t>
      </w:r>
    </w:p>
    <w:p>
      <w:pPr>
        <w:spacing w:after="0" w:line="158" w:lineRule="exact"/>
        <w:rPr>
          <w:sz w:val="20"/>
          <w:szCs w:val="20"/>
          <w:color w:val="auto"/>
        </w:rPr>
      </w:pPr>
    </w:p>
    <w:p>
      <w:pPr>
        <w:jc w:val="both"/>
        <w:ind w:right="20" w:firstLine="1496"/>
        <w:spacing w:after="0" w:line="248" w:lineRule="auto"/>
        <w:tabs>
          <w:tab w:leader="none" w:pos="2041"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and/or Pre-Funded Warrants hereunder, the number of Warrant Shares and/or Pre-Funded Warrants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1500" w:hanging="376"/>
        <w:spacing w:after="0"/>
        <w:tabs>
          <w:tab w:leader="none" w:pos="150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Exercise Securities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firstLine="1496"/>
        <w:spacing w:after="0" w:line="250" w:lineRule="auto"/>
        <w:tabs>
          <w:tab w:leader="none" w:pos="20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for Warrant Shares, the Company shall promptly (but in no event later than the number of Trading Days comprising the Settlement Period following the Exercise Date) (such date, the “</w:t>
      </w:r>
      <w:r>
        <w:rPr>
          <w:rFonts w:ascii="Times New Roman" w:cs="Times New Roman" w:eastAsia="Times New Roman" w:hAnsi="Times New Roman"/>
          <w:sz w:val="18"/>
          <w:szCs w:val="18"/>
          <w:b w:val="1"/>
          <w:bCs w:val="1"/>
          <w:color w:val="auto"/>
        </w:rPr>
        <w:t>Warrant Share Delivery Date</w:t>
      </w:r>
      <w:r>
        <w:rPr>
          <w:rFonts w:ascii="Times New Roman" w:cs="Times New Roman" w:eastAsia="Times New Roman" w:hAnsi="Times New Roman"/>
          <w:sz w:val="18"/>
          <w:szCs w:val="18"/>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(i)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(ii) in book-entry form via a direct registration system (“</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758825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color w:val="auto"/>
        </w:rPr>
        <w:t>entry positions or the date of delivery of the certificates evidencing such Exercise Shares, as the case may be.</w:t>
      </w:r>
    </w:p>
    <w:p>
      <w:pPr>
        <w:spacing w:after="0" w:line="184" w:lineRule="exact"/>
        <w:rPr>
          <w:sz w:val="20"/>
          <w:szCs w:val="20"/>
          <w:color w:val="auto"/>
        </w:rPr>
      </w:pPr>
    </w:p>
    <w:p>
      <w:pPr>
        <w:jc w:val="both"/>
        <w:ind w:firstLine="1496"/>
        <w:spacing w:after="0" w:line="237"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57" w:lineRule="exact"/>
        <w:rPr>
          <w:rFonts w:ascii="Times New Roman" w:cs="Times New Roman" w:eastAsia="Times New Roman" w:hAnsi="Times New Roman"/>
          <w:sz w:val="19"/>
          <w:szCs w:val="19"/>
          <w:color w:val="auto"/>
        </w:rPr>
      </w:pPr>
    </w:p>
    <w:p>
      <w:pPr>
        <w:jc w:val="both"/>
        <w:ind w:firstLine="1496"/>
        <w:spacing w:after="0" w:line="241"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Pre-Funded Warrants, the Company shall promptly (but in no event later than the number of Trading Days comprising the Settlement Period following the Exercise Date) deliver to the Holder or its designee electronic copies of Pre-Funded Warrants to purchase up to a number of shares of Common Stock specified by the Holder in the Exercise Notice, with a physical copy of the Pre-Funded Warrants to be delivered to the Holder, if requested, within two (2) Trading Days after such Holder’s request for such physical copy. The Company shall serve as the Warrant Agent for the Pre-Funded Warrants.</w:t>
      </w:r>
    </w:p>
    <w:p>
      <w:pPr>
        <w:spacing w:after="0" w:line="156"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xml:space="preserve">, the Company’s obligations to issue and deliver Warrant Shares and/or Pre-Funded Warrants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and/or Pre-Funded Warrants.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Securities; provided, however, that the Holder shall not be entitled to both (i) require the Company to reinstate the portion of the Warrant and equivalent number of Warrant Shares and/or Pre-Funded Warrants, as applicable, for which such exercise was not timely honored and (ii) receive the number of Warrant Shares and/or Pre-Funded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767715</wp:posOffset>
            </wp:positionV>
            <wp:extent cx="71748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68" w:name="page69"/>
    <w:bookmarkEnd w:id="68"/>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Warrants, as applicable, that would have been issued if the Company had timely complied with its delivery requirements under Section 5(a).</w:t>
      </w:r>
    </w:p>
    <w:p>
      <w:pPr>
        <w:spacing w:after="0" w:line="184" w:lineRule="exact"/>
        <w:rPr>
          <w:sz w:val="20"/>
          <w:szCs w:val="20"/>
          <w:color w:val="auto"/>
        </w:rPr>
      </w:pPr>
    </w:p>
    <w:p>
      <w:pPr>
        <w:jc w:val="both"/>
        <w:ind w:right="20" w:firstLine="1496"/>
        <w:spacing w:after="0" w:line="248" w:lineRule="auto"/>
        <w:tabs>
          <w:tab w:leader="none" w:pos="2041"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firstLine="745"/>
        <w:spacing w:after="0" w:line="239"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Warrant Shares and/or Pre-Funded Warrants upon exercise of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made without charge to the Holder for any issue or transfer tax, transfer agent fee or other incidental tax or expense (excluding any applicable stamp duties) in respect of the issuance of such securities, all of which taxes and expenses shall be paid by the Company; provided, however, that the Company shall not be required to pay any tax that may be payable in respect of any transfer involved in the registration of any Warrant Shares or Pre-Funded Warrants or this Warrant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168" w:lineRule="exact"/>
        <w:rPr>
          <w:rFonts w:ascii="Times New Roman" w:cs="Times New Roman" w:eastAsia="Times New Roman" w:hAnsi="Times New Roman"/>
          <w:sz w:val="19"/>
          <w:szCs w:val="19"/>
          <w:b w:val="1"/>
          <w:bCs w:val="1"/>
          <w:color w:val="auto"/>
        </w:rPr>
      </w:pPr>
    </w:p>
    <w:p>
      <w:pPr>
        <w:jc w:val="both"/>
        <w:ind w:firstLine="745"/>
        <w:spacing w:after="0" w:line="242"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63" w:lineRule="exact"/>
        <w:rPr>
          <w:rFonts w:ascii="Times New Roman" w:cs="Times New Roman" w:eastAsia="Times New Roman" w:hAnsi="Times New Roman"/>
          <w:sz w:val="19"/>
          <w:szCs w:val="19"/>
          <w:b w:val="1"/>
          <w:bCs w:val="1"/>
          <w:color w:val="auto"/>
        </w:rPr>
      </w:pPr>
    </w:p>
    <w:p>
      <w:pPr>
        <w:jc w:val="both"/>
        <w:ind w:firstLine="745"/>
        <w:spacing w:after="0" w:line="238" w:lineRule="auto"/>
        <w:tabs>
          <w:tab w:leader="none" w:pos="1021"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9" w:name="page70"/>
    <w:bookmarkEnd w:id="69"/>
    <w:p>
      <w:pPr>
        <w:spacing w:after="0" w:line="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2" w:lineRule="exact"/>
        <w:rPr>
          <w:sz w:val="20"/>
          <w:szCs w:val="20"/>
          <w:color w:val="auto"/>
        </w:rPr>
      </w:pPr>
    </w:p>
    <w:p>
      <w:pPr>
        <w:jc w:val="both"/>
        <w:ind w:right="20" w:firstLine="745"/>
        <w:spacing w:after="0" w:line="250" w:lineRule="auto"/>
        <w:tabs>
          <w:tab w:leader="none" w:pos="1021"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Share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number of Pre-Funded Warrants issuable upon exercise of this Warrant (the “</w:t>
      </w:r>
      <w:r>
        <w:rPr>
          <w:rFonts w:ascii="Times New Roman" w:cs="Times New Roman" w:eastAsia="Times New Roman" w:hAnsi="Times New Roman"/>
          <w:sz w:val="19"/>
          <w:szCs w:val="19"/>
          <w:b w:val="1"/>
          <w:bCs w:val="1"/>
          <w:color w:val="auto"/>
        </w:rPr>
        <w:t>Number of Pre-Funded Warrants</w:t>
      </w:r>
      <w:r>
        <w:rPr>
          <w:rFonts w:ascii="Times New Roman" w:cs="Times New Roman" w:eastAsia="Times New Roman" w:hAnsi="Times New Roman"/>
          <w:sz w:val="19"/>
          <w:szCs w:val="19"/>
          <w:color w:val="auto"/>
        </w:rPr>
        <w: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subject to adjustment from time to time as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b w:val="1"/>
          <w:bCs w:val="1"/>
          <w:color w:val="auto"/>
        </w:rPr>
      </w:pPr>
    </w:p>
    <w:p>
      <w:pPr>
        <w:jc w:val="both"/>
        <w:ind w:left="60" w:firstLine="1511"/>
        <w:spacing w:after="0" w:line="236" w:lineRule="auto"/>
        <w:tabs>
          <w:tab w:leader="none" w:pos="202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and Number of PFW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and Number of PFW Shares shall be recomputed accordingly as of the close of business on such record date and thereafter the Number of Warrant Shares and Number of PFW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5" w:lineRule="exact"/>
        <w:rPr>
          <w:rFonts w:ascii="Times New Roman" w:cs="Times New Roman" w:eastAsia="Times New Roman" w:hAnsi="Times New Roman"/>
          <w:sz w:val="19"/>
          <w:szCs w:val="19"/>
          <w:color w:val="auto"/>
        </w:rPr>
      </w:pPr>
    </w:p>
    <w:p>
      <w:pPr>
        <w:ind w:left="60" w:right="20" w:firstLine="1511"/>
        <w:spacing w:after="0" w:line="262" w:lineRule="auto"/>
        <w:tabs>
          <w:tab w:leader="none" w:pos="2026"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If, on or after the Subscription Date, the Company shall declare or make any dividend or other pro rata distribution of its assets (or rights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870585</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0" w:name="page71"/>
    <w:bookmarkEnd w:id="70"/>
    <w:p>
      <w:pPr>
        <w:spacing w:after="0" w:line="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or the fact that the Initial Exercise Date had not occurred)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-1649095</wp:posOffset>
            </wp:positionV>
            <wp:extent cx="450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138" w:lineRule="exact"/>
        <w:rPr>
          <w:sz w:val="20"/>
          <w:szCs w:val="20"/>
          <w:color w:val="auto"/>
        </w:rPr>
      </w:pPr>
    </w:p>
    <w:p>
      <w:pPr>
        <w:jc w:val="both"/>
        <w:ind w:firstLine="1436"/>
        <w:spacing w:after="0" w:line="236" w:lineRule="auto"/>
        <w:tabs>
          <w:tab w:leader="none" w:pos="196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fact that the Initial Exercise Date had not occurred)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764540</wp:posOffset>
            </wp:positionV>
            <wp:extent cx="717486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1" w:name="page72"/>
    <w:bookmarkEnd w:id="71"/>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1" w:lineRule="exact"/>
        <w:rPr>
          <w:sz w:val="20"/>
          <w:szCs w:val="20"/>
          <w:color w:val="auto"/>
        </w:rPr>
      </w:pPr>
    </w:p>
    <w:p>
      <w:pPr>
        <w:jc w:val="both"/>
        <w:ind w:firstLine="1436"/>
        <w:spacing w:after="0" w:line="235" w:lineRule="auto"/>
        <w:tabs>
          <w:tab w:leader="none" w:pos="196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and assuming the date of such Fundamental Transaction was the Initial Exercise Date, if the Initial Exercise Date had not previously occurred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if the Alternate Consideration includes any securities of another Person, such Person is a publicly traded corporation whose stock is quoted or listed for trading on a Trading Market and prior to or simultaneously with the consummation thereof, any successor to the Company, surviving entity or other Person (including any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765810</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52" w:right="319" w:bottom="1440" w:gutter="0" w:footer="0" w:header="0"/>
        </w:sectPr>
      </w:pPr>
    </w:p>
    <w:bookmarkStart w:id="72" w:name="page73"/>
    <w:bookmarkEnd w:id="72"/>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The Company shall cause any successor entity in a Fundamental Transaction in which the Company is not the survivor (the “</w:t>
      </w:r>
      <w:r>
        <w:rPr>
          <w:rFonts w:ascii="Times New Roman" w:cs="Times New Roman" w:eastAsia="Times New Roman" w:hAnsi="Times New Roman"/>
          <w:sz w:val="19"/>
          <w:szCs w:val="19"/>
          <w:b w:val="1"/>
          <w:bCs w:val="1"/>
          <w:color w:val="auto"/>
        </w:rPr>
        <w:t>Successor Entity</w:t>
      </w:r>
      <w:r>
        <w:rPr>
          <w:rFonts w:ascii="Times New Roman" w:cs="Times New Roman" w:eastAsia="Times New Roman" w:hAnsi="Times New Roman"/>
          <w:sz w:val="19"/>
          <w:szCs w:val="19"/>
          <w:color w:val="auto"/>
        </w:rPr>
        <w:t>”) to assume in writing all of the obligations of the Company under this Warrant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11 hereof, the Holder may elect, at its sole option, by delivery of written notice to the Company to waive this Section 9(d) to permit a Fundamental Transaction without the assumption of this Warrant.</w:t>
      </w:r>
    </w:p>
    <w:p>
      <w:pPr>
        <w:spacing w:after="0" w:line="169" w:lineRule="exact"/>
        <w:rPr>
          <w:sz w:val="20"/>
          <w:szCs w:val="20"/>
          <w:color w:val="auto"/>
        </w:rPr>
      </w:pPr>
    </w:p>
    <w:p>
      <w:pPr>
        <w:jc w:val="both"/>
        <w:ind w:firstLine="1436"/>
        <w:spacing w:after="0" w:line="239" w:lineRule="auto"/>
        <w:tabs>
          <w:tab w:leader="none" w:pos="196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 and Number of PFW Shares</w:t>
      </w:r>
      <w:r>
        <w:rPr>
          <w:rFonts w:ascii="Times New Roman" w:cs="Times New Roman" w:eastAsia="Times New Roman" w:hAnsi="Times New Roman"/>
          <w:sz w:val="19"/>
          <w:szCs w:val="19"/>
          <w:color w:val="auto"/>
        </w:rPr>
        <w:t xml:space="preserve">. Simultaneously with any adjustment to the Number of Warrant Shares and Number of PFW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Share Exercise Price shall be increased or decreased proportionately, so that after such adjustment the aggregate Share Exercise Price payable hereunder for the increased or decreased Number of Warrant Shares, shall be the same as the aggregate Share Exercise Price in effect immediately prior to such adjustment. The PFW Exercise Price shall remain equal to the Share Exercise Price in effect at the time of exercise minus $0.001. Notwithstanding the foregoing, in no event may the Share Exercise Price be adjusted below the par value of the Common Stock then in effect.</w:t>
      </w:r>
    </w:p>
    <w:p>
      <w:pPr>
        <w:spacing w:after="0" w:line="161"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48" w:lineRule="auto"/>
        <w:tabs>
          <w:tab w:leader="none" w:pos="196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Share Exercise Price, PFW Exercise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758190</wp:posOffset>
            </wp:positionV>
            <wp:extent cx="71748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3" w:name="page74"/>
    <w:bookmarkEnd w:id="73"/>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51" w:lineRule="exact"/>
        <w:rPr>
          <w:sz w:val="20"/>
          <w:szCs w:val="20"/>
          <w:color w:val="auto"/>
        </w:rPr>
      </w:pPr>
    </w:p>
    <w:p>
      <w:pPr>
        <w:jc w:val="both"/>
        <w:ind w:firstLine="1436"/>
        <w:spacing w:after="0" w:line="236" w:lineRule="auto"/>
        <w:tabs>
          <w:tab w:leader="none" w:pos="196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65"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Adjustment By Company</w:t>
      </w:r>
      <w:r>
        <w:rPr>
          <w:rFonts w:ascii="Times New Roman" w:cs="Times New Roman" w:eastAsia="Times New Roman" w:hAnsi="Times New Roman"/>
          <w:sz w:val="19"/>
          <w:szCs w:val="19"/>
          <w:color w:val="auto"/>
        </w:rPr>
        <w:t>. Without limiting the generality of the foregoing, if, at the time of exercise of this Warrant, the Share Exercise Price is higher than the Closing Sale Price of the Common Stock, the Company may, at its discretion and subject to applicable law, stock exchange rules, and approval from the Company’s Board of Directors, offer inducement incentives to the Holder to facilitate exercise of this Warrant. Such incentives may include (a) temporary reduction of the Share Exercise Price to an amount not less than the “Minimum Price,” as defined in Nasdaq Rule 5635(d)(1)(A), on the date of entry into the Purchase Agreement, (b) issuance of additional warrants, or (c) other mutually agreed economic incentives. Any such inducement shall be negotiated in good faith at the time of exercise based on prevailing market conditions.</w:t>
      </w:r>
    </w:p>
    <w:p>
      <w:pPr>
        <w:spacing w:after="0" w:line="158" w:lineRule="exact"/>
        <w:rPr>
          <w:rFonts w:ascii="Times New Roman" w:cs="Times New Roman" w:eastAsia="Times New Roman" w:hAnsi="Times New Roman"/>
          <w:sz w:val="19"/>
          <w:szCs w:val="19"/>
          <w:color w:val="auto"/>
        </w:rPr>
      </w:pPr>
    </w:p>
    <w:p>
      <w:pPr>
        <w:jc w:val="both"/>
        <w:ind w:left="20" w:firstLine="387"/>
        <w:spacing w:after="0" w:line="239" w:lineRule="auto"/>
        <w:tabs>
          <w:tab w:leader="none" w:pos="777" w:val="left"/>
        </w:tabs>
        <w:numPr>
          <w:ilvl w:val="0"/>
          <w:numId w:val="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This Warrant may only be exercised for cash;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a registration statement registering the resale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Warrant Shares issued to the Holder, or the prospectus contained therein, is not effective at the time of the exercise of this Warrant, then the Holder may, in its sole discretion, elect to satisfy its obligation to pay the Share Exercise Price through a “cashless exercise”, in which event the Company shall issue to the Holder the number of Warrant Shares in an exchange of securities effected pursuant to Section 3(a)(9) of the Securities Act, determined as follows:</w:t>
      </w:r>
    </w:p>
    <w:p>
      <w:pPr>
        <w:ind w:left="152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763270</wp:posOffset>
            </wp:positionV>
            <wp:extent cx="71748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74" w:name="page75"/>
    <w:bookmarkEnd w:id="74"/>
    <w:p>
      <w:pPr>
        <w:spacing w:after="0" w:line="2"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Share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If, at the time the Holder elects to exercise this Warrant for Pre-Funded Warrants, the registration statement registering the resale of the PFW Warrant Shares that may be issued pursuant to exercise of the Pre-Funded Warrants, or the prospectus contained therein, is not effective, then the Holder may, in its sole discretion, elect to satisfy its obligation to pay the PFW Exercise Price through a “cashless exercise”, in which case the Company shall issue to the Holder the number of Pre-Funded Warrants in an exchange of securities effected pursuant to Section 3(a)(9) of the Securities Act, determined as follows:</w:t>
      </w:r>
    </w:p>
    <w:p>
      <w:pPr>
        <w:ind w:left="1580"/>
        <w:spacing w:after="0" w:line="235"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Pre-Funded Warrants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PFW Exercise Price then in effect for the applicable Warrant Shares at the time of such exercise.</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Exercise Securities issued in a “cashless exercise” transaction shall be deemed to have been acquired by the Holder, and the holding period for the Exercise Securities shall be deemed to have commenced, on the Original Issue Date (provided that the Commission continues to take the position that such treatment is proper at the time of such exercise). If the Exercise Securities are issued in such a cashless exercise, the Company acknowledges and agrees that, in accordance with Section 3(a)(9) of the Securities Act, the Exercise Securities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5" w:name="page76"/>
    <w:bookmarkEnd w:id="75"/>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80" w:lineRule="exact"/>
        <w:rPr>
          <w:sz w:val="20"/>
          <w:szCs w:val="20"/>
          <w:color w:val="auto"/>
        </w:rPr>
      </w:pPr>
    </w:p>
    <w:p>
      <w:pPr>
        <w:ind w:left="1580" w:hanging="381"/>
        <w:spacing w:after="0"/>
        <w:tabs>
          <w:tab w:leader="none" w:pos="1580" w:val="left"/>
        </w:tabs>
        <w:numPr>
          <w:ilvl w:val="0"/>
          <w:numId w:val="5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xml:space="preserve">”). For any reason at any time, 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6" w:name="page77"/>
    <w:bookmarkEnd w:id="76"/>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Share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Share Exercise Price paid by the Holder for the Excess Shares. By written notice to the Company, a Holder of this Warrant may from time to time increase or decrease the Maximum Percentage to any other percentage specified in such notice; provided that such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2" w:lineRule="exact"/>
        <w:rPr>
          <w:sz w:val="20"/>
          <w:szCs w:val="20"/>
          <w:color w:val="auto"/>
        </w:rPr>
      </w:pPr>
    </w:p>
    <w:p>
      <w:pPr>
        <w:jc w:val="both"/>
        <w:ind w:firstLine="1496"/>
        <w:spacing w:after="0" w:line="236" w:lineRule="auto"/>
        <w:tabs>
          <w:tab w:leader="none" w:pos="1879"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a Distribution as contemplated by </w:t>
      </w:r>
      <w:r>
        <w:rPr>
          <w:rFonts w:ascii="Times New Roman" w:cs="Times New Roman" w:eastAsia="Times New Roman" w:hAnsi="Times New Roman"/>
          <w:sz w:val="19"/>
          <w:szCs w:val="19"/>
          <w:u w:val="single" w:color="auto"/>
          <w:color w:val="auto"/>
        </w:rPr>
        <w:t>Section 9(b)</w:t>
      </w:r>
      <w:r>
        <w:rPr>
          <w:rFonts w:ascii="Times New Roman" w:cs="Times New Roman" w:eastAsia="Times New Roman" w:hAnsi="Times New Roman"/>
          <w:sz w:val="19"/>
          <w:szCs w:val="19"/>
          <w:color w:val="auto"/>
        </w:rPr>
        <w:t xml:space="preserve">, (ii)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62" w:lineRule="exact"/>
        <w:rPr>
          <w:sz w:val="20"/>
          <w:szCs w:val="20"/>
          <w:color w:val="auto"/>
        </w:rPr>
      </w:pPr>
    </w:p>
    <w:p>
      <w:pPr>
        <w:ind w:firstLine="825"/>
        <w:spacing w:after="0" w:line="266"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7" w:name="page78"/>
    <w:bookmarkEnd w:id="7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shall pay the Holder in cash the fair market value (based on the Closing Sale Price) for any such fractional shares.</w:t>
      </w:r>
    </w:p>
    <w:p>
      <w:pPr>
        <w:spacing w:after="0" w:line="191"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Warrant Agent prior to 5:30 P.M., New York City time, on a Trading Day (as applicable),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37" w:lineRule="auto"/>
        <w:tabs>
          <w:tab w:leader="none" w:pos="202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or the Pre-Funded Warrants,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or PFW Shares which such Person is then entitled to receive upon the due exercise of this Warrant and, if applicable, the Pre-Funded Warrants.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0" w:lineRule="exact"/>
        <w:rPr>
          <w:rFonts w:ascii="Times New Roman" w:cs="Times New Roman" w:eastAsia="Times New Roman" w:hAnsi="Times New Roman"/>
          <w:sz w:val="19"/>
          <w:szCs w:val="19"/>
          <w:color w:val="auto"/>
        </w:rPr>
      </w:pPr>
    </w:p>
    <w:p>
      <w:pPr>
        <w:jc w:val="both"/>
        <w:ind w:left="140" w:firstLine="1431"/>
        <w:spacing w:after="0" w:line="248" w:lineRule="auto"/>
        <w:tabs>
          <w:tab w:leader="none" w:pos="2031"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8" w:name="page79"/>
    <w:bookmarkEnd w:id="78"/>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or Pre-Funded Warrants for which this Warrant is exercisable or in the Share Exercise Price or PFW Exercise Price, the Company shall obtain all such authorizations or exemptions thereof, or consents thereto, as may be necessary from any public regulatory body or bodies having jurisdiction thereof.</w:t>
      </w:r>
    </w:p>
    <w:p>
      <w:pPr>
        <w:spacing w:after="0" w:line="161" w:lineRule="exact"/>
        <w:rPr>
          <w:sz w:val="20"/>
          <w:szCs w:val="20"/>
          <w:color w:val="auto"/>
        </w:rPr>
      </w:pPr>
    </w:p>
    <w:p>
      <w:pPr>
        <w:jc w:val="both"/>
        <w:ind w:left="-80" w:firstLine="1511"/>
        <w:spacing w:after="0" w:line="241"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44" w:lineRule="exact"/>
        <w:rPr>
          <w:rFonts w:ascii="Times New Roman" w:cs="Times New Roman" w:eastAsia="Times New Roman" w:hAnsi="Times New Roman"/>
          <w:sz w:val="19"/>
          <w:szCs w:val="19"/>
          <w:color w:val="auto"/>
        </w:rPr>
      </w:pPr>
    </w:p>
    <w:p>
      <w:pPr>
        <w:jc w:val="both"/>
        <w:ind w:left="-80" w:firstLine="1511"/>
        <w:spacing w:after="0" w:line="239"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 No amendment or modification of any Warrant shall be made unless the same is also offered to all holders of Warrants. In addition, no consideration shall be offered or paid to any Person to amend or consent to a waiver or modification of any provision of any of this Warrant unless the same consideration (other than the reimbursement of legal fees) also is offered to all holders of the Warrants issued by the Company on the Original Issue Date.</w:t>
      </w:r>
    </w:p>
    <w:p>
      <w:pPr>
        <w:spacing w:after="0" w:line="161" w:lineRule="exact"/>
        <w:rPr>
          <w:rFonts w:ascii="Times New Roman" w:cs="Times New Roman" w:eastAsia="Times New Roman" w:hAnsi="Times New Roman"/>
          <w:sz w:val="19"/>
          <w:szCs w:val="19"/>
          <w:color w:val="auto"/>
        </w:rPr>
      </w:pPr>
    </w:p>
    <w:p>
      <w:pPr>
        <w:ind w:left="-80" w:right="20" w:firstLine="1511"/>
        <w:spacing w:after="0" w:line="262"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80" w:firstLine="1511"/>
        <w:spacing w:after="0" w:line="239" w:lineRule="auto"/>
        <w:tabs>
          <w:tab w:leader="none" w:pos="188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765175</wp:posOffset>
            </wp:positionV>
            <wp:extent cx="71748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460" w:top="1440" w:right="319" w:bottom="1440" w:gutter="0" w:footer="0" w:header="0"/>
        </w:sectPr>
      </w:pPr>
    </w:p>
    <w:bookmarkStart w:id="79" w:name="page80"/>
    <w:bookmarkEnd w:id="79"/>
    <w:p>
      <w:pPr>
        <w:jc w:val="both"/>
        <w:spacing w:after="0" w:line="237" w:lineRule="auto"/>
        <w:rPr>
          <w:sz w:val="20"/>
          <w:szCs w:val="20"/>
          <w:color w:val="auto"/>
        </w:rPr>
      </w:pPr>
      <w:r>
        <w:rPr>
          <w:rFonts w:ascii="Times New Roman" w:cs="Times New Roman" w:eastAsia="Times New Roman" w:hAnsi="Times New Roman"/>
          <w:sz w:val="19"/>
          <w:szCs w:val="19"/>
          <w:color w:val="auto"/>
        </w:rPr>
        <w:t>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1" w:lineRule="exact"/>
        <w:rPr>
          <w:sz w:val="20"/>
          <w:szCs w:val="20"/>
          <w:color w:val="auto"/>
        </w:rPr>
      </w:pPr>
    </w:p>
    <w:p>
      <w:pPr>
        <w:ind w:right="20" w:firstLine="1511"/>
        <w:spacing w:after="0" w:line="262" w:lineRule="auto"/>
        <w:tabs>
          <w:tab w:leader="none" w:pos="196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931"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80" w:name="page81"/>
    <w:bookmarkEnd w:id="80"/>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line="233" w:lineRule="auto"/>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-19685</wp:posOffset>
            </wp:positionV>
            <wp:extent cx="91122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Email:</w:t>
      </w:r>
    </w:p>
    <w:p>
      <w:pPr>
        <w:spacing w:after="0" w:line="1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1905635</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81" w:name="page82"/>
    <w:bookmarkEnd w:id="81"/>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and/or Pre-Funded Warrants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and/or _____ Pre-Funded Warrants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Share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 if permitted</w:t>
      </w:r>
    </w:p>
    <w:p>
      <w:pPr>
        <w:spacing w:after="0" w:line="38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Holder intends that payment of the PFW Exercise Price shall be made as (check one):</w:t>
      </w:r>
    </w:p>
    <w:p>
      <w:pPr>
        <w:spacing w:after="0" w:line="206" w:lineRule="exact"/>
        <w:rPr>
          <w:sz w:val="20"/>
          <w:szCs w:val="20"/>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of the Warrant, if permitted</w:t>
      </w:r>
    </w:p>
    <w:p>
      <w:pPr>
        <w:spacing w:after="0" w:line="99" w:lineRule="exact"/>
        <w:rPr>
          <w:rFonts w:ascii="MS PGothic" w:cs="MS PGothic" w:eastAsia="MS PGothic" w:hAnsi="MS PGothic"/>
          <w:sz w:val="16"/>
          <w:szCs w:val="16"/>
          <w:color w:val="auto"/>
        </w:rPr>
      </w:pPr>
    </w:p>
    <w:p>
      <w:pPr>
        <w:ind w:left="5" w:right="140" w:hanging="5"/>
        <w:spacing w:after="0" w:line="276"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Holder has elected a permitted “Cashless Exercise”, the Holder shall pay (i) the aggregate Share Exercise Price in the sum of $ _____ and (y) the aggregate PFW Exercise Price in the sum of $ _____ , in each case,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60" w:hanging="5"/>
        <w:spacing w:after="0" w:line="276" w:lineRule="auto"/>
        <w:tabs>
          <w:tab w:leader="none" w:pos="22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_____ Warrant Shares and/or_____ Pre-Funded Warrants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Pre-Funded Warrants shall be delivered in the name of the undersigned or in such other name to the address, all as is specified below:</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4" w:lineRule="exact"/>
        <w:rPr>
          <w:sz w:val="20"/>
          <w:szCs w:val="20"/>
          <w:color w:val="auto"/>
        </w:rPr>
      </w:pPr>
    </w:p>
    <w:p>
      <w:pPr>
        <w:ind w:left="5" w:hanging="5"/>
        <w:spacing w:after="0" w:line="256" w:lineRule="auto"/>
        <w:tabs>
          <w:tab w:leader="none" w:pos="22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solely if this Warrant is being exercised for Warrant Shares, the Holder will not beneficially own in excess of the number of shares of Common Stock (as determined in accordance with Section 13(d)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821055</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 xml:space="preserve">Securities Exchange Act of 1934, as amended) permitted to be owned under </w:t>
      </w:r>
      <w:r>
        <w:rPr>
          <w:rFonts w:ascii="Times New Roman" w:cs="Times New Roman" w:eastAsia="Times New Roman" w:hAnsi="Times New Roman"/>
          <w:sz w:val="16"/>
          <w:szCs w:val="16"/>
          <w:u w:val="single" w:color="auto"/>
          <w:color w:val="auto"/>
        </w:rPr>
        <w:t>Section 11(a)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-113030</wp:posOffset>
            </wp:positionV>
            <wp:extent cx="2984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-113030</wp:posOffset>
            </wp:positionV>
            <wp:extent cx="2984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73660</wp:posOffset>
            </wp:positionV>
            <wp:extent cx="2984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842010</wp:posOffset>
            </wp:positionV>
            <wp:extent cx="71748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8" w:right="1440" w:bottom="1440" w:gutter="0" w:footer="0" w:header="0"/>
        </w:sectPr>
      </w:pPr>
    </w:p>
    <w:bookmarkStart w:id="83" w:name="page84"/>
    <w:bookmarkEnd w:id="83"/>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1457960</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84" w:name="page85"/>
    <w:bookmarkEnd w:id="84"/>
    <w:p>
      <w:pPr>
        <w:ind w:left="1044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00" w:lineRule="exact"/>
        <w:rPr>
          <w:sz w:val="20"/>
          <w:szCs w:val="20"/>
          <w:color w:val="auto"/>
        </w:rPr>
      </w:pP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AND/OR PRE-FUNDED WARRANTS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[NO HEDGING TRANSACTIONS CAN BE CONDUCTED WITH REGARD TO THIS WARRANT EXCEPT AS PERMITTED BY THE SECURITIES ACT.]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SERIES B WARRANT TO PURCHASE COMMON STOCK AND/OR PRE-FUNDED WARRANTS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Number of Warrant Shares or PFW Shares: [ ] (subject to adjustment)</w:t>
      </w:r>
    </w:p>
    <w:p>
      <w:pPr>
        <w:spacing w:after="0" w:line="18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9"/>
          <w:szCs w:val="19"/>
          <w:color w:val="auto"/>
        </w:rPr>
        <w:t>Series B Warrant No. [ ]</w:t>
      </w:r>
      <w:r>
        <w:rPr>
          <w:sz w:val="20"/>
          <w:szCs w:val="20"/>
          <w:color w:val="auto"/>
        </w:rPr>
        <w:tab/>
      </w:r>
      <w:r>
        <w:rPr>
          <w:rFonts w:ascii="Times New Roman" w:cs="Times New Roman" w:eastAsia="Times New Roman" w:hAnsi="Times New Roman"/>
          <w:sz w:val="19"/>
          <w:szCs w:val="19"/>
          <w:color w:val="auto"/>
        </w:rPr>
        <w:t>Original Issue Date: December [ ], 2025</w:t>
      </w:r>
    </w:p>
    <w:p>
      <w:pPr>
        <w:spacing w:after="0" w:line="180" w:lineRule="exact"/>
        <w:rPr>
          <w:sz w:val="20"/>
          <w:szCs w:val="20"/>
          <w:color w:val="auto"/>
        </w:rPr>
      </w:pPr>
    </w:p>
    <w:p>
      <w:pPr>
        <w:jc w:val="both"/>
        <w:ind w:firstLine="751"/>
        <w:spacing w:after="0" w:line="236"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 ]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either (x) at an exercise price equal to $7.62 per share (as adjusted from time to time as provided in Section 9 herein, the “</w:t>
      </w:r>
      <w:r>
        <w:rPr>
          <w:rFonts w:ascii="Times New Roman" w:cs="Times New Roman" w:eastAsia="Times New Roman" w:hAnsi="Times New Roman"/>
          <w:sz w:val="19"/>
          <w:szCs w:val="19"/>
          <w:b w:val="1"/>
          <w:bCs w:val="1"/>
          <w:color w:val="auto"/>
        </w:rPr>
        <w:t>Share Exercise Price</w:t>
      </w:r>
      <w:r>
        <w:rPr>
          <w:rFonts w:ascii="Times New Roman" w:cs="Times New Roman" w:eastAsia="Times New Roman" w:hAnsi="Times New Roman"/>
          <w:sz w:val="19"/>
          <w:szCs w:val="19"/>
          <w:color w:val="auto"/>
        </w:rPr>
        <w:t>”), up to a total of [ ]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or (y) in lieu of all or a portion of such Warrant Shares, at (i) the Share Exercise Price, minus (ii) $0.001 (as adjusted from time to time as provided in the Pre-Funded Warrants (as defined below), the “</w:t>
      </w:r>
      <w:r>
        <w:rPr>
          <w:rFonts w:ascii="Times New Roman" w:cs="Times New Roman" w:eastAsia="Times New Roman" w:hAnsi="Times New Roman"/>
          <w:sz w:val="19"/>
          <w:szCs w:val="19"/>
          <w:b w:val="1"/>
          <w:bCs w:val="1"/>
          <w:color w:val="auto"/>
        </w:rPr>
        <w:t>PFW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and, together with the Share Exercise Price, each an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pre-funded warrants, in the form attached as Exhibit B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Purchase Agreement, to purchase up to a total of [ ] shares of Common Stock (the “</w:t>
      </w:r>
      <w:r>
        <w:rPr>
          <w:rFonts w:ascii="Times New Roman" w:cs="Times New Roman" w:eastAsia="Times New Roman" w:hAnsi="Times New Roman"/>
          <w:sz w:val="19"/>
          <w:szCs w:val="19"/>
          <w:b w:val="1"/>
          <w:bCs w:val="1"/>
          <w:color w:val="auto"/>
        </w:rPr>
        <w:t>PFW Shares</w:t>
      </w:r>
      <w:r>
        <w:rPr>
          <w:rFonts w:ascii="Times New Roman" w:cs="Times New Roman" w:eastAsia="Times New Roman" w:hAnsi="Times New Roman"/>
          <w:sz w:val="19"/>
          <w:szCs w:val="19"/>
          <w:color w:val="auto"/>
        </w:rPr>
        <w:t>”) for a future per share exercise price of $0.001, as adjusted from time to time as provided in the Pre-Funded Warrants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and together with the Warrant Shares, each “</w:t>
      </w:r>
      <w:r>
        <w:rPr>
          <w:rFonts w:ascii="Times New Roman" w:cs="Times New Roman" w:eastAsia="Times New Roman" w:hAnsi="Times New Roman"/>
          <w:sz w:val="19"/>
          <w:szCs w:val="19"/>
          <w:b w:val="1"/>
          <w:bCs w:val="1"/>
          <w:color w:val="auto"/>
        </w:rPr>
        <w:t>Exercise Securities</w:t>
      </w:r>
      <w:r>
        <w:rPr>
          <w:rFonts w:ascii="Times New Roman" w:cs="Times New Roman" w:eastAsia="Times New Roman" w:hAnsi="Times New Roman"/>
          <w:sz w:val="19"/>
          <w:szCs w:val="19"/>
          <w:color w:val="auto"/>
        </w:rPr>
        <w:t>”), with such choice between Warrant Shares and Pre-Funded Warrants determined by the Holder in its sole and absolute discretion upon surrender of this Warrant to Purchase Common Stock and/or Pre-Funded Warrants (including any Warrants to Purchase Common Stock and/or Pre-Funded Warrants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Initial Exercise Date (as defined below) and on or prior to 5:00 p.m. (New York City Time) on the Termination Date (as defined below). Any exercise of this Warrant shall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85" w:name="page86"/>
    <w:bookmarkEnd w:id="85"/>
    <w:p>
      <w:pPr>
        <w:spacing w:after="0" w:line="2" w:lineRule="exact"/>
        <w:rPr>
          <w:sz w:val="20"/>
          <w:szCs w:val="20"/>
          <w:color w:val="auto"/>
        </w:rPr>
      </w:pPr>
    </w:p>
    <w:p>
      <w:pPr>
        <w:ind w:right="20" w:firstLine="751"/>
        <w:spacing w:after="0" w:line="262" w:lineRule="auto"/>
        <w:rPr>
          <w:sz w:val="20"/>
          <w:szCs w:val="20"/>
          <w:color w:val="auto"/>
        </w:rPr>
      </w:pPr>
      <w:r>
        <w:rPr>
          <w:rFonts w:ascii="Times New Roman" w:cs="Times New Roman" w:eastAsia="Times New Roman" w:hAnsi="Times New Roman"/>
          <w:sz w:val="19"/>
          <w:szCs w:val="19"/>
          <w:color w:val="auto"/>
        </w:rPr>
        <w:t>This Warrant is one of a series of warrants issued pursuant to that certain Securities Purchase Agreement, dated December 18, 2025 (the “</w:t>
      </w:r>
      <w:r>
        <w:rPr>
          <w:rFonts w:ascii="Times New Roman" w:cs="Times New Roman" w:eastAsia="Times New Roman" w:hAnsi="Times New Roman"/>
          <w:sz w:val="19"/>
          <w:szCs w:val="19"/>
          <w:b w:val="1"/>
          <w:bCs w:val="1"/>
          <w:color w:val="auto"/>
        </w:rPr>
        <w:t>Subscription Date</w:t>
      </w:r>
      <w:r>
        <w:rPr>
          <w:rFonts w:ascii="Times New Roman" w:cs="Times New Roman" w:eastAsia="Times New Roman" w:hAnsi="Times New Roman"/>
          <w:sz w:val="19"/>
          <w:szCs w:val="19"/>
          <w:color w:val="auto"/>
        </w:rPr>
        <w:t>”), by and among the Company and the Investors identified therein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134" w:lineRule="exact"/>
        <w:rPr>
          <w:sz w:val="20"/>
          <w:szCs w:val="20"/>
          <w:color w:val="auto"/>
        </w:rPr>
      </w:pPr>
    </w:p>
    <w:p>
      <w:pPr>
        <w:ind w:right="4320" w:firstLine="745"/>
        <w:spacing w:after="0" w:line="266" w:lineRule="auto"/>
        <w:tabs>
          <w:tab w:leader="none" w:pos="1129"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5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 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6"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ELAINE-3 Trial</w:t>
      </w:r>
      <w:r>
        <w:rPr>
          <w:rFonts w:ascii="Times New Roman" w:cs="Times New Roman" w:eastAsia="Times New Roman" w:hAnsi="Times New Roman"/>
          <w:sz w:val="19"/>
          <w:szCs w:val="19"/>
          <w:color w:val="auto"/>
        </w:rPr>
        <w:t>” means the Company’s ELAINE-3 Phase 3 Study of lasofoxifene.</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U.S. Food and Drug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6" w:name="page87"/>
    <w:bookmarkEnd w:id="86"/>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72"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Exercise Date</w:t>
      </w:r>
      <w:r>
        <w:rPr>
          <w:rFonts w:ascii="Times New Roman" w:cs="Times New Roman" w:eastAsia="Times New Roman" w:hAnsi="Times New Roman"/>
          <w:sz w:val="19"/>
          <w:szCs w:val="19"/>
          <w:color w:val="auto"/>
        </w:rPr>
        <w:t>” means the later of (i) June 30, 2026 and (ii) the date of the completion of the public readout of topline results of the ELAINE-3 Trial.</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57" w:lineRule="exact"/>
        <w:rPr>
          <w:sz w:val="20"/>
          <w:szCs w:val="20"/>
          <w:color w:val="auto"/>
        </w:rPr>
      </w:pPr>
    </w:p>
    <w:p>
      <w:pPr>
        <w:jc w:val="both"/>
        <w:ind w:firstLine="751"/>
        <w:spacing w:after="0" w:line="22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Initial Exercise Date , unless such date falls on a day other than a Trading Day or on a date on which trading does not take place on the Principal Trading Market (a “</w:t>
      </w:r>
      <w:r>
        <w:rPr>
          <w:rFonts w:ascii="Times New Roman" w:cs="Times New Roman" w:eastAsia="Times New Roman" w:hAnsi="Times New Roman"/>
          <w:sz w:val="19"/>
          <w:szCs w:val="19"/>
          <w:b w:val="1"/>
          <w:bCs w:val="1"/>
          <w:color w:val="auto"/>
        </w:rPr>
        <w:t>Holiday</w:t>
      </w:r>
      <w:r>
        <w:rPr>
          <w:rFonts w:ascii="Times New Roman" w:cs="Times New Roman" w:eastAsia="Times New Roman" w:hAnsi="Times New Roman"/>
          <w:sz w:val="19"/>
          <w:szCs w:val="19"/>
          <w:color w:val="auto"/>
        </w:rPr>
        <w:t>”), in which case the Termination Date shall be the next day that is not a Holiday. Notwithstanding the immediately preceding sentence, if the Initial Exercise Date has not occurred by December 23, 2030, then, December 23, 2030 shall be the Termination Date.</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left="74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ind w:left="1120" w:hanging="375"/>
        <w:spacing w:after="0"/>
        <w:tabs>
          <w:tab w:leader="none" w:pos="112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ownership of this Warrant, upon records to be maintained by the Company for that purpose (the “</w:t>
      </w:r>
      <w:r>
        <w:rPr>
          <w:rFonts w:ascii="Times New Roman" w:cs="Times New Roman" w:eastAsia="Times New Roman" w:hAnsi="Times New Roman"/>
          <w:sz w:val="19"/>
          <w:szCs w:val="19"/>
          <w:b w:val="1"/>
          <w:bCs w:val="1"/>
          <w:color w:val="auto"/>
        </w:rPr>
        <w:t>Warrant Register</w:t>
      </w:r>
      <w:r>
        <w:rPr>
          <w:rFonts w:ascii="Times New Roman" w:cs="Times New Roman" w:eastAsia="Times New Roman" w:hAnsi="Times New Roman"/>
          <w:sz w:val="19"/>
          <w:szCs w:val="19"/>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9" w:lineRule="exact"/>
        <w:rPr>
          <w:sz w:val="20"/>
          <w:szCs w:val="20"/>
          <w:color w:val="auto"/>
        </w:rPr>
      </w:pPr>
    </w:p>
    <w:p>
      <w:pPr>
        <w:jc w:val="both"/>
        <w:ind w:firstLine="745"/>
        <w:spacing w:after="0" w:line="250" w:lineRule="auto"/>
        <w:tabs>
          <w:tab w:leader="none" w:pos="1176"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transferable, in whole or in part, upon surrender of this Warrant at the principal office of the Company or its designated agent, together with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757555</wp:posOffset>
            </wp:positionV>
            <wp:extent cx="71748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87" w:name="page88"/>
    <w:bookmarkEnd w:id="87"/>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assignment of this Warrant substantially in the form attached hereto in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54" w:lineRule="exact"/>
        <w:rPr>
          <w:sz w:val="20"/>
          <w:szCs w:val="20"/>
          <w:color w:val="auto"/>
        </w:rPr>
      </w:pPr>
    </w:p>
    <w:p>
      <w:pPr>
        <w:ind w:left="1500" w:hanging="376"/>
        <w:spacing w:after="0"/>
        <w:tabs>
          <w:tab w:leader="none" w:pos="1500"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b w:val="1"/>
          <w:bCs w:val="1"/>
          <w:color w:val="auto"/>
        </w:rPr>
      </w:pPr>
    </w:p>
    <w:p>
      <w:pPr>
        <w:ind w:firstLine="1496"/>
        <w:spacing w:after="0" w:line="262" w:lineRule="auto"/>
        <w:tabs>
          <w:tab w:leader="none" w:pos="2041"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at any time and from time to time on or after the Initial Exercise Date and on or before the Termination Date.</w:t>
      </w:r>
    </w:p>
    <w:p>
      <w:pPr>
        <w:spacing w:after="0" w:line="137"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color w:val="auto"/>
        </w:rPr>
        <w:t>Exercise Notice</w:t>
      </w:r>
      <w:r>
        <w:rPr>
          <w:rFonts w:ascii="Times New Roman" w:cs="Times New Roman" w:eastAsia="Times New Roman" w:hAnsi="Times New Roman"/>
          <w:sz w:val="19"/>
          <w:szCs w:val="19"/>
          <w:color w:val="auto"/>
        </w:rPr>
        <w:t xml:space="preserve">”), completed and duly signed, and (ii) payment of the applicable Exercise Price for the number of Warrant Shares and/or Pre-Funded Warrants as to which this Warrant is being exercised in accordance with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herein, and the date on which the last of such items is delivered to the Company (as determined in accordance with the notice provisions hereof) is an </w:t>
      </w:r>
      <w:r>
        <w:rPr>
          <w:rFonts w:ascii="Times New Roman" w:cs="Times New Roman" w:eastAsia="Times New Roman" w:hAnsi="Times New Roman"/>
          <w:sz w:val="19"/>
          <w:szCs w:val="19"/>
          <w:b w:val="1"/>
          <w:bCs w:val="1"/>
          <w:color w:val="auto"/>
        </w:rPr>
        <w:t>“Exercise Date</w:t>
      </w:r>
      <w:r>
        <w:rPr>
          <w:rFonts w:ascii="Times New Roman" w:cs="Times New Roman" w:eastAsia="Times New Roman" w:hAnsi="Times New Roman"/>
          <w:sz w:val="19"/>
          <w:szCs w:val="19"/>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delivery by (or on behalf of) the Holder of the Exercise Notice and the applicable Exercise Price as provided above shall constitute the Holder’s certification to the Company that, in the case of an exercise for cash, its representations contained in Sections 4.1 and 4.3 through 4.15 of the Purchase Agreement are true and correct as of the Exercise Date as if remade in their entirety (or, in the case of any transferee Holder that is not a party to the Purchase Agreement or, in the case of a cashless exercise, its representations contained in Sections 4.1, 4.3 and 4.15 of the Purchase Agreement, such transferee Holder’s certification to the Company that such representations are true and correct as to such transferee Holder as of the Exercise Date). The Holder and the Company shall maintain records showing the number of Warrant Shares and/or Pre-Funded Warrants purchased and the date of such purchases. The Company shall deliver any objection to any Exercise Notice within two (2) Trading Days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88" w:name="page89"/>
    <w:bookmarkEnd w:id="88"/>
    <w:p>
      <w:pPr>
        <w:spacing w:after="0" w:line="2" w:lineRule="exact"/>
        <w:rPr>
          <w:sz w:val="20"/>
          <w:szCs w:val="20"/>
          <w:color w:val="auto"/>
        </w:rPr>
      </w:pPr>
    </w:p>
    <w:p>
      <w:pPr>
        <w:jc w:val="both"/>
        <w:ind w:left="-1120" w:right="20" w:firstLine="1496"/>
        <w:spacing w:after="0" w:line="248" w:lineRule="auto"/>
        <w:tabs>
          <w:tab w:leader="none" w:pos="921"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and/or Pre-Funded Warrants hereunder, the number of Warrant Shares and/or Pre-Funded Warrants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380" w:hanging="376"/>
        <w:spacing w:after="0"/>
        <w:tabs>
          <w:tab w:leader="none" w:pos="380"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Exercise Securities</w:t>
      </w:r>
      <w:r>
        <w:rPr>
          <w:rFonts w:ascii="Times New Roman" w:cs="Times New Roman" w:eastAsia="Times New Roman" w:hAnsi="Times New Roman"/>
          <w:sz w:val="19"/>
          <w:szCs w:val="19"/>
          <w:color w:val="auto"/>
        </w:rPr>
        <w:t>.</w:t>
      </w:r>
    </w:p>
    <w:p>
      <w:pPr>
        <w:spacing w:after="0" w:line="282" w:lineRule="exact"/>
        <w:rPr>
          <w:rFonts w:ascii="Times New Roman" w:cs="Times New Roman" w:eastAsia="Times New Roman" w:hAnsi="Times New Roman"/>
          <w:sz w:val="19"/>
          <w:szCs w:val="19"/>
          <w:b w:val="1"/>
          <w:bCs w:val="1"/>
          <w:color w:val="auto"/>
        </w:rPr>
      </w:pPr>
    </w:p>
    <w:p>
      <w:pPr>
        <w:jc w:val="both"/>
        <w:ind w:left="-1120" w:firstLine="1496"/>
        <w:spacing w:after="0" w:line="236" w:lineRule="auto"/>
        <w:tabs>
          <w:tab w:leader="none" w:pos="92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Warrant Shares,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59" w:lineRule="exact"/>
        <w:rPr>
          <w:rFonts w:ascii="Times New Roman" w:cs="Times New Roman" w:eastAsia="Times New Roman" w:hAnsi="Times New Roman"/>
          <w:sz w:val="19"/>
          <w:szCs w:val="19"/>
          <w:color w:val="auto"/>
        </w:rPr>
      </w:pPr>
    </w:p>
    <w:p>
      <w:pPr>
        <w:jc w:val="both"/>
        <w:ind w:left="-1120" w:firstLine="1496"/>
        <w:spacing w:after="0" w:line="237" w:lineRule="auto"/>
        <w:tabs>
          <w:tab w:leader="none" w:pos="921"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any other rights available to the Holder, if the Company fails to deliver to the Holder or its designee Exercise Shares in the manner required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xml:space="preserve">”) but did not receive within the Settlement Period, then the Company shall, within two Trading Days after the Holder’s request and in the Holder’s sole discretion, promptly honor its obligation to deliver to the Holder or its designee the Exercise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764540</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89" w:name="page90"/>
    <w:bookmarkEnd w:id="89"/>
    <w:p>
      <w:pPr>
        <w:spacing w:after="0" w:line="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notice promptly after the occurrence of a Buy-In, indicating the amounts payable to the Holder in respect of the Buy-In together with applicable confirmations and other evidence reasonably requested by the Company.</w:t>
      </w:r>
    </w:p>
    <w:p>
      <w:pPr>
        <w:spacing w:after="0" w:line="138" w:lineRule="exact"/>
        <w:rPr>
          <w:sz w:val="20"/>
          <w:szCs w:val="20"/>
          <w:color w:val="auto"/>
        </w:rPr>
      </w:pPr>
    </w:p>
    <w:p>
      <w:pPr>
        <w:jc w:val="both"/>
        <w:ind w:firstLine="1496"/>
        <w:spacing w:after="0" w:line="241"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for Pre-Funded Warrants, the Company shall promptly (but in no event later than the number of Trading Days comprising the Settlement Period following the Exercise Date) deliver to the Holder or its designee electronic copies of Pre-Funded Warrants to purchase up to a number of shares of Common Stock specified by the Holder in the Exercise Notice, with a physical copy of the Pre-Funded Warrants to be delivered to the Holder, if requested, within two (2) Trading Days after such Holder’s request for such physical copy. The Company shall serve as the Warrant Agent for the Pre-Funded Warrants.</w:t>
      </w:r>
    </w:p>
    <w:p>
      <w:pPr>
        <w:spacing w:after="0" w:line="156" w:lineRule="exact"/>
        <w:rPr>
          <w:rFonts w:ascii="Times New Roman" w:cs="Times New Roman" w:eastAsia="Times New Roman" w:hAnsi="Times New Roman"/>
          <w:sz w:val="19"/>
          <w:szCs w:val="19"/>
          <w:color w:val="auto"/>
        </w:rPr>
      </w:pPr>
    </w:p>
    <w:p>
      <w:pPr>
        <w:jc w:val="both"/>
        <w:ind w:firstLine="1496"/>
        <w:spacing w:after="0" w:line="236"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xml:space="preserve">, the Company’s obligations to issue and deliver Warrant Shares and/or Pre-Funded Warrants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and/or Pre-Funded Warrants. Subject to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5(c)</w:t>
      </w:r>
      <w:r>
        <w:rPr>
          <w:rFonts w:ascii="Times New Roman" w:cs="Times New Roman" w:eastAsia="Times New Roman" w:hAnsi="Times New Roman"/>
          <w:sz w:val="19"/>
          <w:szCs w:val="19"/>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Exercise Securities; provided, however, that the Holder shall not be entitled to both (i) require the Company to reinstate the portion of the Warrant and equivalent number of Warrant Shares and/or Pre-Funded Warrants, as applicable, for which such exercise was not timely honored and (ii) receive the number of Warrant Shares and/or Pre-Funded Warrants, as applicable, that would have been issued if the Company had timely complied with its delivery requirements under Section 5(a).</w:t>
      </w:r>
    </w:p>
    <w:p>
      <w:pPr>
        <w:spacing w:after="0" w:line="163"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fails to cause the Transfer Agent to transmit to the Holder the Warrant Shares pursuant to Section 5(a)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right="20" w:firstLine="745"/>
        <w:spacing w:after="0" w:line="250" w:lineRule="auto"/>
        <w:tabs>
          <w:tab w:leader="none" w:pos="1021"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Warrant Shares and/or Pre-Funded Warrants upon exercise of this Warrant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made without charge to the Holder for any issue or transfer tax, transfer agent fee or other incidental tax or expense (excluding any applicable stamp duties) in respect of the issuance of such securities, all of which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757555</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0" w:name="page91"/>
    <w:bookmarkEnd w:id="90"/>
    <w:p>
      <w:pPr>
        <w:spacing w:after="0" w:line="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expenses shall be paid by the Company; provided, however, that the Company shall not be required to pay any tax that may be payable in respect of any transfer involved in the registration of any Warrant Shares or Pre-Funded Warrants or this Warrant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164" w:lineRule="exact"/>
        <w:rPr>
          <w:sz w:val="20"/>
          <w:szCs w:val="20"/>
          <w:color w:val="auto"/>
        </w:rPr>
      </w:pPr>
    </w:p>
    <w:p>
      <w:pPr>
        <w:jc w:val="both"/>
        <w:ind w:firstLine="745"/>
        <w:spacing w:after="0" w:line="242" w:lineRule="auto"/>
        <w:tabs>
          <w:tab w:leader="none" w:pos="1021"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63" w:lineRule="exact"/>
        <w:rPr>
          <w:rFonts w:ascii="Times New Roman" w:cs="Times New Roman" w:eastAsia="Times New Roman" w:hAnsi="Times New Roman"/>
          <w:sz w:val="19"/>
          <w:szCs w:val="19"/>
          <w:b w:val="1"/>
          <w:bCs w:val="1"/>
          <w:color w:val="auto"/>
        </w:rPr>
      </w:pPr>
    </w:p>
    <w:p>
      <w:pPr>
        <w:jc w:val="both"/>
        <w:ind w:firstLine="745"/>
        <w:spacing w:after="0" w:line="235" w:lineRule="auto"/>
        <w:tabs>
          <w:tab w:leader="none" w:pos="1021" w:val="left"/>
        </w:tabs>
        <w:numPr>
          <w:ilvl w:val="0"/>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771525</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1" w:name="page92"/>
    <w:bookmarkEnd w:id="91"/>
    <w:p>
      <w:pPr>
        <w:jc w:val="both"/>
        <w:ind w:left="-745" w:right="20" w:firstLine="745"/>
        <w:spacing w:after="0" w:line="250" w:lineRule="auto"/>
        <w:tabs>
          <w:tab w:leader="none" w:pos="276"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Share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number of Pre-Funded Warrants issuable upon exercise of this Warrant (the “</w:t>
      </w:r>
      <w:r>
        <w:rPr>
          <w:rFonts w:ascii="Times New Roman" w:cs="Times New Roman" w:eastAsia="Times New Roman" w:hAnsi="Times New Roman"/>
          <w:sz w:val="19"/>
          <w:szCs w:val="19"/>
          <w:b w:val="1"/>
          <w:bCs w:val="1"/>
          <w:color w:val="auto"/>
        </w:rPr>
        <w:t>Number of Pre-Funded Warrants</w:t>
      </w:r>
      <w:r>
        <w:rPr>
          <w:rFonts w:ascii="Times New Roman" w:cs="Times New Roman" w:eastAsia="Times New Roman" w:hAnsi="Times New Roman"/>
          <w:sz w:val="19"/>
          <w:szCs w:val="19"/>
          <w:color w:val="auto"/>
        </w:rPr>
        <w:t>”)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subject to adjustment from time to time as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b w:val="1"/>
          <w:bCs w:val="1"/>
          <w:color w:val="auto"/>
        </w:rPr>
      </w:pPr>
    </w:p>
    <w:p>
      <w:pPr>
        <w:jc w:val="both"/>
        <w:ind w:left="-685" w:firstLine="1511"/>
        <w:spacing w:after="0" w:line="236" w:lineRule="auto"/>
        <w:tabs>
          <w:tab w:leader="none" w:pos="1281"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Subscription Date and in accordance with the terms of such stock on the Subscription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and Number of PFW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and Number of PFW Shares shall be recomputed accordingly as of the close of business on such record date and thereafter the Number of Warrant Shares and Number of PFW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85" w:lineRule="exact"/>
        <w:rPr>
          <w:rFonts w:ascii="Times New Roman" w:cs="Times New Roman" w:eastAsia="Times New Roman" w:hAnsi="Times New Roman"/>
          <w:sz w:val="19"/>
          <w:szCs w:val="19"/>
          <w:color w:val="auto"/>
        </w:rPr>
      </w:pPr>
    </w:p>
    <w:p>
      <w:pPr>
        <w:jc w:val="both"/>
        <w:ind w:left="-685" w:firstLine="1511"/>
        <w:spacing w:after="0" w:line="236" w:lineRule="auto"/>
        <w:tabs>
          <w:tab w:leader="none" w:pos="1281"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Subscription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or the fact that the Initial Exercise Date had not occurred)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885825</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3878580</wp:posOffset>
            </wp:positionH>
            <wp:positionV relativeFrom="paragraph">
              <wp:posOffset>-1241425</wp:posOffset>
            </wp:positionV>
            <wp:extent cx="450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0515"/>
          </w:cols>
          <w:pgMar w:left="1065" w:top="1437" w:right="319" w:bottom="1440" w:gutter="0" w:footer="0" w:header="0"/>
        </w:sectPr>
      </w:pPr>
    </w:p>
    <w:bookmarkStart w:id="92" w:name="page93"/>
    <w:bookmarkEnd w:id="92"/>
    <w:p>
      <w:pPr>
        <w:spacing w:after="0" w:line="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56" w:lineRule="exact"/>
        <w:rPr>
          <w:sz w:val="20"/>
          <w:szCs w:val="20"/>
          <w:color w:val="auto"/>
        </w:rPr>
      </w:pPr>
    </w:p>
    <w:p>
      <w:pPr>
        <w:jc w:val="both"/>
        <w:ind w:firstLine="1436"/>
        <w:spacing w:after="0" w:line="235" w:lineRule="auto"/>
        <w:tabs>
          <w:tab w:leader="none" w:pos="196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Subscription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fact that the Initial Exercise Date had not occurred)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68"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766445</wp:posOffset>
            </wp:positionV>
            <wp:extent cx="71748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3" w:name="page94"/>
    <w:bookmarkEnd w:id="93"/>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9(a)</w:t>
      </w:r>
      <w:r>
        <w:rPr>
          <w:rFonts w:ascii="Times New Roman" w:cs="Times New Roman" w:eastAsia="Times New Roman" w:hAnsi="Times New Roman"/>
          <w:sz w:val="19"/>
          <w:szCs w:val="19"/>
          <w:color w:val="auto"/>
        </w:rPr>
        <w:t xml:space="preserve"> above) (in any 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9(c)</w:t>
      </w:r>
      <w:r>
        <w:rPr>
          <w:rFonts w:ascii="Times New Roman" w:cs="Times New Roman" w:eastAsia="Times New Roman" w:hAnsi="Times New Roman"/>
          <w:sz w:val="19"/>
          <w:szCs w:val="19"/>
          <w:color w:val="auto"/>
        </w:rPr>
        <w:t xml:space="preserve"> above) without regard to any limitations on exercise contained herein and assuming the date of such Fundamental Transaction was the Initial Exercise Date, if the Initial Exercise Date had not previously occurred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below or (ii) if the Alternate Consideration includes any securities of another Person, such Person is a publicly traded corporation whose stock is quoted or listed for trading on a Trading Market and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 The Company shall cause any successor entity in a Fundamental Transaction in which the Company is not the survivor (the “</w:t>
      </w:r>
      <w:r>
        <w:rPr>
          <w:rFonts w:ascii="Times New Roman" w:cs="Times New Roman" w:eastAsia="Times New Roman" w:hAnsi="Times New Roman"/>
          <w:sz w:val="19"/>
          <w:szCs w:val="19"/>
          <w:b w:val="1"/>
          <w:bCs w:val="1"/>
          <w:color w:val="auto"/>
        </w:rPr>
        <w:t>Successor Entity</w:t>
      </w:r>
      <w:r>
        <w:rPr>
          <w:rFonts w:ascii="Times New Roman" w:cs="Times New Roman" w:eastAsia="Times New Roman" w:hAnsi="Times New Roman"/>
          <w:sz w:val="19"/>
          <w:szCs w:val="19"/>
          <w:color w:val="auto"/>
        </w:rPr>
        <w:t>”) to assume in writing all of the obligations of the Company under this Warrant in accordance with the provisions of this Section 9(d)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780415</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4" w:name="page95"/>
    <w:bookmarkEnd w:id="94"/>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and without limiting Section 11 hereof, the Holder may elect, at its sole option, by delivery of written notice to the Company to waive this Section 9(d) to permit a Fundamental Transaction without the assumption of this Warrant.</w:t>
      </w:r>
    </w:p>
    <w:p>
      <w:pPr>
        <w:spacing w:after="0" w:line="146" w:lineRule="exact"/>
        <w:rPr>
          <w:sz w:val="20"/>
          <w:szCs w:val="20"/>
          <w:color w:val="auto"/>
        </w:rPr>
      </w:pPr>
    </w:p>
    <w:p>
      <w:pPr>
        <w:jc w:val="both"/>
        <w:ind w:firstLine="1436"/>
        <w:spacing w:after="0" w:line="239"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 and Number of PFW Shares</w:t>
      </w:r>
      <w:r>
        <w:rPr>
          <w:rFonts w:ascii="Times New Roman" w:cs="Times New Roman" w:eastAsia="Times New Roman" w:hAnsi="Times New Roman"/>
          <w:sz w:val="19"/>
          <w:szCs w:val="19"/>
          <w:color w:val="auto"/>
        </w:rPr>
        <w:t xml:space="preserve">. Simultaneously with any adjustment to the Number of Warrant Shares and Number of PFW Shares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Share Exercise Price shall be increased or decreased proportionately, so that after such adjustment the aggregate Share Exercise Price payable hereunder for the increased or decreased Number of Warrant Shares, shall be the same as the aggregate Share Exercise Price in effect immediately prior to such adjustment. The PFW Exercise Price shall remain equal to the Share Exercise Price in effect at the time of exercise minus $0.001. Notwithstanding the foregoing, in no event may the Share Exercise Price be adjusted below the par value of the Common Stock then in effect.</w:t>
      </w:r>
    </w:p>
    <w:p>
      <w:pPr>
        <w:spacing w:after="0" w:line="161"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be made to the nearest one-tenth of one cent or the nearest share,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applicable.</w:t>
      </w:r>
    </w:p>
    <w:p>
      <w:pPr>
        <w:spacing w:after="0" w:line="163" w:lineRule="exact"/>
        <w:rPr>
          <w:rFonts w:ascii="Times New Roman" w:cs="Times New Roman" w:eastAsia="Times New Roman" w:hAnsi="Times New Roman"/>
          <w:sz w:val="19"/>
          <w:szCs w:val="19"/>
          <w:color w:val="auto"/>
        </w:rPr>
      </w:pPr>
    </w:p>
    <w:p>
      <w:pPr>
        <w:jc w:val="both"/>
        <w:ind w:right="20" w:firstLine="1436"/>
        <w:spacing w:after="0" w:line="239"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Share Exercise Price, PFW Exercise Price and 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61" w:lineRule="exact"/>
        <w:rPr>
          <w:rFonts w:ascii="Times New Roman" w:cs="Times New Roman" w:eastAsia="Times New Roman" w:hAnsi="Times New Roman"/>
          <w:sz w:val="19"/>
          <w:szCs w:val="19"/>
          <w:color w:val="auto"/>
        </w:rPr>
      </w:pPr>
    </w:p>
    <w:p>
      <w:pPr>
        <w:jc w:val="both"/>
        <w:ind w:firstLine="1436"/>
        <w:spacing w:after="0" w:line="238" w:lineRule="auto"/>
        <w:tabs>
          <w:tab w:leader="none" w:pos="1966"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763905</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95" w:name="page96"/>
    <w:bookmarkEnd w:id="95"/>
    <w:p>
      <w:pPr>
        <w:spacing w:after="0" w:line="1" w:lineRule="exact"/>
        <w:rPr>
          <w:sz w:val="20"/>
          <w:szCs w:val="20"/>
          <w:color w:val="auto"/>
        </w:rPr>
      </w:pPr>
    </w:p>
    <w:p>
      <w:pPr>
        <w:jc w:val="both"/>
        <w:ind w:left="60"/>
        <w:spacing w:after="0" w:line="243" w:lineRule="auto"/>
        <w:rPr>
          <w:sz w:val="20"/>
          <w:szCs w:val="20"/>
          <w:color w:val="auto"/>
        </w:rPr>
      </w:pPr>
      <w:r>
        <w:rPr>
          <w:rFonts w:ascii="Times New Roman" w:cs="Times New Roman" w:eastAsia="Times New Roman" w:hAnsi="Times New Roman"/>
          <w:sz w:val="19"/>
          <w:szCs w:val="19"/>
          <w:color w:val="auto"/>
        </w:rPr>
        <w:t xml:space="preserve">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56" w:lineRule="exact"/>
        <w:rPr>
          <w:sz w:val="20"/>
          <w:szCs w:val="20"/>
          <w:color w:val="auto"/>
        </w:rPr>
      </w:pPr>
    </w:p>
    <w:p>
      <w:pPr>
        <w:ind w:left="2040" w:hanging="544"/>
        <w:spacing w:after="0"/>
        <w:tabs>
          <w:tab w:leader="none" w:pos="204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jc w:val="both"/>
        <w:ind w:left="80" w:firstLine="387"/>
        <w:spacing w:after="0" w:line="242" w:lineRule="auto"/>
        <w:tabs>
          <w:tab w:leader="none" w:pos="837"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This Warrant may only be exercised through a “cashless exercise”, in which event the Company shall issue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Holder the number of Warrant Shares in an exchange of securities effected pursuant to Section 3(a)(9) of the Securities Act, determined as follows:</w:t>
      </w:r>
    </w:p>
    <w:p>
      <w:pPr>
        <w:spacing w:after="0" w:line="1" w:lineRule="exact"/>
        <w:rPr>
          <w:rFonts w:ascii="Times New Roman" w:cs="Times New Roman" w:eastAsia="Times New Roman" w:hAnsi="Times New Roman"/>
          <w:sz w:val="19"/>
          <w:szCs w:val="19"/>
          <w:b w:val="1"/>
          <w:bCs w:val="1"/>
          <w:color w:val="auto"/>
        </w:rPr>
      </w:pPr>
    </w:p>
    <w:p>
      <w:pPr>
        <w:ind w:left="158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15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Share Exercise Price then in effect for the applicable Warrant Shares at the time of such exercise.</w:t>
      </w:r>
    </w:p>
    <w:p>
      <w:pPr>
        <w:spacing w:after="0" w:line="19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color w:val="auto"/>
        </w:rPr>
        <w:t>If this Warrant is exercised for Pre-Funded Warrants, the Company shall issue to the Holder the number of Pre-Funded Warrants in an exchange of securities effected pursuant to Section 3(a)(9) of the Securities Act, determined as follows:</w:t>
      </w:r>
    </w:p>
    <w:p>
      <w:pPr>
        <w:ind w:left="1580"/>
        <w:spacing w:after="0" w:line="235" w:lineRule="auto"/>
        <w:rPr>
          <w:sz w:val="20"/>
          <w:szCs w:val="20"/>
          <w:color w:val="auto"/>
        </w:rPr>
      </w:pPr>
      <w:r>
        <w:rPr>
          <w:rFonts w:ascii="Times New Roman" w:cs="Times New Roman" w:eastAsia="Times New Roman" w:hAnsi="Times New Roman"/>
          <w:sz w:val="19"/>
          <w:szCs w:val="19"/>
          <w:color w:val="auto"/>
        </w:rPr>
        <w:t>X = Y [(A-B)/A]</w:t>
      </w:r>
    </w:p>
    <w:p>
      <w:pPr>
        <w:ind w:left="1580"/>
        <w:spacing w:after="0"/>
        <w:rPr>
          <w:sz w:val="20"/>
          <w:szCs w:val="20"/>
          <w:color w:val="auto"/>
        </w:rPr>
      </w:pPr>
      <w:r>
        <w:rPr>
          <w:rFonts w:ascii="Times New Roman" w:cs="Times New Roman" w:eastAsia="Times New Roman" w:hAnsi="Times New Roman"/>
          <w:sz w:val="19"/>
          <w:szCs w:val="19"/>
          <w:color w:val="auto"/>
        </w:rPr>
        <w:t>where:</w:t>
      </w:r>
    </w:p>
    <w:p>
      <w:pPr>
        <w:spacing w:after="0" w:line="164"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Pre-Funded Warrants to be issued to the Holder;</w:t>
      </w:r>
    </w:p>
    <w:p>
      <w:pPr>
        <w:spacing w:after="0" w:line="172"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50" w:lineRule="exact"/>
        <w:rPr>
          <w:sz w:val="20"/>
          <w:szCs w:val="20"/>
          <w:color w:val="auto"/>
        </w:rPr>
      </w:pPr>
    </w:p>
    <w:p>
      <w:pPr>
        <w:ind w:left="820" w:right="2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6" w:name="page97"/>
    <w:bookmarkEnd w:id="96"/>
    <w:p>
      <w:pPr>
        <w:spacing w:after="0" w:line="1"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PFW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Exercise Securities issued in a “cashless exercise” transaction shall be deemed to have been acquired by the Holder, and the holding period for the Exercise Securities shall be deemed to have commenced, on the Original Issue Date (provided that the Commission continues to take the position that such treatment is proper at the time of such exercise). If the Exercise Securities are issued in such a cashless exercise, the Company acknowledges and agrees that, in accordance with Section 3(a)(9) of the Securities Act, the Exercise Securities issued in such exercise shall take on the registered characteristics of the 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Sections 5(b) (Buy-In 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59" w:lineRule="exact"/>
        <w:rPr>
          <w:sz w:val="20"/>
          <w:szCs w:val="20"/>
          <w:color w:val="auto"/>
        </w:rPr>
      </w:pPr>
    </w:p>
    <w:p>
      <w:pPr>
        <w:ind w:left="1580" w:hanging="381"/>
        <w:spacing w:after="0"/>
        <w:tabs>
          <w:tab w:leader="none" w:pos="1580" w:val="left"/>
        </w:tabs>
        <w:numPr>
          <w:ilvl w:val="0"/>
          <w:numId w:val="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[4.99][9.99][19.99]%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 Outstanding Share Number</w:t>
      </w:r>
      <w:r>
        <w:rPr>
          <w:rFonts w:ascii="Times New Roman" w:cs="Times New Roman" w:eastAsia="Times New Roman" w:hAnsi="Times New Roman"/>
          <w:sz w:val="19"/>
          <w:szCs w:val="19"/>
          <w:color w:val="auto"/>
        </w:rPr>
        <w:t>”). For any reason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769620</wp:posOffset>
            </wp:positionV>
            <wp:extent cx="71748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7" w:name="page98"/>
    <w:bookmarkEnd w:id="97"/>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upon the written or oral request of the Holder, the Company shall within one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11(a)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Share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Share Exercise Price paid by the Holder for the Excess Shares. By written notice to the Company, a Holder of this Warrant may from time to time increase or decrease the Maximum Percentage to any other percentage specified in such notice; provided that such percentage shall not be in excess of [4.99%][19.99% unless Stockholder Approval (as defined in the Purchase Agreement) has been obtained]; provided further that any increase in the Maximum Percentage will not be effective until the 61st day after such notice is delivered to the Company and shall not negatively affect any partial exercise effected prior to such change.</w:t>
      </w:r>
    </w:p>
    <w:p>
      <w:pPr>
        <w:spacing w:after="0" w:line="177" w:lineRule="exact"/>
        <w:rPr>
          <w:sz w:val="20"/>
          <w:szCs w:val="20"/>
          <w:color w:val="auto"/>
        </w:rPr>
      </w:pPr>
    </w:p>
    <w:p>
      <w:pPr>
        <w:jc w:val="both"/>
        <w:ind w:firstLine="1496"/>
        <w:spacing w:after="0" w:line="238" w:lineRule="auto"/>
        <w:tabs>
          <w:tab w:leader="none" w:pos="187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a Distribution as contemplated by </w:t>
      </w:r>
      <w:r>
        <w:rPr>
          <w:rFonts w:ascii="Times New Roman" w:cs="Times New Roman" w:eastAsia="Times New Roman" w:hAnsi="Times New Roman"/>
          <w:sz w:val="19"/>
          <w:szCs w:val="19"/>
          <w:u w:val="single" w:color="auto"/>
          <w:color w:val="auto"/>
        </w:rPr>
        <w:t>Section 9(b)</w:t>
      </w:r>
      <w:r>
        <w:rPr>
          <w:rFonts w:ascii="Times New Roman" w:cs="Times New Roman" w:eastAsia="Times New Roman" w:hAnsi="Times New Roman"/>
          <w:sz w:val="19"/>
          <w:szCs w:val="19"/>
          <w:color w:val="auto"/>
        </w:rPr>
        <w:t xml:space="preserve">, (ii) Purchase Rights as contemplated in </w:t>
      </w:r>
      <w:r>
        <w:rPr>
          <w:rFonts w:ascii="Times New Roman" w:cs="Times New Roman" w:eastAsia="Times New Roman" w:hAnsi="Times New Roman"/>
          <w:sz w:val="19"/>
          <w:szCs w:val="19"/>
          <w:u w:val="single" w:color="auto"/>
          <w:color w:val="auto"/>
        </w:rPr>
        <w:t>Section 9(c)</w:t>
      </w:r>
      <w:r>
        <w:rPr>
          <w:rFonts w:ascii="Times New Roman" w:cs="Times New Roman" w:eastAsia="Times New Roman" w:hAnsi="Times New Roman"/>
          <w:sz w:val="19"/>
          <w:szCs w:val="19"/>
          <w:color w:val="auto"/>
        </w:rPr>
        <w:t xml:space="preserve"> or (iii) a Fundamental Transaction as contemplated in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17486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8" w:name="page99"/>
    <w:bookmarkEnd w:id="98"/>
    <w:p>
      <w:pPr>
        <w:spacing w:after="0" w:line="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53" w:lineRule="exact"/>
        <w:rPr>
          <w:sz w:val="20"/>
          <w:szCs w:val="20"/>
          <w:color w:val="auto"/>
        </w:rPr>
      </w:pPr>
    </w:p>
    <w:p>
      <w:pPr>
        <w:jc w:val="both"/>
        <w:ind w:firstLine="825"/>
        <w:spacing w:after="0" w:line="250" w:lineRule="auto"/>
        <w:rPr>
          <w:sz w:val="20"/>
          <w:szCs w:val="20"/>
          <w:color w:val="auto"/>
        </w:rPr>
      </w:pPr>
      <w:r>
        <w:rPr>
          <w:rFonts w:ascii="Times New Roman" w:cs="Times New Roman" w:eastAsia="Times New Roman" w:hAnsi="Times New Roman"/>
          <w:sz w:val="19"/>
          <w:szCs w:val="19"/>
          <w:b w:val="1"/>
          <w:bCs w:val="1"/>
          <w:color w:val="auto"/>
        </w:rPr>
        <w:t>12.</w:t>
      </w: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57"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19"/>
          <w:szCs w:val="19"/>
          <w:b w:val="1"/>
          <w:bCs w:val="1"/>
          <w:color w:val="auto"/>
        </w:rPr>
        <w:t>13.</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Warrant Agent prior to 5:30 P.M., New York City time, on a Trading Day (as applicable), (ii) the next Trading Day after the date of transmission, if such notice or communication is delivered via confirmed e-mail at the e-mail address specified in the books and records of the Warrant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9" w:lineRule="exact"/>
        <w:rPr>
          <w:sz w:val="20"/>
          <w:szCs w:val="20"/>
          <w:color w:val="auto"/>
        </w:rPr>
      </w:pPr>
    </w:p>
    <w:p>
      <w:pPr>
        <w:jc w:val="both"/>
        <w:ind w:left="60" w:firstLine="750"/>
        <w:spacing w:after="0"/>
        <w:rPr>
          <w:sz w:val="20"/>
          <w:szCs w:val="20"/>
          <w:color w:val="auto"/>
        </w:rPr>
      </w:pPr>
      <w:r>
        <w:rPr>
          <w:rFonts w:ascii="Times New Roman" w:cs="Times New Roman" w:eastAsia="Times New Roman" w:hAnsi="Times New Roman"/>
          <w:sz w:val="19"/>
          <w:szCs w:val="19"/>
          <w:b w:val="1"/>
          <w:bCs w:val="1"/>
          <w:color w:val="auto"/>
        </w:rPr>
        <w:t>14.</w:t>
      </w: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b w:val="1"/>
          <w:bCs w:val="1"/>
          <w:color w:val="auto"/>
        </w:rPr>
        <w:t>15.</w:t>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left="60" w:firstLine="1511"/>
        <w:spacing w:after="0" w:line="239" w:lineRule="auto"/>
        <w:tabs>
          <w:tab w:leader="none" w:pos="202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or the Pre-Funded Warrants,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765175</wp:posOffset>
            </wp:positionV>
            <wp:extent cx="71748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9" w:name="page100"/>
    <w:bookmarkEnd w:id="99"/>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subscription rights, or otherwise, prior to the issuance to the Holder of the Warrant Shares or PFW Shares which such Person is then entitled to receive upon the due exercise of this Warrant and, if applicable, the Pre-Funded Warrants.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56" w:lineRule="exact"/>
        <w:rPr>
          <w:sz w:val="20"/>
          <w:szCs w:val="20"/>
          <w:color w:val="auto"/>
        </w:rPr>
      </w:pPr>
    </w:p>
    <w:p>
      <w:pPr>
        <w:jc w:val="both"/>
        <w:ind w:left="80" w:firstLine="1431"/>
        <w:spacing w:after="0" w:line="236" w:lineRule="auto"/>
        <w:tabs>
          <w:tab w:leader="none" w:pos="197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or Pre-Funded Warrants for which this Warrant is exercisable or in the Share Exercise Price or PFW Exercise Price, the Company shall obtain all such authorizations or exemptions thereof, or consents thereto, as may be necessary from any public regulatory body or bodies having jurisdiction thereof.</w:t>
      </w:r>
    </w:p>
    <w:p>
      <w:pPr>
        <w:spacing w:after="0" w:line="151" w:lineRule="exact"/>
        <w:rPr>
          <w:rFonts w:ascii="Times New Roman" w:cs="Times New Roman" w:eastAsia="Times New Roman" w:hAnsi="Times New Roman"/>
          <w:sz w:val="19"/>
          <w:szCs w:val="19"/>
          <w:color w:val="auto"/>
        </w:rPr>
      </w:pPr>
    </w:p>
    <w:p>
      <w:pPr>
        <w:jc w:val="both"/>
        <w:ind w:firstLine="1511"/>
        <w:spacing w:after="0" w:line="241" w:lineRule="auto"/>
        <w:tabs>
          <w:tab w:leader="none" w:pos="196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xml:space="preserve">. Subject to compliance with applicable securities laws, this Warrant may be assigned by the Holder. This Warrant may not be assigned by the Company without the written consent of the Holder, except to a successor in the event of a Fundamental Transaction that complies with </w:t>
      </w:r>
      <w:r>
        <w:rPr>
          <w:rFonts w:ascii="Times New Roman" w:cs="Times New Roman" w:eastAsia="Times New Roman" w:hAnsi="Times New Roman"/>
          <w:sz w:val="19"/>
          <w:szCs w:val="19"/>
          <w:u w:val="single" w:color="auto"/>
          <w:color w:val="auto"/>
        </w:rPr>
        <w:t>Section 9(d)</w:t>
      </w:r>
      <w:r>
        <w:rPr>
          <w:rFonts w:ascii="Times New Roman" w:cs="Times New Roman" w:eastAsia="Times New Roman" w:hAnsi="Times New Roman"/>
          <w:sz w:val="19"/>
          <w:szCs w:val="19"/>
          <w:color w:val="auto"/>
        </w:rPr>
        <w:t>.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56" w:lineRule="exact"/>
        <w:rPr>
          <w:rFonts w:ascii="Times New Roman" w:cs="Times New Roman" w:eastAsia="Times New Roman" w:hAnsi="Times New Roman"/>
          <w:sz w:val="19"/>
          <w:szCs w:val="19"/>
          <w:color w:val="auto"/>
        </w:rPr>
      </w:pPr>
    </w:p>
    <w:p>
      <w:pPr>
        <w:jc w:val="both"/>
        <w:ind w:firstLine="1511"/>
        <w:spacing w:after="0" w:line="239" w:lineRule="auto"/>
        <w:tabs>
          <w:tab w:leader="none" w:pos="196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The Company may take any action herein prohibited, or omit to perform any act herein required to be performed by it, only if the Company has obtained the written consent of the Holder. No amendment or modification of any Warrant shall be made unless the same is also offered to all holders of Warrants. In addition, no consideration shall be offered or paid to any Person to amend or consent to a waiver or modification of any provision of any of this Warrant unless the same consideration (other than the reimbursement of legal fees) also is offered to all holders of the Warrants issued by the Company on the Original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765175</wp:posOffset>
            </wp:positionV>
            <wp:extent cx="717486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40" w:right="319" w:bottom="1440" w:gutter="0" w:footer="0" w:header="0"/>
        </w:sectPr>
      </w:pPr>
    </w:p>
    <w:bookmarkStart w:id="100" w:name="page101"/>
    <w:bookmarkEnd w:id="100"/>
    <w:p>
      <w:pPr>
        <w:spacing w:after="0" w:line="2" w:lineRule="exact"/>
        <w:rPr>
          <w:sz w:val="20"/>
          <w:szCs w:val="20"/>
          <w:color w:val="auto"/>
        </w:rPr>
      </w:pPr>
    </w:p>
    <w:p>
      <w:pPr>
        <w:ind w:left="-1060" w:right="20" w:firstLine="1511"/>
        <w:spacing w:after="0" w:line="262"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1060" w:firstLine="1511"/>
        <w:spacing w:after="0" w:line="236"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57" w:lineRule="exact"/>
        <w:rPr>
          <w:rFonts w:ascii="Times New Roman" w:cs="Times New Roman" w:eastAsia="Times New Roman" w:hAnsi="Times New Roman"/>
          <w:sz w:val="19"/>
          <w:szCs w:val="19"/>
          <w:color w:val="auto"/>
        </w:rPr>
      </w:pPr>
    </w:p>
    <w:p>
      <w:pPr>
        <w:ind w:left="-1060" w:right="20" w:firstLine="1511"/>
        <w:spacing w:after="0" w:line="262" w:lineRule="auto"/>
        <w:tabs>
          <w:tab w:leader="none" w:pos="90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1040" w:right="80" w:firstLine="1510"/>
        <w:spacing w:after="0" w:line="243" w:lineRule="auto"/>
        <w:tabs>
          <w:tab w:leader="none" w:pos="871"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1382395</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01" w:name="page102"/>
    <w:bookmarkEnd w:id="101"/>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9975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91059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10590" cy="7620"/>
                    </a:xfrm>
                    <a:prstGeom prst="rect">
                      <a:avLst/>
                    </a:prstGeom>
                    <a:noFill/>
                  </pic:spPr>
                </pic:pic>
              </a:graphicData>
            </a:graphic>
          </wp:anchor>
        </w:drawing>
      </w:r>
    </w:p>
    <w:p>
      <w:pPr>
        <w:spacing w:after="0" w:line="3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Email:</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0"/>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527050</wp:posOffset>
            </wp:positionV>
            <wp:extent cx="71748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102" w:name="page103"/>
    <w:bookmarkEnd w:id="102"/>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and/or Pre-Funded Warrants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and/or _____ Pre-Funded Warrants pursuant to the Warrant.</w:t>
      </w:r>
    </w:p>
    <w:p>
      <w:pPr>
        <w:spacing w:after="0" w:line="99" w:lineRule="exact"/>
        <w:rPr>
          <w:rFonts w:ascii="Times New Roman" w:cs="Times New Roman" w:eastAsia="Times New Roman" w:hAnsi="Times New Roman"/>
          <w:sz w:val="16"/>
          <w:szCs w:val="16"/>
          <w:color w:val="auto"/>
        </w:rPr>
      </w:pPr>
    </w:p>
    <w:p>
      <w:pPr>
        <w:ind w:left="5" w:right="60" w:hanging="5"/>
        <w:spacing w:after="0" w:line="276"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_____ Warrant Shares and/or_____ Pre-Funded Warrants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Pre-Funded Warrants shall be delivered in the name of the undersigned or in such other name to the address, all as is specified below:</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04" w:lineRule="exact"/>
        <w:rPr>
          <w:sz w:val="20"/>
          <w:szCs w:val="20"/>
          <w:color w:val="auto"/>
        </w:rPr>
      </w:pPr>
    </w:p>
    <w:p>
      <w:pPr>
        <w:ind w:left="5" w:hanging="5"/>
        <w:spacing w:after="0" w:line="279" w:lineRule="auto"/>
        <w:tabs>
          <w:tab w:leader="none" w:pos="229"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solely if this Warrant is being exercised for Warrant Shares,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5"/>
          <w:szCs w:val="15"/>
          <w:u w:val="single" w:color="auto"/>
          <w:color w:val="auto"/>
        </w:rPr>
        <w:t>Section 11(a)</w:t>
      </w:r>
      <w:r>
        <w:rPr>
          <w:rFonts w:ascii="Times New Roman" w:cs="Times New Roman" w:eastAsia="Times New Roman" w:hAnsi="Times New Roman"/>
          <w:sz w:val="15"/>
          <w:szCs w:val="15"/>
          <w:color w:val="auto"/>
        </w:rPr>
        <w:t xml:space="preserve"> of the Warrant to which this notice relates.</w:t>
      </w:r>
    </w:p>
    <w:p>
      <w:pPr>
        <w:spacing w:after="0" w:line="200" w:lineRule="exact"/>
        <w:rPr>
          <w:sz w:val="20"/>
          <w:szCs w:val="20"/>
          <w:color w:val="auto"/>
        </w:rPr>
      </w:pPr>
    </w:p>
    <w:p>
      <w:pPr>
        <w:spacing w:after="0" w:line="27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25"/>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5"/>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527050</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103" w:name="page104"/>
    <w:bookmarkEnd w:id="103"/>
    <w:p>
      <w:pPr>
        <w:spacing w:after="0" w:line="103"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527050</wp:posOffset>
            </wp:positionV>
            <wp:extent cx="71748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04" w:name="page105"/>
    <w:bookmarkEnd w:id="104"/>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ASSIGNMENT FORM</w:t>
      </w:r>
    </w:p>
    <w:p>
      <w:pPr>
        <w:spacing w:after="0" w:line="194" w:lineRule="exact"/>
        <w:rPr>
          <w:sz w:val="20"/>
          <w:szCs w:val="20"/>
          <w:color w:val="auto"/>
        </w:rPr>
      </w:pPr>
    </w:p>
    <w:p>
      <w:pPr>
        <w:ind w:right="99" w:firstLine="1957"/>
        <w:spacing w:after="0" w:line="494" w:lineRule="auto"/>
        <w:rPr>
          <w:sz w:val="20"/>
          <w:szCs w:val="20"/>
          <w:color w:val="auto"/>
        </w:rPr>
      </w:pPr>
      <w:r>
        <w:rPr>
          <w:rFonts w:ascii="Times New Roman" w:cs="Times New Roman" w:eastAsia="Times New Roman" w:hAnsi="Times New Roman"/>
          <w:sz w:val="16"/>
          <w:szCs w:val="16"/>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6"/>
          <w:szCs w:val="16"/>
          <w:color w:val="auto"/>
        </w:rPr>
        <w:t>FOR VALUE RECEIVED, the foregoing Warrant and all rights evidenced thereby are hereby assigned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62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361"/>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Address:</w:t>
            </w:r>
          </w:p>
        </w:tc>
        <w:tc>
          <w:tcPr>
            <w:tcW w:w="462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6"/>
                <w:szCs w:val="16"/>
                <w:color w:val="auto"/>
              </w:rPr>
              <w:t>(Please Print)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 xml:space="preserve">Email </w:t>
            </w:r>
            <w:r>
              <w:rPr>
                <w:rFonts w:ascii="Times New Roman" w:cs="Times New Roman" w:eastAsia="Times New Roman" w:hAnsi="Times New Roman"/>
                <w:sz w:val="16"/>
                <w:szCs w:val="16"/>
                <w:u w:val="single" w:color="auto"/>
                <w:color w:val="auto"/>
                <w:w w:val="96"/>
              </w:rPr>
              <w:t>Address:</w:t>
            </w:r>
          </w:p>
        </w:tc>
        <w:tc>
          <w:tcPr>
            <w:tcW w:w="302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Dated: _______________ __, ______</w:t>
            </w:r>
          </w:p>
        </w:tc>
        <w:tc>
          <w:tcPr>
            <w:tcW w:w="162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00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Signature:</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Holder’s Address:</w:t>
            </w:r>
          </w:p>
        </w:tc>
        <w:tc>
          <w:tcPr>
            <w:tcW w:w="16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668020</wp:posOffset>
            </wp:positionV>
            <wp:extent cx="346964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6964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DOCPROPERTY "DOCID" \* MERGEFORMAT DOC ID -</w:t>
      </w:r>
    </w:p>
    <w:p>
      <w:pPr>
        <w:ind w:left="80"/>
        <w:spacing w:after="0"/>
        <w:rPr>
          <w:sz w:val="20"/>
          <w:szCs w:val="20"/>
          <w:color w:val="auto"/>
        </w:rPr>
      </w:pPr>
      <w:r>
        <w:rPr>
          <w:rFonts w:ascii="Times New Roman" w:cs="Times New Roman" w:eastAsia="Times New Roman" w:hAnsi="Times New Roman"/>
          <w:sz w:val="13"/>
          <w:szCs w:val="13"/>
          <w:color w:val="auto"/>
        </w:rPr>
        <w:t>51634992.9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527050</wp:posOffset>
            </wp:positionV>
            <wp:extent cx="71748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5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THIS WARRANT AND THE SHARES OF COMMON STOCK ISSUABLE UPON THE EXERCISE OF THIS WARRANT (THE “SECURITIES”)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FORM OF PRE-FUNDED WARRANT TO PURCHASE COMMON STOCK</w:t>
      </w:r>
    </w:p>
    <w:p>
      <w:pPr>
        <w:spacing w:after="0" w:line="37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Number of Shares: 5,502,402 (subject to</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adjustment)</w:t>
      </w:r>
    </w:p>
    <w:p>
      <w:pPr>
        <w:spacing w:after="0" w:line="17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9"/>
          <w:szCs w:val="19"/>
          <w:color w:val="auto"/>
        </w:rPr>
        <w:t>Warrant No. [ ]</w:t>
      </w:r>
      <w:r>
        <w:rPr>
          <w:sz w:val="20"/>
          <w:szCs w:val="20"/>
          <w:color w:val="auto"/>
        </w:rPr>
        <w:tab/>
      </w:r>
      <w:r>
        <w:rPr>
          <w:rFonts w:ascii="Times New Roman" w:cs="Times New Roman" w:eastAsia="Times New Roman" w:hAnsi="Times New Roman"/>
          <w:sz w:val="18"/>
          <w:szCs w:val="18"/>
          <w:color w:val="auto"/>
        </w:rPr>
        <w:t>Original Issue Date: December 23, 2025</w:t>
      </w:r>
    </w:p>
    <w:p>
      <w:pPr>
        <w:spacing w:after="0" w:line="168" w:lineRule="exact"/>
        <w:rPr>
          <w:sz w:val="20"/>
          <w:szCs w:val="20"/>
          <w:color w:val="auto"/>
        </w:rPr>
      </w:pPr>
    </w:p>
    <w:p>
      <w:pPr>
        <w:jc w:val="both"/>
        <w:ind w:firstLine="751"/>
        <w:spacing w:after="0" w:line="238" w:lineRule="auto"/>
        <w:rPr>
          <w:sz w:val="20"/>
          <w:szCs w:val="20"/>
          <w:color w:val="auto"/>
        </w:rPr>
      </w:pPr>
      <w:r>
        <w:rPr>
          <w:rFonts w:ascii="Times New Roman" w:cs="Times New Roman" w:eastAsia="Times New Roman" w:hAnsi="Times New Roman"/>
          <w:sz w:val="19"/>
          <w:szCs w:val="19"/>
          <w:color w:val="auto"/>
        </w:rPr>
        <w:t>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certifies that, for good and valuable consideration, the receipt and sufficiency of which are hereby acknowledged, Sermonix Pharmaceuticals, Inc. or its registered assigns (the “</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is entitled, subject to the terms set forth below, to purchase from the Company up to a total of 5,502,402 shares of common stock, $0.0001 par value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of the Company (each such share, a “</w:t>
      </w:r>
      <w:r>
        <w:rPr>
          <w:rFonts w:ascii="Times New Roman" w:cs="Times New Roman" w:eastAsia="Times New Roman" w:hAnsi="Times New Roman"/>
          <w:sz w:val="19"/>
          <w:szCs w:val="19"/>
          <w:b w:val="1"/>
          <w:bCs w:val="1"/>
          <w:color w:val="auto"/>
        </w:rPr>
        <w:t>Warrant Share</w:t>
      </w:r>
      <w:r>
        <w:rPr>
          <w:rFonts w:ascii="Times New Roman" w:cs="Times New Roman" w:eastAsia="Times New Roman" w:hAnsi="Times New Roman"/>
          <w:sz w:val="19"/>
          <w:szCs w:val="19"/>
          <w:color w:val="auto"/>
        </w:rPr>
        <w:t>” and all such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at an exercise price per share equal to $0.001 (the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xml:space="preserve">”), in each case as adjusted from time to time as provided in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upon surrender of this Pre-Funded Warrant to Purchase Common Stock (including any Warrants to Purchase Common Stock issued in exchange, transfer or replacement hereof, the “</w:t>
      </w:r>
      <w:r>
        <w:rPr>
          <w:rFonts w:ascii="Times New Roman" w:cs="Times New Roman" w:eastAsia="Times New Roman" w:hAnsi="Times New Roman"/>
          <w:sz w:val="19"/>
          <w:szCs w:val="19"/>
          <w:b w:val="1"/>
          <w:bCs w:val="1"/>
          <w:color w:val="auto"/>
        </w:rPr>
        <w:t>Warrant</w:t>
      </w:r>
      <w:r>
        <w:rPr>
          <w:rFonts w:ascii="Times New Roman" w:cs="Times New Roman" w:eastAsia="Times New Roman" w:hAnsi="Times New Roman"/>
          <w:sz w:val="19"/>
          <w:szCs w:val="19"/>
          <w:color w:val="auto"/>
        </w:rPr>
        <w:t>”) at any time and from time to time on or after the Exercisability Date (as defined below), subject to the following terms and conditions:</w:t>
      </w:r>
    </w:p>
    <w:p>
      <w:pPr>
        <w:spacing w:after="0" w:line="163"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color w:val="auto"/>
        </w:rPr>
        <w:t>This Warrant is issued pursuant to that certain Securities Purchase Agreement, dated December 18, 2025, by and among the Company and the Holder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right="3940" w:firstLine="1120"/>
        <w:spacing w:after="0"/>
        <w:tabs>
          <w:tab w:leader="none" w:pos="1501"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Warrant, the following terms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following meanings:</w:t>
      </w:r>
    </w:p>
    <w:p>
      <w:pPr>
        <w:spacing w:after="0" w:line="178"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Person, any other Person that, directly or indirectly through one or more intermediates, controls, is controlled by or is under common control with such Person.</w:t>
      </w:r>
    </w:p>
    <w:p>
      <w:pPr>
        <w:spacing w:after="0" w:line="131"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Attribution Parties</w:t>
      </w:r>
      <w:r>
        <w:rPr>
          <w:rFonts w:ascii="Times New Roman" w:cs="Times New Roman" w:eastAsia="Times New Roman" w:hAnsi="Times New Roman"/>
          <w:sz w:val="19"/>
          <w:szCs w:val="19"/>
          <w:color w:val="auto"/>
        </w:rPr>
        <w:t>” means, collectively, the following Persons and entities: (i) any direct or indirect Affiliates of the Holder, (ii) any investment vehicle, including, any funds, feeder funds or managed accounts, currently, or from time to time after the date hereof,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868680</wp:posOffset>
            </wp:positionV>
            <wp:extent cx="71748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06" w:name="page107"/>
    <w:bookmarkEnd w:id="106"/>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indirectly managed by the Holder’s investment manager or any of its Affiliates or principals, (iii) any Person acting as a Group together with the Holder or any Attribution Parties and (iv) any other Persons whose beneficial ownership of the Company’s Common Stock reasonably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52"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Sale Price</w:t>
      </w:r>
      <w:r>
        <w:rPr>
          <w:rFonts w:ascii="Times New Roman" w:cs="Times New Roman" w:eastAsia="Times New Roman" w:hAnsi="Times New Roman"/>
          <w:sz w:val="19"/>
          <w:szCs w:val="19"/>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w:t>
      </w:r>
    </w:p>
    <w:p>
      <w:pPr>
        <w:spacing w:after="0" w:line="19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Exercisability Date</w:t>
      </w:r>
      <w:r>
        <w:rPr>
          <w:rFonts w:ascii="Times New Roman" w:cs="Times New Roman" w:eastAsia="Times New Roman" w:hAnsi="Times New Roman"/>
          <w:sz w:val="19"/>
          <w:szCs w:val="19"/>
          <w:color w:val="auto"/>
        </w:rPr>
        <w:t>” means the first Trading Day on or after Stockholder Approval has been obtained.</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shall have the meaning ascribed to it in Section 13(d) of the Exchange Act, and all related rules, regulations and jurisprudence.</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Issue Date</w:t>
      </w:r>
      <w:r>
        <w:rPr>
          <w:rFonts w:ascii="Times New Roman" w:cs="Times New Roman" w:eastAsia="Times New Roman" w:hAnsi="Times New Roman"/>
          <w:sz w:val="19"/>
          <w:szCs w:val="19"/>
          <w:color w:val="auto"/>
        </w:rPr>
        <w:t>” means the date hereof.</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incorporated or unincorporated association, joint venture, government (or an agency or subdivision thereof) or any other entity or organization.</w:t>
      </w:r>
    </w:p>
    <w:p>
      <w:pPr>
        <w:spacing w:after="0" w:line="131"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securities exchange or other trading market on which the Common Stock is primarily listed on and quoted for trading, which, as of the Original Issue Date, shall be the Nasdaq Capital Market.</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07" w:name="page108"/>
    <w:bookmarkEnd w:id="107"/>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an applicable Notice of Exercise, which as of the Original Issue Date was “T+1.”</w:t>
      </w:r>
    </w:p>
    <w:p>
      <w:pPr>
        <w:spacing w:after="0" w:line="181"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means approval from the Company’s stockholders as required by Nasdaq, including for purposes of Nasdaq Rule 5635(a), such that this Warrant may be exercised at any time without restriction or additional stockholder approval.</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Computershare Inc., the Company’s transfer agent and registrar for the Common Stock, and any successor appointed in such capacity.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Agent</w:t>
      </w:r>
      <w:r>
        <w:rPr>
          <w:rFonts w:ascii="Times New Roman" w:cs="Times New Roman" w:eastAsia="Times New Roman" w:hAnsi="Times New Roman"/>
          <w:sz w:val="19"/>
          <w:szCs w:val="19"/>
          <w:color w:val="auto"/>
        </w:rPr>
        <w:t>” means the Company, and any successor appointed in such capacity.</w:t>
      </w:r>
    </w:p>
    <w:p>
      <w:pPr>
        <w:spacing w:after="0" w:line="184" w:lineRule="exact"/>
        <w:rPr>
          <w:sz w:val="20"/>
          <w:szCs w:val="20"/>
          <w:color w:val="auto"/>
        </w:rPr>
      </w:pPr>
    </w:p>
    <w:p>
      <w:pPr>
        <w:jc w:val="both"/>
        <w:ind w:firstLine="745"/>
        <w:spacing w:after="0" w:line="242" w:lineRule="auto"/>
        <w:tabs>
          <w:tab w:leader="none" w:pos="102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Issuance of Securities; Registration of Warrants</w:t>
      </w:r>
      <w:r>
        <w:rPr>
          <w:rFonts w:ascii="Times New Roman" w:cs="Times New Roman" w:eastAsia="Times New Roman" w:hAnsi="Times New Roman"/>
          <w:sz w:val="19"/>
          <w:szCs w:val="19"/>
          <w:color w:val="auto"/>
        </w:rPr>
        <w:t>. The Company shall register ownership of this Warrant, upon records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maintained by the Company for that purpose (the “Warrant Register”),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52" w:lineRule="exact"/>
        <w:rPr>
          <w:rFonts w:ascii="Times New Roman" w:cs="Times New Roman" w:eastAsia="Times New Roman" w:hAnsi="Times New Roman"/>
          <w:sz w:val="19"/>
          <w:szCs w:val="19"/>
          <w:b w:val="1"/>
          <w:bCs w:val="1"/>
          <w:color w:val="auto"/>
        </w:rPr>
      </w:pPr>
    </w:p>
    <w:p>
      <w:pPr>
        <w:jc w:val="both"/>
        <w:ind w:firstLine="745"/>
        <w:spacing w:after="0" w:line="236" w:lineRule="auto"/>
        <w:tabs>
          <w:tab w:leader="none" w:pos="102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Registration of Transfers</w:t>
      </w:r>
      <w:r>
        <w:rPr>
          <w:rFonts w:ascii="Times New Roman" w:cs="Times New Roman" w:eastAsia="Times New Roman" w:hAnsi="Times New Roman"/>
          <w:sz w:val="19"/>
          <w:szCs w:val="19"/>
          <w:color w:val="auto"/>
        </w:rPr>
        <w:t>. This Warrant and all rights hereunder (including, without limitation, any registration rights)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transferable, in whole or in part, upon surrender of this Warrant at the principal office of the Company or its designated agent, together with a written assignment of this Warrant substantially in the form attached hereto in </w:t>
      </w:r>
      <w:r>
        <w:rPr>
          <w:rFonts w:ascii="Times New Roman" w:cs="Times New Roman" w:eastAsia="Times New Roman" w:hAnsi="Times New Roman"/>
          <w:sz w:val="19"/>
          <w:szCs w:val="19"/>
          <w:u w:val="single" w:color="auto"/>
          <w:color w:val="auto"/>
        </w:rPr>
        <w:t>Schedule 3</w:t>
      </w:r>
      <w:r>
        <w:rPr>
          <w:rFonts w:ascii="Times New Roman" w:cs="Times New Roman" w:eastAsia="Times New Roman" w:hAnsi="Times New Roman"/>
          <w:sz w:val="19"/>
          <w:szCs w:val="19"/>
          <w:color w:val="auto"/>
        </w:rPr>
        <w:t xml:space="preserve"> duly executed by the Holder or its agent or attorney and funds sufficient to pay any transfer taxes payable upon the making of such transfer. Subject to compliance with all applicable securities laws, the Company shall, or will cause its Warrant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9"/>
          <w:szCs w:val="19"/>
          <w:b w:val="1"/>
          <w:bCs w:val="1"/>
          <w:color w:val="auto"/>
        </w:rPr>
        <w:t>New Warrant</w:t>
      </w:r>
      <w:r>
        <w:rPr>
          <w:rFonts w:ascii="Times New Roman" w:cs="Times New Roman" w:eastAsia="Times New Roman" w:hAnsi="Times New Roman"/>
          <w:sz w:val="19"/>
          <w:szCs w:val="19"/>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Until due presentment for registration of transfer, the Company may treat the registered Holder hereof as the owner and holder for all purposes, and the Company shall not be affected by any notice to the contrary.</w:t>
      </w:r>
    </w:p>
    <w:p>
      <w:pPr>
        <w:spacing w:after="0" w:line="163" w:lineRule="exact"/>
        <w:rPr>
          <w:rFonts w:ascii="Times New Roman" w:cs="Times New Roman" w:eastAsia="Times New Roman" w:hAnsi="Times New Roman"/>
          <w:sz w:val="19"/>
          <w:szCs w:val="19"/>
          <w:b w:val="1"/>
          <w:bCs w:val="1"/>
          <w:color w:val="auto"/>
        </w:rPr>
      </w:pPr>
    </w:p>
    <w:p>
      <w:pPr>
        <w:ind w:left="1020" w:hanging="275"/>
        <w:spacing w:after="0"/>
        <w:tabs>
          <w:tab w:leader="none" w:pos="102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Exercise of Warrants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781685</wp:posOffset>
            </wp:positionV>
            <wp:extent cx="71748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108" w:name="page109"/>
    <w:bookmarkEnd w:id="108"/>
    <w:p>
      <w:pPr>
        <w:spacing w:after="0" w:line="2" w:lineRule="exact"/>
        <w:rPr>
          <w:sz w:val="20"/>
          <w:szCs w:val="20"/>
          <w:color w:val="auto"/>
        </w:rPr>
      </w:pPr>
    </w:p>
    <w:p>
      <w:pPr>
        <w:ind w:left="-745" w:firstLine="1496"/>
        <w:spacing w:after="0" w:line="262" w:lineRule="auto"/>
        <w:tabs>
          <w:tab w:leader="none" w:pos="1296"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or any part of this Warrant shall be exercisable by the registered Holder in any manner permitted by this Warrant (including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at any time and from time to time on or after the Exercisability Date, and such rights shall not expire until exercised in full.</w:t>
      </w:r>
    </w:p>
    <w:p>
      <w:pPr>
        <w:spacing w:after="0" w:line="137" w:lineRule="exact"/>
        <w:rPr>
          <w:rFonts w:ascii="Times New Roman" w:cs="Times New Roman" w:eastAsia="Times New Roman" w:hAnsi="Times New Roman"/>
          <w:sz w:val="19"/>
          <w:szCs w:val="19"/>
          <w:color w:val="auto"/>
        </w:rPr>
      </w:pPr>
    </w:p>
    <w:p>
      <w:pPr>
        <w:jc w:val="both"/>
        <w:ind w:left="-745" w:firstLine="1496"/>
        <w:spacing w:after="0" w:line="251" w:lineRule="auto"/>
        <w:tabs>
          <w:tab w:leader="none" w:pos="129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Warrant Agent (with a copy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w:t>
      </w:r>
    </w:p>
    <w:p>
      <w:pPr>
        <w:spacing w:after="0" w:line="153" w:lineRule="exact"/>
        <w:rPr>
          <w:rFonts w:ascii="Times New Roman" w:cs="Times New Roman" w:eastAsia="Times New Roman" w:hAnsi="Times New Roman"/>
          <w:sz w:val="18"/>
          <w:szCs w:val="18"/>
          <w:color w:val="auto"/>
        </w:rPr>
      </w:pPr>
    </w:p>
    <w:p>
      <w:pPr>
        <w:jc w:val="both"/>
        <w:ind w:left="-745" w:right="20" w:firstLine="1496"/>
        <w:spacing w:after="0" w:line="248" w:lineRule="auto"/>
        <w:tabs>
          <w:tab w:leader="none" w:pos="1296"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spacing w:after="0" w:line="146" w:lineRule="exact"/>
        <w:rPr>
          <w:rFonts w:ascii="Times New Roman" w:cs="Times New Roman" w:eastAsia="Times New Roman" w:hAnsi="Times New Roman"/>
          <w:sz w:val="19"/>
          <w:szCs w:val="19"/>
          <w:color w:val="auto"/>
        </w:rPr>
      </w:pPr>
    </w:p>
    <w:p>
      <w:pPr>
        <w:ind w:left="275" w:hanging="275"/>
        <w:spacing w:after="0"/>
        <w:tabs>
          <w:tab w:leader="none" w:pos="275" w:val="left"/>
        </w:tabs>
        <w:numPr>
          <w:ilvl w:val="0"/>
          <w:numId w:val="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Redemption Right</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left="-745" w:firstLine="1496"/>
        <w:spacing w:after="0" w:line="241" w:lineRule="auto"/>
        <w:tabs>
          <w:tab w:leader="none" w:pos="129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5(d) below, if Stockholder Approval has not been obtained by the one-year anniversary of the Original Issue Date, the Holder shall have the right (the “</w:t>
      </w:r>
      <w:r>
        <w:rPr>
          <w:rFonts w:ascii="Times New Roman" w:cs="Times New Roman" w:eastAsia="Times New Roman" w:hAnsi="Times New Roman"/>
          <w:sz w:val="19"/>
          <w:szCs w:val="19"/>
          <w:b w:val="1"/>
          <w:bCs w:val="1"/>
          <w:color w:val="auto"/>
        </w:rPr>
        <w:t>Redemption Right</w:t>
      </w:r>
      <w:r>
        <w:rPr>
          <w:rFonts w:ascii="Times New Roman" w:cs="Times New Roman" w:eastAsia="Times New Roman" w:hAnsi="Times New Roman"/>
          <w:sz w:val="19"/>
          <w:szCs w:val="19"/>
          <w:color w:val="auto"/>
        </w:rPr>
        <w:t>”) at any time and from time to time commencing on such one-year anniversary and ending on such date that the Stockholder Approval is obtained thereafter, to cause the Company to pay, at the option of the Holder, an amount equal to (a) $6.35 (subject to adjustment in accordance with Section 10 hereof) (the “</w:t>
      </w:r>
      <w:r>
        <w:rPr>
          <w:rFonts w:ascii="Times New Roman" w:cs="Times New Roman" w:eastAsia="Times New Roman" w:hAnsi="Times New Roman"/>
          <w:sz w:val="19"/>
          <w:szCs w:val="19"/>
          <w:b w:val="1"/>
          <w:bCs w:val="1"/>
          <w:color w:val="auto"/>
        </w:rPr>
        <w:t>Redemption Price</w:t>
      </w:r>
      <w:r>
        <w:rPr>
          <w:rFonts w:ascii="Times New Roman" w:cs="Times New Roman" w:eastAsia="Times New Roman" w:hAnsi="Times New Roman"/>
          <w:sz w:val="19"/>
          <w:szCs w:val="19"/>
          <w:color w:val="auto"/>
        </w:rPr>
        <w:t>”) multiplied by (b) the number of shares of Common Stock with respect to which the Holder is exercising the Redemption Right.</w:t>
      </w:r>
    </w:p>
    <w:p>
      <w:pPr>
        <w:spacing w:after="0" w:line="156" w:lineRule="exact"/>
        <w:rPr>
          <w:rFonts w:ascii="Times New Roman" w:cs="Times New Roman" w:eastAsia="Times New Roman" w:hAnsi="Times New Roman"/>
          <w:sz w:val="19"/>
          <w:szCs w:val="19"/>
          <w:color w:val="auto"/>
        </w:rPr>
      </w:pPr>
    </w:p>
    <w:p>
      <w:pPr>
        <w:jc w:val="both"/>
        <w:ind w:left="-745" w:firstLine="1496"/>
        <w:spacing w:after="0" w:line="268" w:lineRule="auto"/>
        <w:tabs>
          <w:tab w:leader="none" w:pos="12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exercise of its Redemption Right, the Holder shall provide the Company written notice in the form of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2 attached hereto (the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indicating (i) the number of shares with respect to which it is exercising the Redemption Right, (ii) the Number of Warrant Shares (as defined in Section 10) following such exercise and (iii) the applicable aggregate Redemption Price.</w:t>
      </w:r>
    </w:p>
    <w:p>
      <w:pPr>
        <w:spacing w:after="0" w:line="134" w:lineRule="exact"/>
        <w:rPr>
          <w:rFonts w:ascii="Times New Roman" w:cs="Times New Roman" w:eastAsia="Times New Roman" w:hAnsi="Times New Roman"/>
          <w:sz w:val="18"/>
          <w:szCs w:val="18"/>
          <w:color w:val="auto"/>
        </w:rPr>
      </w:pPr>
    </w:p>
    <w:p>
      <w:pPr>
        <w:jc w:val="both"/>
        <w:ind w:left="-745" w:firstLine="1496"/>
        <w:spacing w:after="0" w:line="248" w:lineRule="auto"/>
        <w:tabs>
          <w:tab w:leader="none" w:pos="129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5(d) below, the Company shall, within two Trading Days after receipt of the Redemption Notice, pay the applicable aggregate Redemption Price in cash to the Holder and cancel this Warrant and promptly issue a New Warrant to the Holder representing the Number of Warrant Shares with respect to which the Redemption Right was not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758190</wp:posOffset>
            </wp:positionV>
            <wp:extent cx="71748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515"/>
          </w:cols>
          <w:pgMar w:left="1065" w:top="1440" w:right="319" w:bottom="1440" w:gutter="0" w:footer="0" w:header="0"/>
        </w:sectPr>
      </w:pPr>
    </w:p>
    <w:bookmarkStart w:id="109" w:name="page110"/>
    <w:bookmarkEnd w:id="109"/>
    <w:p>
      <w:pPr>
        <w:spacing w:after="0" w:line="2" w:lineRule="exact"/>
        <w:rPr>
          <w:sz w:val="20"/>
          <w:szCs w:val="20"/>
          <w:color w:val="auto"/>
        </w:rPr>
      </w:pPr>
    </w:p>
    <w:p>
      <w:pPr>
        <w:jc w:val="both"/>
        <w:ind w:left="-745" w:right="20" w:firstLine="1496"/>
        <w:spacing w:after="0" w:line="239" w:lineRule="auto"/>
        <w:tabs>
          <w:tab w:leader="none" w:pos="12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Right in this Section 5 shall terminate on the earlier of: (i) such time as an aggregate of $7.5 million in aggregate Redemption Price (the “</w:t>
      </w:r>
      <w:r>
        <w:rPr>
          <w:rFonts w:ascii="Times New Roman" w:cs="Times New Roman" w:eastAsia="Times New Roman" w:hAnsi="Times New Roman"/>
          <w:sz w:val="19"/>
          <w:szCs w:val="19"/>
          <w:b w:val="1"/>
          <w:bCs w:val="1"/>
          <w:color w:val="auto"/>
        </w:rPr>
        <w:t>Redemption Cap</w:t>
      </w:r>
      <w:r>
        <w:rPr>
          <w:rFonts w:ascii="Times New Roman" w:cs="Times New Roman" w:eastAsia="Times New Roman" w:hAnsi="Times New Roman"/>
          <w:sz w:val="19"/>
          <w:szCs w:val="19"/>
          <w:color w:val="auto"/>
        </w:rPr>
        <w:t>”) has been paid by the Company to Holder in connection with one or more exercises of the Redemption Right and (ii) immediately upon receipt of the Stockholder Approval. For the avoidance of doubt, if any exercise of the Redemption Right would result in the Company paying to Holder, in the aggregate with prior Redemption Right exercises, an amount in excess of the Redemption Cap, then the Company shall not be required to carry out the exercise of Redemption Right with respect to the amount that exceeds the Redemption Cap.</w:t>
      </w:r>
    </w:p>
    <w:p>
      <w:pPr>
        <w:spacing w:after="0" w:line="157" w:lineRule="exact"/>
        <w:rPr>
          <w:rFonts w:ascii="Times New Roman" w:cs="Times New Roman" w:eastAsia="Times New Roman" w:hAnsi="Times New Roman"/>
          <w:sz w:val="19"/>
          <w:szCs w:val="19"/>
          <w:color w:val="auto"/>
        </w:rPr>
      </w:pPr>
    </w:p>
    <w:p>
      <w:pPr>
        <w:ind w:left="275" w:hanging="275"/>
        <w:spacing w:after="0"/>
        <w:tabs>
          <w:tab w:leader="none" w:pos="275" w:val="left"/>
        </w:tabs>
        <w:numPr>
          <w:ilvl w:val="0"/>
          <w:numId w:val="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Delivery of Warrant Shares</w:t>
      </w:r>
      <w:r>
        <w:rPr>
          <w:rFonts w:ascii="Times New Roman" w:cs="Times New Roman" w:eastAsia="Times New Roman" w:hAnsi="Times New Roman"/>
          <w:sz w:val="19"/>
          <w:szCs w:val="19"/>
          <w:color w:val="auto"/>
        </w:rPr>
        <w:t>.</w:t>
      </w:r>
    </w:p>
    <w:p>
      <w:pPr>
        <w:spacing w:after="0" w:line="223" w:lineRule="exact"/>
        <w:rPr>
          <w:rFonts w:ascii="Times New Roman" w:cs="Times New Roman" w:eastAsia="Times New Roman" w:hAnsi="Times New Roman"/>
          <w:sz w:val="19"/>
          <w:szCs w:val="19"/>
          <w:b w:val="1"/>
          <w:bCs w:val="1"/>
          <w:color w:val="auto"/>
        </w:rPr>
      </w:pPr>
    </w:p>
    <w:p>
      <w:pPr>
        <w:jc w:val="both"/>
        <w:ind w:left="-745" w:firstLine="1496"/>
        <w:spacing w:after="0" w:line="236" w:lineRule="auto"/>
        <w:tabs>
          <w:tab w:leader="none" w:pos="12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exercise of this Warrant, the Company shall promptly (but in no event later than the number of Trading Days comprising the Settlement Period following the Exercise Date) (such date, the “</w:t>
      </w:r>
      <w:r>
        <w:rPr>
          <w:rFonts w:ascii="Times New Roman" w:cs="Times New Roman" w:eastAsia="Times New Roman" w:hAnsi="Times New Roman"/>
          <w:sz w:val="19"/>
          <w:szCs w:val="19"/>
          <w:b w:val="1"/>
          <w:bCs w:val="1"/>
          <w:color w:val="auto"/>
        </w:rPr>
        <w:t>Warrant Share Delivery Date</w:t>
      </w:r>
      <w:r>
        <w:rPr>
          <w:rFonts w:ascii="Times New Roman" w:cs="Times New Roman" w:eastAsia="Times New Roman" w:hAnsi="Times New Roman"/>
          <w:sz w:val="19"/>
          <w:szCs w:val="19"/>
          <w:color w:val="auto"/>
        </w:rPr>
        <w:t>”), upon the request of the Holder, cause the Transfer Agent to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9"/>
          <w:szCs w:val="19"/>
          <w:b w:val="1"/>
          <w:bCs w:val="1"/>
          <w:color w:val="auto"/>
        </w:rPr>
        <w:t>Exercise Shares</w:t>
      </w:r>
      <w:r>
        <w:rPr>
          <w:rFonts w:ascii="Times New Roman" w:cs="Times New Roman" w:eastAsia="Times New Roman" w:hAnsi="Times New Roman"/>
          <w:sz w:val="19"/>
          <w:szCs w:val="19"/>
          <w:color w:val="auto"/>
        </w:rPr>
        <w:t>”) to (i) the Holder’s or its designee’s balance account with The Depository Trust Company (“</w:t>
      </w:r>
      <w:r>
        <w:rPr>
          <w:rFonts w:ascii="Times New Roman" w:cs="Times New Roman" w:eastAsia="Times New Roman" w:hAnsi="Times New Roman"/>
          <w:sz w:val="19"/>
          <w:szCs w:val="19"/>
          <w:b w:val="1"/>
          <w:bCs w:val="1"/>
          <w:color w:val="auto"/>
        </w:rPr>
        <w:t>DTC</w:t>
      </w:r>
      <w:r>
        <w:rPr>
          <w:rFonts w:ascii="Times New Roman" w:cs="Times New Roman" w:eastAsia="Times New Roman" w:hAnsi="Times New Roman"/>
          <w:sz w:val="19"/>
          <w:szCs w:val="19"/>
          <w:color w:val="auto"/>
        </w:rPr>
        <w:t>”) through its Deposit Withdrawal At Custodian system or (ii) in book-entry form via a direct registration system (“</w:t>
      </w:r>
      <w:r>
        <w:rPr>
          <w:rFonts w:ascii="Times New Roman" w:cs="Times New Roman" w:eastAsia="Times New Roman" w:hAnsi="Times New Roman"/>
          <w:sz w:val="19"/>
          <w:szCs w:val="19"/>
          <w:b w:val="1"/>
          <w:bCs w:val="1"/>
          <w:color w:val="auto"/>
        </w:rPr>
        <w:t>DRS</w:t>
      </w:r>
      <w:r>
        <w:rPr>
          <w:rFonts w:ascii="Times New Roman" w:cs="Times New Roman" w:eastAsia="Times New Roman" w:hAnsi="Times New Roman"/>
          <w:sz w:val="19"/>
          <w:szCs w:val="19"/>
          <w:color w:val="auto"/>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48" w:lineRule="exact"/>
        <w:rPr>
          <w:rFonts w:ascii="Times New Roman" w:cs="Times New Roman" w:eastAsia="Times New Roman" w:hAnsi="Times New Roman"/>
          <w:sz w:val="19"/>
          <w:szCs w:val="19"/>
          <w:color w:val="auto"/>
        </w:rPr>
      </w:pPr>
    </w:p>
    <w:p>
      <w:pPr>
        <w:jc w:val="both"/>
        <w:ind w:left="-745" w:firstLine="1496"/>
        <w:spacing w:after="0" w:line="237" w:lineRule="auto"/>
        <w:tabs>
          <w:tab w:leader="none" w:pos="12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other rights available to the Holder, if the Company fails to deliver to the Holder or its designee Exercise Shares in the manner required pursuant to Section 6(a) within the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9"/>
          <w:szCs w:val="19"/>
          <w:b w:val="1"/>
          <w:bCs w:val="1"/>
          <w:color w:val="auto"/>
        </w:rPr>
        <w:t>Buy-In</w:t>
      </w:r>
      <w:r>
        <w:rPr>
          <w:rFonts w:ascii="Times New Roman" w:cs="Times New Roman" w:eastAsia="Times New Roman" w:hAnsi="Times New Roman"/>
          <w:sz w:val="19"/>
          <w:szCs w:val="19"/>
          <w:color w:val="auto"/>
        </w:rPr>
        <w:t>”) but did not receive within the Settlement Period, then the Company shall, within two Trading Days after the Holder’s request and in the Holder’s sole discretion, promptly honor its obligation to deliver to the Holder or its designee the Exercise Shares pursuant to Section 6(a) 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766445</wp:posOffset>
            </wp:positionV>
            <wp:extent cx="71748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-3522980</wp:posOffset>
            </wp:positionV>
            <wp:extent cx="2984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0515"/>
          </w:cols>
          <w:pgMar w:left="1065" w:top="1440" w:right="319" w:bottom="1440" w:gutter="0" w:footer="0" w:header="0"/>
        </w:sectPr>
      </w:pPr>
    </w:p>
    <w:bookmarkStart w:id="110" w:name="page111"/>
    <w:bookmarkEnd w:id="110"/>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spacing w:after="0" w:line="139" w:lineRule="exact"/>
        <w:rPr>
          <w:sz w:val="20"/>
          <w:szCs w:val="20"/>
          <w:color w:val="auto"/>
        </w:rPr>
      </w:pPr>
    </w:p>
    <w:p>
      <w:pPr>
        <w:jc w:val="both"/>
        <w:ind w:firstLine="1496"/>
        <w:spacing w:after="0" w:line="236"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law and subject to Sections 5 and 6(b), the Company’s obligations to issue and deliver Warrant Shares in accordance with and subject to the terms hereof (including the limitations set forth in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6(b),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6(a).</w:t>
      </w:r>
    </w:p>
    <w:p>
      <w:pPr>
        <w:spacing w:after="0" w:line="165"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Company fails to cause the Transfer Agent to transmit to the Holder the Warrant Shares pursuant to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by the Warrant Share Delivery Date, then the Holder will have the right to rescind such exercise by delivering written notice to the Company at any time prior to the delivery of the applicable Warrant Shares.</w:t>
      </w:r>
    </w:p>
    <w:p>
      <w:pPr>
        <w:spacing w:after="0" w:line="150" w:lineRule="exact"/>
        <w:rPr>
          <w:rFonts w:ascii="Times New Roman" w:cs="Times New Roman" w:eastAsia="Times New Roman" w:hAnsi="Times New Roman"/>
          <w:sz w:val="19"/>
          <w:szCs w:val="19"/>
          <w:color w:val="auto"/>
        </w:rPr>
      </w:pPr>
    </w:p>
    <w:p>
      <w:pPr>
        <w:jc w:val="both"/>
        <w:ind w:right="20" w:firstLine="1496"/>
        <w:spacing w:after="0" w:line="248" w:lineRule="auto"/>
        <w:tabs>
          <w:tab w:leader="none" w:pos="2041"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6" w:lineRule="exact"/>
        <w:rPr>
          <w:rFonts w:ascii="Times New Roman" w:cs="Times New Roman" w:eastAsia="Times New Roman" w:hAnsi="Times New Roman"/>
          <w:sz w:val="19"/>
          <w:szCs w:val="19"/>
          <w:color w:val="auto"/>
        </w:rPr>
      </w:pPr>
    </w:p>
    <w:p>
      <w:pPr>
        <w:jc w:val="both"/>
        <w:ind w:firstLine="745"/>
        <w:spacing w:after="0"/>
        <w:tabs>
          <w:tab w:leader="none" w:pos="102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Charges, Taxes and Expenses</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and delivery of Exercise Shares shall be made without charge to the Holder for any issue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receiving Warrant Shares upon exercise hereof or exercising the Redemption Right.</w:t>
      </w:r>
    </w:p>
    <w:p>
      <w:pPr>
        <w:spacing w:after="0" w:line="155" w:lineRule="exact"/>
        <w:rPr>
          <w:rFonts w:ascii="Times New Roman" w:cs="Times New Roman" w:eastAsia="Times New Roman" w:hAnsi="Times New Roman"/>
          <w:sz w:val="19"/>
          <w:szCs w:val="19"/>
          <w:b w:val="1"/>
          <w:bCs w:val="1"/>
          <w:color w:val="auto"/>
        </w:rPr>
      </w:pPr>
    </w:p>
    <w:p>
      <w:pPr>
        <w:ind w:firstLine="745"/>
        <w:spacing w:after="0" w:line="266" w:lineRule="auto"/>
        <w:tabs>
          <w:tab w:leader="none" w:pos="102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Replacement of Warrant</w:t>
      </w:r>
      <w:r>
        <w:rPr>
          <w:rFonts w:ascii="Times New Roman" w:cs="Times New Roman" w:eastAsia="Times New Roman" w:hAnsi="Times New Roman"/>
          <w:sz w:val="19"/>
          <w:szCs w:val="19"/>
          <w:color w:val="auto"/>
        </w:rPr>
        <w:t>. If this Warrant is mutilated, lost, stolen or destroyed, the Company shall issue or cause to be issued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exchange and substitution for and upon cancellation hereof, or in lieu of and substitution for this Warrant, a New Warrant, but only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receipt of evidence reasonably satisfactory to the Company of such loss, theft or destruction (in such case) and, in each case, a customary and reasonable contractual indemnity, if requested by the Company. Applicants for a New Warrant under such circumstances shall also comply with such other reasonable regulations and procedures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53" w:lineRule="exact"/>
        <w:rPr>
          <w:sz w:val="20"/>
          <w:szCs w:val="20"/>
          <w:color w:val="auto"/>
        </w:rPr>
      </w:pPr>
    </w:p>
    <w:p>
      <w:pPr>
        <w:jc w:val="both"/>
        <w:ind w:firstLine="745"/>
        <w:spacing w:after="0" w:line="235" w:lineRule="auto"/>
        <w:tabs>
          <w:tab w:leader="none" w:pos="1021"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Reservation of Warrant Shares</w:t>
      </w:r>
      <w:r>
        <w:rPr>
          <w:rFonts w:ascii="Times New Roman" w:cs="Times New Roman" w:eastAsia="Times New Roman" w:hAnsi="Times New Roman"/>
          <w:sz w:val="19"/>
          <w:szCs w:val="19"/>
          <w:color w:val="auto"/>
        </w:rPr>
        <w:t>. The Company covenants that it will, at all times while this Warrant is outstanding, reserve and keep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9"/>
          <w:szCs w:val="19"/>
          <w:b w:val="1"/>
          <w:bCs w:val="1"/>
          <w:color w:val="auto"/>
        </w:rPr>
        <w:t>Authorized Share Failure</w:t>
      </w:r>
      <w:r>
        <w:rPr>
          <w:rFonts w:ascii="Times New Roman" w:cs="Times New Roman" w:eastAsia="Times New Roman" w:hAnsi="Times New Roman"/>
          <w:sz w:val="19"/>
          <w:szCs w:val="19"/>
          <w:color w:val="auto"/>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67" w:lineRule="exact"/>
        <w:rPr>
          <w:rFonts w:ascii="Times New Roman" w:cs="Times New Roman" w:eastAsia="Times New Roman" w:hAnsi="Times New Roman"/>
          <w:sz w:val="19"/>
          <w:szCs w:val="19"/>
          <w:b w:val="1"/>
          <w:bCs w:val="1"/>
          <w:color w:val="auto"/>
        </w:rPr>
      </w:pPr>
    </w:p>
    <w:p>
      <w:pPr>
        <w:ind w:firstLine="745"/>
        <w:spacing w:after="0" w:line="266" w:lineRule="auto"/>
        <w:tabs>
          <w:tab w:leader="none" w:pos="1021"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Certain Adjustments</w:t>
      </w:r>
      <w:r>
        <w:rPr>
          <w:rFonts w:ascii="Times New Roman" w:cs="Times New Roman" w:eastAsia="Times New Roman" w:hAnsi="Times New Roman"/>
          <w:sz w:val="19"/>
          <w:szCs w:val="19"/>
          <w:color w:val="auto"/>
        </w:rPr>
        <w:t>. The Exercise Price, number of Warrant Shares issuable upon exercise of this Warrant (the “</w:t>
      </w:r>
      <w:r>
        <w:rPr>
          <w:rFonts w:ascii="Times New Roman" w:cs="Times New Roman" w:eastAsia="Times New Roman" w:hAnsi="Times New Roman"/>
          <w:sz w:val="19"/>
          <w:szCs w:val="19"/>
          <w:b w:val="1"/>
          <w:bCs w:val="1"/>
          <w:color w:val="auto"/>
        </w:rPr>
        <w:t>Number of Warrant Shares</w:t>
      </w:r>
      <w:r>
        <w:rPr>
          <w:rFonts w:ascii="Times New Roman" w:cs="Times New Roman" w:eastAsia="Times New Roman" w:hAnsi="Times New Roman"/>
          <w:sz w:val="19"/>
          <w:szCs w:val="19"/>
          <w:color w:val="auto"/>
        </w:rPr>
        <w:t>”) and the Redemption Price are subject to adjustment from time to time as set forth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b w:val="1"/>
          <w:bCs w:val="1"/>
          <w:color w:val="auto"/>
        </w:rPr>
      </w:pPr>
    </w:p>
    <w:p>
      <w:pPr>
        <w:jc w:val="both"/>
        <w:ind w:left="60" w:firstLine="1511"/>
        <w:spacing w:after="0" w:line="248" w:lineRule="auto"/>
        <w:tabs>
          <w:tab w:leader="none" w:pos="2026"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Dividends and Splits</w:t>
      </w:r>
      <w:r>
        <w:rPr>
          <w:rFonts w:ascii="Times New Roman" w:cs="Times New Roman" w:eastAsia="Times New Roman" w:hAnsi="Times New Roman"/>
          <w:sz w:val="19"/>
          <w:szCs w:val="19"/>
          <w:color w:val="auto"/>
        </w:rPr>
        <w:t>. If the Company, at any time while this Warrant is outstanding, (i) pays a stock dividend on its Common Stock or otherwise makes a distribution on any class of capital stock issued and outstanding on the Original Issue Date and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758190</wp:posOffset>
            </wp:positionV>
            <wp:extent cx="71748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-587375</wp:posOffset>
            </wp:positionV>
            <wp:extent cx="2984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2" w:name="page113"/>
    <w:bookmarkEnd w:id="112"/>
    <w:p>
      <w:pPr>
        <w:jc w:val="both"/>
        <w:spacing w:after="0" w:line="237" w:lineRule="auto"/>
        <w:rPr>
          <w:sz w:val="20"/>
          <w:szCs w:val="20"/>
          <w:color w:val="auto"/>
        </w:rPr>
      </w:pPr>
      <w:r>
        <w:rPr>
          <w:rFonts w:ascii="Times New Roman" w:cs="Times New Roman" w:eastAsia="Times New Roman" w:hAnsi="Times New Roman"/>
          <w:sz w:val="19"/>
          <w:szCs w:val="19"/>
          <w:color w:val="auto"/>
        </w:rPr>
        <w:t>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69" w:lineRule="exact"/>
        <w:rPr>
          <w:sz w:val="20"/>
          <w:szCs w:val="20"/>
          <w:color w:val="auto"/>
        </w:rPr>
      </w:pPr>
    </w:p>
    <w:p>
      <w:pPr>
        <w:jc w:val="both"/>
        <w:ind w:firstLine="1511"/>
        <w:spacing w:after="0" w:line="235" w:lineRule="auto"/>
        <w:tabs>
          <w:tab w:leader="none" w:pos="196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Rata Distributions</w:t>
      </w:r>
      <w:r>
        <w:rPr>
          <w:rFonts w:ascii="Times New Roman" w:cs="Times New Roman" w:eastAsia="Times New Roman" w:hAnsi="Times New Roman"/>
          <w:sz w:val="19"/>
          <w:szCs w:val="19"/>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9"/>
          <w:szCs w:val="19"/>
          <w:u w:val="single" w:color="auto"/>
          <w:color w:val="auto"/>
        </w:rPr>
        <w:t>Section 10(a)</w:t>
      </w:r>
      <w:r>
        <w:rPr>
          <w:rFonts w:ascii="Times New Roman" w:cs="Times New Roman" w:eastAsia="Times New Roman" w:hAnsi="Times New Roman"/>
          <w:sz w:val="19"/>
          <w:szCs w:val="19"/>
          <w:color w:val="auto"/>
        </w:rPr>
        <w:t xml:space="preserve">, any distribution of Purchase Rights (as defined below) subject to </w:t>
      </w:r>
      <w:r>
        <w:rPr>
          <w:rFonts w:ascii="Times New Roman" w:cs="Times New Roman" w:eastAsia="Times New Roman" w:hAnsi="Times New Roman"/>
          <w:sz w:val="19"/>
          <w:szCs w:val="19"/>
          <w:u w:val="single" w:color="auto"/>
          <w:color w:val="auto"/>
        </w:rPr>
        <w:t>Section 10(c)</w:t>
      </w:r>
      <w:r>
        <w:rPr>
          <w:rFonts w:ascii="Times New Roman" w:cs="Times New Roman" w:eastAsia="Times New Roman" w:hAnsi="Times New Roman"/>
          <w:sz w:val="19"/>
          <w:szCs w:val="19"/>
          <w:color w:val="auto"/>
        </w:rPr>
        <w:t xml:space="preserve"> and any Fundamental Transaction (as defined below) subject to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Distribution</w:t>
      </w:r>
      <w:r>
        <w:rPr>
          <w:rFonts w:ascii="Times New Roman" w:cs="Times New Roman" w:eastAsia="Times New Roman" w:hAnsi="Times New Roman"/>
          <w:sz w:val="19"/>
          <w:szCs w:val="19"/>
          <w:color w:val="auto"/>
        </w:rPr>
        <w:t xml:space="preserv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1" w:lineRule="exact"/>
        <w:rPr>
          <w:rFonts w:ascii="Times New Roman" w:cs="Times New Roman" w:eastAsia="Times New Roman" w:hAnsi="Times New Roman"/>
          <w:sz w:val="19"/>
          <w:szCs w:val="19"/>
          <w:color w:val="auto"/>
        </w:rPr>
      </w:pPr>
    </w:p>
    <w:p>
      <w:pPr>
        <w:ind w:right="20" w:firstLine="1436"/>
        <w:spacing w:after="0" w:line="262" w:lineRule="auto"/>
        <w:tabs>
          <w:tab w:leader="none" w:pos="1966"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Rights</w:t>
      </w:r>
      <w:r>
        <w:rPr>
          <w:rFonts w:ascii="Times New Roman" w:cs="Times New Roman" w:eastAsia="Times New Roman" w:hAnsi="Times New Roman"/>
          <w:sz w:val="19"/>
          <w:szCs w:val="19"/>
          <w:color w:val="auto"/>
        </w:rPr>
        <w:t>. If at any time on or after the Original Issue Date, the Company grants, issues or sells any Options, Convertible Securities or rights to purchase stock, warrants, securities or other property, in each case pro rata to the record holders of any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750570</wp:posOffset>
            </wp:positionV>
            <wp:extent cx="71748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-2052320</wp:posOffset>
            </wp:positionV>
            <wp:extent cx="450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11200"/>
          </w:cols>
          <w:pgMar w:left="380" w:top="1275" w:right="319" w:bottom="1440" w:gutter="0" w:footer="0" w:header="0"/>
        </w:sectPr>
      </w:pPr>
    </w:p>
    <w:bookmarkStart w:id="113" w:name="page114"/>
    <w:bookmarkEnd w:id="113"/>
    <w:p>
      <w:pPr>
        <w:jc w:val="both"/>
        <w:spacing w:after="0" w:line="236" w:lineRule="auto"/>
        <w:rPr>
          <w:sz w:val="20"/>
          <w:szCs w:val="20"/>
          <w:color w:val="auto"/>
        </w:rPr>
      </w:pPr>
      <w:r>
        <w:rPr>
          <w:rFonts w:ascii="Times New Roman" w:cs="Times New Roman" w:eastAsia="Times New Roman" w:hAnsi="Times New Roman"/>
          <w:sz w:val="19"/>
          <w:szCs w:val="19"/>
          <w:color w:val="auto"/>
        </w:rPr>
        <w:t>Common Stock (the “</w:t>
      </w:r>
      <w:r>
        <w:rPr>
          <w:rFonts w:ascii="Times New Roman" w:cs="Times New Roman" w:eastAsia="Times New Roman" w:hAnsi="Times New Roman"/>
          <w:sz w:val="19"/>
          <w:szCs w:val="19"/>
          <w:b w:val="1"/>
          <w:bCs w:val="1"/>
          <w:color w:val="auto"/>
        </w:rPr>
        <w:t>Purchase Rights</w:t>
      </w:r>
      <w:r>
        <w:rPr>
          <w:rFonts w:ascii="Times New Roman" w:cs="Times New Roman" w:eastAsia="Times New Roman" w:hAnsi="Times New Roman"/>
          <w:sz w:val="19"/>
          <w:szCs w:val="19"/>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w:t>
      </w:r>
      <w:r>
        <w:rPr>
          <w:rFonts w:ascii="Times New Roman" w:cs="Times New Roman" w:eastAsia="Times New Roman" w:hAnsi="Times New Roman"/>
          <w:sz w:val="19"/>
          <w:szCs w:val="19"/>
          <w:u w:val="single" w:color="auto"/>
          <w:color w:val="auto"/>
        </w:rPr>
        <w:t>Section 10(c)</w:t>
      </w:r>
      <w:r>
        <w:rPr>
          <w:rFonts w:ascii="Times New Roman" w:cs="Times New Roman" w:eastAsia="Times New Roman" w:hAnsi="Times New Roman"/>
          <w:sz w:val="19"/>
          <w:szCs w:val="19"/>
          <w:color w:val="auto"/>
        </w:rPr>
        <w:t>,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58" w:lineRule="exact"/>
        <w:rPr>
          <w:sz w:val="20"/>
          <w:szCs w:val="20"/>
          <w:color w:val="auto"/>
        </w:rPr>
      </w:pPr>
    </w:p>
    <w:p>
      <w:pPr>
        <w:jc w:val="both"/>
        <w:ind w:firstLine="1436"/>
        <w:spacing w:after="0" w:line="236" w:lineRule="auto"/>
        <w:tabs>
          <w:tab w:leader="none" w:pos="1966"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Fundamental Transactions</w:t>
      </w:r>
      <w:r>
        <w:rPr>
          <w:rFonts w:ascii="Times New Roman" w:cs="Times New Roman" w:eastAsia="Times New Roman" w:hAnsi="Times New Roman"/>
          <w:sz w:val="19"/>
          <w:szCs w:val="19"/>
          <w:color w:val="auto"/>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9"/>
          <w:szCs w:val="19"/>
          <w:u w:val="single" w:color="auto"/>
          <w:color w:val="auto"/>
        </w:rPr>
        <w:t>Section 10(a)</w:t>
      </w:r>
      <w:r>
        <w:rPr>
          <w:rFonts w:ascii="Times New Roman" w:cs="Times New Roman" w:eastAsia="Times New Roman" w:hAnsi="Times New Roman"/>
          <w:sz w:val="19"/>
          <w:szCs w:val="19"/>
          <w:color w:val="auto"/>
        </w:rPr>
        <w:t xml:space="preserve"> above)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767080</wp:posOffset>
            </wp:positionV>
            <wp:extent cx="71748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248" w:right="319" w:bottom="1440" w:gutter="0" w:footer="0" w:header="0"/>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19"/>
          <w:szCs w:val="19"/>
          <w:color w:val="auto"/>
        </w:rPr>
        <w:t>such case, a “</w:t>
      </w:r>
      <w:r>
        <w:rPr>
          <w:rFonts w:ascii="Times New Roman" w:cs="Times New Roman" w:eastAsia="Times New Roman" w:hAnsi="Times New Roman"/>
          <w:sz w:val="19"/>
          <w:szCs w:val="19"/>
          <w:b w:val="1"/>
          <w:bCs w:val="1"/>
          <w:color w:val="auto"/>
        </w:rPr>
        <w:t>Fundamental Transaction</w:t>
      </w:r>
      <w:r>
        <w:rPr>
          <w:rFonts w:ascii="Times New Roman" w:cs="Times New Roman" w:eastAsia="Times New Roman" w:hAnsi="Times New Roman"/>
          <w:sz w:val="19"/>
          <w:szCs w:val="19"/>
          <w:color w:val="auto"/>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cs="Times New Roman" w:eastAsia="Times New Roman" w:hAnsi="Times New Roman"/>
          <w:sz w:val="19"/>
          <w:szCs w:val="19"/>
          <w:u w:val="single" w:color="auto"/>
          <w:color w:val="auto"/>
        </w:rPr>
        <w:t>Sections 10(b)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10(c)</w:t>
      </w:r>
      <w:r>
        <w:rPr>
          <w:rFonts w:ascii="Times New Roman" w:cs="Times New Roman" w:eastAsia="Times New Roman" w:hAnsi="Times New Roman"/>
          <w:sz w:val="19"/>
          <w:szCs w:val="19"/>
          <w:color w:val="auto"/>
        </w:rPr>
        <w:t xml:space="preserve"> above) without regard to any limitations on exercise contained herein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xml:space="preserve">”). If holders of Common Stock are given any choice as to the securities, cash or property to be received in a Fundamental Transaction, then the Holder shall be given the same choice as the Alternate Consideration it receives upon any exercise of this Warrant following such Fundamental Transaction.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to a Fundamental Transaction type.</w:t>
      </w:r>
    </w:p>
    <w:p>
      <w:pPr>
        <w:spacing w:after="0" w:line="168" w:lineRule="exact"/>
        <w:rPr>
          <w:sz w:val="20"/>
          <w:szCs w:val="20"/>
          <w:color w:val="auto"/>
        </w:rPr>
      </w:pPr>
    </w:p>
    <w:p>
      <w:pPr>
        <w:jc w:val="both"/>
        <w:ind w:right="20" w:firstLine="1436"/>
        <w:spacing w:after="0" w:line="241"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 Warrant Shares</w:t>
      </w:r>
      <w:r>
        <w:rPr>
          <w:rFonts w:ascii="Times New Roman" w:cs="Times New Roman" w:eastAsia="Times New Roman" w:hAnsi="Times New Roman"/>
          <w:sz w:val="19"/>
          <w:szCs w:val="19"/>
          <w:color w:val="auto"/>
        </w:rPr>
        <w:t xml:space="preserve">. Simultaneously with any adjustment to the Number of Warrant Shares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w:t>
      </w:r>
      <w:r>
        <w:rPr>
          <w:rFonts w:ascii="Times New Roman" w:cs="Times New Roman" w:eastAsia="Times New Roman" w:hAnsi="Times New Roman"/>
          <w:sz w:val="19"/>
          <w:szCs w:val="19"/>
          <w:color w:val="auto"/>
        </w:rPr>
        <w:t>, the Exercise Price and Redemption Price shall be increased or decreased proportionately, so that after such adjustment the aggregate Exercise Price or Redemption Price, as the case may be, payable hereunder for the increased or decreased Number of Warrant Shares shall be the same as the aggregate Exercise Price or Redemption Price, as the case may be, in effect immediately prior to such adjustment. Notwithstanding the foregoing, in no event may the Exercise Price be adjusted below the par value of the Common Stock then in effect.</w:t>
      </w:r>
    </w:p>
    <w:p>
      <w:pPr>
        <w:spacing w:after="0" w:line="156" w:lineRule="exact"/>
        <w:rPr>
          <w:rFonts w:ascii="Times New Roman" w:cs="Times New Roman" w:eastAsia="Times New Roman" w:hAnsi="Times New Roman"/>
          <w:sz w:val="19"/>
          <w:szCs w:val="19"/>
          <w:color w:val="auto"/>
        </w:rPr>
      </w:pPr>
    </w:p>
    <w:p>
      <w:pPr>
        <w:ind w:left="1980" w:hanging="544"/>
        <w:spacing w:after="0"/>
        <w:tabs>
          <w:tab w:leader="none" w:pos="19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shall be made to the nearest one-tenth of one cent or the nearest</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 as applicable.</w:t>
      </w:r>
    </w:p>
    <w:p>
      <w:pPr>
        <w:spacing w:after="0" w:line="163" w:lineRule="exact"/>
        <w:rPr>
          <w:rFonts w:ascii="Times New Roman" w:cs="Times New Roman" w:eastAsia="Times New Roman" w:hAnsi="Times New Roman"/>
          <w:sz w:val="19"/>
          <w:szCs w:val="19"/>
          <w:color w:val="auto"/>
        </w:rPr>
      </w:pPr>
    </w:p>
    <w:p>
      <w:pPr>
        <w:jc w:val="both"/>
        <w:ind w:firstLine="1436"/>
        <w:spacing w:after="0" w:line="239"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Adjustments</w:t>
      </w:r>
      <w:r>
        <w:rPr>
          <w:rFonts w:ascii="Times New Roman" w:cs="Times New Roman" w:eastAsia="Times New Roman" w:hAnsi="Times New Roman"/>
          <w:sz w:val="19"/>
          <w:szCs w:val="19"/>
          <w:color w:val="auto"/>
        </w:rPr>
        <w:t xml:space="preserve">. Upon the occurrence of each adjustment pursuant to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the Company at its expense will promptly compute such adjustment, in good faith, in accordance with the terms of this Warrant and prepare a certificate setting forth such adjustment, including a statement of the adjusted Exercise Price and Redemption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61" w:lineRule="exact"/>
        <w:rPr>
          <w:rFonts w:ascii="Times New Roman" w:cs="Times New Roman" w:eastAsia="Times New Roman" w:hAnsi="Times New Roman"/>
          <w:sz w:val="19"/>
          <w:szCs w:val="19"/>
          <w:color w:val="auto"/>
        </w:rPr>
      </w:pPr>
    </w:p>
    <w:p>
      <w:pPr>
        <w:jc w:val="both"/>
        <w:ind w:firstLine="1436"/>
        <w:spacing w:after="0" w:line="243" w:lineRule="auto"/>
        <w:tabs>
          <w:tab w:leader="none" w:pos="196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Corporate Events</w:t>
      </w:r>
      <w:r>
        <w:rPr>
          <w:rFonts w:ascii="Times New Roman" w:cs="Times New Roman" w:eastAsia="Times New Roman" w:hAnsi="Times New Roman"/>
          <w:sz w:val="19"/>
          <w:szCs w:val="19"/>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762000</wp:posOffset>
            </wp:positionV>
            <wp:extent cx="71748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37" w:right="319" w:bottom="1440" w:gutter="0" w:footer="0" w:header="0"/>
        </w:sectPr>
      </w:pPr>
    </w:p>
    <w:bookmarkStart w:id="115" w:name="page116"/>
    <w:bookmarkEnd w:id="115"/>
    <w:p>
      <w:pPr>
        <w:spacing w:after="0" w:line="2" w:lineRule="exact"/>
        <w:rPr>
          <w:sz w:val="20"/>
          <w:szCs w:val="20"/>
          <w:color w:val="auto"/>
        </w:rPr>
      </w:pPr>
    </w:p>
    <w:p>
      <w:pPr>
        <w:jc w:val="both"/>
        <w:ind w:left="60"/>
        <w:spacing w:after="0" w:line="237" w:lineRule="auto"/>
        <w:rPr>
          <w:sz w:val="20"/>
          <w:szCs w:val="20"/>
          <w:color w:val="auto"/>
        </w:rPr>
      </w:pPr>
      <w:r>
        <w:rPr>
          <w:rFonts w:ascii="Times New Roman" w:cs="Times New Roman" w:eastAsia="Times New Roman" w:hAnsi="Times New Roman"/>
          <w:sz w:val="19"/>
          <w:szCs w:val="19"/>
          <w:color w:val="auto"/>
        </w:rPr>
        <w:t xml:space="preserve">Fundamental Transaction or (iii) authorizes the voluntary dissolution, liquidation or winding up of the affairs of the Company, then the Company shall deliver to the Holder a notice of such transaction at least ten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the Company shall deliver to the Holder a notice of such Fundamental Transaction at least 15 days prior to the date such Fundamental Transaction is consummated and the Company shall contemporaneously with any such delivery (or on or prior to 9:00 a.m., New York city time on the business day following a notice to the Holder) publicly disclose such material, nonpublic information on a Current Report on Form 8-K or otherwise.</w:t>
      </w:r>
    </w:p>
    <w:p>
      <w:pPr>
        <w:spacing w:after="0" w:line="159" w:lineRule="exact"/>
        <w:rPr>
          <w:sz w:val="20"/>
          <w:szCs w:val="20"/>
          <w:color w:val="auto"/>
        </w:rPr>
      </w:pPr>
    </w:p>
    <w:p>
      <w:pPr>
        <w:jc w:val="both"/>
        <w:ind w:firstLine="745"/>
        <w:spacing w:after="0" w:line="242" w:lineRule="auto"/>
        <w:tabs>
          <w:tab w:leader="none" w:pos="1021" w:val="left"/>
        </w:tabs>
        <w:numPr>
          <w:ilvl w:val="0"/>
          <w:numId w:val="9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Notwithstanding anything contained herein to the contrary, the Holder may, in its sole discretion, satisfy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 w:lineRule="exact"/>
        <w:rPr>
          <w:rFonts w:ascii="Times New Roman" w:cs="Times New Roman" w:eastAsia="Times New Roman" w:hAnsi="Times New Roman"/>
          <w:sz w:val="19"/>
          <w:szCs w:val="19"/>
          <w:b w:val="1"/>
          <w:bCs w:val="1"/>
          <w:color w:val="auto"/>
        </w:rPr>
      </w:pPr>
    </w:p>
    <w:p>
      <w:pPr>
        <w:ind w:left="1580" w:right="84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X = Y [(A-B)/A] where:</w:t>
      </w:r>
    </w:p>
    <w:p>
      <w:pPr>
        <w:spacing w:after="0" w:line="158" w:lineRule="exact"/>
        <w:rPr>
          <w:sz w:val="20"/>
          <w:szCs w:val="20"/>
          <w:color w:val="auto"/>
        </w:rPr>
      </w:pPr>
    </w:p>
    <w:p>
      <w:pPr>
        <w:ind w:left="1580"/>
        <w:spacing w:after="0"/>
        <w:tabs>
          <w:tab w:leader="none" w:pos="2020" w:val="left"/>
        </w:tabs>
        <w:rPr>
          <w:sz w:val="20"/>
          <w:szCs w:val="20"/>
          <w:color w:val="auto"/>
        </w:rPr>
      </w:pPr>
      <w:r>
        <w:rPr>
          <w:rFonts w:ascii="Times New Roman" w:cs="Times New Roman" w:eastAsia="Times New Roman" w:hAnsi="Times New Roman"/>
          <w:sz w:val="19"/>
          <w:szCs w:val="19"/>
          <w:color w:val="auto"/>
        </w:rPr>
        <w:t>“X”</w:t>
      </w:r>
      <w:r>
        <w:rPr>
          <w:sz w:val="20"/>
          <w:szCs w:val="20"/>
          <w:color w:val="auto"/>
        </w:rPr>
        <w:tab/>
      </w:r>
      <w:r>
        <w:rPr>
          <w:rFonts w:ascii="Times New Roman" w:cs="Times New Roman" w:eastAsia="Times New Roman" w:hAnsi="Times New Roman"/>
          <w:sz w:val="18"/>
          <w:szCs w:val="18"/>
          <w:color w:val="auto"/>
        </w:rPr>
        <w:t>equals the number of Warrant Shares to be issued to the Holder;</w:t>
      </w:r>
    </w:p>
    <w:p>
      <w:pPr>
        <w:spacing w:after="0" w:line="184" w:lineRule="exact"/>
        <w:rPr>
          <w:sz w:val="20"/>
          <w:szCs w:val="20"/>
          <w:color w:val="auto"/>
        </w:rPr>
      </w:pPr>
    </w:p>
    <w:p>
      <w:pPr>
        <w:ind w:left="820" w:right="360" w:firstLine="750"/>
        <w:spacing w:after="0" w:line="262" w:lineRule="auto"/>
        <w:rPr>
          <w:sz w:val="20"/>
          <w:szCs w:val="20"/>
          <w:color w:val="auto"/>
        </w:rPr>
      </w:pPr>
      <w:r>
        <w:rPr>
          <w:rFonts w:ascii="Times New Roman" w:cs="Times New Roman" w:eastAsia="Times New Roman" w:hAnsi="Times New Roman"/>
          <w:sz w:val="19"/>
          <w:szCs w:val="19"/>
          <w:color w:val="auto"/>
        </w:rPr>
        <w:t>“Y” equals the total number of Warrant Shares with respect to which this Warrant is then being exercised if such exercise were by means of a cash exercise rather than a cashless exercise;</w:t>
      </w:r>
    </w:p>
    <w:p>
      <w:pPr>
        <w:spacing w:after="0" w:line="138" w:lineRule="exact"/>
        <w:rPr>
          <w:sz w:val="20"/>
          <w:szCs w:val="20"/>
          <w:color w:val="auto"/>
        </w:rPr>
      </w:pPr>
    </w:p>
    <w:p>
      <w:pPr>
        <w:ind w:left="820" w:right="400" w:firstLine="750"/>
        <w:spacing w:after="0" w:line="262" w:lineRule="auto"/>
        <w:rPr>
          <w:sz w:val="20"/>
          <w:szCs w:val="20"/>
          <w:color w:val="auto"/>
        </w:rPr>
      </w:pPr>
      <w:r>
        <w:rPr>
          <w:rFonts w:ascii="Times New Roman" w:cs="Times New Roman" w:eastAsia="Times New Roman" w:hAnsi="Times New Roman"/>
          <w:sz w:val="19"/>
          <w:szCs w:val="19"/>
          <w:color w:val="auto"/>
        </w:rPr>
        <w:t>“A” equals the Closing Sale Price of the shares of Common Stock (as reported by Bloomberg Financial Market) as of the Trading Day on the date immediately preceding the Exercise Date); and</w:t>
      </w:r>
    </w:p>
    <w:p>
      <w:pPr>
        <w:spacing w:after="0" w:line="138"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9"/>
          <w:szCs w:val="19"/>
          <w:color w:val="auto"/>
        </w:rPr>
        <w:t>“B”</w:t>
      </w:r>
      <w:r>
        <w:rPr>
          <w:sz w:val="20"/>
          <w:szCs w:val="20"/>
          <w:color w:val="auto"/>
        </w:rPr>
        <w:tab/>
      </w:r>
      <w:r>
        <w:rPr>
          <w:rFonts w:ascii="Times New Roman" w:cs="Times New Roman" w:eastAsia="Times New Roman" w:hAnsi="Times New Roman"/>
          <w:sz w:val="18"/>
          <w:szCs w:val="18"/>
          <w:color w:val="auto"/>
        </w:rPr>
        <w:t>equals the Exercise Price then in effect for the applicable Warrant Shares at the time of such exercise.</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If the Warrant Shares are issued in such a cashless exercise, the Company acknowledges and agrees that, in accordance with Section 3(a)(9) of the Securities Act, the Exercise Shares issued in such exercise shall take on the registered characteristics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 xml:space="preserve">Warrants being exercised and may be tacked on to the holding period of the Warrants being exercised. Except as set forth in </w:t>
      </w:r>
      <w:r>
        <w:rPr>
          <w:rFonts w:ascii="Times New Roman" w:cs="Times New Roman" w:eastAsia="Times New Roman" w:hAnsi="Times New Roman"/>
          <w:sz w:val="19"/>
          <w:szCs w:val="19"/>
          <w:u w:val="single" w:color="auto"/>
          <w:color w:val="auto"/>
        </w:rPr>
        <w:t>Section 6(b) (Buy-In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13 (No Fractional Shares)</w:t>
      </w:r>
      <w:r>
        <w:rPr>
          <w:rFonts w:ascii="Times New Roman" w:cs="Times New Roman" w:eastAsia="Times New Roman" w:hAnsi="Times New Roman"/>
          <w:sz w:val="19"/>
          <w:szCs w:val="19"/>
          <w:color w:val="auto"/>
        </w:rPr>
        <w:t>, in no event will the exercise of this Warrant be settled in cash.</w:t>
      </w:r>
    </w:p>
    <w:p>
      <w:pPr>
        <w:spacing w:after="0" w:line="134" w:lineRule="exact"/>
        <w:rPr>
          <w:sz w:val="20"/>
          <w:szCs w:val="20"/>
          <w:color w:val="auto"/>
        </w:rPr>
      </w:pPr>
    </w:p>
    <w:p>
      <w:pPr>
        <w:ind w:left="1020" w:hanging="275"/>
        <w:spacing w:after="0"/>
        <w:tabs>
          <w:tab w:leader="none" w:pos="102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w:t>
      </w:r>
    </w:p>
    <w:p>
      <w:pPr>
        <w:spacing w:after="0" w:line="175" w:lineRule="exact"/>
        <w:rPr>
          <w:rFonts w:ascii="Times New Roman" w:cs="Times New Roman" w:eastAsia="Times New Roman" w:hAnsi="Times New Roman"/>
          <w:sz w:val="19"/>
          <w:szCs w:val="19"/>
          <w:b w:val="1"/>
          <w:bCs w:val="1"/>
          <w:color w:val="auto"/>
        </w:rPr>
      </w:pPr>
    </w:p>
    <w:p>
      <w:pPr>
        <w:jc w:val="both"/>
        <w:ind w:firstLine="1571"/>
        <w:spacing w:after="0" w:line="235" w:lineRule="auto"/>
        <w:tabs>
          <w:tab w:leader="none" w:pos="1955"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the Company shall not effect the exercise of any portion of this Warrant, and the Holder of this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(a) prior to obtaining Stockholder Approval, 0.00% and (b) upon obtaining Stockholder Approval, 4.99% (the “</w:t>
      </w:r>
      <w:r>
        <w:rPr>
          <w:rFonts w:ascii="Times New Roman" w:cs="Times New Roman" w:eastAsia="Times New Roman" w:hAnsi="Times New Roman"/>
          <w:sz w:val="19"/>
          <w:szCs w:val="19"/>
          <w:b w:val="1"/>
          <w:bCs w:val="1"/>
          <w:color w:val="auto"/>
        </w:rPr>
        <w:t>Maximum Percentage</w:t>
      </w:r>
      <w:r>
        <w:rPr>
          <w:rFonts w:ascii="Times New Roman" w:cs="Times New Roman" w:eastAsia="Times New Roman" w:hAnsi="Times New Roman"/>
          <w:sz w:val="19"/>
          <w:szCs w:val="19"/>
          <w:color w:val="auto"/>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cs="Times New Roman" w:eastAsia="Times New Roman" w:hAnsi="Times New Roman"/>
          <w:sz w:val="19"/>
          <w:szCs w:val="19"/>
          <w:u w:val="single" w:color="auto"/>
          <w:color w:val="auto"/>
        </w:rPr>
        <w:t>Paragraph 11(a)</w:t>
      </w:r>
      <w:r>
        <w:rPr>
          <w:rFonts w:ascii="Times New Roman" w:cs="Times New Roman" w:eastAsia="Times New Roman" w:hAnsi="Times New Roman"/>
          <w:sz w:val="19"/>
          <w:szCs w:val="19"/>
          <w:color w:val="auto"/>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9"/>
          <w:szCs w:val="19"/>
          <w:b w:val="1"/>
          <w:bCs w:val="1"/>
          <w:color w:val="auto"/>
        </w:rPr>
        <w:t>Reported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Outstanding Share Number</w:t>
      </w:r>
      <w:r>
        <w:rPr>
          <w:rFonts w:ascii="Times New Roman" w:cs="Times New Roman" w:eastAsia="Times New Roman" w:hAnsi="Times New Roman"/>
          <w:sz w:val="19"/>
          <w:szCs w:val="19"/>
          <w:color w:val="auto"/>
        </w:rPr>
        <w:t>”). For any reason at any time, upon the written or oral request of the Holder, the Company shall within one business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1748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-3923665</wp:posOffset>
            </wp:positionV>
            <wp:extent cx="298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7" w:name="page118"/>
    <w:bookmarkEnd w:id="117"/>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otherwise cause the Holder’s, together with the Attribution Parties’, beneficial ownership, as determined pursuant to this </w:t>
      </w:r>
      <w:r>
        <w:rPr>
          <w:rFonts w:ascii="Times New Roman" w:cs="Times New Roman" w:eastAsia="Times New Roman" w:hAnsi="Times New Roman"/>
          <w:sz w:val="19"/>
          <w:szCs w:val="19"/>
          <w:u w:val="single" w:color="auto"/>
          <w:color w:val="auto"/>
        </w:rPr>
        <w:t>Section 12(a)</w:t>
      </w:r>
      <w:r>
        <w:rPr>
          <w:rFonts w:ascii="Times New Roman" w:cs="Times New Roman" w:eastAsia="Times New Roman" w:hAnsi="Times New Roman"/>
          <w:sz w:val="19"/>
          <w:szCs w:val="19"/>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9"/>
          <w:szCs w:val="19"/>
          <w:b w:val="1"/>
          <w:bCs w:val="1"/>
          <w:color w:val="auto"/>
        </w:rPr>
        <w:t>Reduction Shares</w:t>
      </w:r>
      <w:r>
        <w:rPr>
          <w:rFonts w:ascii="Times New Roman" w:cs="Times New Roman" w:eastAsia="Times New Roman" w:hAnsi="Times New Roman"/>
          <w:sz w:val="19"/>
          <w:szCs w:val="19"/>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cs="Times New Roman" w:eastAsia="Times New Roman" w:hAnsi="Times New Roman"/>
          <w:sz w:val="19"/>
          <w:szCs w:val="19"/>
          <w:b w:val="1"/>
          <w:bCs w:val="1"/>
          <w:color w:val="auto"/>
        </w:rPr>
        <w:t>Excess Shares</w:t>
      </w:r>
      <w:r>
        <w:rPr>
          <w:rFonts w:ascii="Times New Roman" w:cs="Times New Roman" w:eastAsia="Times New Roman" w:hAnsi="Times New Roman"/>
          <w:sz w:val="19"/>
          <w:szCs w:val="19"/>
          <w:color w:val="auto"/>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specified in such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percentage shall not be in excess of 19.99% unless Stockholder Approval has been obtained;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any increase in the Maximum Percentage will not be effective until the 61st day after such notice is delivered to the Company and shall not negatively affect any partial exercise effected prior to such change.</w:t>
      </w:r>
    </w:p>
    <w:p>
      <w:pPr>
        <w:spacing w:after="0" w:line="170" w:lineRule="exact"/>
        <w:rPr>
          <w:sz w:val="20"/>
          <w:szCs w:val="20"/>
          <w:color w:val="auto"/>
        </w:rPr>
      </w:pPr>
    </w:p>
    <w:p>
      <w:pPr>
        <w:jc w:val="both"/>
        <w:ind w:firstLine="1496"/>
        <w:spacing w:after="0" w:line="236" w:lineRule="auto"/>
        <w:tabs>
          <w:tab w:leader="none" w:pos="1879"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(i) Distribution as contemplated in Section 10(b), (ii) Purchase Rights as contemplated in Section 10(c) or (iii) a Fundamental Transaction as contemplated in </w:t>
      </w:r>
      <w:r>
        <w:rPr>
          <w:rFonts w:ascii="Times New Roman" w:cs="Times New Roman" w:eastAsia="Times New Roman" w:hAnsi="Times New Roman"/>
          <w:sz w:val="19"/>
          <w:szCs w:val="19"/>
          <w:u w:val="single" w:color="auto"/>
          <w:color w:val="auto"/>
        </w:rPr>
        <w:t>Section 10(d)</w:t>
      </w:r>
      <w:r>
        <w:rPr>
          <w:rFonts w:ascii="Times New Roman" w:cs="Times New Roman" w:eastAsia="Times New Roman" w:hAnsi="Times New Roman"/>
          <w:sz w:val="19"/>
          <w:szCs w:val="19"/>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or to make changes or supplements necessary or desirable to properly give effect to such limitation. The limitation contained in this paragraph may not be waived and shall apply to a successor holder of this Warrant.</w:t>
      </w:r>
    </w:p>
    <w:p>
      <w:pPr>
        <w:spacing w:after="0" w:line="161" w:lineRule="exact"/>
        <w:rPr>
          <w:rFonts w:ascii="Times New Roman" w:cs="Times New Roman" w:eastAsia="Times New Roman" w:hAnsi="Times New Roman"/>
          <w:sz w:val="19"/>
          <w:szCs w:val="19"/>
          <w:color w:val="auto"/>
        </w:rPr>
      </w:pPr>
    </w:p>
    <w:p>
      <w:pPr>
        <w:ind w:right="20" w:firstLine="745"/>
        <w:spacing w:after="0" w:line="266" w:lineRule="auto"/>
        <w:tabs>
          <w:tab w:leader="none" w:pos="1021"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Fractional Shares</w:t>
      </w:r>
      <w:r>
        <w:rPr>
          <w:rFonts w:ascii="Times New Roman" w:cs="Times New Roman" w:eastAsia="Times New Roman" w:hAnsi="Times New Roman"/>
          <w:sz w:val="19"/>
          <w:szCs w:val="19"/>
          <w:color w:val="auto"/>
        </w:rPr>
        <w:t>. No fractional Warrant Shares will be issued in connection with any exercise of this Warrant. In lieu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fractional shares that would otherwise be issuable, the number of Warrant Shares to be issued shall be rounded down to the next whole number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748030</wp:posOffset>
            </wp:positionV>
            <wp:extent cx="71748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8" w:name="page119"/>
    <w:bookmarkEnd w:id="118"/>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shall pay the Holder in cash the fair market value (based on the Closing Sale Price) for any such fractional shares.</w:t>
      </w:r>
    </w:p>
    <w:p>
      <w:pPr>
        <w:spacing w:after="0" w:line="180" w:lineRule="exact"/>
        <w:rPr>
          <w:sz w:val="20"/>
          <w:szCs w:val="20"/>
          <w:color w:val="auto"/>
        </w:rPr>
      </w:pPr>
    </w:p>
    <w:p>
      <w:pPr>
        <w:jc w:val="both"/>
        <w:ind w:firstLine="745"/>
        <w:spacing w:after="0" w:line="238" w:lineRule="auto"/>
        <w:tabs>
          <w:tab w:leader="none" w:pos="1021"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and all notices or other communications or deliveries hereunder (including, without limitation, any Exercise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in writing and shall be deemed given and effective on the earliest of (i) the date of transmission, if such notice or communication is delivered by confirmed e-mail at the e-mail address included in the signature block attached hereto for the Company or, for the Holder, as specified in the books and records of the Transfer Agent prior to 5:30 P.M., New York City time, on a Trading Day (as applicable),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58" w:lineRule="exact"/>
        <w:rPr>
          <w:rFonts w:ascii="Times New Roman" w:cs="Times New Roman" w:eastAsia="Times New Roman" w:hAnsi="Times New Roman"/>
          <w:sz w:val="19"/>
          <w:szCs w:val="19"/>
          <w:b w:val="1"/>
          <w:bCs w:val="1"/>
          <w:color w:val="auto"/>
        </w:rPr>
      </w:pPr>
    </w:p>
    <w:p>
      <w:pPr>
        <w:jc w:val="both"/>
        <w:ind w:firstLine="745"/>
        <w:spacing w:after="0"/>
        <w:tabs>
          <w:tab w:leader="none" w:pos="1021"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Warrant Agent</w:t>
      </w:r>
      <w:r>
        <w:rPr>
          <w:rFonts w:ascii="Times New Roman" w:cs="Times New Roman" w:eastAsia="Times New Roman" w:hAnsi="Times New Roman"/>
          <w:sz w:val="19"/>
          <w:szCs w:val="19"/>
          <w:color w:val="auto"/>
        </w:rPr>
        <w:t>. The Company shall initially serve as warrant agent under this Warrant. Upon 30 days’ notice to the Holder,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55" w:lineRule="exact"/>
        <w:rPr>
          <w:rFonts w:ascii="Times New Roman" w:cs="Times New Roman" w:eastAsia="Times New Roman" w:hAnsi="Times New Roman"/>
          <w:sz w:val="19"/>
          <w:szCs w:val="19"/>
          <w:b w:val="1"/>
          <w:bCs w:val="1"/>
          <w:color w:val="auto"/>
        </w:rPr>
      </w:pPr>
    </w:p>
    <w:p>
      <w:pPr>
        <w:ind w:left="1020" w:hanging="275"/>
        <w:spacing w:after="0"/>
        <w:tabs>
          <w:tab w:leader="none" w:pos="1020"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left="60" w:firstLine="1511"/>
        <w:spacing w:after="0" w:line="237" w:lineRule="auto"/>
        <w:tabs>
          <w:tab w:leader="none" w:pos="2026"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a Stockholder</w:t>
      </w:r>
      <w:r>
        <w:rPr>
          <w:rFonts w:ascii="Times New Roman" w:cs="Times New Roman" w:eastAsia="Times New Roman" w:hAnsi="Times New Roman"/>
          <w:sz w:val="19"/>
          <w:szCs w:val="19"/>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3" w:lineRule="exact"/>
        <w:rPr>
          <w:rFonts w:ascii="Times New Roman" w:cs="Times New Roman" w:eastAsia="Times New Roman" w:hAnsi="Times New Roman"/>
          <w:sz w:val="19"/>
          <w:szCs w:val="19"/>
          <w:color w:val="auto"/>
        </w:rPr>
      </w:pPr>
    </w:p>
    <w:p>
      <w:pPr>
        <w:jc w:val="both"/>
        <w:ind w:left="140" w:firstLine="1431"/>
        <w:spacing w:after="0" w:line="243" w:lineRule="auto"/>
        <w:tabs>
          <w:tab w:leader="none" w:pos="2031"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762000</wp:posOffset>
            </wp:positionV>
            <wp:extent cx="71748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9" w:name="page120"/>
    <w:bookmarkEnd w:id="119"/>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3" w:lineRule="exact"/>
        <w:rPr>
          <w:sz w:val="20"/>
          <w:szCs w:val="20"/>
          <w:color w:val="auto"/>
        </w:rPr>
      </w:pPr>
    </w:p>
    <w:p>
      <w:pPr>
        <w:jc w:val="both"/>
        <w:ind w:left="-80" w:firstLine="1511"/>
        <w:spacing w:after="0" w:line="241"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Subject to compliance with applicable securities laws, this Warrant may be assigned by the Holder. This Warrant may not be assigned by the Company without the written consent of the Holder, except to a successor in the event of a Fundamental Transaction that complies with Section 9(d).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44" w:lineRule="exact"/>
        <w:rPr>
          <w:rFonts w:ascii="Times New Roman" w:cs="Times New Roman" w:eastAsia="Times New Roman" w:hAnsi="Times New Roman"/>
          <w:sz w:val="19"/>
          <w:szCs w:val="19"/>
          <w:color w:val="auto"/>
        </w:rPr>
      </w:pPr>
    </w:p>
    <w:p>
      <w:pPr>
        <w:jc w:val="both"/>
        <w:ind w:left="-80" w:right="20" w:firstLine="1511"/>
        <w:spacing w:after="0" w:line="248"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Warrant may be amended only in writing signed by the Company and the Holder, or their successors and assigns. Except as otherwise provided herein, the Company may take any action herein prohibited, or omit to perform any act herein required to be performed by it, only if the Company has obtained the written consent of the Holder.</w:t>
      </w:r>
    </w:p>
    <w:p>
      <w:pPr>
        <w:spacing w:after="0" w:line="150" w:lineRule="exact"/>
        <w:rPr>
          <w:rFonts w:ascii="Times New Roman" w:cs="Times New Roman" w:eastAsia="Times New Roman" w:hAnsi="Times New Roman"/>
          <w:sz w:val="19"/>
          <w:szCs w:val="19"/>
          <w:color w:val="auto"/>
        </w:rPr>
      </w:pPr>
    </w:p>
    <w:p>
      <w:pPr>
        <w:ind w:left="-80" w:right="20" w:firstLine="1511"/>
        <w:spacing w:after="0" w:line="262"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w:t>
      </w:r>
      <w:r>
        <w:rPr>
          <w:rFonts w:ascii="Times New Roman" w:cs="Times New Roman" w:eastAsia="Times New Roman" w:hAnsi="Times New Roman"/>
          <w:sz w:val="19"/>
          <w:szCs w:val="19"/>
          <w:color w:val="auto"/>
        </w:rPr>
        <w:t>. Receipt of this Warrant by the Holder shall constitute acceptance of and agreement to all of the terms and conditions contained herein.</w:t>
      </w:r>
    </w:p>
    <w:p>
      <w:pPr>
        <w:spacing w:after="0" w:line="126" w:lineRule="exact"/>
        <w:rPr>
          <w:rFonts w:ascii="Times New Roman" w:cs="Times New Roman" w:eastAsia="Times New Roman" w:hAnsi="Times New Roman"/>
          <w:sz w:val="19"/>
          <w:szCs w:val="19"/>
          <w:color w:val="auto"/>
        </w:rPr>
      </w:pPr>
    </w:p>
    <w:p>
      <w:pPr>
        <w:jc w:val="both"/>
        <w:ind w:left="-80" w:firstLine="1511"/>
        <w:spacing w:after="0" w:line="237" w:lineRule="auto"/>
        <w:tabs>
          <w:tab w:leader="none" w:pos="188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764540</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460" w:top="1440" w:right="319" w:bottom="1440" w:gutter="0" w:footer="0" w:header="0"/>
        </w:sectPr>
      </w:pPr>
    </w:p>
    <w:bookmarkStart w:id="120" w:name="page121"/>
    <w:bookmarkEnd w:id="120"/>
    <w:p>
      <w:pPr>
        <w:jc w:val="both"/>
        <w:spacing w:after="0" w:line="238" w:lineRule="auto"/>
        <w:rPr>
          <w:sz w:val="20"/>
          <w:szCs w:val="20"/>
          <w:color w:val="auto"/>
        </w:rPr>
      </w:pPr>
      <w:r>
        <w:rPr>
          <w:rFonts w:ascii="Times New Roman" w:cs="Times New Roman" w:eastAsia="Times New Roman" w:hAnsi="Times New Roman"/>
          <w:sz w:val="19"/>
          <w:szCs w:val="19"/>
          <w:color w:val="auto"/>
        </w:rPr>
        <w:t>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63" w:lineRule="exact"/>
        <w:rPr>
          <w:sz w:val="20"/>
          <w:szCs w:val="20"/>
          <w:color w:val="auto"/>
        </w:rPr>
      </w:pPr>
    </w:p>
    <w:p>
      <w:pPr>
        <w:ind w:right="20" w:firstLine="1511"/>
        <w:spacing w:after="0" w:line="262" w:lineRule="auto"/>
        <w:tabs>
          <w:tab w:leader="none" w:pos="1966"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herein are for convenience only, do not constitute a part of this Warrant and shall not be deemed to limit or affect any of the provisions hereof.</w:t>
      </w:r>
    </w:p>
    <w:p>
      <w:pPr>
        <w:spacing w:after="0" w:line="137" w:lineRule="exact"/>
        <w:rPr>
          <w:rFonts w:ascii="Times New Roman" w:cs="Times New Roman" w:eastAsia="Times New Roman" w:hAnsi="Times New Roman"/>
          <w:sz w:val="19"/>
          <w:szCs w:val="19"/>
          <w:color w:val="auto"/>
        </w:rPr>
      </w:pPr>
    </w:p>
    <w:p>
      <w:pPr>
        <w:ind w:left="20" w:right="80" w:firstLine="1510"/>
        <w:spacing w:after="0" w:line="243" w:lineRule="auto"/>
        <w:tabs>
          <w:tab w:leader="none" w:pos="1836"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spacing w:after="0" w:line="18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1382395</wp:posOffset>
            </wp:positionV>
            <wp:extent cx="717486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1429" w:right="319" w:bottom="1440" w:gutter="0" w:footer="0" w:header="0"/>
        </w:sectPr>
      </w:pPr>
    </w:p>
    <w:bookmarkStart w:id="121" w:name="page122"/>
    <w:bookmarkEnd w:id="121"/>
    <w:p>
      <w:pPr>
        <w:ind w:firstLine="751"/>
        <w:spacing w:after="0" w:line="262" w:lineRule="auto"/>
        <w:rPr>
          <w:sz w:val="20"/>
          <w:szCs w:val="20"/>
          <w:color w:val="auto"/>
        </w:rPr>
      </w:pPr>
      <w:r>
        <w:rPr>
          <w:rFonts w:ascii="Times New Roman" w:cs="Times New Roman" w:eastAsia="Times New Roman" w:hAnsi="Times New Roman"/>
          <w:sz w:val="19"/>
          <w:szCs w:val="19"/>
          <w:color w:val="auto"/>
        </w:rPr>
        <w:t>IN WITNESS WHEREOF, the Company has caused this Warrant to be duly executed by its authorized officer as of the date first indicated above.</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-10795</wp:posOffset>
            </wp:positionV>
            <wp:extent cx="7575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7555"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-19685</wp:posOffset>
            </wp:positionV>
            <wp:extent cx="8509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887095</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-23495</wp:posOffset>
            </wp:positionV>
            <wp:extent cx="91122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11225" cy="7620"/>
                    </a:xfrm>
                    <a:prstGeom prst="rect">
                      <a:avLst/>
                    </a:prstGeom>
                    <a:noFill/>
                  </pic:spPr>
                </pic:pic>
              </a:graphicData>
            </a:graphic>
          </wp:anchor>
        </w:drawing>
      </w:r>
    </w:p>
    <w:p>
      <w:pPr>
        <w:sectPr>
          <w:pgSz w:w="11900" w:h="16838" w:orient="portrait"/>
          <w:cols w:equalWidth="0" w:num="1">
            <w:col w:w="11260"/>
          </w:cols>
          <w:pgMar w:left="320" w:top="1264" w:right="319" w:bottom="1440" w:gutter="0" w:footer="0" w:header="0"/>
        </w:sectPr>
      </w:pPr>
    </w:p>
    <w:bookmarkStart w:id="122" w:name="page123"/>
    <w:bookmarkEnd w:id="122"/>
    <w:p>
      <w:pPr>
        <w:spacing w:after="0" w:line="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SCHEDULE 1</w:t>
      </w:r>
    </w:p>
    <w:p>
      <w:pPr>
        <w:spacing w:after="0" w:line="1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OF EXERCISE NOTICE</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[To be executed by the Holder to purchase shares of Common Stock under the Warrant]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60" w:hanging="5"/>
        <w:spacing w:after="0" w:line="278"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Delaware</w:t>
      </w:r>
      <w:r>
        <w:rPr>
          <w:rFonts w:ascii="Times New Roman" w:cs="Times New Roman" w:eastAsia="Times New Roman" w:hAnsi="Times New Roman"/>
          <w:sz w:val="16"/>
          <w:szCs w:val="16"/>
          <w:color w:val="auto"/>
        </w:rPr>
        <w:t xml:space="preserv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right to purchase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intends that payment of the Exercise Price shall be made as (check one):</w:t>
      </w:r>
    </w:p>
    <w:p>
      <w:pPr>
        <w:spacing w:after="0" w:line="20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Cash Exercise</w:t>
      </w:r>
    </w:p>
    <w:p>
      <w:pPr>
        <w:spacing w:after="0" w:line="300"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“Cashless Exercise” under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of the Warrant</w:t>
      </w:r>
    </w:p>
    <w:p>
      <w:pPr>
        <w:spacing w:after="0" w:line="99" w:lineRule="exact"/>
        <w:rPr>
          <w:rFonts w:ascii="MS PGothic" w:cs="MS PGothic" w:eastAsia="MS PGothic" w:hAnsi="MS PGothic"/>
          <w:sz w:val="16"/>
          <w:szCs w:val="16"/>
          <w:color w:val="auto"/>
        </w:rPr>
      </w:pPr>
    </w:p>
    <w:p>
      <w:pPr>
        <w:ind w:left="5" w:right="520" w:hanging="5"/>
        <w:spacing w:after="0" w:line="27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Holder has elected a Cash Exercise, the Holder shall pay the sum of $ _____ in immediately available funds to the Company in accordance with the terms of the Warrant.</w:t>
      </w:r>
    </w:p>
    <w:p>
      <w:pPr>
        <w:spacing w:after="0" w:line="49" w:lineRule="exact"/>
        <w:rPr>
          <w:rFonts w:ascii="Times New Roman" w:cs="Times New Roman" w:eastAsia="Times New Roman" w:hAnsi="Times New Roman"/>
          <w:sz w:val="16"/>
          <w:szCs w:val="16"/>
          <w:color w:val="auto"/>
        </w:rPr>
      </w:pPr>
    </w:p>
    <w:p>
      <w:pPr>
        <w:ind w:left="5" w:right="120" w:hanging="5"/>
        <w:spacing w:after="0" w:line="27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this Exercise Notice, the Company shall deliver to the Holder Warrant Shares determined in accordance with the terms of the Warrant. The Warrant Shares shall be delivered (check one):</w:t>
      </w:r>
    </w:p>
    <w:p>
      <w:pPr>
        <w:spacing w:after="0" w:line="156" w:lineRule="exact"/>
        <w:rPr>
          <w:rFonts w:ascii="Times New Roman" w:cs="Times New Roman" w:eastAsia="Times New Roman" w:hAnsi="Times New Roman"/>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the following DWAC Account Number: 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book-entry form via a direct registration system</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by physical delivery of a certificate to: ______________________________________________________</w:t>
      </w:r>
    </w:p>
    <w:p>
      <w:pPr>
        <w:spacing w:after="0" w:line="99" w:lineRule="exact"/>
        <w:rPr>
          <w:rFonts w:ascii="MS PGothic" w:cs="MS PGothic" w:eastAsia="MS PGothic" w:hAnsi="MS PGothic"/>
          <w:sz w:val="16"/>
          <w:szCs w:val="16"/>
          <w:color w:val="auto"/>
        </w:rPr>
      </w:pPr>
    </w:p>
    <w:p>
      <w:pPr>
        <w:ind w:left="68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_______________________________________________________</w:t>
      </w:r>
    </w:p>
    <w:p>
      <w:pPr>
        <w:spacing w:after="0" w:line="99" w:lineRule="exact"/>
        <w:rPr>
          <w:rFonts w:ascii="MS PGothic" w:cs="MS PGothic" w:eastAsia="MS PGothic" w:hAnsi="MS PGothic"/>
          <w:sz w:val="16"/>
          <w:szCs w:val="16"/>
          <w:color w:val="auto"/>
        </w:rPr>
      </w:pPr>
    </w:p>
    <w:p>
      <w:pPr>
        <w:ind w:left="865" w:hanging="419"/>
        <w:spacing w:after="0"/>
        <w:tabs>
          <w:tab w:leader="none" w:pos="865" w:val="left"/>
        </w:tabs>
        <w:numPr>
          <w:ilvl w:val="1"/>
          <w:numId w:val="1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restricted book-entry form in the Company’s share register</w:t>
      </w:r>
    </w:p>
    <w:p>
      <w:pPr>
        <w:spacing w:after="0" w:line="99" w:lineRule="exact"/>
        <w:rPr>
          <w:rFonts w:ascii="MS PGothic" w:cs="MS PGothic" w:eastAsia="MS PGothic" w:hAnsi="MS PGothic"/>
          <w:sz w:val="16"/>
          <w:szCs w:val="16"/>
          <w:color w:val="auto"/>
        </w:rPr>
      </w:pPr>
    </w:p>
    <w:p>
      <w:pPr>
        <w:ind w:left="5" w:hanging="5"/>
        <w:spacing w:after="0" w:line="256" w:lineRule="auto"/>
        <w:tabs>
          <w:tab w:leader="none" w:pos="22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its delivery of this Exercise Notice, the undersigned represents and warrants to the Company that in giving effect to the exercise evidenced hereby (i) solely if this Warrant is being exercised pursuant to a Cash Exercise, the Holder is an “accredited investor” as defined in Regulation D promulgated under the Securities Act of 1933, as amended and (ii)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6"/>
          <w:szCs w:val="16"/>
          <w:u w:val="single" w:color="auto"/>
          <w:color w:val="auto"/>
        </w:rPr>
        <w:t>Section 12(a)</w:t>
      </w:r>
      <w:r>
        <w:rPr>
          <w:rFonts w:ascii="Times New Roman" w:cs="Times New Roman" w:eastAsia="Times New Roman" w:hAnsi="Times New Roman"/>
          <w:sz w:val="16"/>
          <w:szCs w:val="16"/>
          <w:color w:val="auto"/>
        </w:rPr>
        <w:t xml:space="preserve"> of the Warrant to which this notice relates.</w:t>
      </w: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1210310</wp:posOffset>
            </wp:positionV>
            <wp:extent cx="71748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5"/>
          <w:szCs w:val="15"/>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24" w:name="page125"/>
    <w:bookmarkEnd w:id="124"/>
    <w:p>
      <w:pPr>
        <w:spacing w:after="0" w:line="6"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100"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b w:val="1"/>
          <w:bCs w:val="1"/>
          <w:color w:val="auto"/>
        </w:rPr>
        <w:t>FORM OF REDEMPTION NOTICE</w:t>
      </w:r>
    </w:p>
    <w:p>
      <w:pPr>
        <w:spacing w:after="0" w:line="102" w:lineRule="exact"/>
        <w:rPr>
          <w:sz w:val="20"/>
          <w:szCs w:val="20"/>
          <w:color w:val="auto"/>
        </w:rPr>
      </w:pPr>
    </w:p>
    <w:p>
      <w:pPr>
        <w:jc w:val="center"/>
        <w:ind w:right="-84"/>
        <w:spacing w:after="0"/>
        <w:rPr>
          <w:sz w:val="20"/>
          <w:szCs w:val="20"/>
          <w:color w:val="auto"/>
        </w:rPr>
      </w:pPr>
      <w:r>
        <w:rPr>
          <w:rFonts w:ascii="Times New Roman" w:cs="Times New Roman" w:eastAsia="Times New Roman" w:hAnsi="Times New Roman"/>
          <w:sz w:val="16"/>
          <w:szCs w:val="16"/>
          <w:color w:val="auto"/>
        </w:rPr>
        <w:t>[To be executed by the Holder to exercise the Redemption Right]</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8" w:lineRule="exact"/>
        <w:rPr>
          <w:sz w:val="20"/>
          <w:szCs w:val="20"/>
          <w:color w:val="auto"/>
        </w:rPr>
      </w:pPr>
    </w:p>
    <w:p>
      <w:pPr>
        <w:ind w:left="5" w:right="120" w:hanging="5"/>
        <w:spacing w:after="0" w:line="278" w:lineRule="auto"/>
        <w:tabs>
          <w:tab w:leader="none" w:pos="22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undersigned is the Holder of Warrant No. __ (the “Warrant”) issued by </w:t>
      </w:r>
      <w:r>
        <w:rPr>
          <w:rFonts w:ascii="Times New Roman" w:cs="Times New Roman" w:eastAsia="Times New Roman" w:hAnsi="Times New Roman"/>
          <w:sz w:val="16"/>
          <w:szCs w:val="16"/>
          <w:b w:val="1"/>
          <w:bCs w:val="1"/>
          <w:color w:val="auto"/>
        </w:rPr>
        <w:t>Athira Pharma, Inc.</w:t>
      </w:r>
      <w:r>
        <w:rPr>
          <w:rFonts w:ascii="Times New Roman" w:cs="Times New Roman" w:eastAsia="Times New Roman" w:hAnsi="Times New Roman"/>
          <w:sz w:val="16"/>
          <w:szCs w:val="16"/>
          <w:color w:val="auto"/>
        </w:rPr>
        <w:t>, a Delaware corporation (the “Company”). Capitalized terms used herein and not otherwise defined herein have the respective meanings set forth in the Warrant.</w:t>
      </w:r>
    </w:p>
    <w:p>
      <w:pPr>
        <w:spacing w:after="0" w:line="48"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hereby exercises its Redemption Right with respect to _____ Warrant Shares pursuant to the Warrant.</w:t>
      </w:r>
    </w:p>
    <w:p>
      <w:pPr>
        <w:spacing w:after="0" w:line="99"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exercise of the Redemption Right, the Number of Warrant Shares issuable upon exercise of the Warrant will be _____.</w:t>
      </w:r>
    </w:p>
    <w:p>
      <w:pPr>
        <w:spacing w:after="0" w:line="99" w:lineRule="exact"/>
        <w:rPr>
          <w:rFonts w:ascii="Times New Roman" w:cs="Times New Roman" w:eastAsia="Times New Roman" w:hAnsi="Times New Roman"/>
          <w:sz w:val="16"/>
          <w:szCs w:val="16"/>
          <w:color w:val="auto"/>
        </w:rPr>
      </w:pPr>
    </w:p>
    <w:p>
      <w:pPr>
        <w:ind w:left="5" w:hanging="5"/>
        <w:spacing w:after="0" w:line="276" w:lineRule="auto"/>
        <w:tabs>
          <w:tab w:leader="none" w:pos="22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this Redemption Notice, the Company shall deliver to the Holder the aggregate Redemption Price with respect to the Warrant Shares being redeemed determined in accordance with the terms of the Warrant. Such aggregate Redemption Price shall be delivered pursuant to the wire instructions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00" w:lineRule="exact"/>
        <w:rPr>
          <w:sz w:val="20"/>
          <w:szCs w:val="20"/>
          <w:color w:val="auto"/>
        </w:rPr>
      </w:pPr>
    </w:p>
    <w:p>
      <w:pPr>
        <w:spacing w:after="0" w:line="2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3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By:</w:t>
      </w:r>
    </w:p>
    <w:p>
      <w:pPr>
        <w:spacing w:after="0" w:line="11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-113030</wp:posOffset>
            </wp:positionV>
            <wp:extent cx="2984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845" cy="762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73660</wp:posOffset>
            </wp:positionV>
            <wp:extent cx="2984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1022350</wp:posOffset>
            </wp:positionV>
            <wp:extent cx="717486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5"/>
          </w:cols>
          <w:pgMar w:left="315" w:top="1440" w:right="4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5"/>
          <w:szCs w:val="15"/>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849630</wp:posOffset>
            </wp:positionV>
            <wp:extent cx="71748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SCHEDULE 3</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ASSIGNMENT FORM</w:t>
      </w:r>
    </w:p>
    <w:p>
      <w:pPr>
        <w:spacing w:after="0" w:line="3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i w:val="1"/>
          <w:iCs w:val="1"/>
          <w:u w:val="single" w:color="auto"/>
          <w:color w:val="auto"/>
        </w:rPr>
        <w:t>(To assign the foregoing Warrant, execute this form and supply required information. Do not use this form to purchase shares.)</w:t>
      </w:r>
    </w:p>
    <w:p>
      <w:pPr>
        <w:spacing w:after="0" w:line="10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u w:val="single" w:color="auto"/>
          <w:color w:val="auto"/>
        </w:rPr>
        <w:t>FOR VALUE RECEIVED, the foregoing Warrant and all rights evidenced thereby are hereby assigned to</w:t>
      </w:r>
    </w:p>
    <w:p>
      <w:pPr>
        <w:spacing w:after="0" w:line="1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u w:val="single" w:color="auto"/>
          <w:color w:val="auto"/>
        </w:rPr>
        <w:t>Name: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40" w:type="dxa"/>
            <w:vAlign w:val="bottom"/>
            <w:gridSpan w:val="3"/>
          </w:tcPr>
          <w:p>
            <w:pPr>
              <w:jc w:val="center"/>
              <w:ind w:right="2400"/>
              <w:spacing w:after="0"/>
              <w:rPr>
                <w:sz w:val="20"/>
                <w:szCs w:val="20"/>
                <w:color w:val="auto"/>
              </w:rPr>
            </w:pPr>
            <w:r>
              <w:rPr>
                <w:rFonts w:ascii="Times New Roman" w:cs="Times New Roman" w:eastAsia="Times New Roman" w:hAnsi="Times New Roman"/>
                <w:sz w:val="16"/>
                <w:szCs w:val="16"/>
                <w:color w:val="auto"/>
                <w:w w:val="96"/>
              </w:rPr>
              <w:t>(Please Print)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20" w:type="dxa"/>
            <w:vAlign w:val="bottom"/>
            <w:gridSpan w:val="8"/>
          </w:tcPr>
          <w:p>
            <w:pPr>
              <w:jc w:val="center"/>
              <w:ind w:right="3860"/>
              <w:spacing w:after="0"/>
              <w:rPr>
                <w:sz w:val="20"/>
                <w:szCs w:val="20"/>
                <w:color w:val="auto"/>
              </w:rPr>
            </w:pPr>
            <w:r>
              <w:rPr>
                <w:rFonts w:ascii="Times New Roman" w:cs="Times New Roman" w:eastAsia="Times New Roman" w:hAnsi="Times New Roman"/>
                <w:sz w:val="16"/>
                <w:szCs w:val="16"/>
                <w:color w:val="auto"/>
                <w:w w:val="98"/>
              </w:rPr>
              <w:t>Address:</w:t>
            </w:r>
          </w:p>
        </w:tc>
        <w:tc>
          <w:tcPr>
            <w:tcW w:w="10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40" w:type="dxa"/>
            <w:vAlign w:val="bottom"/>
            <w:gridSpan w:val="3"/>
          </w:tcPr>
          <w:p>
            <w:pPr>
              <w:jc w:val="center"/>
              <w:ind w:right="2400"/>
              <w:spacing w:after="0"/>
              <w:rPr>
                <w:sz w:val="20"/>
                <w:szCs w:val="20"/>
                <w:color w:val="auto"/>
              </w:rPr>
            </w:pPr>
            <w:r>
              <w:rPr>
                <w:rFonts w:ascii="Times New Roman" w:cs="Times New Roman" w:eastAsia="Times New Roman" w:hAnsi="Times New Roman"/>
                <w:sz w:val="16"/>
                <w:szCs w:val="16"/>
                <w:color w:val="auto"/>
                <w:w w:val="96"/>
              </w:rPr>
              <w:t>(Please Print)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20" w:type="dxa"/>
            <w:vAlign w:val="bottom"/>
            <w:gridSpan w:val="9"/>
          </w:tcPr>
          <w:p>
            <w:pPr>
              <w:jc w:val="center"/>
              <w:ind w:right="3640"/>
              <w:spacing w:after="0"/>
              <w:rPr>
                <w:sz w:val="20"/>
                <w:szCs w:val="20"/>
                <w:color w:val="auto"/>
              </w:rPr>
            </w:pPr>
            <w:r>
              <w:rPr>
                <w:rFonts w:ascii="Times New Roman" w:cs="Times New Roman" w:eastAsia="Times New Roman" w:hAnsi="Times New Roman"/>
                <w:sz w:val="16"/>
                <w:szCs w:val="16"/>
                <w:color w:val="auto"/>
                <w:w w:val="97"/>
              </w:rPr>
              <w:t xml:space="preserve">Phone </w:t>
            </w:r>
            <w:r>
              <w:rPr>
                <w:rFonts w:ascii="Times New Roman" w:cs="Times New Roman" w:eastAsia="Times New Roman" w:hAnsi="Times New Roman"/>
                <w:sz w:val="16"/>
                <w:szCs w:val="16"/>
                <w:u w:val="single" w:color="auto"/>
                <w:color w:val="auto"/>
                <w:w w:val="97"/>
              </w:rPr>
              <w:t>Number:</w:t>
            </w: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0" w:type="dxa"/>
            <w:vAlign w:val="bottom"/>
            <w:tcBorders>
              <w:top w:val="single" w:sz="8" w:color="auto"/>
              <w:bottom w:val="single" w:sz="8" w:color="auto"/>
            </w:tcBorders>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8"/>
              </w:rPr>
              <w:t xml:space="preserve">Email </w:t>
            </w:r>
            <w:r>
              <w:rPr>
                <w:rFonts w:ascii="Times New Roman" w:cs="Times New Roman" w:eastAsia="Times New Roman" w:hAnsi="Times New Roman"/>
                <w:sz w:val="16"/>
                <w:szCs w:val="16"/>
                <w:u w:val="single" w:color="auto"/>
                <w:color w:val="auto"/>
                <w:w w:val="98"/>
              </w:rPr>
              <w:t>Address:</w:t>
            </w:r>
          </w:p>
        </w:tc>
        <w:tc>
          <w:tcPr>
            <w:tcW w:w="3660" w:type="dxa"/>
            <w:vAlign w:val="bottom"/>
            <w:gridSpan w:val="6"/>
          </w:tcPr>
          <w:p>
            <w:pPr>
              <w:spacing w:after="0"/>
              <w:rPr>
                <w:sz w:val="19"/>
                <w:szCs w:val="19"/>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______________________________________</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15"/>
            <w:vMerge w:val="restart"/>
          </w:tcPr>
          <w:p>
            <w:pPr>
              <w:jc w:val="center"/>
              <w:ind w:right="1320"/>
              <w:spacing w:after="0"/>
              <w:rPr>
                <w:sz w:val="20"/>
                <w:szCs w:val="20"/>
                <w:color w:val="auto"/>
              </w:rPr>
            </w:pPr>
            <w:r>
              <w:rPr>
                <w:rFonts w:ascii="Times New Roman" w:cs="Times New Roman" w:eastAsia="Times New Roman" w:hAnsi="Times New Roman"/>
                <w:sz w:val="16"/>
                <w:szCs w:val="16"/>
                <w:color w:val="auto"/>
                <w:w w:val="98"/>
              </w:rPr>
              <w:t>Dated: _______________ __, ______</w:t>
            </w: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gridSpan w:val="15"/>
            <w:vMerge w:val="continue"/>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11"/>
          </w:tcPr>
          <w:p>
            <w:pPr>
              <w:jc w:val="center"/>
              <w:ind w:right="580"/>
              <w:spacing w:after="0"/>
              <w:rPr>
                <w:sz w:val="20"/>
                <w:szCs w:val="20"/>
                <w:color w:val="auto"/>
              </w:rPr>
            </w:pPr>
            <w:r>
              <w:rPr>
                <w:rFonts w:ascii="Times New Roman" w:cs="Times New Roman" w:eastAsia="Times New Roman" w:hAnsi="Times New Roman"/>
                <w:sz w:val="16"/>
                <w:szCs w:val="16"/>
                <w:color w:val="auto"/>
                <w:w w:val="98"/>
              </w:rPr>
              <w:t>Holder’s Signature:</w:t>
            </w:r>
          </w:p>
        </w:tc>
        <w:tc>
          <w:tcPr>
            <w:tcW w:w="2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6"/>
                <w:szCs w:val="16"/>
                <w:color w:val="auto"/>
                <w:w w:val="97"/>
              </w:rPr>
              <w:t>Holder’s Address:</w:t>
            </w:r>
          </w:p>
        </w:tc>
        <w:tc>
          <w:tcPr>
            <w:tcW w:w="3520" w:type="dxa"/>
            <w:vAlign w:val="bottom"/>
            <w:gridSpan w:val="3"/>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gridSpan w:val="7"/>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1620" w:type="dxa"/>
            <w:vAlign w:val="bottom"/>
          </w:tcPr>
          <w:p>
            <w:pPr>
              <w:spacing w:after="0"/>
              <w:rPr>
                <w:sz w:val="24"/>
                <w:szCs w:val="24"/>
                <w:color w:val="auto"/>
              </w:rPr>
            </w:pPr>
          </w:p>
        </w:tc>
        <w:tc>
          <w:tcPr>
            <w:tcW w:w="5320" w:type="dxa"/>
            <w:vAlign w:val="bottom"/>
            <w:gridSpan w:val="14"/>
          </w:tcPr>
          <w:p>
            <w:pPr>
              <w:jc w:val="center"/>
              <w:ind w:right="2940"/>
              <w:spacing w:after="0"/>
              <w:rPr>
                <w:sz w:val="20"/>
                <w:szCs w:val="20"/>
                <w:color w:val="auto"/>
              </w:rPr>
            </w:pPr>
            <w:r>
              <w:rPr>
                <w:rFonts w:ascii="Times New Roman" w:cs="Times New Roman" w:eastAsia="Times New Roman" w:hAnsi="Times New Roman"/>
                <w:sz w:val="16"/>
                <w:szCs w:val="16"/>
                <w:color w:val="auto"/>
                <w:w w:val="99"/>
              </w:rPr>
              <w:t>Signature Guarantee</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8"/>
        </w:trPr>
        <w:tc>
          <w:tcPr>
            <w:tcW w:w="1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7"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THIS REGISTRATION RIGHTS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December [ ● ], 2025, is entered into by and among Athira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the several investors signatory hereto (individually as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collectively together with their respective permitted assigns,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09" w:lineRule="exact"/>
        <w:rPr>
          <w:sz w:val="20"/>
          <w:szCs w:val="20"/>
          <w:color w:val="auto"/>
        </w:rPr>
      </w:pPr>
    </w:p>
    <w:p>
      <w:pPr>
        <w:jc w:val="both"/>
        <w:ind w:firstLine="745"/>
        <w:spacing w:after="0" w:line="251" w:lineRule="auto"/>
        <w:tabs>
          <w:tab w:leader="none" w:pos="102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of the Purchase Agreement, the Company has agreed to issue to the Investors, and the Investors have agreed to purchase, severally and not jointly, an aggregate of up to $90,000,000 of (w) shares (the “</w:t>
      </w:r>
      <w:r>
        <w:rPr>
          <w:rFonts w:ascii="Times New Roman" w:cs="Times New Roman" w:eastAsia="Times New Roman" w:hAnsi="Times New Roman"/>
          <w:sz w:val="17"/>
          <w:szCs w:val="17"/>
          <w:b w:val="1"/>
          <w:bCs w:val="1"/>
          <w:color w:val="auto"/>
        </w:rPr>
        <w:t>Initial 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(x) pre-funded warrants to purchase shares of Common Stock (the “</w:t>
      </w:r>
      <w:r>
        <w:rPr>
          <w:rFonts w:ascii="Times New Roman" w:cs="Times New Roman" w:eastAsia="Times New Roman" w:hAnsi="Times New Roman"/>
          <w:sz w:val="17"/>
          <w:szCs w:val="17"/>
          <w:b w:val="1"/>
          <w:bCs w:val="1"/>
          <w:color w:val="auto"/>
        </w:rPr>
        <w:t>Pre-Funded Warrants</w:t>
      </w:r>
      <w:r>
        <w:rPr>
          <w:rFonts w:ascii="Times New Roman" w:cs="Times New Roman" w:eastAsia="Times New Roman" w:hAnsi="Times New Roman"/>
          <w:sz w:val="17"/>
          <w:szCs w:val="17"/>
          <w:color w:val="auto"/>
        </w:rPr>
        <w:t>”), (y) accompanying warrants to purchase up to that number of additional shares of Common Stock equal to 162.5% of the sum of the number of Initial Shares and the number of shares underlying the Pre-Funded Warrants (rounded down to the nearest whole share) (the “</w:t>
      </w:r>
      <w:r>
        <w:rPr>
          <w:rFonts w:ascii="Times New Roman" w:cs="Times New Roman" w:eastAsia="Times New Roman" w:hAnsi="Times New Roman"/>
          <w:sz w:val="17"/>
          <w:szCs w:val="17"/>
          <w:b w:val="1"/>
          <w:bCs w:val="1"/>
          <w:color w:val="auto"/>
        </w:rPr>
        <w:t>Series A Common Warrants</w:t>
      </w:r>
      <w:r>
        <w:rPr>
          <w:rFonts w:ascii="Times New Roman" w:cs="Times New Roman" w:eastAsia="Times New Roman" w:hAnsi="Times New Roman"/>
          <w:sz w:val="17"/>
          <w:szCs w:val="17"/>
          <w:color w:val="auto"/>
        </w:rPr>
        <w:t>”) and (z) accompanying warrants to purchase up to that number of additional shares of Common Stock equal to 150% of the sum of the number of Initial Shares and the number of shares underlying the Pre-Funded Warrants (rounded down to the nearest whole share) (the “</w:t>
      </w:r>
      <w:r>
        <w:rPr>
          <w:rFonts w:ascii="Times New Roman" w:cs="Times New Roman" w:eastAsia="Times New Roman" w:hAnsi="Times New Roman"/>
          <w:sz w:val="17"/>
          <w:szCs w:val="17"/>
          <w:b w:val="1"/>
          <w:bCs w:val="1"/>
          <w:color w:val="auto"/>
        </w:rPr>
        <w:t>Series B Common Warrants</w:t>
      </w:r>
      <w:r>
        <w:rPr>
          <w:rFonts w:ascii="Times New Roman" w:cs="Times New Roman" w:eastAsia="Times New Roman" w:hAnsi="Times New Roman"/>
          <w:sz w:val="17"/>
          <w:szCs w:val="17"/>
          <w:color w:val="auto"/>
        </w:rPr>
        <w:t>” and together with the Series A Common Warrants, the “</w:t>
      </w:r>
      <w:r>
        <w:rPr>
          <w:rFonts w:ascii="Times New Roman" w:cs="Times New Roman" w:eastAsia="Times New Roman" w:hAnsi="Times New Roman"/>
          <w:sz w:val="17"/>
          <w:szCs w:val="17"/>
          <w:b w:val="1"/>
          <w:bCs w:val="1"/>
          <w:color w:val="auto"/>
        </w:rPr>
        <w:t>Common Warrants</w:t>
      </w:r>
      <w:r>
        <w:rPr>
          <w:rFonts w:ascii="Times New Roman" w:cs="Times New Roman" w:eastAsia="Times New Roman" w:hAnsi="Times New Roman"/>
          <w:sz w:val="17"/>
          <w:szCs w:val="17"/>
          <w:color w:val="auto"/>
        </w:rPr>
        <w:t>”, and the Common Warrants together with the Pre-Funded Warrants,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in each case, pursuant to the Purchase Agreement. The Initial Shares and the shares of Common Stock issuable upon exercise of the Warrants, without giving effect to any limitations on exercise of the Warrants, and assuming all of the Warrants are exercised for cash, are collectively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jc w:val="both"/>
        <w:ind w:firstLine="745"/>
        <w:spacing w:after="0" w:line="265" w:lineRule="auto"/>
        <w:tabs>
          <w:tab w:leader="none" w:pos="1021"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applicable state securities laws.</w:t>
      </w:r>
    </w:p>
    <w:p>
      <w:pPr>
        <w:spacing w:after="0" w:line="155" w:lineRule="exact"/>
        <w:rPr>
          <w:sz w:val="20"/>
          <w:szCs w:val="20"/>
          <w:color w:val="auto"/>
        </w:rPr>
      </w:pPr>
    </w:p>
    <w:p>
      <w:pPr>
        <w:ind w:right="20" w:firstLine="75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the Company and the Investors hereby agree as follows:</w:t>
      </w:r>
    </w:p>
    <w:p>
      <w:pPr>
        <w:spacing w:after="0" w:line="136" w:lineRule="exact"/>
        <w:rPr>
          <w:sz w:val="20"/>
          <w:szCs w:val="20"/>
          <w:color w:val="auto"/>
        </w:rPr>
      </w:pPr>
    </w:p>
    <w:p>
      <w:pPr>
        <w:ind w:left="1120" w:hanging="375"/>
        <w:spacing w:after="0"/>
        <w:tabs>
          <w:tab w:leader="none" w:pos="11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For purposes of this Agreement, the following terms shall have the following meanings:</w:t>
      </w:r>
    </w:p>
    <w:p>
      <w:pPr>
        <w:spacing w:after="0" w:line="205" w:lineRule="exact"/>
        <w:rPr>
          <w:sz w:val="20"/>
          <w:szCs w:val="20"/>
          <w:color w:val="auto"/>
        </w:rPr>
      </w:pPr>
    </w:p>
    <w:p>
      <w:pPr>
        <w:ind w:right="20" w:firstLine="1496"/>
        <w:spacing w:after="0" w:line="260" w:lineRule="auto"/>
        <w:tabs>
          <w:tab w:leader="none" w:pos="204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or any other entity or organization.</w:t>
      </w:r>
    </w:p>
    <w:p>
      <w:pPr>
        <w:jc w:val="both"/>
        <w:ind w:firstLine="1496"/>
        <w:spacing w:after="0" w:line="251" w:lineRule="auto"/>
        <w:tabs>
          <w:tab w:leader="none" w:pos="204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relating to the terms of the offering of any portion of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880110</wp:posOffset>
            </wp:positionV>
            <wp:extent cx="717486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8" w:name="page129"/>
    <w:bookmarkEnd w:id="128"/>
    <w:p>
      <w:pPr>
        <w:jc w:val="both"/>
        <w:ind w:right="20" w:firstLine="1496"/>
        <w:spacing w:after="0" w:line="26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the Shares and any Common Stock issued or issuable with respect to the Shares as a result of any stock split or subdivision, stock dividend, recapitalization, exchange or similar event; provided, that a security shall cease to be a Registrable Security upon (A) sale pursuant to a Registration Statement or Prospectus, as applicable, or Rule 144 under the Securities Act, or (B) such security becoming eligible for sale without the requirement for the Company to be in compliance with the current public information required under Rule 144 as to such Registrable Securities and without volume or manner-of-sale restrictions.</w:t>
      </w:r>
    </w:p>
    <w:p>
      <w:pPr>
        <w:spacing w:after="0" w:line="163"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Expenses</w:t>
      </w:r>
      <w:r>
        <w:rPr>
          <w:rFonts w:ascii="Times New Roman" w:cs="Times New Roman" w:eastAsia="Times New Roman" w:hAnsi="Times New Roman"/>
          <w:sz w:val="17"/>
          <w:szCs w:val="17"/>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66" w:lineRule="exact"/>
        <w:rPr>
          <w:rFonts w:ascii="Times New Roman" w:cs="Times New Roman" w:eastAsia="Times New Roman" w:hAnsi="Times New Roman"/>
          <w:sz w:val="17"/>
          <w:szCs w:val="17"/>
          <w:color w:val="auto"/>
        </w:rPr>
      </w:pPr>
    </w:p>
    <w:p>
      <w:pPr>
        <w:jc w:val="both"/>
        <w:ind w:firstLine="1496"/>
        <w:spacing w:after="0" w:line="253"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any registration statement of the Company filed with, or to be filed with, the SEC under the Securities Act, that Registers Registrable Securities, including the related Prospectus, amendments and supplements to such registration statement, including pre-and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If at any time the Company is ineligible to register for resale all of the Registrable Securities on Form S-3, such registration shall be on such other form available to register for resale the Registrable Securities.</w:t>
      </w:r>
    </w:p>
    <w:p>
      <w:pPr>
        <w:spacing w:after="0" w:line="165" w:lineRule="exact"/>
        <w:rPr>
          <w:rFonts w:ascii="Times New Roman" w:cs="Times New Roman" w:eastAsia="Times New Roman" w:hAnsi="Times New Roman"/>
          <w:sz w:val="17"/>
          <w:szCs w:val="17"/>
          <w:color w:val="auto"/>
        </w:rPr>
      </w:pPr>
    </w:p>
    <w:p>
      <w:pPr>
        <w:ind w:firstLine="1496"/>
        <w:spacing w:after="0" w:line="28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Investors</w:t>
      </w:r>
      <w:r>
        <w:rPr>
          <w:rFonts w:ascii="Times New Roman" w:cs="Times New Roman" w:eastAsia="Times New Roman" w:hAnsi="Times New Roman"/>
          <w:sz w:val="17"/>
          <w:szCs w:val="17"/>
          <w:color w:val="auto"/>
        </w:rPr>
        <w:t>” means the Investors holding a majority of the Registrable Securities outstanding from time to time (determined as if Warrants then outstanding have been exercised without regard to any limitations on the exercise of such Warrants).</w:t>
      </w:r>
    </w:p>
    <w:p>
      <w:pPr>
        <w:spacing w:after="0" w:line="135" w:lineRule="exact"/>
        <w:rPr>
          <w:rFonts w:ascii="Times New Roman" w:cs="Times New Roman" w:eastAsia="Times New Roman" w:hAnsi="Times New Roman"/>
          <w:sz w:val="17"/>
          <w:szCs w:val="17"/>
          <w:color w:val="auto"/>
        </w:rPr>
      </w:pPr>
    </w:p>
    <w:p>
      <w:pPr>
        <w:ind w:right="20" w:firstLine="1496"/>
        <w:spacing w:after="0" w:line="287" w:lineRule="auto"/>
        <w:tabs>
          <w:tab w:leader="none" w:pos="2041"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Expenses</w:t>
      </w:r>
      <w:r>
        <w:rPr>
          <w:rFonts w:ascii="Times New Roman" w:cs="Times New Roman" w:eastAsia="Times New Roman" w:hAnsi="Times New Roman"/>
          <w:sz w:val="17"/>
          <w:szCs w:val="17"/>
          <w:color w:val="auto"/>
        </w:rPr>
        <w:t>” means all underwriting discounts and selling commissions applicable to the sale of Registrable Securities and all similar fees and commissions relating to the Investors’ disposition of the Registrable Securities.</w:t>
      </w:r>
    </w:p>
    <w:p>
      <w:pPr>
        <w:spacing w:after="0" w:line="123"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59" w:lineRule="auto"/>
        <w:tabs>
          <w:tab w:leader="none" w:pos="2041"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xml:space="preserve">. The Company shall, as promptly as reasonably practicable and in any event no later than 30 days after the Closing Date on Form S-3, subject to </w:t>
      </w:r>
      <w:r>
        <w:rPr>
          <w:rFonts w:ascii="Times New Roman" w:cs="Times New Roman" w:eastAsia="Times New Roman" w:hAnsi="Times New Roman"/>
          <w:sz w:val="17"/>
          <w:szCs w:val="17"/>
          <w:u w:val="single" w:color="auto"/>
          <w:color w:val="auto"/>
        </w:rPr>
        <w:t>Section 2(g)</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prepare and file with the SEC an initial Registration Statement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covering the resale of all Registrable Securities. Before filing the Registration Statement, the Company shall furnish to the Investors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the Registration Statement. The Investors and their counsel shall have at least three (3) Business Days prior to the anticipated filing date of a</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29" w:name="page130"/>
    <w:bookmarkEnd w:id="129"/>
    <w:p>
      <w:pPr>
        <w:jc w:val="both"/>
        <w:spacing w:after="0" w:line="251" w:lineRule="auto"/>
        <w:rPr>
          <w:sz w:val="20"/>
          <w:szCs w:val="20"/>
          <w:color w:val="auto"/>
        </w:rPr>
      </w:pPr>
      <w:r>
        <w:rPr>
          <w:rFonts w:ascii="Times New Roman" w:cs="Times New Roman" w:eastAsia="Times New Roman" w:hAnsi="Times New Roman"/>
          <w:sz w:val="17"/>
          <w:szCs w:val="17"/>
          <w:color w:val="auto"/>
        </w:rPr>
        <w:t>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w:t>
      </w:r>
    </w:p>
    <w:p>
      <w:pPr>
        <w:spacing w:after="0" w:line="167" w:lineRule="exact"/>
        <w:rPr>
          <w:sz w:val="20"/>
          <w:szCs w:val="20"/>
          <w:color w:val="auto"/>
        </w:rPr>
      </w:pPr>
    </w:p>
    <w:p>
      <w:pPr>
        <w:jc w:val="both"/>
        <w:ind w:firstLine="1496"/>
        <w:spacing w:after="0" w:line="248" w:lineRule="auto"/>
        <w:tabs>
          <w:tab w:leader="none" w:pos="204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 Plan Under a Lapse in Appropriations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Shutdown</w:t>
      </w:r>
      <w:r>
        <w:rPr>
          <w:rFonts w:ascii="Times New Roman" w:cs="Times New Roman" w:eastAsia="Times New Roman" w:hAnsi="Times New Roman"/>
          <w:sz w:val="17"/>
          <w:szCs w:val="17"/>
          <w:color w:val="auto"/>
        </w:rPr>
        <w:t>, August 7, 2025, or any similar guidance subsequently published by the SEC), then, after the SEC resumes reviewing and declaring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registration statements, the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Initial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Company shall notify the Investors by e-mail as promptly as practicable, and in any event, within 24 hours, after the Initial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pursuant to any applicable securities exemption where the recipient thereof receives unrestricted securities, including Rule 144 (or any successor provision) or pursuant to a Registration Statement;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0" w:name="page131"/>
    <w:bookmarkEnd w:id="130"/>
    <w:p>
      <w:pPr>
        <w:jc w:val="both"/>
        <w:ind w:firstLine="1496"/>
        <w:spacing w:after="0" w:line="249" w:lineRule="auto"/>
        <w:tabs>
          <w:tab w:leader="none" w:pos="204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7"/>
          <w:szCs w:val="17"/>
          <w:b w:val="1"/>
          <w:bCs w:val="1"/>
          <w:color w:val="auto"/>
        </w:rPr>
        <w:t>New Registration Statement</w:t>
      </w:r>
      <w:r>
        <w:rPr>
          <w:rFonts w:ascii="Times New Roman" w:cs="Times New Roman" w:eastAsia="Times New Roman" w:hAnsi="Times New Roman"/>
          <w:sz w:val="17"/>
          <w:szCs w:val="17"/>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Filing Deadline</w:t>
      </w:r>
      <w:r>
        <w:rPr>
          <w:rFonts w:ascii="Times New Roman" w:cs="Times New Roman" w:eastAsia="Times New Roman" w:hAnsi="Times New Roman"/>
          <w:sz w:val="17"/>
          <w:szCs w:val="17"/>
          <w:color w:val="auto"/>
        </w:rPr>
        <w:t>”). The Company shall use its reasonable best efforts to have such amendment and/or New Registration Statement become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7"/>
          <w:szCs w:val="17"/>
          <w:b w:val="1"/>
          <w:bCs w:val="1"/>
          <w:color w:val="auto"/>
        </w:rPr>
        <w:t>New Registration 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New Registration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 Under a Lapse in Appropriations and Government Shutdown</w:t>
      </w:r>
      <w:r>
        <w:rPr>
          <w:rFonts w:ascii="Times New Roman" w:cs="Times New Roman" w:eastAsia="Times New Roman" w:hAnsi="Times New Roman"/>
          <w:sz w:val="17"/>
          <w:szCs w:val="17"/>
          <w:color w:val="auto"/>
        </w:rPr>
        <w:t>, August 7, 2025, or any similar guidance subsequently published by the SEC), then,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 resumes reviewing and declaring effective registration statements, the New Registration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New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w:t>
      </w:r>
    </w:p>
    <w:p>
      <w:pPr>
        <w:spacing w:after="0" w:line="373" w:lineRule="exact"/>
        <w:rPr>
          <w:rFonts w:ascii="Times New Roman" w:cs="Times New Roman" w:eastAsia="Times New Roman" w:hAnsi="Times New Roman"/>
          <w:sz w:val="17"/>
          <w:szCs w:val="17"/>
          <w:color w:val="auto"/>
        </w:rPr>
      </w:pPr>
    </w:p>
    <w:p>
      <w:pPr>
        <w:jc w:val="both"/>
        <w:ind w:firstLine="1496"/>
        <w:spacing w:after="0" w:line="249" w:lineRule="auto"/>
        <w:tabs>
          <w:tab w:leader="none" w:pos="204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each Investor then holding Registrable Securities, as liquidated damages and not as a penalty, in an amount equal to 1.0% of the sum of (x) the aggregate amount paid pursuant to the Purchase Agreement and (y) in the case of pre-funded warrants, the aggregate amount paid or payable pursuant to such pre-funded warrants, by such Investor for such Registrable Securities then held by such Investor on the date of the applicable failure and for each 30-day period, or pro rata for any portion thereof during which the failure continues (the “</w:t>
      </w:r>
      <w:r>
        <w:rPr>
          <w:rFonts w:ascii="Times New Roman" w:cs="Times New Roman" w:eastAsia="Times New Roman" w:hAnsi="Times New Roman"/>
          <w:sz w:val="17"/>
          <w:szCs w:val="17"/>
          <w:b w:val="1"/>
          <w:bCs w:val="1"/>
          <w:color w:val="auto"/>
        </w:rPr>
        <w:t>Blackout Period</w:t>
      </w:r>
      <w:r>
        <w:rPr>
          <w:rFonts w:ascii="Times New Roman" w:cs="Times New Roman" w:eastAsia="Times New Roman" w:hAnsi="Times New Roman"/>
          <w:sz w:val="17"/>
          <w:szCs w:val="17"/>
          <w:color w:val="auto"/>
        </w:rPr>
        <w:t>”). Such payments shall constitute the Investors’ exclusive monetary remedy for such events, but shall not affect the right of the Investors to seek injunctive relief. The amounts payable as liquidated damages pursuant to this paragraph shall be paid in cash no later than five (5) Business Days after each such failure and each such 30-day period (pro-rated for periods totaling less than 30 days) following the commencement of the Blackout Period until the termination of the Blackout Period (the “</w:t>
      </w:r>
      <w:r>
        <w:rPr>
          <w:rFonts w:ascii="Times New Roman" w:cs="Times New Roman" w:eastAsia="Times New Roman" w:hAnsi="Times New Roman"/>
          <w:sz w:val="17"/>
          <w:szCs w:val="17"/>
          <w:b w:val="1"/>
          <w:bCs w:val="1"/>
          <w:color w:val="auto"/>
        </w:rPr>
        <w:t>Blackout Period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Interest shall accrue at the rate of 1.0% per month on any such liquidated damages payments that shall not be paid by the Blackout Period Payment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such amount is paid in full. Notwithstanding anything in this Section 2(d) to the contrary, during any periods that the Company is unable to meet its obligations hereunder with respect to the registration of the Registrable Securities solely because any Investor fails to furnish information required to be provided pursuant to Section 2(a) or Section 4(a) within three (3) Business Days of the Company’s request, any liquidated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damages that would otherwise accrue as to such Investor only shall be tolled until such information is delivered to the Company.</w:t>
      </w:r>
    </w:p>
    <w:p>
      <w:pPr>
        <w:spacing w:after="0" w:line="207" w:lineRule="exact"/>
        <w:rPr>
          <w:sz w:val="20"/>
          <w:szCs w:val="20"/>
          <w:color w:val="auto"/>
        </w:rPr>
      </w:pPr>
    </w:p>
    <w:p>
      <w:pPr>
        <w:jc w:val="both"/>
        <w:ind w:firstLine="1496"/>
        <w:spacing w:after="0" w:line="248" w:lineRule="auto"/>
        <w:tabs>
          <w:tab w:leader="none" w:pos="204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Allowable Delays.</w:t>
      </w:r>
      <w:r>
        <w:rPr>
          <w:rFonts w:ascii="Times New Roman" w:cs="Times New Roman" w:eastAsia="Times New Roman" w:hAnsi="Times New Roman"/>
          <w:sz w:val="17"/>
          <w:szCs w:val="17"/>
          <w:color w:val="auto"/>
        </w:rPr>
        <w:t xml:space="preserve"> On no more than two occasions and for not more than 30 consecutive days (or forty-five (45) consecutive calendar days if the Company receives comments on its Annual Report on Form 10-K or if the Company has filed or amended a Registration Statement or Final Prospectus, as applicable, relating to resales of the Registrable Securities and such filing or amendment is not automatically effective)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a Suspension Event (as defined in Section 3(e)) occurs (an “</w:t>
      </w:r>
      <w:r>
        <w:rPr>
          <w:rFonts w:ascii="Times New Roman" w:cs="Times New Roman" w:eastAsia="Times New Roman" w:hAnsi="Times New Roman"/>
          <w:sz w:val="17"/>
          <w:szCs w:val="17"/>
          <w:b w:val="1"/>
          <w:bCs w:val="1"/>
          <w:color w:val="auto"/>
        </w:rPr>
        <w:t>Allowed Delay</w:t>
      </w:r>
      <w:r>
        <w:rPr>
          <w:rFonts w:ascii="Times New Roman" w:cs="Times New Roman" w:eastAsia="Times New Roman" w:hAnsi="Times New Roman"/>
          <w:sz w:val="17"/>
          <w:szCs w:val="17"/>
          <w:color w:val="auto"/>
        </w:rPr>
        <w:t>”); provided, that the Company shall promptly (a) notify each Investor by email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7"/>
          <w:szCs w:val="17"/>
          <w:b w:val="1"/>
          <w:bCs w:val="1"/>
          <w:color w:val="auto"/>
        </w:rPr>
        <w:t>Opt-Out Notice</w:t>
      </w:r>
      <w:r>
        <w:rPr>
          <w:rFonts w:ascii="Times New Roman" w:cs="Times New Roman" w:eastAsia="Times New Roman" w:hAnsi="Times New Roman"/>
          <w:sz w:val="17"/>
          <w:szCs w:val="17"/>
          <w:color w:val="auto"/>
        </w:rPr>
        <w:t>”) to the Company requesting that such Investor not receive notices from the Company otherwise required by this Section 2; provided, however, that such Investor may later revoke any such Opt-Out Notice in writing. Following receipt of an Opt-Out Notice from an Investor (unless subsequently revoked), (a) the Company shall not deliver any notices pursuant to this Section 2(e) to such Investor and such Investor shall no longer be entitled to the rights associated with any such notice and (b) each time prior to such Investor’s intended use of an effective Registration Statement, such Investor will notify the Company in writing at least two (2) Business Days in advance of such intended use, and if a notice of an Allowed Delay was previously delivered (or would have been delivered but for the provisions of this Section 2(e)) and the related suspension period remains in effect, the Company will so notify such Investor, within one (1) Business Day of such Investor’s notification to the Company, by delivering to such Investor a copy of such previous notice of an Allowed Delay, and thereafter will provide such Investor with the related notice of the conclusion of such Allowed Delay immediately upon the conclusion thereof (which notices shall not contain any material nonpublic information or subject such Investor to any duty of confidentiality).</w:t>
      </w:r>
    </w:p>
    <w:p>
      <w:pPr>
        <w:spacing w:after="0" w:line="180"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415; Cutback</w:t>
      </w:r>
      <w:r>
        <w:rPr>
          <w:rFonts w:ascii="Times New Roman" w:cs="Times New Roman" w:eastAsia="Times New Roman" w:hAnsi="Times New Roman"/>
          <w:sz w:val="17"/>
          <w:szCs w:val="17"/>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the terms of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7"/>
          <w:szCs w:val="17"/>
          <w:b w:val="1"/>
          <w:bCs w:val="1"/>
          <w:color w:val="auto"/>
        </w:rPr>
        <w:t>Cut Back Shares</w:t>
      </w:r>
      <w:r>
        <w:rPr>
          <w:rFonts w:ascii="Times New Roman" w:cs="Times New Roman" w:eastAsia="Times New Roman" w:hAnsi="Times New Roman"/>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7"/>
          <w:szCs w:val="17"/>
          <w:b w:val="1"/>
          <w:bCs w:val="1"/>
          <w:color w:val="auto"/>
        </w:rPr>
        <w:t>SEC Restrictions</w:t>
      </w:r>
      <w:r>
        <w:rPr>
          <w:rFonts w:ascii="Times New Roman" w:cs="Times New Roman" w:eastAsia="Times New Roman" w:hAnsi="Times New Roman"/>
          <w:sz w:val="17"/>
          <w:szCs w:val="17"/>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7"/>
          <w:szCs w:val="17"/>
          <w:u w:val="single" w:color="auto"/>
          <w:color w:val="auto"/>
        </w:rPr>
        <w:t>Section 2(f)</w:t>
      </w:r>
      <w:r>
        <w:rPr>
          <w:rFonts w:ascii="Times New Roman" w:cs="Times New Roman" w:eastAsia="Times New Roman" w:hAnsi="Times New Roman"/>
          <w:sz w:val="17"/>
          <w:szCs w:val="17"/>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such date as the Company is able to effect the registration of such Cut Back Shares in accordance with any SEC Restrictions (the "</w:t>
      </w:r>
      <w:r>
        <w:rPr>
          <w:rFonts w:ascii="Times New Roman" w:cs="Times New Roman" w:eastAsia="Times New Roman" w:hAnsi="Times New Roman"/>
          <w:sz w:val="17"/>
          <w:szCs w:val="17"/>
          <w:b w:val="1"/>
          <w:bCs w:val="1"/>
          <w:color w:val="auto"/>
        </w:rPr>
        <w:t>Restriction Termination Date</w:t>
      </w:r>
      <w:r>
        <w:rPr>
          <w:rFonts w:ascii="Times New Roman" w:cs="Times New Roman" w:eastAsia="Times New Roman" w:hAnsi="Times New Roman"/>
          <w:sz w:val="17"/>
          <w:szCs w:val="17"/>
          <w:color w:val="auto"/>
        </w:rPr>
        <w:t xml:space="preserve">"), all of the provisions of this Section 2 (including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and any registration statement so filed shall be deemed a “Registration Statement” under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50th day immediately after the Restriction Termination Date.</w:t>
      </w:r>
    </w:p>
    <w:p>
      <w:pPr>
        <w:spacing w:after="0" w:line="173" w:lineRule="exact"/>
        <w:rPr>
          <w:sz w:val="20"/>
          <w:szCs w:val="20"/>
          <w:color w:val="auto"/>
        </w:rPr>
      </w:pPr>
    </w:p>
    <w:p>
      <w:pPr>
        <w:jc w:val="both"/>
        <w:ind w:right="20" w:firstLine="1496"/>
        <w:spacing w:after="0" w:line="259" w:lineRule="auto"/>
        <w:tabs>
          <w:tab w:leader="none" w:pos="204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S-3</w:t>
      </w:r>
      <w:r>
        <w:rPr>
          <w:rFonts w:ascii="Times New Roman" w:cs="Times New Roman" w:eastAsia="Times New Roman" w:hAnsi="Times New Roman"/>
          <w:sz w:val="17"/>
          <w:szCs w:val="17"/>
          <w:color w:val="auto"/>
        </w:rPr>
        <w:t>.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59"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COMPANY OBLIGATIONS.</w:t>
      </w:r>
    </w:p>
    <w:p>
      <w:pPr>
        <w:spacing w:after="0" w:line="209"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 xml:space="preserve">With respect to the Registration Statement and whenever any Registrable Securities are to be Registered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57" w:lineRule="exact"/>
        <w:rPr>
          <w:sz w:val="20"/>
          <w:szCs w:val="20"/>
          <w:color w:val="auto"/>
        </w:rPr>
      </w:pPr>
    </w:p>
    <w:p>
      <w:pPr>
        <w:jc w:val="both"/>
        <w:ind w:firstLine="1496"/>
        <w:spacing w:after="0" w:line="259" w:lineRule="auto"/>
        <w:tabs>
          <w:tab w:leader="none" w:pos="204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Notifications</w:t>
      </w:r>
      <w:r>
        <w:rPr>
          <w:rFonts w:ascii="Times New Roman" w:cs="Times New Roman" w:eastAsia="Times New Roman" w:hAnsi="Times New Roman"/>
          <w:sz w:val="17"/>
          <w:szCs w:val="17"/>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61"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Effectiveness Period and to comply with the provisions of the Securities Act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3" w:name="page134"/>
    <w:bookmarkEnd w:id="133"/>
    <w:p>
      <w:pPr>
        <w:jc w:val="both"/>
        <w:spacing w:after="0" w:line="267" w:lineRule="auto"/>
        <w:rPr>
          <w:sz w:val="20"/>
          <w:szCs w:val="20"/>
          <w:color w:val="auto"/>
        </w:rPr>
      </w:pPr>
      <w:r>
        <w:rPr>
          <w:rFonts w:ascii="Times New Roman" w:cs="Times New Roman" w:eastAsia="Times New Roman" w:hAnsi="Times New Roman"/>
          <w:sz w:val="17"/>
          <w:szCs w:val="17"/>
          <w:color w:val="auto"/>
        </w:rPr>
        <w:t>and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with respect to the distribution of the Registrable Securities covered thereby, or (b) in the reasonable opinion of the Investors and the Company, as may be necessary or advisable in connection with any acquisition or sale of Registrable Securities by the Investors.</w:t>
      </w:r>
    </w:p>
    <w:p>
      <w:pPr>
        <w:spacing w:after="0" w:line="154" w:lineRule="exact"/>
        <w:rPr>
          <w:sz w:val="20"/>
          <w:szCs w:val="20"/>
          <w:color w:val="auto"/>
        </w:rPr>
      </w:pPr>
    </w:p>
    <w:p>
      <w:pPr>
        <w:jc w:val="both"/>
        <w:ind w:right="20" w:firstLine="1496"/>
        <w:spacing w:after="0" w:line="256"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Review</w:t>
      </w:r>
      <w:r>
        <w:rPr>
          <w:rFonts w:ascii="Times New Roman" w:cs="Times New Roman" w:eastAsia="Times New Roman" w:hAnsi="Times New Roman"/>
          <w:sz w:val="17"/>
          <w:szCs w:val="17"/>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63"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the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such Investor to the extent such document is available on EDGAR.</w:t>
      </w:r>
    </w:p>
    <w:p>
      <w:pPr>
        <w:spacing w:after="0" w:line="167" w:lineRule="exact"/>
        <w:rPr>
          <w:rFonts w:ascii="Times New Roman" w:cs="Times New Roman" w:eastAsia="Times New Roman" w:hAnsi="Times New Roman"/>
          <w:sz w:val="17"/>
          <w:szCs w:val="17"/>
          <w:color w:val="auto"/>
        </w:rPr>
      </w:pPr>
    </w:p>
    <w:p>
      <w:pPr>
        <w:jc w:val="both"/>
        <w:ind w:firstLine="1496"/>
        <w:spacing w:after="0" w:line="249" w:lineRule="auto"/>
        <w:tabs>
          <w:tab w:leader="none" w:pos="204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Stop Orders; Material Changes</w:t>
      </w:r>
      <w:r>
        <w:rPr>
          <w:rFonts w:ascii="Times New Roman" w:cs="Times New Roman" w:eastAsia="Times New Roman" w:hAnsi="Times New Roman"/>
          <w:sz w:val="17"/>
          <w:szCs w:val="17"/>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(i) to (iii) of the immediately preceding sentence (each, a “</w:t>
      </w:r>
      <w:r>
        <w:rPr>
          <w:rFonts w:ascii="Times New Roman" w:cs="Times New Roman" w:eastAsia="Times New Roman" w:hAnsi="Times New Roman"/>
          <w:sz w:val="17"/>
          <w:szCs w:val="17"/>
          <w:b w:val="1"/>
          <w:bCs w:val="1"/>
          <w:color w:val="auto"/>
        </w:rPr>
        <w:t>Suspension Event</w:t>
      </w:r>
      <w:r>
        <w:rPr>
          <w:rFonts w:ascii="Times New Roman" w:cs="Times New Roman" w:eastAsia="Times New Roman" w:hAnsi="Times New Roman"/>
          <w:sz w:val="17"/>
          <w:szCs w:val="17"/>
          <w:color w:val="auto"/>
        </w:rPr>
        <w:t>”), but rather, shall only be required to disclose that the event has occurred; provided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that the Company should not provide any material non-public information to the Investors in such notice (it being understood that notice solely of the existence of the Suspension Event as required by this Section 3(e) shall not constitute a breach hereof).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Company will use its commercially reasonable efforts to publicly disclose such event as soon as reasonably practicable, or otherwise resolve the matter such that sales under Registration Statements may resume.</w:t>
      </w:r>
    </w:p>
    <w:p>
      <w:pPr>
        <w:spacing w:after="0" w:line="363" w:lineRule="exact"/>
        <w:rPr>
          <w:sz w:val="20"/>
          <w:szCs w:val="20"/>
          <w:color w:val="auto"/>
        </w:rPr>
      </w:pPr>
    </w:p>
    <w:p>
      <w:pPr>
        <w:jc w:val="both"/>
        <w:ind w:firstLine="1496"/>
        <w:spacing w:after="0" w:line="259"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Effectiveness</w:t>
      </w:r>
      <w:r>
        <w:rPr>
          <w:rFonts w:ascii="Times New Roman" w:cs="Times New Roman" w:eastAsia="Times New Roman" w:hAnsi="Times New Roman"/>
          <w:sz w:val="17"/>
          <w:szCs w:val="17"/>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61"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have filed with Nasdaq a Notification Form: Listing of Additional Shares for the listing of the Shares and Nasdaq shall have raised no objection to such notice.</w:t>
      </w:r>
    </w:p>
    <w:p>
      <w:pPr>
        <w:spacing w:after="0" w:line="140"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 in writing if, at any time during the Effectiveness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7"/>
          <w:szCs w:val="17"/>
          <w:u w:val="single" w:color="auto"/>
          <w:color w:val="auto"/>
        </w:rPr>
        <w:t>subsection 3(h)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after the end of such fourth fiscal quarter).</w:t>
      </w:r>
    </w:p>
    <w:p>
      <w:pPr>
        <w:spacing w:after="0" w:line="172"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xml:space="preserve">. The Company shall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(ii) subject itself to general taxation in any jurisdiction where it would not otherwise be so subject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or (iii) file a general consent to service of process in any such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5" w:name="page136"/>
    <w:bookmarkEnd w:id="135"/>
    <w:p>
      <w:pPr>
        <w:jc w:val="both"/>
        <w:ind w:firstLine="1496"/>
        <w:spacing w:after="0" w:line="251" w:lineRule="auto"/>
        <w:tabs>
          <w:tab w:leader="none" w:pos="204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70"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6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OBLIGATIONS OF THE INVESTORS.</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65"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Information</w:t>
      </w:r>
      <w:r>
        <w:rPr>
          <w:rFonts w:ascii="Times New Roman" w:cs="Times New Roman" w:eastAsia="Times New Roman" w:hAnsi="Times New Roman"/>
          <w:sz w:val="17"/>
          <w:szCs w:val="17"/>
          <w:color w:val="auto"/>
        </w:rPr>
        <w:t xml:space="preserve">. Each Investor shall provide a completed Investor Questionnaire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in connection with the registration of the Registrable Securities. If the Company has not received such completed Questionnaire from an Investor within three (3) Business Days of the Company’s request, the Company may file the Registration Statement without including such Investor’s Registrable Securities.</w:t>
      </w:r>
    </w:p>
    <w:p>
      <w:pPr>
        <w:spacing w:after="0" w:line="156"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xml:space="preserve">. Each Investor, severally and not jointly with any other Investor, agrees that, upon receipt of any notice from the Company of the existence of an Allowed Delay or a Suspension Event as set forth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167"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Cooperation</w:t>
      </w:r>
      <w:r>
        <w:rPr>
          <w:rFonts w:ascii="Times New Roman" w:cs="Times New Roman" w:eastAsia="Times New Roman" w:hAnsi="Times New Roman"/>
          <w:sz w:val="17"/>
          <w:szCs w:val="17"/>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6" w:name="page137"/>
    <w:bookmarkEnd w:id="136"/>
    <w:p>
      <w:pPr>
        <w:ind w:right="20"/>
        <w:spacing w:after="0" w:line="284" w:lineRule="auto"/>
        <w:rPr>
          <w:sz w:val="20"/>
          <w:szCs w:val="20"/>
          <w:color w:val="auto"/>
        </w:rPr>
      </w:pPr>
      <w:r>
        <w:rPr>
          <w:rFonts w:ascii="Times New Roman" w:cs="Times New Roman" w:eastAsia="Times New Roman" w:hAnsi="Times New Roman"/>
          <w:sz w:val="17"/>
          <w:szCs w:val="17"/>
          <w:color w:val="auto"/>
        </w:rPr>
        <w:t>Registration Statement hereunder, unless such Investor has notified the Company in writing of its election to exclude all of its Registrable Securities from such Registration Statement.</w:t>
      </w:r>
    </w:p>
    <w:p>
      <w:pPr>
        <w:spacing w:after="0" w:line="139" w:lineRule="exact"/>
        <w:rPr>
          <w:sz w:val="20"/>
          <w:szCs w:val="20"/>
          <w:color w:val="auto"/>
        </w:rPr>
      </w:pPr>
    </w:p>
    <w:p>
      <w:pPr>
        <w:ind w:left="1120" w:hanging="375"/>
        <w:spacing w:after="0"/>
        <w:tabs>
          <w:tab w:leader="none" w:pos="112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REGISTRATION.</w:t>
      </w:r>
    </w:p>
    <w:p>
      <w:pPr>
        <w:spacing w:after="0" w:line="209" w:lineRule="exact"/>
        <w:rPr>
          <w:sz w:val="20"/>
          <w:szCs w:val="20"/>
          <w:color w:val="auto"/>
        </w:rPr>
      </w:pPr>
    </w:p>
    <w:p>
      <w:pPr>
        <w:ind w:right="20" w:firstLine="1501"/>
        <w:spacing w:after="0" w:line="284" w:lineRule="auto"/>
        <w:rPr>
          <w:sz w:val="20"/>
          <w:szCs w:val="20"/>
          <w:color w:val="auto"/>
        </w:rPr>
      </w:pPr>
      <w:r>
        <w:rPr>
          <w:rFonts w:ascii="Times New Roman" w:cs="Times New Roman" w:eastAsia="Times New Roman" w:hAnsi="Times New Roman"/>
          <w:sz w:val="17"/>
          <w:szCs w:val="17"/>
          <w:color w:val="auto"/>
        </w:rPr>
        <w:t>All Registration Expenses incurred in connection with registrations pursuant to this Agreement shall be borne by the Company. All Selling Expenses relating to securities registered on behalf of an Investor shall be borne by the investor incurring the relevant Selling Expenses.</w:t>
      </w:r>
    </w:p>
    <w:p>
      <w:pPr>
        <w:spacing w:after="0" w:line="139" w:lineRule="exact"/>
        <w:rPr>
          <w:sz w:val="20"/>
          <w:szCs w:val="20"/>
          <w:color w:val="auto"/>
        </w:rPr>
      </w:pPr>
    </w:p>
    <w:p>
      <w:pPr>
        <w:ind w:left="1120" w:hanging="375"/>
        <w:spacing w:after="0"/>
        <w:tabs>
          <w:tab w:leader="none" w:pos="112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48" w:lineRule="auto"/>
        <w:tabs>
          <w:tab w:leader="none" w:pos="2041"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the Investors, each Person, if any, who controls the Investors, the shareholders, the members, the directors, officers, partners, employees, members, managers, agents, representatives and advisors of the Investors and each Person, if any, who controls any of the Investors within the meaning of the Securities Act or the Exchange Act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7"/>
          <w:szCs w:val="17"/>
          <w:b w:val="1"/>
          <w:bCs w:val="1"/>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7"/>
          <w:szCs w:val="17"/>
          <w:b w:val="1"/>
          <w:bCs w:val="1"/>
          <w:color w:val="auto"/>
        </w:rPr>
        <w:t>Violations</w:t>
      </w:r>
      <w:r>
        <w:rPr>
          <w:rFonts w:ascii="Times New Roman" w:cs="Times New Roman" w:eastAsia="Times New Roman" w:hAnsi="Times New Roman"/>
          <w:sz w:val="17"/>
          <w:szCs w:val="17"/>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7" w:name="page138"/>
    <w:bookmarkEnd w:id="137"/>
    <w:p>
      <w:pPr>
        <w:spacing w:after="0" w:line="16" w:lineRule="exact"/>
        <w:rPr>
          <w:sz w:val="20"/>
          <w:szCs w:val="20"/>
          <w:color w:val="auto"/>
        </w:rPr>
      </w:pPr>
    </w:p>
    <w:p>
      <w:pPr>
        <w:jc w:val="both"/>
        <w:ind w:firstLine="1496"/>
        <w:spacing w:after="0" w:line="249" w:lineRule="auto"/>
        <w:tabs>
          <w:tab w:leader="none" w:pos="20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the relevant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jc w:val="both"/>
        <w:ind w:firstLine="1496"/>
        <w:spacing w:after="0" w:line="248" w:lineRule="auto"/>
        <w:tabs>
          <w:tab w:leader="none" w:pos="204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except to the extent that the indemnifying party is prejudiced in its ability to defend such action.</w:t>
      </w:r>
    </w:p>
    <w:p>
      <w:pPr>
        <w:spacing w:after="0" w:line="166" w:lineRule="exact"/>
        <w:rPr>
          <w:sz w:val="20"/>
          <w:szCs w:val="20"/>
          <w:color w:val="auto"/>
        </w:rPr>
      </w:pPr>
    </w:p>
    <w:p>
      <w:pPr>
        <w:jc w:val="both"/>
        <w:ind w:firstLine="1496"/>
        <w:spacing w:after="0" w:line="265" w:lineRule="auto"/>
        <w:tabs>
          <w:tab w:leader="none" w:pos="20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which person is later determined to not be entitled to such payment shall return such payment (including reimbursement of expenses) to the person making it.</w:t>
      </w:r>
    </w:p>
    <w:p>
      <w:pPr>
        <w:spacing w:after="0" w:line="15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38"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CONTRIBUTION.</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amount of proceeds (net of all expenses paid by such holder in connection with any claim relating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64" w:lineRule="exact"/>
        <w:rPr>
          <w:sz w:val="20"/>
          <w:szCs w:val="20"/>
          <w:color w:val="auto"/>
        </w:rPr>
      </w:pPr>
    </w:p>
    <w:p>
      <w:pPr>
        <w:ind w:left="1120" w:hanging="375"/>
        <w:spacing w:after="0"/>
        <w:tabs>
          <w:tab w:leader="none" w:pos="112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 OF REGISTRATION RIGHTS.</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66" w:lineRule="exact"/>
        <w:rPr>
          <w:sz w:val="20"/>
          <w:szCs w:val="20"/>
          <w:color w:val="auto"/>
        </w:rPr>
      </w:pPr>
    </w:p>
    <w:p>
      <w:pPr>
        <w:jc w:val="both"/>
        <w:ind w:firstLine="1501"/>
        <w:spacing w:after="0" w:line="284" w:lineRule="auto"/>
        <w:rPr>
          <w:sz w:val="20"/>
          <w:szCs w:val="20"/>
          <w:color w:val="auto"/>
        </w:rPr>
      </w:pPr>
      <w:r>
        <w:rPr>
          <w:rFonts w:ascii="Times New Roman" w:cs="Times New Roman" w:eastAsia="Times New Roman" w:hAnsi="Times New Roman"/>
          <w:sz w:val="17"/>
          <w:szCs w:val="17"/>
          <w:color w:val="222222"/>
        </w:rPr>
        <w:t>An Investor may transfer or assign its rights hereunder, in whole or from time to time in part, to one or more Persons in connection with the transfer (i) of not fewer than 100,000 (subject 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39" w:name="page140"/>
    <w:bookmarkEnd w:id="139"/>
    <w:p>
      <w:pPr>
        <w:jc w:val="both"/>
        <w:spacing w:after="0" w:line="254" w:lineRule="auto"/>
        <w:rPr>
          <w:sz w:val="20"/>
          <w:szCs w:val="20"/>
          <w:color w:val="auto"/>
        </w:rPr>
      </w:pPr>
      <w:r>
        <w:rPr>
          <w:rFonts w:ascii="Times New Roman" w:cs="Times New Roman" w:eastAsia="Times New Roman" w:hAnsi="Times New Roman"/>
          <w:sz w:val="17"/>
          <w:szCs w:val="17"/>
          <w:color w:val="222222"/>
        </w:rPr>
        <w:t>appropriate adjustment in the event of any stock dividend, stock split, combination or other similar recapitalization) Registrable Securities (including Registrable Securities issuable upon exercise of Warrants) by such Investor to such Person or (ii) to an Affiliate of such Investor regardless of the number of Registrable Securities being transferred to such Affiliate,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222222"/>
        </w:rPr>
        <w:t>The provisions of this Agreement shall be binding upon and inure to the benefit of the Investor and its successors and permitted assigns.</w:t>
      </w:r>
    </w:p>
    <w:p>
      <w:pPr>
        <w:spacing w:after="0" w:line="374" w:lineRule="exact"/>
        <w:rPr>
          <w:sz w:val="20"/>
          <w:szCs w:val="20"/>
          <w:color w:val="auto"/>
        </w:rPr>
      </w:pPr>
    </w:p>
    <w:p>
      <w:pPr>
        <w:ind w:left="1120" w:hanging="375"/>
        <w:spacing w:after="0"/>
        <w:tabs>
          <w:tab w:leader="none" w:pos="112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AND WAIVERS.</w:t>
      </w:r>
    </w:p>
    <w:p>
      <w:pPr>
        <w:spacing w:after="0" w:line="209" w:lineRule="exact"/>
        <w:rPr>
          <w:sz w:val="20"/>
          <w:szCs w:val="20"/>
          <w:color w:val="auto"/>
        </w:rPr>
      </w:pPr>
    </w:p>
    <w:p>
      <w:pPr>
        <w:jc w:val="both"/>
        <w:ind w:firstLine="1501"/>
        <w:spacing w:after="0" w:line="252" w:lineRule="auto"/>
        <w:rPr>
          <w:sz w:val="20"/>
          <w:szCs w:val="20"/>
          <w:color w:val="auto"/>
        </w:rPr>
      </w:pPr>
      <w:r>
        <w:rPr>
          <w:rFonts w:ascii="Times New Roman" w:cs="Times New Roman" w:eastAsia="Times New Roman" w:hAnsi="Times New Roman"/>
          <w:sz w:val="17"/>
          <w:szCs w:val="17"/>
          <w:color w:val="auto"/>
        </w:rPr>
        <w:t>The provisions of this Agreement, including the provisions of this sentence, may be amended, modified or supplemented, or waived only by a written instrument executed by (i) the Company and (ii) the Required Investors, provided that (1) any party may give a waiver as to itself, (2)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and (3) any amendments to Section 6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42" w:lineRule="exact"/>
        <w:rPr>
          <w:sz w:val="20"/>
          <w:szCs w:val="20"/>
          <w:color w:val="auto"/>
        </w:rPr>
      </w:pPr>
    </w:p>
    <w:p>
      <w:pPr>
        <w:ind w:left="1120" w:hanging="375"/>
        <w:spacing w:after="0"/>
        <w:tabs>
          <w:tab w:leader="none" w:pos="112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96"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6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i. If to the Company, addressed as follows:</w:t>
      </w:r>
    </w:p>
    <w:p>
      <w:pPr>
        <w:spacing w:after="0" w:line="1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18706 North Creek Parkway, Suite 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Bothell, Washington 98011</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Legal</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with a copy (which shall not constitute notice):</w:t>
      </w:r>
    </w:p>
    <w:p>
      <w:pPr>
        <w:spacing w:after="0" w:line="1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701 5th Ave #5100,</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Seattle, WA 98104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Michael Nordtvedt &amp; Bryan D. King</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0" w:name="page141"/>
    <w:bookmarkEnd w:id="140"/>
    <w:p>
      <w:pPr>
        <w:ind w:left="740" w:right="20" w:firstLine="1586"/>
        <w:spacing w:after="0" w:line="284" w:lineRule="auto"/>
        <w:tabs>
          <w:tab w:leader="none" w:pos="254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Person may change the address to which notices and communications to it are to be addressed by notification as provided for herein.</w:t>
      </w:r>
    </w:p>
    <w:p>
      <w:pPr>
        <w:spacing w:after="0" w:line="195" w:lineRule="exact"/>
        <w:rPr>
          <w:sz w:val="20"/>
          <w:szCs w:val="20"/>
          <w:color w:val="auto"/>
        </w:rPr>
      </w:pPr>
    </w:p>
    <w:p>
      <w:pPr>
        <w:jc w:val="both"/>
        <w:ind w:firstLine="1496"/>
        <w:spacing w:after="0" w:line="25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xml:space="preserve"> Each Investor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mail pursuant to Section 232 of the DGCL (or any successor thereto)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66"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4" w:lineRule="exact"/>
        <w:rPr>
          <w:rFonts w:ascii="Times New Roman" w:cs="Times New Roman" w:eastAsia="Times New Roman" w:hAnsi="Times New Roman"/>
          <w:sz w:val="17"/>
          <w:szCs w:val="17"/>
          <w:color w:val="auto"/>
        </w:rPr>
      </w:pPr>
    </w:p>
    <w:p>
      <w:pPr>
        <w:ind w:left="2040" w:hanging="544"/>
        <w:spacing w:after="0"/>
        <w:tabs>
          <w:tab w:leader="none" w:pos="20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Section 8.6</w:t>
      </w:r>
      <w:r>
        <w:rPr>
          <w:rFonts w:ascii="Times New Roman" w:cs="Times New Roman" w:eastAsia="Times New Roman" w:hAnsi="Times New Roman"/>
          <w:sz w:val="17"/>
          <w:szCs w:val="17"/>
          <w:color w:val="auto"/>
        </w:rPr>
        <w:t xml:space="preserve"> of the Purchase Agreement are incorporated by reference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9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titles, subtitles and headings in this Agreement are for convenience of reference and shall not form part of, or affect the interpretation of, this Agreement.</w:t>
      </w:r>
    </w:p>
    <w:p>
      <w:pPr>
        <w:spacing w:after="0" w:line="140"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63"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56"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40" w:lineRule="exact"/>
        <w:rPr>
          <w:rFonts w:ascii="Times New Roman" w:cs="Times New Roman" w:eastAsia="Times New Roman" w:hAnsi="Times New Roman"/>
          <w:sz w:val="17"/>
          <w:szCs w:val="17"/>
          <w:color w:val="auto"/>
        </w:rPr>
      </w:pPr>
    </w:p>
    <w:p>
      <w:pPr>
        <w:jc w:val="both"/>
        <w:ind w:firstLine="1496"/>
        <w:spacing w:after="0" w:line="259" w:lineRule="auto"/>
        <w:tabs>
          <w:tab w:leader="none" w:pos="20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Except as set forth in Sections 6 and 7, nothing in this Agreement, express or implied, is intended to confer on any Person other than the parties to this Agreement, and their respective permitted successors and assigns, any rights, remedies, claims, benefits, obligations or liabilities under or by reason of this Agreement, and no Person that is not a party to this Agreement (including, without limitation, any partner, member, shareholder, director, officer, employee or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1" w:name="page142"/>
    <w:bookmarkEnd w:id="141"/>
    <w:p>
      <w:pPr>
        <w:ind w:right="20"/>
        <w:spacing w:after="0" w:line="284" w:lineRule="auto"/>
        <w:rPr>
          <w:sz w:val="20"/>
          <w:szCs w:val="20"/>
          <w:color w:val="auto"/>
        </w:rPr>
      </w:pPr>
      <w:r>
        <w:rPr>
          <w:rFonts w:ascii="Times New Roman" w:cs="Times New Roman" w:eastAsia="Times New Roman" w:hAnsi="Times New Roman"/>
          <w:sz w:val="17"/>
          <w:szCs w:val="17"/>
          <w:color w:val="auto"/>
        </w:rPr>
        <w:t>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41" w:lineRule="exact"/>
        <w:rPr>
          <w:sz w:val="20"/>
          <w:szCs w:val="20"/>
          <w:color w:val="auto"/>
        </w:rPr>
      </w:pPr>
    </w:p>
    <w:p>
      <w:pPr>
        <w:jc w:val="both"/>
        <w:ind w:firstLine="1496"/>
        <w:spacing w:after="0" w:line="265"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67"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56" w:lineRule="exact"/>
        <w:rPr>
          <w:rFonts w:ascii="Times New Roman" w:cs="Times New Roman" w:eastAsia="Times New Roman" w:hAnsi="Times New Roman"/>
          <w:sz w:val="17"/>
          <w:szCs w:val="17"/>
          <w:color w:val="auto"/>
        </w:rPr>
      </w:pPr>
    </w:p>
    <w:p>
      <w:pPr>
        <w:ind w:left="2040" w:hanging="544"/>
        <w:spacing w:after="0"/>
        <w:tabs>
          <w:tab w:leader="none" w:pos="20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remedies provided herein are cumulative and not exclusive of any remedies provided by law.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42" w:name="page143"/>
    <w:bookmarkEnd w:id="142"/>
    <w:p>
      <w:pPr>
        <w:ind w:left="38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ectPr>
          <w:pgSz w:w="11900" w:h="16838" w:orient="portrait"/>
          <w:cols w:equalWidth="0" w:num="1">
            <w:col w:w="10000"/>
          </w:cols>
          <w:pgMar w:left="1440" w:top="1252" w:right="4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-5080</wp:posOffset>
            </wp:positionV>
            <wp:extent cx="69405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-5080</wp:posOffset>
            </wp:positionV>
            <wp:extent cx="8070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-5080</wp:posOffset>
            </wp:positionV>
            <wp:extent cx="8623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501015</wp:posOffset>
            </wp:positionV>
            <wp:extent cx="717486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00"/>
          </w:cols>
          <w:pgMar w:left="1440" w:top="1252" w:right="45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-5080</wp:posOffset>
            </wp:positionV>
            <wp:extent cx="6940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-5080</wp:posOffset>
            </wp:positionV>
            <wp:extent cx="80708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-5080</wp:posOffset>
            </wp:positionV>
            <wp:extent cx="8623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715645</wp:posOffset>
            </wp:positionV>
            <wp:extent cx="71748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52" w:right="4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These sales may be effected in transactions, which may involve crosses or block transactions. The selling stockholders may use any one or more of the following methods when disposing of shares or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-174625</wp:posOffset>
            </wp:positionV>
            <wp:extent cx="273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305"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-160020</wp:posOffset>
            </wp:positionV>
            <wp:extent cx="2730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73" w:lineRule="exact"/>
        <w:rPr>
          <w:sz w:val="20"/>
          <w:szCs w:val="20"/>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members, partners, stockholders or other equityholders of the selling stockholders;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00" w:lineRule="exact"/>
        <w:rPr>
          <w:rFonts w:ascii="Times New Roman" w:cs="Times New Roman" w:eastAsia="Times New Roman" w:hAnsi="Times New Roman"/>
          <w:sz w:val="17"/>
          <w:szCs w:val="17"/>
          <w:color w:val="auto"/>
        </w:rPr>
      </w:pPr>
    </w:p>
    <w:p>
      <w:pPr>
        <w:ind w:left="1040" w:right="280" w:hanging="295"/>
        <w:spacing w:after="0" w:line="284" w:lineRule="auto"/>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34"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stockholders to sell a specified number of such shares at a stipulated price per share;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494030</wp:posOffset>
            </wp:positionV>
            <wp:extent cx="717486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45" w:name="page146"/>
    <w:bookmarkEnd w:id="145"/>
    <w:p>
      <w:pPr>
        <w:spacing w:after="0" w:line="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w:t>
      </w:r>
    </w:p>
    <w:p>
      <w:pPr>
        <w:spacing w:after="0" w:line="1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or common warrants by payment of cash, however, we will receive the exercise price of the pre-funded warrants or common warrants.</w:t>
      </w:r>
    </w:p>
    <w:p>
      <w:pPr>
        <w:spacing w:after="0" w:line="3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0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have agreed to indemnify the selling stockholders against liabilities, including liabilities under the Securities Act and state securities laws, relating to the registration of the shares offered by this prospectus.</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any applicable securities exemption where the recipient thereof receives unrestricted securities including Rule 144 (or any successor provision)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regard to any volume or manner-of-sale limitations and without current public information pursuant to Rule 144 under the Securities Act or any other rule of similar effect.</w:t>
      </w:r>
    </w:p>
    <w:p>
      <w:pPr>
        <w:spacing w:after="0" w:line="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8" w:name="page149"/>
    <w:bookmarkEnd w:id="148"/>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Investor Questionnaire</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undersigned hereby provides the following information to the Company and represents and warrants that such information is accurate:</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QUESTIONNAIRE</w:t>
      </w:r>
    </w:p>
    <w:p>
      <w:pPr>
        <w:spacing w:after="0" w:line="195" w:lineRule="exact"/>
        <w:rPr>
          <w:sz w:val="20"/>
          <w:szCs w:val="20"/>
          <w:color w:val="auto"/>
        </w:rPr>
      </w:pPr>
    </w:p>
    <w:p>
      <w:pPr>
        <w:ind w:left="346" w:hanging="346"/>
        <w:spacing w:after="0"/>
        <w:tabs>
          <w:tab w:leader="none" w:pos="346"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w:t>
      </w:r>
    </w:p>
    <w:p>
      <w:pPr>
        <w:spacing w:after="0" w:line="196" w:lineRule="exact"/>
        <w:rPr>
          <w:rFonts w:ascii="Times New Roman" w:cs="Times New Roman" w:eastAsia="Times New Roman" w:hAnsi="Times New Roman"/>
          <w:sz w:val="17"/>
          <w:szCs w:val="17"/>
          <w:b w:val="1"/>
          <w:bCs w:val="1"/>
          <w:color w:val="auto"/>
        </w:rPr>
      </w:pPr>
    </w:p>
    <w:p>
      <w:pPr>
        <w:ind w:left="686" w:hanging="339"/>
        <w:spacing w:after="0"/>
        <w:tabs>
          <w:tab w:leader="none" w:pos="68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Investor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686" w:hanging="339"/>
        <w:spacing w:after="0"/>
        <w:tabs>
          <w:tab w:leader="none" w:pos="68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06" w:hanging="1159"/>
        <w:spacing w:after="0" w:line="284" w:lineRule="auto"/>
        <w:tabs>
          <w:tab w:leader="none" w:pos="698"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left="226" w:hanging="226"/>
        <w:spacing w:after="0"/>
        <w:tabs>
          <w:tab w:leader="none" w:pos="226"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-2586990</wp:posOffset>
            </wp:positionV>
            <wp:extent cx="614299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-1656080</wp:posOffset>
            </wp:positionV>
            <wp:extent cx="614299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-589915</wp:posOffset>
            </wp:positionV>
            <wp:extent cx="614299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363220</wp:posOffset>
            </wp:positionV>
            <wp:extent cx="707453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74535"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596265</wp:posOffset>
            </wp:positionV>
            <wp:extent cx="707453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-118110</wp:posOffset>
            </wp:positionV>
            <wp:extent cx="707453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13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E-Mail: _____________________________________________________________________</w:t>
      </w:r>
    </w:p>
    <w:p>
      <w:pPr>
        <w:spacing w:after="0" w:line="15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Contact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6"/>
          </w:cols>
          <w:pgMar w:left="314" w:top="1252" w:right="339" w:bottom="1440" w:gutter="0" w:footer="0" w:header="0"/>
        </w:sectPr>
      </w:pPr>
    </w:p>
    <w:bookmarkStart w:id="149" w:name="page150"/>
    <w:bookmarkEnd w:id="149"/>
    <w:p>
      <w:pPr>
        <w:spacing w:after="0" w:line="167" w:lineRule="exact"/>
        <w:rPr>
          <w:sz w:val="20"/>
          <w:szCs w:val="20"/>
          <w:color w:val="auto"/>
        </w:rPr>
      </w:pPr>
    </w:p>
    <w:p>
      <w:pPr>
        <w:ind w:left="226" w:hanging="226"/>
        <w:spacing w:after="0"/>
        <w:tabs>
          <w:tab w:leader="none" w:pos="226"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Broker-Dealer Status:</w:t>
      </w:r>
    </w:p>
    <w:p>
      <w:pPr>
        <w:spacing w:after="0" w:line="196" w:lineRule="exact"/>
        <w:rPr>
          <w:rFonts w:ascii="Times New Roman" w:cs="Times New Roman" w:eastAsia="Times New Roman" w:hAnsi="Times New Roman"/>
          <w:sz w:val="17"/>
          <w:szCs w:val="17"/>
          <w:b w:val="1"/>
          <w:bCs w:val="1"/>
          <w:color w:val="auto"/>
        </w:rPr>
      </w:pPr>
    </w:p>
    <w:p>
      <w:pPr>
        <w:ind w:left="1106" w:right="8840" w:hanging="759"/>
        <w:spacing w:after="0" w:line="479" w:lineRule="auto"/>
        <w:tabs>
          <w:tab w:leader="none" w:pos="70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 broker-dealer? Yes No</w:t>
      </w:r>
    </w:p>
    <w:p>
      <w:pPr>
        <w:ind w:left="1106" w:right="1220" w:hanging="759"/>
        <w:spacing w:after="0" w:line="479" w:lineRule="auto"/>
        <w:tabs>
          <w:tab w:leader="none" w:pos="70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“yes” to Section 3(a), did you receive your Registrable Securities as compensation for investment banking services to the Company? Yes No</w:t>
      </w: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3(b), the Commission’s staff has indicated that you should be identified as an underwriter in the Registration Statement.</w:t>
      </w:r>
    </w:p>
    <w:p>
      <w:pPr>
        <w:spacing w:after="0" w:line="195" w:lineRule="exact"/>
        <w:rPr>
          <w:sz w:val="20"/>
          <w:szCs w:val="20"/>
          <w:color w:val="auto"/>
        </w:rPr>
      </w:pPr>
    </w:p>
    <w:p>
      <w:pPr>
        <w:ind w:left="1106" w:right="7860" w:hanging="759"/>
        <w:spacing w:after="0" w:line="479" w:lineRule="auto"/>
        <w:tabs>
          <w:tab w:leader="none" w:pos="702"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an affiliate of a broker-dealer? Yes No</w:t>
      </w:r>
    </w:p>
    <w:p>
      <w:pPr>
        <w:ind w:left="1506" w:right="20" w:hanging="1159"/>
        <w:spacing w:after="0" w:line="265" w:lineRule="auto"/>
        <w:tabs>
          <w:tab w:leader="none" w:pos="69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4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3(d), the Commission’s staff has indicated that you should be identified as an underwriter in the Registration Statement.</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4. Beneficial Ownership of Securities of the Company Owned by the Investor.</w:t>
      </w:r>
    </w:p>
    <w:p>
      <w:pPr>
        <w:spacing w:after="0" w:line="195" w:lineRule="exact"/>
        <w:rPr>
          <w:sz w:val="20"/>
          <w:szCs w:val="20"/>
          <w:color w:val="auto"/>
        </w:rPr>
      </w:pPr>
    </w:p>
    <w:p>
      <w:pPr>
        <w:ind w:left="746"/>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26" w:lineRule="exact"/>
        <w:rPr>
          <w:sz w:val="20"/>
          <w:szCs w:val="20"/>
          <w:color w:val="auto"/>
        </w:rPr>
      </w:pPr>
    </w:p>
    <w:p>
      <w:pPr>
        <w:ind w:left="346"/>
        <w:spacing w:after="0"/>
        <w:tabs>
          <w:tab w:leader="none" w:pos="665" w:val="left"/>
        </w:tabs>
        <w:rPr>
          <w:sz w:val="20"/>
          <w:szCs w:val="20"/>
          <w:color w:val="auto"/>
        </w:rPr>
      </w:pPr>
      <w:r>
        <w:rPr>
          <w:rFonts w:ascii="Times New Roman" w:cs="Times New Roman" w:eastAsia="Times New Roman" w:hAnsi="Times New Roman"/>
          <w:sz w:val="17"/>
          <w:szCs w:val="17"/>
          <w:color w:val="auto"/>
        </w:rPr>
        <w:t>(a)</w:t>
        <w:tab/>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361950</wp:posOffset>
            </wp:positionV>
            <wp:extent cx="607568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7568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594995</wp:posOffset>
            </wp:positionV>
            <wp:extent cx="607568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75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5. Relationships with the Company:</w:t>
      </w:r>
    </w:p>
    <w:p>
      <w:pPr>
        <w:spacing w:after="0" w:line="195" w:lineRule="exact"/>
        <w:rPr>
          <w:sz w:val="20"/>
          <w:szCs w:val="20"/>
          <w:color w:val="auto"/>
        </w:rPr>
      </w:pPr>
    </w:p>
    <w:p>
      <w:pPr>
        <w:ind w:left="746" w:right="20"/>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neither the undersigned nor any of its affiliates, officers, directors or principal equity holders (owners of 5% of more of the equity securities of the undersigned) has held</w:t>
      </w:r>
    </w:p>
    <w:p>
      <w:pPr>
        <w:spacing w:after="0" w:line="38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440" w:right="319" w:bottom="1440" w:gutter="0" w:footer="0" w:header="0"/>
        </w:sectPr>
      </w:pPr>
    </w:p>
    <w:bookmarkStart w:id="150" w:name="page151"/>
    <w:bookmarkEnd w:id="150"/>
    <w:p>
      <w:pPr>
        <w:ind w:left="740"/>
        <w:spacing w:after="0"/>
        <w:rPr>
          <w:sz w:val="20"/>
          <w:szCs w:val="20"/>
          <w:color w:val="auto"/>
        </w:rPr>
      </w:pPr>
      <w:r>
        <w:rPr>
          <w:rFonts w:ascii="Times New Roman" w:cs="Times New Roman" w:eastAsia="Times New Roman" w:hAnsi="Times New Roman"/>
          <w:sz w:val="17"/>
          <w:szCs w:val="17"/>
          <w:i w:val="1"/>
          <w:iCs w:val="1"/>
          <w:color w:val="auto"/>
        </w:rPr>
        <w:t>any position or office or has had any other material relationship with the Company (or its predecessors or affiliates) during the past three years.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361950</wp:posOffset>
            </wp:positionV>
            <wp:extent cx="657098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70980" cy="762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594995</wp:posOffset>
            </wp:positionV>
            <wp:extent cx="657098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70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751"/>
        <w:spacing w:after="0" w:line="265" w:lineRule="auto"/>
        <w:rPr>
          <w:sz w:val="20"/>
          <w:szCs w:val="20"/>
          <w:color w:val="auto"/>
        </w:rPr>
      </w:pPr>
      <w:r>
        <w:rPr>
          <w:rFonts w:ascii="Times New Roman" w:cs="Times New Roman" w:eastAsia="Times New Roman" w:hAnsi="Times New Roman"/>
          <w:sz w:val="17"/>
          <w:szCs w:val="17"/>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45"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50"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IN WITNESS WHEREOF the undersigned, by authority duly given, has caused this Notice and Questionnaire to be executed and delivered either in person or by its duly authorized agent.</w:t>
      </w:r>
    </w:p>
    <w:p>
      <w:pPr>
        <w:spacing w:after="0" w:line="1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-5080</wp:posOffset>
            </wp:positionV>
            <wp:extent cx="17462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4625" cy="7620"/>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22034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0345" cy="7620"/>
                    </a:xfrm>
                    <a:prstGeom prst="rect">
                      <a:avLst/>
                    </a:prstGeom>
                    <a:noFill/>
                  </pic:spPr>
                </pic:pic>
              </a:graphicData>
            </a:graphic>
          </wp:anchor>
        </w:drawing>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Title: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EMAIL A .PDF COPY OF THE COMPLETED AND EXECUTED QUESTIONNAIRE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7" w:lineRule="exact"/>
        <w:rPr>
          <w:sz w:val="20"/>
          <w:szCs w:val="20"/>
          <w:color w:val="auto"/>
        </w:rPr>
      </w:pPr>
    </w:p>
    <w:p>
      <w:pPr>
        <w:jc w:val="both"/>
        <w:ind w:firstLine="75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THIS REGISTRATION RIGHTS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December [●], 2025, is entered into by and between Athira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Sermonix Pharmaceuticals, Inc., a Delaware corporation (the “</w:t>
      </w:r>
      <w:r>
        <w:rPr>
          <w:rFonts w:ascii="Times New Roman" w:cs="Times New Roman" w:eastAsia="Times New Roman" w:hAnsi="Times New Roman"/>
          <w:sz w:val="17"/>
          <w:szCs w:val="17"/>
          <w:b w:val="1"/>
          <w:bCs w:val="1"/>
          <w:color w:val="auto"/>
        </w:rPr>
        <w:t>Purchaser</w:t>
      </w:r>
      <w:r>
        <w:rPr>
          <w:rFonts w:ascii="Times New Roman" w:cs="Times New Roman" w:eastAsia="Times New Roman" w:hAnsi="Times New Roman"/>
          <w:sz w:val="17"/>
          <w:szCs w:val="17"/>
          <w:color w:val="auto"/>
        </w:rPr>
        <w:t>”). Capitalized terms used herein and not otherwise defined herein shall have the respective meanings set forth in the Securities Purchase Agreement by and between the parties hereto, dated as of the date hereof (as amended, restated, supplemented or otherwise modified from time to time, the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09" w:lineRule="exact"/>
        <w:rPr>
          <w:sz w:val="20"/>
          <w:szCs w:val="20"/>
          <w:color w:val="auto"/>
        </w:rPr>
      </w:pPr>
    </w:p>
    <w:p>
      <w:pPr>
        <w:jc w:val="both"/>
        <w:ind w:right="20" w:firstLine="745"/>
        <w:spacing w:after="0" w:line="259" w:lineRule="auto"/>
        <w:tabs>
          <w:tab w:leader="none" w:pos="102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of the Purchase Agreement, the Company has agreed to issue to the Purchaser, and the Purchaser has agreed to purchase, a pre-funded warrant to purchase shares of the Company’s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Pre-Funded Warrant</w:t>
      </w:r>
      <w:r>
        <w:rPr>
          <w:rFonts w:ascii="Times New Roman" w:cs="Times New Roman" w:eastAsia="Times New Roman" w:hAnsi="Times New Roman"/>
          <w:sz w:val="17"/>
          <w:szCs w:val="17"/>
          <w:color w:val="auto"/>
        </w:rPr>
        <w:t>”) pursuant to the Purchase Agreement. The shares of Common Stock issuable upon exercise of the Pre-Funded Warrant, without giving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any limitations on exercise of the Pre-Funded Warrant, and assuming the Pre-Funded Warrant is exercised for cash, are referred to herein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firstLine="745"/>
        <w:spacing w:after="0" w:line="265" w:lineRule="auto"/>
        <w:tabs>
          <w:tab w:leader="none" w:pos="102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induce the Purchaser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applicable state securities laws.</w:t>
      </w:r>
    </w:p>
    <w:p>
      <w:pPr>
        <w:spacing w:after="0" w:line="155" w:lineRule="exact"/>
        <w:rPr>
          <w:sz w:val="20"/>
          <w:szCs w:val="20"/>
          <w:color w:val="auto"/>
        </w:rPr>
      </w:pPr>
    </w:p>
    <w:p>
      <w:pPr>
        <w:ind w:right="20" w:firstLine="751"/>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promises and the mutual covenants contained herein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are hereby acknowledged, the Company and the Purchaser hereby agree as follows:</w:t>
      </w:r>
    </w:p>
    <w:p>
      <w:pPr>
        <w:spacing w:after="0" w:line="136" w:lineRule="exact"/>
        <w:rPr>
          <w:sz w:val="20"/>
          <w:szCs w:val="20"/>
          <w:color w:val="auto"/>
        </w:rPr>
      </w:pPr>
    </w:p>
    <w:p>
      <w:pPr>
        <w:ind w:left="1120" w:hanging="375"/>
        <w:spacing w:after="0"/>
        <w:tabs>
          <w:tab w:leader="none" w:pos="112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For purposes of this Agreement, the following terms shall have the following meanings:</w:t>
      </w:r>
    </w:p>
    <w:p>
      <w:pPr>
        <w:spacing w:after="0" w:line="205" w:lineRule="exact"/>
        <w:rPr>
          <w:sz w:val="20"/>
          <w:szCs w:val="20"/>
          <w:color w:val="auto"/>
        </w:rPr>
      </w:pPr>
    </w:p>
    <w:p>
      <w:pPr>
        <w:ind w:right="20" w:firstLine="1496"/>
        <w:spacing w:after="0" w:line="260"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or any other entity or organization.</w:t>
      </w:r>
    </w:p>
    <w:p>
      <w:pPr>
        <w:jc w:val="both"/>
        <w:ind w:firstLine="1496"/>
        <w:spacing w:after="0" w:line="251"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relating to the terms of the offering of any portion of the Registrable Securities.</w:t>
      </w:r>
    </w:p>
    <w:p>
      <w:pPr>
        <w:spacing w:after="0" w:line="165" w:lineRule="exact"/>
        <w:rPr>
          <w:rFonts w:ascii="Times New Roman" w:cs="Times New Roman" w:eastAsia="Times New Roman" w:hAnsi="Times New Roman"/>
          <w:sz w:val="17"/>
          <w:szCs w:val="17"/>
          <w:color w:val="auto"/>
        </w:rPr>
      </w:pPr>
    </w:p>
    <w:p>
      <w:pPr>
        <w:jc w:val="both"/>
        <w:ind w:right="20" w:firstLine="1496"/>
        <w:spacing w:after="0" w:line="267"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w:t>
      </w:r>
    </w:p>
    <w:p>
      <w:pPr>
        <w:spacing w:after="0" w:line="151" w:lineRule="exact"/>
        <w:rPr>
          <w:rFonts w:ascii="Times New Roman" w:cs="Times New Roman" w:eastAsia="Times New Roman" w:hAnsi="Times New Roman"/>
          <w:sz w:val="17"/>
          <w:szCs w:val="17"/>
          <w:color w:val="auto"/>
        </w:rPr>
      </w:pPr>
    </w:p>
    <w:p>
      <w:pPr>
        <w:jc w:val="both"/>
        <w:ind w:firstLine="1496"/>
        <w:spacing w:after="0" w:line="267" w:lineRule="auto"/>
        <w:tabs>
          <w:tab w:leader="none" w:pos="2041"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the Shares and any Common Stock issued or issuable with respect to the Shares as a result of any stock split or subdivision, stock dividend, recapitalization, exchange or similar event; provided, that a security shall cease to be a Registrable Security upon (A) sale pursuant to a Registration Statement or Prospectus, as applicable, or Rule 144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17486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52" w:name="page153"/>
    <w:bookmarkEnd w:id="152"/>
    <w:p>
      <w:pPr>
        <w:ind w:right="20"/>
        <w:spacing w:after="0" w:line="284" w:lineRule="auto"/>
        <w:rPr>
          <w:sz w:val="20"/>
          <w:szCs w:val="20"/>
          <w:color w:val="auto"/>
        </w:rPr>
      </w:pPr>
      <w:r>
        <w:rPr>
          <w:rFonts w:ascii="Times New Roman" w:cs="Times New Roman" w:eastAsia="Times New Roman" w:hAnsi="Times New Roman"/>
          <w:sz w:val="17"/>
          <w:szCs w:val="17"/>
          <w:color w:val="auto"/>
        </w:rPr>
        <w:t>Securities Act, or (B) such security becoming eligible for sale without the requirement for the Company to be in compliance with the current public information required under Rule 144 as to such Registrable Securities and without volume or manner-of-sale restrictions.</w:t>
      </w:r>
    </w:p>
    <w:p>
      <w:pPr>
        <w:spacing w:after="0" w:line="139" w:lineRule="exact"/>
        <w:rPr>
          <w:sz w:val="20"/>
          <w:szCs w:val="20"/>
          <w:color w:val="auto"/>
        </w:rPr>
      </w:pPr>
    </w:p>
    <w:p>
      <w:pPr>
        <w:jc w:val="both"/>
        <w:ind w:firstLine="1496"/>
        <w:spacing w:after="0" w:line="254"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Expenses</w:t>
      </w:r>
      <w:r>
        <w:rPr>
          <w:rFonts w:ascii="Times New Roman" w:cs="Times New Roman" w:eastAsia="Times New Roman" w:hAnsi="Times New Roman"/>
          <w:sz w:val="17"/>
          <w:szCs w:val="17"/>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66" w:lineRule="exact"/>
        <w:rPr>
          <w:rFonts w:ascii="Times New Roman" w:cs="Times New Roman" w:eastAsia="Times New Roman" w:hAnsi="Times New Roman"/>
          <w:sz w:val="17"/>
          <w:szCs w:val="17"/>
          <w:color w:val="auto"/>
        </w:rPr>
      </w:pPr>
    </w:p>
    <w:p>
      <w:pPr>
        <w:jc w:val="both"/>
        <w:ind w:firstLine="1496"/>
        <w:spacing w:after="0" w:line="253"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any registration statement of the Company filed with, or to be filed with, the SEC under the Securities Act, that Registers Registrable Securities, including the related Prospectus, amendments and supplements to such registration statement, including pre-and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If at any time the Company is ineligible to register for resale all of the Registrable Securities on Form S-3, such registration shall be on such other form available to register for resale the Registrable Securities.</w:t>
      </w:r>
    </w:p>
    <w:p>
      <w:pPr>
        <w:spacing w:after="0" w:line="165" w:lineRule="exact"/>
        <w:rPr>
          <w:rFonts w:ascii="Times New Roman" w:cs="Times New Roman" w:eastAsia="Times New Roman" w:hAnsi="Times New Roman"/>
          <w:sz w:val="17"/>
          <w:szCs w:val="17"/>
          <w:color w:val="auto"/>
        </w:rPr>
      </w:pPr>
    </w:p>
    <w:p>
      <w:pPr>
        <w:ind w:right="20" w:firstLine="1496"/>
        <w:spacing w:after="0" w:line="287" w:lineRule="auto"/>
        <w:tabs>
          <w:tab w:leader="none" w:pos="204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Selling Expenses</w:t>
      </w:r>
      <w:r>
        <w:rPr>
          <w:rFonts w:ascii="Times New Roman" w:cs="Times New Roman" w:eastAsia="Times New Roman" w:hAnsi="Times New Roman"/>
          <w:sz w:val="17"/>
          <w:szCs w:val="17"/>
          <w:color w:val="auto"/>
        </w:rPr>
        <w:t>” means all underwriting discounts and selling commissions applicable to the sale of Registrable Securities and all similar fees and commissions relating to the Purchaser’s disposition of the Registrable Securities.</w:t>
      </w:r>
    </w:p>
    <w:p>
      <w:pPr>
        <w:spacing w:after="0" w:line="123"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50" w:lineRule="auto"/>
        <w:tabs>
          <w:tab w:leader="none" w:pos="204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xml:space="preserve">. The Company shall, as promptly as reasonably practicable and in any event no later than 30 days after the Closing Date on Form S-3, subject to </w:t>
      </w:r>
      <w:r>
        <w:rPr>
          <w:rFonts w:ascii="Times New Roman" w:cs="Times New Roman" w:eastAsia="Times New Roman" w:hAnsi="Times New Roman"/>
          <w:sz w:val="17"/>
          <w:szCs w:val="17"/>
          <w:u w:val="single" w:color="auto"/>
          <w:color w:val="auto"/>
        </w:rPr>
        <w:t>Section 2(g)</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prepare and file with the SEC an initial Registration Statement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covering the resale of all Registrable Securities. Before filing the Registration Statement, the Company shall furnish to the Purchaser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the Registration Statement. The Purchaser and its counsel shall have at least three (3)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Purchaser. The Company shall (a) use commercially reasonable efforts to address in each such document prior to being so filed with the SEC such comments as the Purchaser or its counsel reasonably proposed by the Purchaser and (b) not file any Registration Statement or Prospectus or any amendment or supplement thereto containing information regarding the Purchaser to which the Purchaser reasonably objects, unless such information is required to comply with any applicable law or regulation.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3" w:name="page154"/>
    <w:bookmarkEnd w:id="153"/>
    <w:p>
      <w:pPr>
        <w:ind w:right="20"/>
        <w:spacing w:after="0" w:line="284" w:lineRule="auto"/>
        <w:rPr>
          <w:sz w:val="20"/>
          <w:szCs w:val="20"/>
          <w:color w:val="auto"/>
        </w:rPr>
      </w:pPr>
      <w:r>
        <w:rPr>
          <w:rFonts w:ascii="Times New Roman" w:cs="Times New Roman" w:eastAsia="Times New Roman" w:hAnsi="Times New Roman"/>
          <w:sz w:val="17"/>
          <w:szCs w:val="17"/>
          <w:color w:val="auto"/>
        </w:rPr>
        <w:t>The Purchaser shall furnish all information reasonably requested by the Company and as shall be reasonably required in connection with any registration referred to in this Agreement.</w:t>
      </w:r>
    </w:p>
    <w:p>
      <w:pPr>
        <w:spacing w:after="0" w:line="141" w:lineRule="exact"/>
        <w:rPr>
          <w:sz w:val="20"/>
          <w:szCs w:val="20"/>
          <w:color w:val="auto"/>
        </w:rPr>
      </w:pPr>
    </w:p>
    <w:p>
      <w:pPr>
        <w:jc w:val="both"/>
        <w:ind w:firstLine="1496"/>
        <w:spacing w:after="0" w:line="248" w:lineRule="auto"/>
        <w:tabs>
          <w:tab w:leader="none" w:pos="204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xml:space="preserve"> The Company shall use its reasonable best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 Plan Under a Lapse in Appropriations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Shutdown</w:t>
      </w:r>
      <w:r>
        <w:rPr>
          <w:rFonts w:ascii="Times New Roman" w:cs="Times New Roman" w:eastAsia="Times New Roman" w:hAnsi="Times New Roman"/>
          <w:sz w:val="17"/>
          <w:szCs w:val="17"/>
          <w:color w:val="auto"/>
        </w:rPr>
        <w:t>, August 7, 2025, or any similar guidance subsequently published by the SEC), then, after the SEC resumes reviewing and declaring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registration statements, the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Initial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Company shall notify the Purchaser by e-mail as promptly as practicable, and in any event, within 24 hours, after the Registration Statement is declared effective or is supplemented and shall provide the Purchaser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Purchaser of all of the Registrable Securities covered thereby at all times until the earliest to occur of the following events: (i) the date on which the Purchaser shall have resold all the Registrable Securities covered thereby pursuant to any applicable securities exemption, including Rule 144 (or any successor provision) or pursuant to a Registration Statement; and (ii) the date on which the Registrable Securities may be resold by the Purchaser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69"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7"/>
          <w:szCs w:val="17"/>
          <w:b w:val="1"/>
          <w:bCs w:val="1"/>
          <w:color w:val="auto"/>
        </w:rPr>
        <w:t>New Registration Statement</w:t>
      </w:r>
      <w:r>
        <w:rPr>
          <w:rFonts w:ascii="Times New Roman" w:cs="Times New Roman" w:eastAsia="Times New Roman" w:hAnsi="Times New Roman"/>
          <w:sz w:val="17"/>
          <w:szCs w:val="17"/>
          <w:color w:val="auto"/>
        </w:rPr>
        <w:t>”), so as to cover all of such Registrable Securities as soon as reasonably practicable, but in any event not later than ten Business Days after the necessity therefor arises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Filing Deadline</w:t>
      </w:r>
      <w:r>
        <w:rPr>
          <w:rFonts w:ascii="Times New Roman" w:cs="Times New Roman" w:eastAsia="Times New Roman" w:hAnsi="Times New Roman"/>
          <w:sz w:val="17"/>
          <w:szCs w:val="17"/>
          <w:color w:val="auto"/>
        </w:rPr>
        <w:t>”). The Company shall use its reasonable best efforts to have such amendment and/or New Registration Statement become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7"/>
          <w:szCs w:val="17"/>
          <w:b w:val="1"/>
          <w:bCs w:val="1"/>
          <w:color w:val="auto"/>
        </w:rPr>
        <w:t>New Registration Effectiveness Deadline</w:t>
      </w:r>
      <w:r>
        <w:rPr>
          <w:rFonts w:ascii="Times New Roman" w:cs="Times New Roman" w:eastAsia="Times New Roman" w:hAnsi="Times New Roman"/>
          <w:sz w:val="17"/>
          <w:szCs w:val="17"/>
          <w:color w:val="auto"/>
        </w:rPr>
        <w:t xml:space="preserve">”); provided that if the SEC is not available to review or declare effective registration statements as of the New Registration Effectiveness Deadline, including because of a “lapse in appropriations” (as described in the SEC’s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 Under a Lapse in Appropriations and Government Shutdown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4" w:name="page155"/>
    <w:bookmarkEnd w:id="154"/>
    <w:p>
      <w:pPr>
        <w:jc w:val="both"/>
        <w:spacing w:after="0" w:line="254" w:lineRule="auto"/>
        <w:rPr>
          <w:sz w:val="20"/>
          <w:szCs w:val="20"/>
          <w:color w:val="auto"/>
        </w:rPr>
      </w:pPr>
      <w:r>
        <w:rPr>
          <w:rFonts w:ascii="Times New Roman" w:cs="Times New Roman" w:eastAsia="Times New Roman" w:hAnsi="Times New Roman"/>
          <w:sz w:val="17"/>
          <w:szCs w:val="17"/>
          <w:color w:val="auto"/>
        </w:rPr>
        <w:t>August 7, 2025, or any similar guidance subsequently published by the SEC), then, after the SEC resumes reviewing and declaring effective registration statements, the New Registration Effectiveness Deadline shall be the fifth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Business Day following the date the Company is notified (orally or in writing, whichever is earlier) by the SEC that the Initial Registration Statement will not be “reviewed” or will not be subject to further review (or, in the event the SEC reviews and has written comments to the New Registration Statement, the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calendar day following the date the SEC resumes reviewing and declaring effective registration statements).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 The provisions of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and (b) shall apply to the New Registration Statement, except as modified hereby</w:t>
      </w:r>
    </w:p>
    <w:p>
      <w:pPr>
        <w:spacing w:after="0" w:line="166" w:lineRule="exact"/>
        <w:rPr>
          <w:sz w:val="20"/>
          <w:szCs w:val="20"/>
          <w:color w:val="auto"/>
        </w:rPr>
      </w:pPr>
    </w:p>
    <w:p>
      <w:pPr>
        <w:jc w:val="both"/>
        <w:ind w:firstLine="1496"/>
        <w:spacing w:after="0" w:line="249" w:lineRule="auto"/>
        <w:tabs>
          <w:tab w:leader="none" w:pos="204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Liquidated Damages</w:t>
      </w:r>
      <w:r>
        <w:rPr>
          <w:rFonts w:ascii="Times New Roman" w:cs="Times New Roman" w:eastAsia="Times New Roman" w:hAnsi="Times New Roman"/>
          <w:sz w:val="17"/>
          <w:szCs w:val="17"/>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then the Company will make pro rata payments to each Purchaser then holding Registrable Securities, as liquidated damages and not as a penalty, in an amount equal to 1.0% of the sum of (x) the aggregate amount paid pursuant to the Purchase Agreement and (y) in the case of pre-funded warrants, the aggregate amount paid or payable pursuant to such pre-funded warrants, by such Purchaser for such Registrable Securities then held by such Purchaser on the date of the applicable failure and for each 30-day period, or pro rata for any portion thereof during which the failure continues (the “</w:t>
      </w:r>
      <w:r>
        <w:rPr>
          <w:rFonts w:ascii="Times New Roman" w:cs="Times New Roman" w:eastAsia="Times New Roman" w:hAnsi="Times New Roman"/>
          <w:sz w:val="17"/>
          <w:szCs w:val="17"/>
          <w:b w:val="1"/>
          <w:bCs w:val="1"/>
          <w:color w:val="auto"/>
        </w:rPr>
        <w:t>Blackout Period</w:t>
      </w:r>
      <w:r>
        <w:rPr>
          <w:rFonts w:ascii="Times New Roman" w:cs="Times New Roman" w:eastAsia="Times New Roman" w:hAnsi="Times New Roman"/>
          <w:sz w:val="17"/>
          <w:szCs w:val="17"/>
          <w:color w:val="auto"/>
        </w:rPr>
        <w:t>”). Such payments shall constitute the Purchasers’ exclusive monetary remedy for such events, but shall not affect the right of the Purchasers to seek injunctive relief. The amounts payable as liquidated damages pursuant to this paragraph shall be paid in cash no later than five (5) Business Days after each such failure and each such 30-day period (pro-rated for periods totaling less than 30 days) following the commencement of the Blackout Period until the termination of the Blackout Period (the “</w:t>
      </w:r>
      <w:r>
        <w:rPr>
          <w:rFonts w:ascii="Times New Roman" w:cs="Times New Roman" w:eastAsia="Times New Roman" w:hAnsi="Times New Roman"/>
          <w:sz w:val="17"/>
          <w:szCs w:val="17"/>
          <w:b w:val="1"/>
          <w:bCs w:val="1"/>
          <w:color w:val="auto"/>
        </w:rPr>
        <w:t>Blackout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 Payment Date</w:t>
      </w:r>
      <w:r>
        <w:rPr>
          <w:rFonts w:ascii="Times New Roman" w:cs="Times New Roman" w:eastAsia="Times New Roman" w:hAnsi="Times New Roman"/>
          <w:sz w:val="17"/>
          <w:szCs w:val="17"/>
          <w:color w:val="auto"/>
        </w:rPr>
        <w:t>”). Interest shall accrue at the rate of 1.0% per month on any such liquidated damages payments that shall not be paid by the Blackout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Payment Date until such amount is paid in full. Notwithstanding anything in this Section 2(d) to the contrary, during any periods that the Company is unable to meet its obligations hereunder with respect to the registration of the Registrable Securities solely because any Purchaser fails to furnish information required to be provided pursuant to Section 2(a) or Section 4(a) within three (3) Business Days of the Company’s request, any liquidated damages that would otherwise accrue as to such Purchaser only shall be tolled until such information is delivered to the Company.</w:t>
      </w:r>
    </w:p>
    <w:p>
      <w:pPr>
        <w:spacing w:after="0" w:line="171"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Allowable Delays.</w:t>
      </w:r>
      <w:r>
        <w:rPr>
          <w:rFonts w:ascii="Times New Roman" w:cs="Times New Roman" w:eastAsia="Times New Roman" w:hAnsi="Times New Roman"/>
          <w:sz w:val="17"/>
          <w:szCs w:val="17"/>
          <w:color w:val="auto"/>
        </w:rPr>
        <w:t xml:space="preserve"> On no more than two occasions and for not more than 30 consecutive days (or forty-five (45) consecutive calendar days if the Company receives comments on its Annual Report on Form 10-K or if the Company has filed or amended a Registration Statement or Final Prospectus, as applicable, relating to resales of the Registrable Securities and such filing or amendment is not automatically effective)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outside legal counsel, that such delay or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a Suspension Event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5" w:name="page156"/>
    <w:bookmarkEnd w:id="155"/>
    <w:p>
      <w:pPr>
        <w:jc w:val="both"/>
        <w:ind w:left="5"/>
        <w:spacing w:after="0" w:line="250" w:lineRule="auto"/>
        <w:rPr>
          <w:sz w:val="20"/>
          <w:szCs w:val="20"/>
          <w:color w:val="auto"/>
        </w:rPr>
      </w:pPr>
      <w:r>
        <w:rPr>
          <w:rFonts w:ascii="Times New Roman" w:cs="Times New Roman" w:eastAsia="Times New Roman" w:hAnsi="Times New Roman"/>
          <w:sz w:val="17"/>
          <w:szCs w:val="17"/>
          <w:color w:val="auto"/>
        </w:rPr>
        <w:t>defined in Section 3(e)) occurs (an “</w:t>
      </w:r>
      <w:r>
        <w:rPr>
          <w:rFonts w:ascii="Times New Roman" w:cs="Times New Roman" w:eastAsia="Times New Roman" w:hAnsi="Times New Roman"/>
          <w:sz w:val="17"/>
          <w:szCs w:val="17"/>
          <w:b w:val="1"/>
          <w:bCs w:val="1"/>
          <w:color w:val="auto"/>
        </w:rPr>
        <w:t>Allowed Delay</w:t>
      </w:r>
      <w:r>
        <w:rPr>
          <w:rFonts w:ascii="Times New Roman" w:cs="Times New Roman" w:eastAsia="Times New Roman" w:hAnsi="Times New Roman"/>
          <w:sz w:val="17"/>
          <w:szCs w:val="17"/>
          <w:color w:val="auto"/>
        </w:rPr>
        <w:t>”); provided, that the Company shall promptly (a) notify the Purchaser by email of the commencement of an Allowed Delay, but shall not (without the prior written consent of the Purchaser) disclose to the Purchaser any material non-public information giving rise to an Allowed Delay, (b) advise the Purchaser in writing to cease all sales under the applicable Registration Statement until the end of the Allowed Delay and (c) use commercially reasonable efforts to terminate an Allowed Delay as promptly as practicable. The Purchaser may deliver written notice (an “</w:t>
      </w:r>
      <w:r>
        <w:rPr>
          <w:rFonts w:ascii="Times New Roman" w:cs="Times New Roman" w:eastAsia="Times New Roman" w:hAnsi="Times New Roman"/>
          <w:sz w:val="17"/>
          <w:szCs w:val="17"/>
          <w:b w:val="1"/>
          <w:bCs w:val="1"/>
          <w:color w:val="auto"/>
        </w:rPr>
        <w:t>Opt-Out Notice</w:t>
      </w:r>
      <w:r>
        <w:rPr>
          <w:rFonts w:ascii="Times New Roman" w:cs="Times New Roman" w:eastAsia="Times New Roman" w:hAnsi="Times New Roman"/>
          <w:sz w:val="17"/>
          <w:szCs w:val="17"/>
          <w:color w:val="auto"/>
        </w:rPr>
        <w:t xml:space="preserve">”) to the Company requesting that the Purchaser not receive notices from the Company otherwise required by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provided, however, that the Purchaser may later revoke any such Opt-Out Notice in writing. Following receipt of an Opt-Out Notice from the Purchaser (unless subsequently revoked), (a) the Company shall not deliver any notices pursuant to this Section 2(d) to the Purchaser and the Purchaser shall no longer be entitled to the rights associated with any such notice and (b) each time prior to the Purchaser’s intended use of an effective Registration Statement, the Purchaser will notify the Company in writing at least two</w:t>
      </w:r>
    </w:p>
    <w:p>
      <w:pPr>
        <w:spacing w:after="0" w:line="1" w:lineRule="exact"/>
        <w:rPr>
          <w:sz w:val="20"/>
          <w:szCs w:val="20"/>
          <w:color w:val="auto"/>
        </w:rPr>
      </w:pPr>
    </w:p>
    <w:p>
      <w:pPr>
        <w:jc w:val="both"/>
        <w:ind w:left="5" w:hanging="5"/>
        <w:spacing w:after="0" w:line="250" w:lineRule="auto"/>
        <w:tabs>
          <w:tab w:leader="none" w:pos="26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in advance of such intended use, and if a notice of an Allowed Delay was previously delivered (or would have been delivered but for the provisions of this Section 2(d)) and the related suspension period remains in effect, the Company will so notify the Purchaser, within one (1) Business Day of the Purchaser’s notification to the Company, by delivering to the Purchaser a copy of such previous notice of an Allowed Delay, and thereafter will provide the Purchaser with the related notice of the conclusion of such Allowed Delay immediately upon the conclusion thereof (which notices shall not contain any material nonpublic information or subject the Purchaser to any duty of confidentiality).</w:t>
      </w:r>
    </w:p>
    <w:p>
      <w:pPr>
        <w:spacing w:after="0" w:line="168" w:lineRule="exact"/>
        <w:rPr>
          <w:rFonts w:ascii="Times New Roman" w:cs="Times New Roman" w:eastAsia="Times New Roman" w:hAnsi="Times New Roman"/>
          <w:sz w:val="17"/>
          <w:szCs w:val="17"/>
          <w:color w:val="auto"/>
        </w:rPr>
      </w:pPr>
    </w:p>
    <w:p>
      <w:pPr>
        <w:jc w:val="both"/>
        <w:ind w:left="5" w:firstLine="1496"/>
        <w:spacing w:after="0" w:line="248" w:lineRule="auto"/>
        <w:tabs>
          <w:tab w:leader="none" w:pos="204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415; Cutback</w:t>
      </w:r>
      <w:r>
        <w:rPr>
          <w:rFonts w:ascii="Times New Roman" w:cs="Times New Roman" w:eastAsia="Times New Roman" w:hAnsi="Times New Roman"/>
          <w:sz w:val="17"/>
          <w:szCs w:val="17"/>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the Purchaser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the Purchaser is not an “underwriter.” The Purchaser shall have the right to select one legal counsel, which counsel shall be selected by the Purchaser, to review and oversee any registration or matters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Purchaser’s counsel reasonably objects. In the event that, despite the Company’s reasonable best efforts and compliance with the terms of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7"/>
          <w:szCs w:val="17"/>
          <w:b w:val="1"/>
          <w:bCs w:val="1"/>
          <w:color w:val="auto"/>
        </w:rPr>
        <w:t>Cut Back Shares</w:t>
      </w:r>
      <w:r>
        <w:rPr>
          <w:rFonts w:ascii="Times New Roman" w:cs="Times New Roman" w:eastAsia="Times New Roman" w:hAnsi="Times New Roman"/>
          <w:sz w:val="17"/>
          <w:szCs w:val="17"/>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Restrictions</w:t>
      </w:r>
      <w:r>
        <w:rPr>
          <w:rFonts w:ascii="Times New Roman" w:cs="Times New Roman" w:eastAsia="Times New Roman" w:hAnsi="Times New Roman"/>
          <w:sz w:val="17"/>
          <w:szCs w:val="17"/>
          <w:color w:val="auto"/>
        </w:rPr>
        <w:t>”); provided, however, that the Company shall not name the Purchaser as an “underwriter” in such Registration Statement without the prior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consent of the Purchaser (provided that, in the event the Purchaser withholds such consent, the Company shall have no obligation hereunder to include any Registrable Securities of the Purchaser in any Registration Statement covering the resale thereof until such time as the SEC no longer requires the Purchaser to be named as an “underwriter” in such Registration Statement or the Purchaser otherwise consents in writing to being so named). Any cut-back imposed on the Purchaser pursuant to this </w:t>
      </w:r>
      <w:r>
        <w:rPr>
          <w:rFonts w:ascii="Times New Roman" w:cs="Times New Roman" w:eastAsia="Times New Roman" w:hAnsi="Times New Roman"/>
          <w:sz w:val="17"/>
          <w:szCs w:val="17"/>
          <w:u w:val="single" w:color="auto"/>
          <w:color w:val="auto"/>
        </w:rPr>
        <w:t>Section 2(e)</w:t>
      </w:r>
      <w:r>
        <w:rPr>
          <w:rFonts w:ascii="Times New Roman" w:cs="Times New Roman" w:eastAsia="Times New Roman" w:hAnsi="Times New Roman"/>
          <w:sz w:val="17"/>
          <w:szCs w:val="17"/>
          <w:color w:val="auto"/>
        </w:rPr>
        <w:t xml:space="preserve"> shall be allocated among the Purchaser and any other holders of Registrable Securities on a pro rata basis and shall be applied first to any of the Registrable Securities of the Purchaser as the Purchaser shall designate, unless the SEC Restrictions otherwise require or provide or the Purchaser otherwise agree. From and after such date as the Company is able to effect the registration of such Cut Back Shares in accordance with any SEC Restrictions (the "</w:t>
      </w:r>
      <w:r>
        <w:rPr>
          <w:rFonts w:ascii="Times New Roman" w:cs="Times New Roman" w:eastAsia="Times New Roman" w:hAnsi="Times New Roman"/>
          <w:sz w:val="17"/>
          <w:szCs w:val="17"/>
          <w:b w:val="1"/>
          <w:bCs w:val="1"/>
          <w:color w:val="auto"/>
        </w:rPr>
        <w:t>Restriction Termination Date</w:t>
      </w:r>
      <w:r>
        <w:rPr>
          <w:rFonts w:ascii="Times New Roman" w:cs="Times New Roman" w:eastAsia="Times New Roman" w:hAnsi="Times New Roman"/>
          <w:sz w:val="17"/>
          <w:szCs w:val="17"/>
          <w:color w:val="auto"/>
        </w:rPr>
        <w:t>"), all of the provisions of this Section 2 (including the Company’s obligations with respect to the filing of a Registration Statement and its obligations to use reasonable efforts to have such Registration Statement</w:t>
      </w:r>
    </w:p>
    <w:p>
      <w:pPr>
        <w:spacing w:after="0" w:line="2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17486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56" w:name="page157"/>
    <w:bookmarkEnd w:id="156"/>
    <w:p>
      <w:pPr>
        <w:jc w:val="both"/>
        <w:ind w:left="5" w:right="20"/>
        <w:spacing w:after="0" w:line="256" w:lineRule="auto"/>
        <w:rPr>
          <w:sz w:val="20"/>
          <w:szCs w:val="20"/>
          <w:color w:val="auto"/>
        </w:rPr>
      </w:pPr>
      <w:r>
        <w:rPr>
          <w:rFonts w:ascii="Times New Roman" w:cs="Times New Roman" w:eastAsia="Times New Roman" w:hAnsi="Times New Roman"/>
          <w:sz w:val="17"/>
          <w:szCs w:val="17"/>
          <w:color w:val="auto"/>
        </w:rPr>
        <w:t>declared effective within the time periods set forth herein and the liquidated damages provisions relating thereto) shall again be applicable to such Cut Back Shares and any registration statement so filed shall be deemed a “Registration Statement” under this Agreement; provided, however, that the date by which the Company is required to file the Registration Statement with respect to such Cut Back Shares shall be the tenth (10th) day following the Restriction Termination Date and the date by which the Company is required to have the Registration Statement effective with respect to such Cut Back Shares shall be the 50th day immediately after the Restriction Termination Date.</w:t>
      </w:r>
    </w:p>
    <w:p>
      <w:pPr>
        <w:spacing w:after="0" w:line="164" w:lineRule="exact"/>
        <w:rPr>
          <w:sz w:val="20"/>
          <w:szCs w:val="20"/>
          <w:color w:val="auto"/>
        </w:rPr>
      </w:pPr>
    </w:p>
    <w:p>
      <w:pPr>
        <w:jc w:val="both"/>
        <w:ind w:left="5" w:right="20" w:firstLine="1496"/>
        <w:spacing w:after="0" w:line="259" w:lineRule="auto"/>
        <w:tabs>
          <w:tab w:leader="none" w:pos="2047"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S-3</w:t>
      </w:r>
      <w:r>
        <w:rPr>
          <w:rFonts w:ascii="Times New Roman" w:cs="Times New Roman" w:eastAsia="Times New Roman" w:hAnsi="Times New Roman"/>
          <w:sz w:val="17"/>
          <w:szCs w:val="17"/>
          <w:color w:val="auto"/>
        </w:rPr>
        <w:t>. 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5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COMPANY OBLIGATIONS.</w:t>
      </w:r>
    </w:p>
    <w:p>
      <w:pPr>
        <w:spacing w:after="0" w:line="209" w:lineRule="exact"/>
        <w:rPr>
          <w:sz w:val="20"/>
          <w:szCs w:val="20"/>
          <w:color w:val="auto"/>
        </w:rPr>
      </w:pPr>
    </w:p>
    <w:p>
      <w:pPr>
        <w:jc w:val="both"/>
        <w:ind w:left="5" w:firstLine="751"/>
        <w:spacing w:after="0" w:line="265" w:lineRule="auto"/>
        <w:rPr>
          <w:sz w:val="20"/>
          <w:szCs w:val="20"/>
          <w:color w:val="auto"/>
        </w:rPr>
      </w:pPr>
      <w:r>
        <w:rPr>
          <w:rFonts w:ascii="Times New Roman" w:cs="Times New Roman" w:eastAsia="Times New Roman" w:hAnsi="Times New Roman"/>
          <w:sz w:val="17"/>
          <w:szCs w:val="17"/>
          <w:color w:val="auto"/>
        </w:rPr>
        <w:t xml:space="preserve">With respect to the Registration Statement and whenever any Registrable Securities are to be Registered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57" w:lineRule="exact"/>
        <w:rPr>
          <w:sz w:val="20"/>
          <w:szCs w:val="20"/>
          <w:color w:val="auto"/>
        </w:rPr>
      </w:pPr>
    </w:p>
    <w:p>
      <w:pPr>
        <w:jc w:val="both"/>
        <w:ind w:left="5" w:firstLine="1496"/>
        <w:spacing w:after="0" w:line="259"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Notifications</w:t>
      </w:r>
      <w:r>
        <w:rPr>
          <w:rFonts w:ascii="Times New Roman" w:cs="Times New Roman" w:eastAsia="Times New Roman" w:hAnsi="Times New Roman"/>
          <w:sz w:val="17"/>
          <w:szCs w:val="17"/>
          <w:color w:val="auto"/>
        </w:rPr>
        <w:t>. The Company will promptly notify the Purchaser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61" w:lineRule="exact"/>
        <w:rPr>
          <w:rFonts w:ascii="Times New Roman" w:cs="Times New Roman" w:eastAsia="Times New Roman" w:hAnsi="Times New Roman"/>
          <w:sz w:val="17"/>
          <w:szCs w:val="17"/>
          <w:color w:val="auto"/>
        </w:rPr>
      </w:pPr>
    </w:p>
    <w:p>
      <w:pPr>
        <w:jc w:val="both"/>
        <w:ind w:left="5" w:firstLine="1496"/>
        <w:spacing w:after="0" w:line="256"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Effectiveness Period and to comply with the provisions of the Securities Act and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with respect to the distribution of the Registrable Securities covered thereby or (b) in the reasonable opinion of the Purchaser and the Company, as may be necessary or advisable in connection with any acquisition or sale of Registrable Securities by the Purchaser.</w:t>
      </w:r>
    </w:p>
    <w:p>
      <w:pPr>
        <w:spacing w:after="0" w:line="163" w:lineRule="exact"/>
        <w:rPr>
          <w:rFonts w:ascii="Times New Roman" w:cs="Times New Roman" w:eastAsia="Times New Roman" w:hAnsi="Times New Roman"/>
          <w:sz w:val="17"/>
          <w:szCs w:val="17"/>
          <w:color w:val="auto"/>
        </w:rPr>
      </w:pPr>
    </w:p>
    <w:p>
      <w:pPr>
        <w:jc w:val="both"/>
        <w:ind w:left="5" w:firstLine="1496"/>
        <w:spacing w:after="0" w:line="255" w:lineRule="auto"/>
        <w:tabs>
          <w:tab w:leader="none" w:pos="2047"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Review</w:t>
      </w:r>
      <w:r>
        <w:rPr>
          <w:rFonts w:ascii="Times New Roman" w:cs="Times New Roman" w:eastAsia="Times New Roman" w:hAnsi="Times New Roman"/>
          <w:sz w:val="17"/>
          <w:szCs w:val="17"/>
          <w:color w:val="auto"/>
        </w:rPr>
        <w:t>. The Company will not file any amendment or supplement to the Registration Statement, any New Registration Statement or any Prospectus, other than documents incorporated by reference, relating to the Purchaser, the Registrable Securities or the transactions contemplated hereby unless (A) the Purchaser and its counsel shall have been advised and afforded the opportunity to review and comment thereon at least three</w:t>
      </w:r>
    </w:p>
    <w:p>
      <w:pPr>
        <w:ind w:left="5" w:right="20" w:hanging="5"/>
        <w:spacing w:after="0" w:line="260" w:lineRule="auto"/>
        <w:tabs>
          <w:tab w:leader="none" w:pos="2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filing with the SEC and (B) the Company shall have given reasonable due consideration to any comments thereon received from the Purchaser or its counsel.</w:t>
      </w:r>
    </w:p>
    <w:p>
      <w:pPr>
        <w:spacing w:after="0" w:line="159" w:lineRule="exact"/>
        <w:rPr>
          <w:rFonts w:ascii="Times New Roman" w:cs="Times New Roman" w:eastAsia="Times New Roman" w:hAnsi="Times New Roman"/>
          <w:sz w:val="17"/>
          <w:szCs w:val="17"/>
          <w:color w:val="auto"/>
        </w:rPr>
      </w:pPr>
    </w:p>
    <w:p>
      <w:pPr>
        <w:jc w:val="both"/>
        <w:ind w:left="5" w:right="20" w:firstLine="1496"/>
        <w:spacing w:after="0" w:line="265" w:lineRule="auto"/>
        <w:tabs>
          <w:tab w:leader="none" w:pos="2047"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Copies Available</w:t>
      </w:r>
      <w:r>
        <w:rPr>
          <w:rFonts w:ascii="Times New Roman" w:cs="Times New Roman" w:eastAsia="Times New Roman" w:hAnsi="Times New Roman"/>
          <w:sz w:val="17"/>
          <w:szCs w:val="17"/>
          <w:color w:val="auto"/>
        </w:rPr>
        <w:t>. The Company will furnish to the Purchaser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w:t>
      </w:r>
    </w:p>
    <w:p>
      <w:pPr>
        <w:spacing w:after="0" w:line="2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499745</wp:posOffset>
            </wp:positionV>
            <wp:extent cx="71748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4" w:right="31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17"/>
          <w:szCs w:val="17"/>
          <w:color w:val="auto"/>
        </w:rPr>
        <w:t>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the Purchaser may reasonably request in order to facilitate the disposition of the Registrable Securities owned by the Purchaser that are covered by such Registration Statement, in each case as soon as reasonably practicable upon the Purchaser’s request and in such quantities as the Purchaser may from time to time reasonably request; provided, however, that the Company shall not be required to furnish any document to the Purchaser to the extent such document is available on EDGAR.</w:t>
      </w:r>
    </w:p>
    <w:p>
      <w:pPr>
        <w:spacing w:after="0" w:line="166" w:lineRule="exact"/>
        <w:rPr>
          <w:sz w:val="20"/>
          <w:szCs w:val="20"/>
          <w:color w:val="auto"/>
        </w:rPr>
      </w:pPr>
    </w:p>
    <w:p>
      <w:pPr>
        <w:jc w:val="both"/>
        <w:ind w:firstLine="1496"/>
        <w:spacing w:after="0" w:line="248" w:lineRule="auto"/>
        <w:tabs>
          <w:tab w:leader="none" w:pos="20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Stop Orders; Material Changes</w:t>
      </w:r>
      <w:r>
        <w:rPr>
          <w:rFonts w:ascii="Times New Roman" w:cs="Times New Roman" w:eastAsia="Times New Roman" w:hAnsi="Times New Roman"/>
          <w:sz w:val="17"/>
          <w:szCs w:val="17"/>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Purchaser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Purchaser (and shall not so disclose to any Purchaser without such Purchaser’s prior written consent) the substance of specific reasons of any of the events set forth in clause (i) to (iii) of the immediately preceding sentence (each, a “</w:t>
      </w:r>
      <w:r>
        <w:rPr>
          <w:rFonts w:ascii="Times New Roman" w:cs="Times New Roman" w:eastAsia="Times New Roman" w:hAnsi="Times New Roman"/>
          <w:sz w:val="17"/>
          <w:szCs w:val="17"/>
          <w:b w:val="1"/>
          <w:bCs w:val="1"/>
          <w:color w:val="auto"/>
        </w:rPr>
        <w:t>Suspension Event</w:t>
      </w:r>
      <w:r>
        <w:rPr>
          <w:rFonts w:ascii="Times New Roman" w:cs="Times New Roman" w:eastAsia="Times New Roman" w:hAnsi="Times New Roman"/>
          <w:sz w:val="17"/>
          <w:szCs w:val="17"/>
          <w:color w:val="auto"/>
        </w:rPr>
        <w:t xml:space="preserve">”), but rather, shall only be required to disclose that the event has occurred; provided that the Company should not provide any material non-public information to the Purchasers in such notice (it being understood that notice solely of the existence of the Suspension Event as required by this Section 3(e) shall not constitute a breach hereof).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Purchaser,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Company will use its commercially reasonable efforts to publicly disclose such event as soon as reasonably practicable, or otherwise resolve the matter such that sales under Registration Statements may resume.</w:t>
      </w:r>
    </w:p>
    <w:p>
      <w:pPr>
        <w:spacing w:after="0" w:line="167" w:lineRule="exact"/>
        <w:rPr>
          <w:rFonts w:ascii="Times New Roman" w:cs="Times New Roman" w:eastAsia="Times New Roman" w:hAnsi="Times New Roman"/>
          <w:sz w:val="17"/>
          <w:szCs w:val="17"/>
          <w:color w:val="auto"/>
        </w:rPr>
      </w:pPr>
    </w:p>
    <w:p>
      <w:pPr>
        <w:ind w:firstLine="1496"/>
        <w:spacing w:after="0" w:line="284" w:lineRule="auto"/>
        <w:tabs>
          <w:tab w:leader="none" w:pos="204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Effectiveness</w:t>
      </w:r>
      <w:r>
        <w:rPr>
          <w:rFonts w:ascii="Times New Roman" w:cs="Times New Roman" w:eastAsia="Times New Roman" w:hAnsi="Times New Roman"/>
          <w:sz w:val="17"/>
          <w:szCs w:val="17"/>
          <w:color w:val="auto"/>
        </w:rPr>
        <w:t>. If reasonably requested by the Purchaser at any time in respect of any Registration Statement, the Company shall deliver to the Purchaser a written confirmation (email being sufficient) from Company’s counsel of whether or not the effectiveness of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8" w:name="page159"/>
    <w:bookmarkEnd w:id="158"/>
    <w:p>
      <w:pPr>
        <w:ind w:right="20"/>
        <w:spacing w:after="0" w:line="284" w:lineRule="auto"/>
        <w:rPr>
          <w:sz w:val="20"/>
          <w:szCs w:val="20"/>
          <w:color w:val="auto"/>
        </w:rPr>
      </w:pPr>
      <w:r>
        <w:rPr>
          <w:rFonts w:ascii="Times New Roman" w:cs="Times New Roman" w:eastAsia="Times New Roman" w:hAnsi="Times New Roman"/>
          <w:sz w:val="17"/>
          <w:szCs w:val="17"/>
          <w:color w:val="auto"/>
        </w:rPr>
        <w:t>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41" w:lineRule="exact"/>
        <w:rPr>
          <w:sz w:val="20"/>
          <w:szCs w:val="20"/>
          <w:color w:val="auto"/>
        </w:rPr>
      </w:pPr>
    </w:p>
    <w:p>
      <w:pPr>
        <w:ind w:right="20" w:firstLine="1496"/>
        <w:spacing w:after="0" w:line="284"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have filed with Nasdaq a Notification Form: Listing of Additional Shares for the listing of the Shares and Nasdaq shall have raised no objection to such notice.</w:t>
      </w:r>
    </w:p>
    <w:p>
      <w:pPr>
        <w:spacing w:after="0" w:line="140" w:lineRule="exact"/>
        <w:rPr>
          <w:rFonts w:ascii="Times New Roman" w:cs="Times New Roman" w:eastAsia="Times New Roman" w:hAnsi="Times New Roman"/>
          <w:sz w:val="17"/>
          <w:szCs w:val="17"/>
          <w:color w:val="auto"/>
        </w:rPr>
      </w:pPr>
    </w:p>
    <w:p>
      <w:pPr>
        <w:jc w:val="both"/>
        <w:ind w:firstLine="1496"/>
        <w:spacing w:after="0" w:line="250"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Purchaser in writing if, at any time during the Effectiveness Period, the Company does not satisfy the conditions specified in Rule 172 and, as a result thereof, the Purchaser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7"/>
          <w:szCs w:val="17"/>
          <w:u w:val="single" w:color="auto"/>
          <w:color w:val="auto"/>
        </w:rPr>
        <w:t>subsection 3(h)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45</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7"/>
          <w:szCs w:val="17"/>
          <w:b w:val="1"/>
          <w:bCs w:val="1"/>
          <w:color w:val="auto"/>
        </w:rPr>
        <w:t>Availability Date</w:t>
      </w:r>
      <w:r>
        <w:rPr>
          <w:rFonts w:ascii="Times New Roman" w:cs="Times New Roman" w:eastAsia="Times New Roman" w:hAnsi="Times New Roman"/>
          <w:sz w:val="17"/>
          <w:szCs w:val="17"/>
          <w:color w:val="auto"/>
        </w:rPr>
        <w:t>” means the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xml:space="preserve"> day after the end of such fourth fiscal quarter).</w:t>
      </w:r>
    </w:p>
    <w:p>
      <w:pPr>
        <w:spacing w:after="0" w:line="172" w:lineRule="exact"/>
        <w:rPr>
          <w:rFonts w:ascii="Times New Roman" w:cs="Times New Roman" w:eastAsia="Times New Roman" w:hAnsi="Times New Roman"/>
          <w:sz w:val="17"/>
          <w:szCs w:val="17"/>
          <w:color w:val="auto"/>
        </w:rPr>
      </w:pPr>
    </w:p>
    <w:p>
      <w:pPr>
        <w:jc w:val="both"/>
        <w:ind w:right="20" w:firstLine="1496"/>
        <w:spacing w:after="0" w:line="256"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Blue-Sky</w:t>
      </w:r>
      <w:r>
        <w:rPr>
          <w:rFonts w:ascii="Times New Roman" w:cs="Times New Roman" w:eastAsia="Times New Roman" w:hAnsi="Times New Roman"/>
          <w:sz w:val="17"/>
          <w:szCs w:val="17"/>
          <w:color w:val="auto"/>
        </w:rPr>
        <w:t xml:space="preserve">. The Company shall register or qualify or cooperate with the Purchaser and its counsel in connection with the registration or qualification of such Registrable Securities for the offer and sale under the securities or blue sky laws of such jurisdictions reasonably requested by the Purchaser;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(ii) subject itself to general taxation in any jurisdiction where it would not otherwise be so subject but for this </w:t>
      </w:r>
      <w:r>
        <w:rPr>
          <w:rFonts w:ascii="Times New Roman" w:cs="Times New Roman" w:eastAsia="Times New Roman" w:hAnsi="Times New Roman"/>
          <w:sz w:val="17"/>
          <w:szCs w:val="17"/>
          <w:u w:val="single" w:color="auto"/>
          <w:color w:val="auto"/>
        </w:rPr>
        <w:t>Section 3(i)</w:t>
      </w:r>
      <w:r>
        <w:rPr>
          <w:rFonts w:ascii="Times New Roman" w:cs="Times New Roman" w:eastAsia="Times New Roman" w:hAnsi="Times New Roman"/>
          <w:sz w:val="17"/>
          <w:szCs w:val="17"/>
          <w:color w:val="auto"/>
        </w:rPr>
        <w:t xml:space="preserve"> or (iii) file a general consent to service of process in any such jurisdiction.</w:t>
      </w:r>
    </w:p>
    <w:p>
      <w:pPr>
        <w:spacing w:after="0" w:line="163"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With a view to making available to the Purchaser the benefits of Rule 144 (or its successor rule) and any other rule or regulation of the SEC that may at any time permit the Purchaser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the Purchaser upon request, as long as the Purchaser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the Purchaser of any rule or regulation of the SEC that permits the selling of any such Registrable Securities without registration.</w:t>
      </w:r>
    </w:p>
    <w:p>
      <w:pPr>
        <w:spacing w:after="0" w:line="170"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xml:space="preserve"> The Company shall cooperate with the holders of the Registrable Securities to facilitate the timely preparation and delivery of certificates or uncertificated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59" w:name="page160"/>
    <w:bookmarkEnd w:id="159"/>
    <w:p>
      <w:pPr>
        <w:jc w:val="both"/>
        <w:spacing w:after="0" w:line="259" w:lineRule="auto"/>
        <w:rPr>
          <w:sz w:val="20"/>
          <w:szCs w:val="20"/>
          <w:color w:val="auto"/>
        </w:rPr>
      </w:pPr>
      <w:r>
        <w:rPr>
          <w:rFonts w:ascii="Times New Roman" w:cs="Times New Roman" w:eastAsia="Times New Roman" w:hAnsi="Times New Roman"/>
          <w:sz w:val="17"/>
          <w:szCs w:val="17"/>
          <w:color w:val="auto"/>
        </w:rPr>
        <w:t>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59" w:lineRule="exact"/>
        <w:rPr>
          <w:sz w:val="20"/>
          <w:szCs w:val="20"/>
          <w:color w:val="auto"/>
        </w:rPr>
      </w:pPr>
    </w:p>
    <w:p>
      <w:pPr>
        <w:ind w:left="1120" w:hanging="375"/>
        <w:spacing w:after="0"/>
        <w:tabs>
          <w:tab w:leader="none" w:pos="11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OBLIGATIONS OF THE PURCHASER.</w:t>
      </w:r>
    </w:p>
    <w:p>
      <w:pPr>
        <w:spacing w:after="0" w:line="208" w:lineRule="exact"/>
        <w:rPr>
          <w:rFonts w:ascii="Times New Roman" w:cs="Times New Roman" w:eastAsia="Times New Roman" w:hAnsi="Times New Roman"/>
          <w:sz w:val="17"/>
          <w:szCs w:val="17"/>
          <w:b w:val="1"/>
          <w:bCs w:val="1"/>
          <w:color w:val="auto"/>
        </w:rPr>
      </w:pPr>
    </w:p>
    <w:p>
      <w:pPr>
        <w:jc w:val="both"/>
        <w:ind w:right="20" w:firstLine="1496"/>
        <w:spacing w:after="0" w:line="265"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Information</w:t>
      </w:r>
      <w:r>
        <w:rPr>
          <w:rFonts w:ascii="Times New Roman" w:cs="Times New Roman" w:eastAsia="Times New Roman" w:hAnsi="Times New Roman"/>
          <w:sz w:val="17"/>
          <w:szCs w:val="17"/>
          <w:color w:val="auto"/>
        </w:rPr>
        <w:t xml:space="preserve">. The Purchaser shall provide a completed Purchaser Questionnaire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in connection with the registration of the Registrable Securities. If the Company has not received such completed Questionnaire from the Purchaser within three (3) Business Days of the Company’s request, the Company may file the Registration Statement without including the Purchaser’s Registrable Securities.</w:t>
      </w:r>
    </w:p>
    <w:p>
      <w:pPr>
        <w:spacing w:after="0" w:line="156" w:lineRule="exact"/>
        <w:rPr>
          <w:rFonts w:ascii="Times New Roman" w:cs="Times New Roman" w:eastAsia="Times New Roman" w:hAnsi="Times New Roman"/>
          <w:sz w:val="17"/>
          <w:szCs w:val="17"/>
          <w:color w:val="auto"/>
        </w:rPr>
      </w:pPr>
    </w:p>
    <w:p>
      <w:pPr>
        <w:jc w:val="both"/>
        <w:ind w:firstLine="1496"/>
        <w:spacing w:after="0" w:line="251"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xml:space="preserve">. The Purchaser agrees that, upon receipt of any notice from the Company of the existence of an Allowed Delay or a Suspension Event as set forth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the Purchaser will promptly discontinue disposition of Registrable Securities pursuant to any Registration Statement covering such Registrable Securities until the Purchaser's receipt of a notice from the Company confirming the resolution of such Allowed Delay or Suspension Event and that such dispositions may again be made; provided, for the avoidance of doubt, that the foregoing shall not limit the right of the Purchaser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the Purchaser’s receipt of the notice from the Company of the existence of the Allowed Delay or Suspension Event. The Company shall cause its transfer agent to deliver unlegended shares of Common Stock to a transferee of the Purchaser in accordance with any sale of Registrable Securities pursuant to a Registration Statement with respect to which the Purchaser has entered into a contract for sale prior to the Purchaser’s receipt of the notice from the Company of the existence of the Allowed Delay or Suspension Event.</w:t>
      </w:r>
    </w:p>
    <w:p>
      <w:pPr>
        <w:spacing w:after="0" w:line="371"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Cooperation</w:t>
      </w:r>
      <w:r>
        <w:rPr>
          <w:rFonts w:ascii="Times New Roman" w:cs="Times New Roman" w:eastAsia="Times New Roman" w:hAnsi="Times New Roman"/>
          <w:sz w:val="17"/>
          <w:szCs w:val="17"/>
          <w:color w:val="auto"/>
        </w:rPr>
        <w:t>. The Purchaser agrees to cooperate with the Company as reasonably requested by the Company in connection with the preparation and filing of any amendments and supplements to any Registration Statement or New Registration Statement hereunder, unless the Purchaser has notified the Company in writing of its election to exclude all of its Registrable Securities from such Registration Statement.</w:t>
      </w:r>
    </w:p>
    <w:p>
      <w:pPr>
        <w:spacing w:after="0" w:line="154"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EXPENSES OF REGISTRATION.</w:t>
      </w:r>
    </w:p>
    <w:p>
      <w:pPr>
        <w:spacing w:after="0" w:line="209" w:lineRule="exact"/>
        <w:rPr>
          <w:sz w:val="20"/>
          <w:szCs w:val="20"/>
          <w:color w:val="auto"/>
        </w:rPr>
      </w:pPr>
    </w:p>
    <w:p>
      <w:pPr>
        <w:ind w:firstLine="1501"/>
        <w:spacing w:after="0" w:line="284" w:lineRule="auto"/>
        <w:rPr>
          <w:sz w:val="20"/>
          <w:szCs w:val="20"/>
          <w:color w:val="auto"/>
        </w:rPr>
      </w:pPr>
      <w:r>
        <w:rPr>
          <w:rFonts w:ascii="Times New Roman" w:cs="Times New Roman" w:eastAsia="Times New Roman" w:hAnsi="Times New Roman"/>
          <w:sz w:val="17"/>
          <w:szCs w:val="17"/>
          <w:color w:val="auto"/>
        </w:rPr>
        <w:t>All Registration Expenses incurred in connection with registrations pursuant to this Agreement shall be borne by the Company. All Selling Expenses relating to securities registered on behalf of the Purchaser shall be borne by the Purchaser.</w:t>
      </w:r>
    </w:p>
    <w:p>
      <w:pPr>
        <w:spacing w:after="0" w:line="139" w:lineRule="exact"/>
        <w:rPr>
          <w:sz w:val="20"/>
          <w:szCs w:val="20"/>
          <w:color w:val="auto"/>
        </w:rPr>
      </w:pPr>
    </w:p>
    <w:p>
      <w:pPr>
        <w:ind w:left="1120" w:hanging="375"/>
        <w:spacing w:after="0"/>
        <w:tabs>
          <w:tab w:leader="none" w:pos="112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p>
    <w:p>
      <w:pPr>
        <w:spacing w:after="0" w:line="208"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the Purchaser, each Person, if any, who controls the Purchaser, the shareholders, the members, the directors, officers, partners, employees, members, managers, agents, representatives and advisors of the Purchaser and each Person, if any, who controls the Purchaser within the meaning of the Securities Act or the Exchange Act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 claims, damages, liabilities, contingencies, judgments, fines, penalties, charges, costs (including, without limitation, court costs and costs of preparation), reasonable and documented attorneys’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0" w:name="page161"/>
    <w:bookmarkEnd w:id="160"/>
    <w:p>
      <w:pPr>
        <w:jc w:val="both"/>
        <w:spacing w:after="0" w:line="248" w:lineRule="auto"/>
        <w:rPr>
          <w:sz w:val="20"/>
          <w:szCs w:val="20"/>
          <w:color w:val="auto"/>
        </w:rPr>
      </w:pPr>
      <w:r>
        <w:rPr>
          <w:rFonts w:ascii="Times New Roman" w:cs="Times New Roman" w:eastAsia="Times New Roman" w:hAnsi="Times New Roman"/>
          <w:sz w:val="17"/>
          <w:szCs w:val="17"/>
          <w:color w:val="auto"/>
        </w:rPr>
        <w:t>fees, amounts paid in settlement or reasonable and documented expenses,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7"/>
          <w:szCs w:val="17"/>
          <w:b w:val="1"/>
          <w:bCs w:val="1"/>
          <w:color w:val="auto"/>
        </w:rPr>
        <w:t>Violations</w:t>
      </w:r>
      <w:r>
        <w:rPr>
          <w:rFonts w:ascii="Times New Roman" w:cs="Times New Roman" w:eastAsia="Times New Roman" w:hAnsi="Times New Roman"/>
          <w:sz w:val="17"/>
          <w:szCs w:val="17"/>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(A) shall not apply to a Claim by an Indemnified Person arising out of or based upon a Violation which occurs in reliance upon and in conformity with information furnished in writing to the Company by the Purchaser or such relevant Indemnified Person specifically for use in such Registration Statement or prospectus and was reviewed and approved in writing by the Purchaser or such Indemnified Person expressly for use in connection with the preparation of any Registration Statement, any prospectus or any such amendment thereof or supplement thereto,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and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Registration Securities by the Purchaser pursuant to Section 8.</w:t>
      </w:r>
    </w:p>
    <w:p>
      <w:pPr>
        <w:spacing w:after="0" w:line="182" w:lineRule="exact"/>
        <w:rPr>
          <w:sz w:val="20"/>
          <w:szCs w:val="20"/>
          <w:color w:val="auto"/>
        </w:rPr>
      </w:pPr>
    </w:p>
    <w:p>
      <w:pPr>
        <w:jc w:val="both"/>
        <w:ind w:firstLine="1496"/>
        <w:spacing w:after="0" w:line="250" w:lineRule="auto"/>
        <w:tabs>
          <w:tab w:leader="none" w:pos="2041"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Initial Registration Statement, any New Registration Statement or any prospectus, the Purchaser agrees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against any losses, claims, damages, liabilities and expense (including reasonable attorney fees) resulting from any Violation, in each case to the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only to the extent, that such Violation occurs in reliance upon and in conformity with information about the Purchaser furnished in writing by the Purchaser to the Company and reviewed and approved in writing by the Purchaser or such Indemnified Person expressly for use in connection with the preparation of the Registration Statement, any New Registration Statement, any prospectus or any such amendment thereof or supplement thereto. In no event shall the liability of the Purchaser be greater in amount than the dollar amount of the proceeds (net of all expense paid by the Purchaser in connection with any claim relating to this Section 6 and the amount of any damages the Purchaser has otherwise been required to pay by reason of such untrue statement or omission) received by the Purchaser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1" w:name="page162"/>
    <w:bookmarkEnd w:id="161"/>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written consent of the Purchaser, which consent shall not be unreasonably withheld, conditioned or delayed. Such indemnity shall remain in full force and effect regardless of any investigation made by or on behalf of such Indemnified Party and shall survive the transfer of the Registrable Securities by Purchaser pursuant to Section 8.</w:t>
      </w:r>
    </w:p>
    <w:p>
      <w:pPr>
        <w:spacing w:after="0" w:line="157" w:lineRule="exact"/>
        <w:rPr>
          <w:sz w:val="20"/>
          <w:szCs w:val="20"/>
          <w:color w:val="auto"/>
        </w:rPr>
      </w:pPr>
    </w:p>
    <w:p>
      <w:pPr>
        <w:jc w:val="both"/>
        <w:ind w:firstLine="1496"/>
        <w:spacing w:after="0" w:line="248" w:lineRule="auto"/>
        <w:tabs>
          <w:tab w:leader="none" w:pos="204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receipt by an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except to the extent that the indemnifying party is prejudiced in its ability to defend such action.</w:t>
      </w:r>
    </w:p>
    <w:p>
      <w:pPr>
        <w:spacing w:after="0" w:line="177"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required by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be made by periodic payments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which person is later determined to not be entitled to such payment shall return such payment (including reimbursement of expenses) to the person making 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2" w:name="page163"/>
    <w:bookmarkEnd w:id="162"/>
    <w:p>
      <w:pPr>
        <w:ind w:right="20" w:firstLine="1496"/>
        <w:spacing w:after="0" w:line="284" w:lineRule="auto"/>
        <w:tabs>
          <w:tab w:leader="none" w:pos="204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38" w:lineRule="exact"/>
        <w:rPr>
          <w:rFonts w:ascii="Times New Roman" w:cs="Times New Roman" w:eastAsia="Times New Roman" w:hAnsi="Times New Roman"/>
          <w:sz w:val="17"/>
          <w:szCs w:val="17"/>
          <w:color w:val="auto"/>
        </w:rPr>
      </w:pPr>
    </w:p>
    <w:p>
      <w:pPr>
        <w:ind w:left="1120" w:hanging="375"/>
        <w:spacing w:after="0"/>
        <w:tabs>
          <w:tab w:leader="none" w:pos="112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CONTRIBUTION.</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64" w:lineRule="exact"/>
        <w:rPr>
          <w:sz w:val="20"/>
          <w:szCs w:val="20"/>
          <w:color w:val="auto"/>
        </w:rPr>
      </w:pPr>
    </w:p>
    <w:p>
      <w:pPr>
        <w:ind w:left="1120" w:hanging="375"/>
        <w:spacing w:after="0"/>
        <w:tabs>
          <w:tab w:leader="none" w:pos="112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 OF REGISTRATION RIGHTS.</w:t>
      </w:r>
    </w:p>
    <w:p>
      <w:pPr>
        <w:spacing w:after="0" w:line="209" w:lineRule="exact"/>
        <w:rPr>
          <w:sz w:val="20"/>
          <w:szCs w:val="20"/>
          <w:color w:val="auto"/>
        </w:rPr>
      </w:pPr>
    </w:p>
    <w:p>
      <w:pPr>
        <w:jc w:val="both"/>
        <w:ind w:firstLine="1501"/>
        <w:spacing w:after="0" w:line="253" w:lineRule="auto"/>
        <w:rPr>
          <w:sz w:val="20"/>
          <w:szCs w:val="20"/>
          <w:color w:val="auto"/>
        </w:rPr>
      </w:pPr>
      <w:r>
        <w:rPr>
          <w:rFonts w:ascii="Times New Roman" w:cs="Times New Roman" w:eastAsia="Times New Roman" w:hAnsi="Times New Roman"/>
          <w:sz w:val="17"/>
          <w:szCs w:val="17"/>
          <w:color w:val="auto"/>
        </w:rPr>
        <w:t>The Company shall not assign this Agreement or any rights or obligations hereunder (whether by operation of law or otherwise) without the prior written consent of the Purchaser;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Purchaser in connection with such transaction unless such securities are otherwise freely tradable by the Purchaser after giving effect to such transaction, and the prior written consent of the Purchaser shall not be required for such transaction.</w:t>
      </w:r>
    </w:p>
    <w:p>
      <w:pPr>
        <w:spacing w:after="0" w:line="166" w:lineRule="exact"/>
        <w:rPr>
          <w:sz w:val="20"/>
          <w:szCs w:val="20"/>
          <w:color w:val="auto"/>
        </w:rPr>
      </w:pPr>
    </w:p>
    <w:p>
      <w:pPr>
        <w:jc w:val="both"/>
        <w:ind w:firstLine="1501"/>
        <w:spacing w:after="0" w:line="258" w:lineRule="auto"/>
        <w:rPr>
          <w:sz w:val="20"/>
          <w:szCs w:val="20"/>
          <w:color w:val="auto"/>
        </w:rPr>
      </w:pPr>
      <w:r>
        <w:rPr>
          <w:rFonts w:ascii="Times New Roman" w:cs="Times New Roman" w:eastAsia="Times New Roman" w:hAnsi="Times New Roman"/>
          <w:sz w:val="17"/>
          <w:szCs w:val="17"/>
          <w:color w:val="auto"/>
        </w:rPr>
        <w:t>The Purchaser may transfer or assign its rights hereunder, in whole or from time to time in part, to one or more Persons in connection with the transfer (i) of not fewer than 100,000 (subject to appropriate adjustment in the event of any stock dividend, stock split, combination or other similar recapitalization) Registrable Securities by the Purchaser to such Person or (ii) to an Affiliate of the Purchaser regardless of the number of Registrable Securities being transferred to such Affiliate, provided that the Purchaser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3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provisions of this Agreement shall be binding upon and inure to the benefit of the Purchaser and its successors and permitted assigns.</w:t>
      </w:r>
    </w:p>
    <w:p>
      <w:pPr>
        <w:spacing w:after="0" w:line="394" w:lineRule="exact"/>
        <w:rPr>
          <w:sz w:val="20"/>
          <w:szCs w:val="20"/>
          <w:color w:val="auto"/>
        </w:rPr>
      </w:pPr>
    </w:p>
    <w:p>
      <w:pPr>
        <w:ind w:left="1120" w:hanging="375"/>
        <w:spacing w:after="0"/>
        <w:tabs>
          <w:tab w:leader="none" w:pos="112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AMENDMENTS AND WAIVERS.</w:t>
      </w:r>
    </w:p>
    <w:p>
      <w:pPr>
        <w:spacing w:after="0" w:line="209" w:lineRule="exact"/>
        <w:rPr>
          <w:sz w:val="20"/>
          <w:szCs w:val="20"/>
          <w:color w:val="auto"/>
        </w:rPr>
      </w:pPr>
    </w:p>
    <w:p>
      <w:pPr>
        <w:ind w:right="20" w:firstLine="1501"/>
        <w:spacing w:after="0" w:line="284" w:lineRule="auto"/>
        <w:rPr>
          <w:sz w:val="20"/>
          <w:szCs w:val="20"/>
          <w:color w:val="auto"/>
        </w:rPr>
      </w:pPr>
      <w:r>
        <w:rPr>
          <w:rFonts w:ascii="Times New Roman" w:cs="Times New Roman" w:eastAsia="Times New Roman" w:hAnsi="Times New Roman"/>
          <w:sz w:val="17"/>
          <w:szCs w:val="17"/>
          <w:color w:val="auto"/>
        </w:rPr>
        <w:t>The provisions of this Agreement, including the provisions of this sentence, may be amended, modified or supplemented, or waived only by a written instrument executed by (i) the Company and (ii) the Purchaser.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3" w:name="page164"/>
    <w:bookmarkEnd w:id="163"/>
    <w:p>
      <w:pPr>
        <w:ind w:left="1120" w:hanging="375"/>
        <w:spacing w:after="0"/>
        <w:tabs>
          <w:tab w:leader="none" w:pos="112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96" w:lineRule="exact"/>
        <w:rPr>
          <w:rFonts w:ascii="Times New Roman" w:cs="Times New Roman" w:eastAsia="Times New Roman" w:hAnsi="Times New Roman"/>
          <w:sz w:val="17"/>
          <w:szCs w:val="17"/>
          <w:b w:val="1"/>
          <w:bCs w:val="1"/>
          <w:color w:val="auto"/>
        </w:rPr>
      </w:pPr>
    </w:p>
    <w:p>
      <w:pPr>
        <w:jc w:val="both"/>
        <w:ind w:firstLine="1496"/>
        <w:spacing w:after="0" w:line="256" w:lineRule="auto"/>
        <w:tabs>
          <w:tab w:leader="none" w:pos="2041"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6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i. If to the Company, addressed as follows:</w:t>
      </w:r>
    </w:p>
    <w:p>
      <w:pPr>
        <w:spacing w:after="0" w:line="1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18706 North Creek Parkway, Suite 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Bothell, Washington 98011</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Legal</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with a copy (which shall not constitute notice):</w:t>
      </w:r>
    </w:p>
    <w:p>
      <w:pPr>
        <w:spacing w:after="0" w:line="1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Wilson Sonsini Goodrich &amp; Rosati, P.C.</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701 5th Ave #5100,</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Seattle, WA 98104</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Attention: Michael Nordtvedt &amp; Bryan D. King</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Email:</w:t>
      </w:r>
    </w:p>
    <w:p>
      <w:pPr>
        <w:spacing w:after="0" w:line="187" w:lineRule="exact"/>
        <w:rPr>
          <w:sz w:val="20"/>
          <w:szCs w:val="20"/>
          <w:color w:val="auto"/>
        </w:rPr>
      </w:pPr>
    </w:p>
    <w:p>
      <w:pPr>
        <w:ind w:left="740" w:right="20" w:firstLine="1586"/>
        <w:spacing w:after="0" w:line="284" w:lineRule="auto"/>
        <w:tabs>
          <w:tab w:leader="none" w:pos="25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to the Purchaser,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Person may change the address to which notices and communications to it are to be addressed by notification as provided for herein.</w:t>
      </w:r>
    </w:p>
    <w:p>
      <w:pPr>
        <w:spacing w:after="0" w:line="195" w:lineRule="exact"/>
        <w:rPr>
          <w:sz w:val="20"/>
          <w:szCs w:val="20"/>
          <w:color w:val="auto"/>
        </w:rPr>
      </w:pPr>
    </w:p>
    <w:p>
      <w:pPr>
        <w:jc w:val="both"/>
        <w:ind w:right="20" w:firstLine="1496"/>
        <w:spacing w:after="0" w:line="254" w:lineRule="auto"/>
        <w:tabs>
          <w:tab w:leader="none" w:pos="204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Electronic Notice.</w:t>
      </w:r>
      <w:r>
        <w:rPr>
          <w:rFonts w:ascii="Times New Roman" w:cs="Times New Roman" w:eastAsia="Times New Roman" w:hAnsi="Times New Roman"/>
          <w:sz w:val="17"/>
          <w:szCs w:val="17"/>
          <w:color w:val="auto"/>
        </w:rPr>
        <w:t xml:space="preserve"> The Purchaser consents to the delivery of any stockholder notice pursuant to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as amended or superseded from time to time, by electronic mail pursuant to Section 232 of the DGCL (or any successor thereto) at the e-mail address set forth below the Purchaser’s name on its signature page to the Purchase Agreement,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66" w:lineRule="exact"/>
        <w:rPr>
          <w:rFonts w:ascii="Times New Roman" w:cs="Times New Roman" w:eastAsia="Times New Roman" w:hAnsi="Times New Roman"/>
          <w:sz w:val="17"/>
          <w:szCs w:val="17"/>
          <w:color w:val="auto"/>
        </w:rPr>
      </w:pPr>
    </w:p>
    <w:p>
      <w:pPr>
        <w:jc w:val="both"/>
        <w:ind w:right="20" w:firstLine="1496"/>
        <w:spacing w:after="0" w:line="265" w:lineRule="auto"/>
        <w:tabs>
          <w:tab w:leader="none" w:pos="204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4" w:lineRule="exact"/>
        <w:rPr>
          <w:rFonts w:ascii="Times New Roman" w:cs="Times New Roman" w:eastAsia="Times New Roman" w:hAnsi="Times New Roman"/>
          <w:sz w:val="17"/>
          <w:szCs w:val="17"/>
          <w:color w:val="auto"/>
        </w:rPr>
      </w:pPr>
    </w:p>
    <w:p>
      <w:pPr>
        <w:ind w:left="5540" w:right="240" w:hanging="4044"/>
        <w:spacing w:after="0" w:line="592" w:lineRule="auto"/>
        <w:tabs>
          <w:tab w:leader="none" w:pos="203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of the Purchase Agreement are incorporated by reference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297815</wp:posOffset>
            </wp:positionV>
            <wp:extent cx="717486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64" w:name="page165"/>
    <w:bookmarkEnd w:id="164"/>
    <w:p>
      <w:pPr>
        <w:spacing w:after="0" w:line="4" w:lineRule="exact"/>
        <w:rPr>
          <w:sz w:val="20"/>
          <w:szCs w:val="20"/>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titles, subtitles and headings in this Agreement are for convenience of reference and shall not form part of, or affect the interpretation of, this Agreement.</w:t>
      </w:r>
    </w:p>
    <w:p>
      <w:pPr>
        <w:spacing w:after="0" w:line="140" w:lineRule="exact"/>
        <w:rPr>
          <w:rFonts w:ascii="Times New Roman" w:cs="Times New Roman" w:eastAsia="Times New Roman" w:hAnsi="Times New Roman"/>
          <w:sz w:val="17"/>
          <w:szCs w:val="17"/>
          <w:color w:val="auto"/>
        </w:rPr>
      </w:pPr>
    </w:p>
    <w:p>
      <w:pPr>
        <w:jc w:val="both"/>
        <w:ind w:firstLine="1496"/>
        <w:spacing w:after="0" w:line="256"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63"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56"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This Agreement is the joint product of the Purchaser and the Company and each provision hereof has been subject to the mutual consultation, negotiation and agreement of such parties and shall not be construed for or against either party hereto.</w:t>
      </w:r>
    </w:p>
    <w:p>
      <w:pPr>
        <w:spacing w:after="0" w:line="140" w:lineRule="exact"/>
        <w:rPr>
          <w:rFonts w:ascii="Times New Roman" w:cs="Times New Roman" w:eastAsia="Times New Roman" w:hAnsi="Times New Roman"/>
          <w:sz w:val="17"/>
          <w:szCs w:val="17"/>
          <w:color w:val="auto"/>
        </w:rPr>
      </w:pPr>
    </w:p>
    <w:p>
      <w:pPr>
        <w:jc w:val="both"/>
        <w:ind w:firstLine="1496"/>
        <w:spacing w:after="0" w:line="25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Except as set forth in Sections 6 and 7, nothing in this Agreement, express or implied, is intended to confer on any Person other than the parties to this Agreement, and their respective permitted successors and assigns, any rights, remedies, claims, benefits, obligations or liabilities under or by reason of this Agreement, and no Person that is not a party to this Agreement (including, without limitation, any partner, member, shareholder, director, officer, employee or other beneficial owner of either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66" w:lineRule="exact"/>
        <w:rPr>
          <w:rFonts w:ascii="Times New Roman" w:cs="Times New Roman" w:eastAsia="Times New Roman" w:hAnsi="Times New Roman"/>
          <w:sz w:val="17"/>
          <w:szCs w:val="17"/>
          <w:color w:val="auto"/>
        </w:rPr>
      </w:pPr>
    </w:p>
    <w:p>
      <w:pPr>
        <w:jc w:val="both"/>
        <w:ind w:firstLine="1496"/>
        <w:spacing w:after="0" w:line="265"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rFonts w:ascii="Times New Roman" w:cs="Times New Roman" w:eastAsia="Times New Roman" w:hAnsi="Times New Roman"/>
          <w:sz w:val="17"/>
          <w:szCs w:val="17"/>
          <w:color w:val="auto"/>
        </w:rPr>
      </w:pPr>
    </w:p>
    <w:p>
      <w:pPr>
        <w:jc w:val="both"/>
        <w:ind w:firstLine="1496"/>
        <w:spacing w:after="0" w:line="252"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Purchaser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Purchaser or of any affiliates or assignees thereof, as such for any obligation of the Purchaser under this Agreement or any documents or instruments delivered in connection with this Agreement for any claim based on, in respect of or by reason of such obligations or their creation.</w:t>
      </w:r>
    </w:p>
    <w:p>
      <w:pPr>
        <w:spacing w:after="0" w:line="167" w:lineRule="exact"/>
        <w:rPr>
          <w:rFonts w:ascii="Times New Roman" w:cs="Times New Roman" w:eastAsia="Times New Roman" w:hAnsi="Times New Roman"/>
          <w:sz w:val="17"/>
          <w:szCs w:val="17"/>
          <w:color w:val="auto"/>
        </w:rPr>
      </w:pPr>
    </w:p>
    <w:p>
      <w:pPr>
        <w:ind w:right="20" w:firstLine="1496"/>
        <w:spacing w:after="0" w:line="284" w:lineRule="auto"/>
        <w:tabs>
          <w:tab w:leader="none" w:pos="2041"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In addition to any and all other remedies that may be available at law in the event of any breach of this Agreement, the Purchaser shall be entitled to specific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5" w:name="page166"/>
    <w:bookmarkEnd w:id="165"/>
    <w:p>
      <w:pPr>
        <w:spacing w:after="0" w:line="284" w:lineRule="auto"/>
        <w:rPr>
          <w:sz w:val="20"/>
          <w:szCs w:val="20"/>
          <w:color w:val="auto"/>
        </w:rPr>
      </w:pPr>
      <w:r>
        <w:rPr>
          <w:rFonts w:ascii="Times New Roman" w:cs="Times New Roman" w:eastAsia="Times New Roman" w:hAnsi="Times New Roman"/>
          <w:sz w:val="17"/>
          <w:szCs w:val="17"/>
          <w:color w:val="auto"/>
        </w:rPr>
        <w:t>performance of the agreements and obligations of the Company hereunder and to such other injunction or other equitable relief as may be granted by a court of competent jurisdiction.</w:t>
      </w:r>
    </w:p>
    <w:p>
      <w:pPr>
        <w:spacing w:after="0" w:line="141" w:lineRule="exact"/>
        <w:rPr>
          <w:sz w:val="20"/>
          <w:szCs w:val="20"/>
          <w:color w:val="auto"/>
        </w:rPr>
      </w:pPr>
    </w:p>
    <w:p>
      <w:pPr>
        <w:ind w:left="4720" w:right="840" w:hanging="3224"/>
        <w:spacing w:after="0" w:line="531" w:lineRule="auto"/>
        <w:tabs>
          <w:tab w:leader="none" w:pos="203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xml:space="preserve">. The remedies provided herein are cumulative and not exclusive of any remedies provided by law. </w:t>
      </w:r>
      <w:r>
        <w:rPr>
          <w:rFonts w:ascii="Times New Roman" w:cs="Times New Roman" w:eastAsia="Times New Roman" w:hAnsi="Times New Roman"/>
          <w:sz w:val="17"/>
          <w:szCs w:val="17"/>
          <w:i w:val="1"/>
          <w:iCs w:val="1"/>
          <w:color w:val="auto"/>
        </w:rPr>
        <w:t>[Signature Page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499745</wp:posOffset>
            </wp:positionV>
            <wp:extent cx="717486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66" w:name="page167"/>
    <w:bookmarkEnd w:id="166"/>
    <w:p>
      <w:pPr>
        <w:ind w:left="38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ectPr>
          <w:pgSz w:w="11900" w:h="16838" w:orient="portrait"/>
          <w:cols w:equalWidth="0" w:num="1">
            <w:col w:w="10000"/>
          </w:cols>
          <w:pgMar w:left="1440" w:top="1252" w:right="4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-8255</wp:posOffset>
            </wp:positionV>
            <wp:extent cx="930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0910" cy="7620"/>
                    </a:xfrm>
                    <a:prstGeom prst="rect">
                      <a:avLst/>
                    </a:prstGeom>
                    <a:noFill/>
                  </pic:spPr>
                </pic:pic>
              </a:graphicData>
            </a:graphic>
          </wp:anchor>
        </w:drawing>
      </w:r>
    </w:p>
    <w:p>
      <w:pPr>
        <w:spacing w:after="0" w:line="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-11430</wp:posOffset>
            </wp:positionV>
            <wp:extent cx="80899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-11430</wp:posOffset>
            </wp:positionV>
            <wp:extent cx="8585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8520" cy="762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501015</wp:posOffset>
            </wp:positionV>
            <wp:extent cx="717486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000"/>
          </w:cols>
          <w:pgMar w:left="1440" w:top="1252" w:right="459"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1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SERMONIX PHARMACEUTICALS, INC.</w:t>
      </w:r>
    </w:p>
    <w:p>
      <w:pPr>
        <w:spacing w:after="0" w:line="3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-5080</wp:posOffset>
            </wp:positionV>
            <wp:extent cx="69405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-5080</wp:posOffset>
            </wp:positionV>
            <wp:extent cx="8070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7085" cy="7620"/>
                    </a:xfrm>
                    <a:prstGeom prst="rect">
                      <a:avLst/>
                    </a:prstGeom>
                    <a:noFill/>
                  </pic:spPr>
                </pic:pic>
              </a:graphicData>
            </a:graphic>
          </wp:anchor>
        </w:drawing>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-5080</wp:posOffset>
            </wp:positionV>
            <wp:extent cx="86233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2330" cy="762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715645</wp:posOffset>
            </wp:positionV>
            <wp:extent cx="717486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20"/>
          </w:cols>
          <w:pgMar w:left="320" w:top="1252" w:right="4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These sales may be effected in transactions, which may involve crosses or block transactions. The selling stockholders may use any one or more of the following methods when disposing of shares or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-174625</wp:posOffset>
            </wp:positionV>
            <wp:extent cx="273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305" cy="762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-160020</wp:posOffset>
            </wp:positionV>
            <wp:extent cx="273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305" cy="7620"/>
                    </a:xfrm>
                    <a:prstGeom prst="rect">
                      <a:avLst/>
                    </a:prstGeom>
                    <a:noFill/>
                  </pic:spPr>
                </pic:pic>
              </a:graphicData>
            </a:graphic>
          </wp:anchor>
        </w:drawing>
      </w:r>
    </w:p>
    <w:p>
      <w:pPr>
        <w:spacing w:after="0" w:line="73" w:lineRule="exact"/>
        <w:rPr>
          <w:sz w:val="20"/>
          <w:szCs w:val="20"/>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to members, partners, stockholders or other equityholders of the selling stockholders;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00" w:lineRule="exact"/>
        <w:rPr>
          <w:rFonts w:ascii="Times New Roman" w:cs="Times New Roman" w:eastAsia="Times New Roman" w:hAnsi="Times New Roman"/>
          <w:sz w:val="17"/>
          <w:szCs w:val="17"/>
          <w:color w:val="auto"/>
        </w:rPr>
      </w:pPr>
    </w:p>
    <w:p>
      <w:pPr>
        <w:ind w:left="1040" w:right="280" w:hanging="295"/>
        <w:spacing w:after="0" w:line="284" w:lineRule="auto"/>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34"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and settlement of short sales entered into after the effective date of the registration statement of which this prospectus is a part;</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such options are listed on an options exchange or otherwise;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stockholders to sell a specified number of such shares at a stipulated price per share;</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100" w:lineRule="exact"/>
        <w:rPr>
          <w:rFonts w:ascii="Times New Roman" w:cs="Times New Roman" w:eastAsia="Times New Roman" w:hAnsi="Times New Roman"/>
          <w:sz w:val="17"/>
          <w:szCs w:val="17"/>
          <w:color w:val="auto"/>
        </w:rPr>
      </w:pPr>
    </w:p>
    <w:p>
      <w:pPr>
        <w:ind w:left="1040" w:hanging="295"/>
        <w:spacing w:after="0"/>
        <w:tabs>
          <w:tab w:leader="none" w:pos="10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0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494030</wp:posOffset>
            </wp:positionV>
            <wp:extent cx="717486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69" w:name="page170"/>
    <w:bookmarkEnd w:id="169"/>
    <w:p>
      <w:pPr>
        <w:spacing w:after="0" w:line="4"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applicable provision of the Securities Act, amending, if necessary, the list of selling stockholders to include the pledgee, transferee or other successors in interest as selling stockholders under this prospectus. The selling stockholders also may transfer or donate the shares of common stock in other circumstances, in which case the transferees, pledgees or other successors in interest will be the selling stockholders for purposes of this prospectus.</w:t>
      </w:r>
    </w:p>
    <w:p>
      <w:pPr>
        <w:spacing w:after="0" w:line="10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 by payment of cash, however, we will receive the exercise price of the pre-funded warrant.</w:t>
      </w:r>
    </w:p>
    <w:p>
      <w:pPr>
        <w:spacing w:after="0" w:line="1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0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Each selling stockholder has informed the Company that it is not a registered broker-dealer and does not have any written or oral agreement or understanding, directly or indirectly, with any person to distribute the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 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There can be no assurance that any selling stockholder will sell any or all of the shares of common stock registered pursuant to the registration statement, of which this prospectus forms a part.</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have agreed to indemnify the selling stockholders against liabilities, including liabilities under the Securities Act and state securities laws, relating to the registration of the shares offered by this prospectus.</w:t>
      </w:r>
    </w:p>
    <w:p>
      <w:pPr>
        <w:spacing w:after="0" w:line="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any applicable securities exemption, including Rule 144 (or any successor provision)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without current public information pursuant to Rule 144 under the Securities Act or any other rule of similar effect.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2" w:name="page173"/>
    <w:bookmarkEnd w:id="172"/>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2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Purchaser Questionnaire</w:t>
      </w:r>
    </w:p>
    <w:p>
      <w:pPr>
        <w:spacing w:after="0" w:line="20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The undersigned hereby provides the following information to the Company and represents and warrants that such information is accurate:</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QUESTIONNAIRE</w:t>
      </w:r>
    </w:p>
    <w:p>
      <w:pPr>
        <w:spacing w:after="0" w:line="195" w:lineRule="exact"/>
        <w:rPr>
          <w:sz w:val="20"/>
          <w:szCs w:val="20"/>
          <w:color w:val="auto"/>
        </w:rPr>
      </w:pPr>
    </w:p>
    <w:p>
      <w:pPr>
        <w:ind w:left="346" w:hanging="346"/>
        <w:spacing w:after="0"/>
        <w:tabs>
          <w:tab w:leader="none" w:pos="346"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w:t>
      </w:r>
    </w:p>
    <w:p>
      <w:pPr>
        <w:spacing w:after="0" w:line="196" w:lineRule="exact"/>
        <w:rPr>
          <w:rFonts w:ascii="Times New Roman" w:cs="Times New Roman" w:eastAsia="Times New Roman" w:hAnsi="Times New Roman"/>
          <w:sz w:val="17"/>
          <w:szCs w:val="17"/>
          <w:b w:val="1"/>
          <w:bCs w:val="1"/>
          <w:color w:val="auto"/>
        </w:rPr>
      </w:pPr>
    </w:p>
    <w:p>
      <w:pPr>
        <w:ind w:left="686" w:hanging="339"/>
        <w:spacing w:after="0"/>
        <w:tabs>
          <w:tab w:leader="none" w:pos="68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the Purchaser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0" w:lineRule="exact"/>
        <w:rPr>
          <w:rFonts w:ascii="Times New Roman" w:cs="Times New Roman" w:eastAsia="Times New Roman" w:hAnsi="Times New Roman"/>
          <w:sz w:val="17"/>
          <w:szCs w:val="17"/>
          <w:color w:val="auto"/>
        </w:rPr>
      </w:pPr>
    </w:p>
    <w:p>
      <w:pPr>
        <w:ind w:left="686" w:hanging="339"/>
        <w:spacing w:after="0"/>
        <w:tabs>
          <w:tab w:leader="none" w:pos="686"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2" w:lineRule="exact"/>
        <w:rPr>
          <w:rFonts w:ascii="Times New Roman" w:cs="Times New Roman" w:eastAsia="Times New Roman" w:hAnsi="Times New Roman"/>
          <w:sz w:val="17"/>
          <w:szCs w:val="17"/>
          <w:color w:val="auto"/>
        </w:rPr>
      </w:pPr>
    </w:p>
    <w:p>
      <w:pPr>
        <w:ind w:left="1506" w:hanging="1159"/>
        <w:spacing w:after="0" w:line="284" w:lineRule="auto"/>
        <w:tabs>
          <w:tab w:leader="none" w:pos="69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38" w:lineRule="exact"/>
        <w:rPr>
          <w:rFonts w:ascii="Times New Roman" w:cs="Times New Roman" w:eastAsia="Times New Roman" w:hAnsi="Times New Roman"/>
          <w:sz w:val="17"/>
          <w:szCs w:val="17"/>
          <w:color w:val="auto"/>
        </w:rPr>
      </w:pPr>
    </w:p>
    <w:p>
      <w:pPr>
        <w:ind w:left="166" w:hanging="166"/>
        <w:spacing w:after="0"/>
        <w:tabs>
          <w:tab w:leader="none" w:pos="166"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Address for Notices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-2586990</wp:posOffset>
            </wp:positionV>
            <wp:extent cx="614299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-1656080</wp:posOffset>
            </wp:positionV>
            <wp:extent cx="614299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-589915</wp:posOffset>
            </wp:positionV>
            <wp:extent cx="614299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42990"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363220</wp:posOffset>
            </wp:positionV>
            <wp:extent cx="707453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74535" cy="762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596265</wp:posOffset>
            </wp:positionV>
            <wp:extent cx="707453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-118110</wp:posOffset>
            </wp:positionV>
            <wp:extent cx="707453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74535" cy="7620"/>
                    </a:xfrm>
                    <a:prstGeom prst="rect">
                      <a:avLst/>
                    </a:prstGeom>
                    <a:noFill/>
                  </pic:spPr>
                </pic:pic>
              </a:graphicData>
            </a:graphic>
          </wp:anchor>
        </w:drawing>
      </w:r>
    </w:p>
    <w:p>
      <w:pPr>
        <w:spacing w:after="0" w:line="13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E-Mail: _____________________________________________________________________</w:t>
      </w:r>
    </w:p>
    <w:p>
      <w:pPr>
        <w:spacing w:after="0" w:line="159" w:lineRule="exact"/>
        <w:rPr>
          <w:sz w:val="20"/>
          <w:szCs w:val="20"/>
          <w:color w:val="auto"/>
        </w:rPr>
      </w:pPr>
    </w:p>
    <w:p>
      <w:pPr>
        <w:ind w:left="206"/>
        <w:spacing w:after="0"/>
        <w:rPr>
          <w:sz w:val="20"/>
          <w:szCs w:val="20"/>
          <w:color w:val="auto"/>
        </w:rPr>
      </w:pPr>
      <w:r>
        <w:rPr>
          <w:rFonts w:ascii="Times New Roman" w:cs="Times New Roman" w:eastAsia="Times New Roman" w:hAnsi="Times New Roman"/>
          <w:sz w:val="17"/>
          <w:szCs w:val="17"/>
          <w:color w:val="auto"/>
        </w:rPr>
        <w:t>Contact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6"/>
          </w:cols>
          <w:pgMar w:left="314" w:top="1252" w:right="339" w:bottom="1440" w:gutter="0" w:footer="0" w:header="0"/>
        </w:sectPr>
      </w:pPr>
    </w:p>
    <w:bookmarkStart w:id="173" w:name="page174"/>
    <w:bookmarkEnd w:id="173"/>
    <w:p>
      <w:pPr>
        <w:spacing w:after="0" w:line="167" w:lineRule="exact"/>
        <w:rPr>
          <w:sz w:val="20"/>
          <w:szCs w:val="20"/>
          <w:color w:val="auto"/>
        </w:rPr>
      </w:pPr>
    </w:p>
    <w:p>
      <w:pPr>
        <w:ind w:left="166" w:hanging="166"/>
        <w:spacing w:after="0"/>
        <w:tabs>
          <w:tab w:leader="none" w:pos="166"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Broker-Dealer Status:</w:t>
      </w:r>
    </w:p>
    <w:p>
      <w:pPr>
        <w:spacing w:after="0" w:line="196" w:lineRule="exact"/>
        <w:rPr>
          <w:rFonts w:ascii="Times New Roman" w:cs="Times New Roman" w:eastAsia="Times New Roman" w:hAnsi="Times New Roman"/>
          <w:sz w:val="17"/>
          <w:szCs w:val="17"/>
          <w:b w:val="1"/>
          <w:bCs w:val="1"/>
          <w:color w:val="auto"/>
        </w:rPr>
      </w:pPr>
    </w:p>
    <w:p>
      <w:pPr>
        <w:ind w:left="1106" w:right="8840" w:hanging="759"/>
        <w:spacing w:after="0" w:line="479" w:lineRule="auto"/>
        <w:tabs>
          <w:tab w:leader="none" w:pos="702"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 broker-dealer? Yes No</w:t>
      </w:r>
    </w:p>
    <w:p>
      <w:pPr>
        <w:ind w:left="686" w:hanging="339"/>
        <w:spacing w:after="0"/>
        <w:tabs>
          <w:tab w:leader="none" w:pos="68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“yes” to Section 3(a), did you receive your Registrable Securities as compensation for investment banking services to the Company?</w:t>
      </w:r>
    </w:p>
    <w:p>
      <w:pPr>
        <w:spacing w:after="0" w:line="19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3(b), the Commission’s staff has indicated that you should be identified as an underwriter in the Registration Statement.</w:t>
      </w:r>
    </w:p>
    <w:p>
      <w:pPr>
        <w:spacing w:after="0" w:line="195" w:lineRule="exact"/>
        <w:rPr>
          <w:sz w:val="20"/>
          <w:szCs w:val="20"/>
          <w:color w:val="auto"/>
        </w:rPr>
      </w:pPr>
    </w:p>
    <w:p>
      <w:pPr>
        <w:ind w:left="1106" w:right="7860" w:hanging="759"/>
        <w:spacing w:after="0" w:line="479" w:lineRule="auto"/>
        <w:tabs>
          <w:tab w:leader="none" w:pos="702"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you an affiliate of a broker-dealer? Yes No</w:t>
      </w:r>
    </w:p>
    <w:p>
      <w:pPr>
        <w:ind w:left="1506" w:right="20" w:hanging="1159"/>
        <w:spacing w:after="0" w:line="265" w:lineRule="auto"/>
        <w:tabs>
          <w:tab w:leader="none" w:pos="69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45" w:lineRule="exact"/>
        <w:rPr>
          <w:sz w:val="20"/>
          <w:szCs w:val="20"/>
          <w:color w:val="auto"/>
        </w:rPr>
      </w:pPr>
    </w:p>
    <w:p>
      <w:pPr>
        <w:ind w:left="1106"/>
        <w:spacing w:after="0"/>
        <w:tabs>
          <w:tab w:leader="none" w:pos="1765"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Times New Roman" w:cs="Times New Roman" w:eastAsia="Times New Roman" w:hAnsi="Times New Roman"/>
          <w:sz w:val="17"/>
          <w:szCs w:val="17"/>
          <w:color w:val="auto"/>
        </w:rPr>
        <w:t>No</w:t>
      </w:r>
    </w:p>
    <w:p>
      <w:pPr>
        <w:spacing w:after="0" w:line="195" w:lineRule="exact"/>
        <w:rPr>
          <w:sz w:val="20"/>
          <w:szCs w:val="20"/>
          <w:color w:val="auto"/>
        </w:rPr>
      </w:pPr>
    </w:p>
    <w:p>
      <w:pPr>
        <w:ind w:left="346"/>
        <w:spacing w:after="0"/>
        <w:tabs>
          <w:tab w:leader="none" w:pos="1025" w:val="left"/>
        </w:tabs>
        <w:rPr>
          <w:sz w:val="20"/>
          <w:szCs w:val="20"/>
          <w:color w:val="auto"/>
        </w:rPr>
      </w:pPr>
      <w:r>
        <w:rPr>
          <w:rFonts w:ascii="Times New Roman" w:cs="Times New Roman" w:eastAsia="Times New Roman" w:hAnsi="Times New Roman"/>
          <w:sz w:val="17"/>
          <w:szCs w:val="17"/>
          <w:color w:val="auto"/>
        </w:rPr>
        <w:t>Note:</w:t>
      </w:r>
      <w:r>
        <w:rPr>
          <w:sz w:val="20"/>
          <w:szCs w:val="20"/>
          <w:color w:val="auto"/>
        </w:rPr>
        <w:tab/>
      </w:r>
      <w:r>
        <w:rPr>
          <w:rFonts w:ascii="Times New Roman" w:cs="Times New Roman" w:eastAsia="Times New Roman" w:hAnsi="Times New Roman"/>
          <w:sz w:val="17"/>
          <w:szCs w:val="17"/>
          <w:color w:val="auto"/>
        </w:rPr>
        <w:t>If “no” to Section 3(d), the Commission’s staff has indicated that you should be identified as an underwriter in the Registration Statement.</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4. Beneficial Ownership of Securities of the Company Owned by the Purchaser.</w:t>
      </w:r>
    </w:p>
    <w:p>
      <w:pPr>
        <w:spacing w:after="0" w:line="195" w:lineRule="exact"/>
        <w:rPr>
          <w:sz w:val="20"/>
          <w:szCs w:val="20"/>
          <w:color w:val="auto"/>
        </w:rPr>
      </w:pPr>
    </w:p>
    <w:p>
      <w:pPr>
        <w:ind w:left="746"/>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26" w:lineRule="exact"/>
        <w:rPr>
          <w:sz w:val="20"/>
          <w:szCs w:val="20"/>
          <w:color w:val="auto"/>
        </w:rPr>
      </w:pPr>
    </w:p>
    <w:p>
      <w:pPr>
        <w:ind w:left="346"/>
        <w:spacing w:after="0"/>
        <w:tabs>
          <w:tab w:leader="none" w:pos="665" w:val="left"/>
        </w:tabs>
        <w:rPr>
          <w:sz w:val="20"/>
          <w:szCs w:val="20"/>
          <w:color w:val="auto"/>
        </w:rPr>
      </w:pPr>
      <w:r>
        <w:rPr>
          <w:rFonts w:ascii="Times New Roman" w:cs="Times New Roman" w:eastAsia="Times New Roman" w:hAnsi="Times New Roman"/>
          <w:sz w:val="17"/>
          <w:szCs w:val="17"/>
          <w:color w:val="auto"/>
        </w:rPr>
        <w:t>(a)</w:t>
        <w:tab/>
        <w:t>Type and Amount of other securities beneficially owned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361950</wp:posOffset>
            </wp:positionV>
            <wp:extent cx="607568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75680" cy="762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594995</wp:posOffset>
            </wp:positionV>
            <wp:extent cx="607568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75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5. Relationships with the Company:</w:t>
      </w:r>
    </w:p>
    <w:p>
      <w:pPr>
        <w:spacing w:after="0" w:line="195" w:lineRule="exact"/>
        <w:rPr>
          <w:sz w:val="20"/>
          <w:szCs w:val="20"/>
          <w:color w:val="auto"/>
        </w:rPr>
      </w:pPr>
    </w:p>
    <w:p>
      <w:pPr>
        <w:ind w:left="746" w:right="20"/>
        <w:spacing w:after="0" w:line="287" w:lineRule="auto"/>
        <w:rPr>
          <w:sz w:val="20"/>
          <w:szCs w:val="20"/>
          <w:color w:val="auto"/>
        </w:rPr>
      </w:pPr>
      <w:r>
        <w:rPr>
          <w:rFonts w:ascii="Times New Roman" w:cs="Times New Roman" w:eastAsia="Times New Roman" w:hAnsi="Times New Roman"/>
          <w:sz w:val="17"/>
          <w:szCs w:val="17"/>
          <w:i w:val="1"/>
          <w:iCs w:val="1"/>
          <w:color w:val="auto"/>
        </w:rPr>
        <w:t>Except as set forth below, neither the undersigned nor any of its affiliates, officers, directors or principal equity holders (owners of 5% of more of the equity securities of the undersigned) has held</w:t>
      </w:r>
    </w:p>
    <w:p>
      <w:pPr>
        <w:spacing w:after="0" w:line="38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490855</wp:posOffset>
            </wp:positionV>
            <wp:extent cx="717486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440" w:right="319" w:bottom="1440" w:gutter="0" w:footer="0" w:header="0"/>
        </w:sectPr>
      </w:pPr>
    </w:p>
    <w:bookmarkStart w:id="174" w:name="page175"/>
    <w:bookmarkEnd w:id="174"/>
    <w:p>
      <w:pPr>
        <w:ind w:left="740"/>
        <w:spacing w:after="0"/>
        <w:rPr>
          <w:sz w:val="20"/>
          <w:szCs w:val="20"/>
          <w:color w:val="auto"/>
        </w:rPr>
      </w:pPr>
      <w:r>
        <w:rPr>
          <w:rFonts w:ascii="Times New Roman" w:cs="Times New Roman" w:eastAsia="Times New Roman" w:hAnsi="Times New Roman"/>
          <w:sz w:val="17"/>
          <w:szCs w:val="17"/>
          <w:i w:val="1"/>
          <w:iCs w:val="1"/>
          <w:color w:val="auto"/>
        </w:rPr>
        <w:t>any position or office or has had any other material relationship with the Company (or its predecessors or affiliates) during the past three years.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361950</wp:posOffset>
            </wp:positionV>
            <wp:extent cx="657098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570980" cy="762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594995</wp:posOffset>
            </wp:positionV>
            <wp:extent cx="657098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70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45"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50"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IN WITNESS WHEREOF the undersigned, by authority duly given, has caused this Notice and Questionnaire to be executed and delivered either in person or by its duly authorized agent.</w:t>
      </w:r>
    </w:p>
    <w:p>
      <w:pPr>
        <w:spacing w:after="0" w:line="12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-5080</wp:posOffset>
            </wp:positionV>
            <wp:extent cx="39433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4335" cy="7620"/>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-5080</wp:posOffset>
            </wp:positionV>
            <wp:extent cx="48323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3235" cy="7620"/>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-5080</wp:posOffset>
            </wp:positionV>
            <wp:extent cx="6604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0400" cy="7620"/>
                    </a:xfrm>
                    <a:prstGeom prst="rect">
                      <a:avLst/>
                    </a:prstGeom>
                    <a:noFill/>
                  </pic:spPr>
                </pic:pic>
              </a:graphicData>
            </a:graphic>
          </wp:anchor>
        </w:drawing>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Title: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EMAIL A .PDF COPY OF THE COMPLETED AND EXECUTED QUESTIONNAIRE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490855</wp:posOffset>
            </wp:positionV>
            <wp:extent cx="717486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5" w:name="page176"/>
    <w:bookmarkEnd w:id="175"/>
    <w:p>
      <w:pPr>
        <w:ind w:left="986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PURCHASE AGREEMENT</w:t>
      </w:r>
    </w:p>
    <w:p>
      <w:pPr>
        <w:spacing w:after="0" w:line="396"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dated as of December 18, 2025, by and among 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xml:space="preserve">”), and each of the entities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to this Agreement (each, an “</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and together, the “</w:t>
      </w:r>
      <w:r>
        <w:rPr>
          <w:rFonts w:ascii="Times New Roman" w:cs="Times New Roman" w:eastAsia="Times New Roman" w:hAnsi="Times New Roman"/>
          <w:sz w:val="19"/>
          <w:szCs w:val="19"/>
          <w:b w:val="1"/>
          <w:bCs w:val="1"/>
          <w:color w:val="auto"/>
        </w:rPr>
        <w:t>Investors</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the Investors are executing and delivering this Agreement in reliance upon the exemption from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afforded by Section 4(a)(2) of the Securities Act, Rule 506 of Regulation D promulgated under the Securities Act and/or Regulation S promulgated thereunder;</w:t>
      </w:r>
    </w:p>
    <w:p>
      <w:pPr>
        <w:spacing w:after="0" w:line="145" w:lineRule="exact"/>
        <w:rPr>
          <w:sz w:val="20"/>
          <w:szCs w:val="20"/>
          <w:color w:val="auto"/>
        </w:rPr>
      </w:pPr>
    </w:p>
    <w:p>
      <w:pPr>
        <w:jc w:val="both"/>
        <w:ind w:firstLine="751"/>
        <w:spacing w:after="0" w:line="23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sell to the Investors, and each Investor desires to purchase from the Company, severally and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jointly, upon the terms and subject to the conditions stated in this Agreement, in such amounts as set forth opposite such Investor’s name on Exhibit A, (A) shares (the “</w:t>
      </w:r>
      <w:r>
        <w:rPr>
          <w:rFonts w:ascii="Times New Roman" w:cs="Times New Roman" w:eastAsia="Times New Roman" w:hAnsi="Times New Roman"/>
          <w:sz w:val="19"/>
          <w:szCs w:val="19"/>
          <w:b w:val="1"/>
          <w:bCs w:val="1"/>
          <w:color w:val="auto"/>
        </w:rPr>
        <w:t>Initial Shares</w:t>
      </w:r>
      <w:r>
        <w:rPr>
          <w:rFonts w:ascii="Times New Roman" w:cs="Times New Roman" w:eastAsia="Times New Roman" w:hAnsi="Times New Roman"/>
          <w:sz w:val="19"/>
          <w:szCs w:val="19"/>
          <w:color w:val="auto"/>
        </w:rPr>
        <w:t>”) of the Company’s common stock, par value $0.0001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xml:space="preserve">”), (B) pre-funded warrants to purchase shares of Common Stock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xml:space="preserve">”), (C) accompanying warrants to purchase up to that number of additional shares of Common Stock equal to 162.5% of the sum of the number of Initial Shares and the number of shares underlying the Pre-Funded Warrants (rounded down to the nearest whole share) in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Series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Common Warrants</w:t>
      </w:r>
      <w:r>
        <w:rPr>
          <w:rFonts w:ascii="Times New Roman" w:cs="Times New Roman" w:eastAsia="Times New Roman" w:hAnsi="Times New Roman"/>
          <w:sz w:val="19"/>
          <w:szCs w:val="19"/>
          <w:color w:val="auto"/>
        </w:rPr>
        <w:t>”) and (D) accompanying warrants to purchase up to that number of additional shares of Common Stock equal to 150%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sum of the number of Initial Shares and the number of shares underlying the Pre-Funded Warrants (rounded down to the nearest whole share) in the form attached hereto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Series B Common Warrants</w:t>
      </w:r>
      <w:r>
        <w:rPr>
          <w:rFonts w:ascii="Times New Roman" w:cs="Times New Roman" w:eastAsia="Times New Roman" w:hAnsi="Times New Roman"/>
          <w:sz w:val="19"/>
          <w:szCs w:val="19"/>
          <w:color w:val="auto"/>
        </w:rPr>
        <w:t>” and together with the Series A Common Warrants, the “</w:t>
      </w:r>
      <w:r>
        <w:rPr>
          <w:rFonts w:ascii="Times New Roman" w:cs="Times New Roman" w:eastAsia="Times New Roman" w:hAnsi="Times New Roman"/>
          <w:sz w:val="19"/>
          <w:szCs w:val="19"/>
          <w:b w:val="1"/>
          <w:bCs w:val="1"/>
          <w:color w:val="auto"/>
        </w:rPr>
        <w:t>Common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and the Common Warrants together with the Pre-Funded Warrants, the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and the Warrants together with the Initial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and</w:t>
      </w:r>
    </w:p>
    <w:p>
      <w:pPr>
        <w:spacing w:after="0" w:line="158" w:lineRule="exact"/>
        <w:rPr>
          <w:sz w:val="20"/>
          <w:szCs w:val="20"/>
          <w:color w:val="auto"/>
        </w:rPr>
      </w:pPr>
    </w:p>
    <w:p>
      <w:pPr>
        <w:jc w:val="both"/>
        <w:ind w:firstLine="751"/>
        <w:spacing w:after="0" w:line="23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contemporaneously with the sale of the Initial Shares and the Warrants, the parties hereto will execute and deliver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Registration Rights Agreement, substantially in the form attached hereto as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pursuant to which the Company will agree to provide certain registration rights in respect of the Initial Shares, the shares of Common Stock issuable pursuant to the Pre-Funded Warrants (the “</w:t>
      </w:r>
      <w:r>
        <w:rPr>
          <w:rFonts w:ascii="Times New Roman" w:cs="Times New Roman" w:eastAsia="Times New Roman" w:hAnsi="Times New Roman"/>
          <w:sz w:val="19"/>
          <w:szCs w:val="19"/>
          <w:b w:val="1"/>
          <w:bCs w:val="1"/>
          <w:color w:val="auto"/>
        </w:rPr>
        <w:t>Pre-Funded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the shares of Common Stock issuable pursuant to the Series A Common Warrants (the “</w:t>
      </w:r>
      <w:r>
        <w:rPr>
          <w:rFonts w:ascii="Times New Roman" w:cs="Times New Roman" w:eastAsia="Times New Roman" w:hAnsi="Times New Roman"/>
          <w:sz w:val="19"/>
          <w:szCs w:val="19"/>
          <w:b w:val="1"/>
          <w:bCs w:val="1"/>
          <w:color w:val="auto"/>
        </w:rPr>
        <w:t>Series A Common Warrant Shares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shares of Common Stock issuable pursuant to the Series B Common Warrants (the “</w:t>
      </w:r>
      <w:r>
        <w:rPr>
          <w:rFonts w:ascii="Times New Roman" w:cs="Times New Roman" w:eastAsia="Times New Roman" w:hAnsi="Times New Roman"/>
          <w:sz w:val="19"/>
          <w:szCs w:val="19"/>
          <w:b w:val="1"/>
          <w:bCs w:val="1"/>
          <w:color w:val="auto"/>
        </w:rPr>
        <w:t>Series B Common Warrant Shares</w:t>
      </w:r>
      <w:r>
        <w:rPr>
          <w:rFonts w:ascii="Times New Roman" w:cs="Times New Roman" w:eastAsia="Times New Roman" w:hAnsi="Times New Roman"/>
          <w:sz w:val="19"/>
          <w:szCs w:val="19"/>
          <w:color w:val="auto"/>
        </w:rPr>
        <w:t>”, and together with the Series A Common Warrant Shares the “</w:t>
      </w:r>
      <w:r>
        <w:rPr>
          <w:rFonts w:ascii="Times New Roman" w:cs="Times New Roman" w:eastAsia="Times New Roman" w:hAnsi="Times New Roman"/>
          <w:sz w:val="19"/>
          <w:szCs w:val="19"/>
          <w:b w:val="1"/>
          <w:bCs w:val="1"/>
          <w:color w:val="auto"/>
        </w:rPr>
        <w:t>Common Warrant Shares</w:t>
      </w:r>
      <w:r>
        <w:rPr>
          <w:rFonts w:ascii="Times New Roman" w:cs="Times New Roman" w:eastAsia="Times New Roman" w:hAnsi="Times New Roman"/>
          <w:sz w:val="19"/>
          <w:szCs w:val="19"/>
          <w:color w:val="auto"/>
        </w:rPr>
        <w:t>” and, together with the Initial Shares and the Pre-Funded Warrant Shares,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under the Securities Act and applicable state securities laws.</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agreements, representations, warranties and covenants herein contained,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each Investor, severally and not jointly,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887095</wp:posOffset>
            </wp:positionV>
            <wp:extent cx="717486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76" w:name="page177"/>
    <w:bookmarkEnd w:id="176"/>
    <w:p>
      <w:pPr>
        <w:ind w:left="74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Agreement, the following terms shall have the following respective meanings:</w:t>
      </w:r>
    </w:p>
    <w:p>
      <w:pPr>
        <w:spacing w:after="0" w:line="180"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specified Person, any other Person that, directly or indirectly through one or more intermediaries, controls, is controlled by or is under common control with such Person; provided that the Affiliates of any Person that is an investment fund shall not include any portfolio companies of such investment fund or any affiliated investment fund.</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Bylaws</w:t>
      </w:r>
      <w:r>
        <w:rPr>
          <w:rFonts w:ascii="Times New Roman" w:cs="Times New Roman" w:eastAsia="Times New Roman" w:hAnsi="Times New Roman"/>
          <w:sz w:val="19"/>
          <w:szCs w:val="19"/>
          <w:color w:val="auto"/>
        </w:rPr>
        <w:t>” means the Bylaws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Certificate of Incorporation</w:t>
      </w:r>
      <w:r>
        <w:rPr>
          <w:rFonts w:ascii="Times New Roman" w:cs="Times New Roman" w:eastAsia="Times New Roman" w:hAnsi="Times New Roman"/>
          <w:sz w:val="19"/>
          <w:szCs w:val="19"/>
          <w:color w:val="auto"/>
        </w:rPr>
        <w:t>” means the Certificate of Incorporation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jc w:val="both"/>
        <w:ind w:firstLine="810"/>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Benefit Plan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Benefit Plans</w:t>
      </w:r>
      <w:r>
        <w:rPr>
          <w:rFonts w:ascii="Times New Roman" w:cs="Times New Roman" w:eastAsia="Times New Roman" w:hAnsi="Times New Roman"/>
          <w:sz w:val="19"/>
          <w:szCs w:val="19"/>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U.S. Internal Revenue Code of 1986, as amended.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 Equivalents</w:t>
      </w:r>
      <w:r>
        <w:rPr>
          <w:rFonts w:ascii="Times New Roman" w:cs="Times New Roman" w:eastAsia="Times New Roman" w:hAnsi="Times New Roman"/>
          <w:sz w:val="19"/>
          <w:szCs w:val="19"/>
          <w:color w:val="auto"/>
        </w:rPr>
        <w:t>” means any securities of the Company that would entitle the holder thereof to acquire at any time Common Stock, including, without limitation, any debt, preferred stock, rights, options, restricted stock units, equity awards, warrants or other instrument that is at any time convertible into or exchangeable for, or otherwise entitles the holder thereof to receive, Common Stock.</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set forth in the recitals.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77" w:name="page178"/>
    <w:bookmarkEnd w:id="177"/>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Disqualification Event</w:t>
      </w:r>
      <w:r>
        <w:rPr>
          <w:rFonts w:ascii="Times New Roman" w:cs="Times New Roman" w:eastAsia="Times New Roman" w:hAnsi="Times New Roman"/>
          <w:sz w:val="19"/>
          <w:szCs w:val="19"/>
          <w:color w:val="auto"/>
        </w:rPr>
        <w:t>” means the disqualification provisions of Rule 506(d)(1)(i-viii) of Regulation D under the Securities Act.</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Regulatory Agency</w:t>
      </w:r>
      <w:r>
        <w:rPr>
          <w:rFonts w:ascii="Times New Roman" w:cs="Times New Roman" w:eastAsia="Times New Roman" w:hAnsi="Times New Roman"/>
          <w:sz w:val="19"/>
          <w:szCs w:val="19"/>
          <w:color w:val="auto"/>
        </w:rPr>
        <w:t>” means the U.S. Food and Drug Administration (“</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means the U.S. Employee Retirement Income Security Act of 1974, as amended.</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Representations”</w:t>
      </w:r>
      <w:r>
        <w:rPr>
          <w:rFonts w:ascii="Times New Roman" w:cs="Times New Roman" w:eastAsia="Times New Roman" w:hAnsi="Times New Roman"/>
          <w:sz w:val="19"/>
          <w:szCs w:val="19"/>
          <w:color w:val="auto"/>
        </w:rPr>
        <w:t xml:space="preserve"> means the representations and warranties made by the Company in </w:t>
      </w:r>
      <w:r>
        <w:rPr>
          <w:rFonts w:ascii="Times New Roman" w:cs="Times New Roman" w:eastAsia="Times New Roman" w:hAnsi="Times New Roman"/>
          <w:sz w:val="19"/>
          <w:szCs w:val="19"/>
          <w:u w:val="single" w:color="auto"/>
          <w:color w:val="auto"/>
        </w:rPr>
        <w:t>Sections 3.1 (Organization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 (Capitalization)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 (Authorization)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 (Valid Issuance)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 (No Conflict)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3.7 (Consents)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3.8 (SEC Filings; Financial Statements)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3.17 (Nasdaq Stock Market)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3.18 (Sarbanes-Oxley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3.22 (Price Stabilization of Common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3.23 (Investment Company Act)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3.25 (Brokers and Finders)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3.26 (Reliance by the Investors)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3.27 (Other Covered Persons)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3.28 (No Additional Agreements)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3.20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Initial 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Investor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Investors</w:t>
      </w:r>
      <w:r>
        <w:rPr>
          <w:rFonts w:ascii="Times New Roman" w:cs="Times New Roman" w:eastAsia="Times New Roman" w:hAnsi="Times New Roman"/>
          <w:sz w:val="19"/>
          <w:szCs w:val="19"/>
          <w:color w:val="auto"/>
        </w:rPr>
        <w:t>” have the meanings set forth in the recitals.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78" w:name="page179"/>
    <w:bookmarkEnd w:id="178"/>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Issuer Covered Person</w:t>
      </w:r>
      <w:r>
        <w:rPr>
          <w:rFonts w:ascii="Times New Roman" w:cs="Times New Roman" w:eastAsia="Times New Roman" w:hAnsi="Times New Roman"/>
          <w:sz w:val="19"/>
          <w:szCs w:val="19"/>
          <w:color w:val="auto"/>
        </w:rPr>
        <w:t>” means the Company and any of its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or with respect to the Closing, or would reasonably be expected to do so.</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National Exchange</w:t>
      </w:r>
      <w:r>
        <w:rPr>
          <w:rFonts w:ascii="Times New Roman" w:cs="Times New Roman" w:eastAsia="Times New Roman" w:hAnsi="Times New Roman"/>
          <w:sz w:val="19"/>
          <w:szCs w:val="19"/>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Non-U.S. Investor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4.5</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unincorporated association, joint venture or any other entity or organization.</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Placement Agent</w:t>
      </w:r>
      <w:r>
        <w:rPr>
          <w:rFonts w:ascii="Times New Roman" w:cs="Times New Roman" w:eastAsia="Times New Roman" w:hAnsi="Times New Roman"/>
          <w:sz w:val="19"/>
          <w:szCs w:val="19"/>
          <w:color w:val="auto"/>
        </w:rPr>
        <w:t>” means Cantor Fitzgerald &amp; Co.</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Price</w:t>
      </w:r>
      <w:r>
        <w:rPr>
          <w:rFonts w:ascii="Times New Roman" w:cs="Times New Roman" w:eastAsia="Times New Roman" w:hAnsi="Times New Roman"/>
          <w:sz w:val="19"/>
          <w:szCs w:val="19"/>
          <w:color w:val="auto"/>
        </w:rPr>
        <w:t>” means $6.349.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Exchange on which the Common Stock is primarily listed on and quoted for trading, which, as of the Closing Date, shall be the Nasdaq Capital Market.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79" w:name="page180"/>
    <w:bookmarkEnd w:id="179"/>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Regulation S</w:t>
      </w:r>
      <w:r>
        <w:rPr>
          <w:rFonts w:ascii="Times New Roman" w:cs="Times New Roman" w:eastAsia="Times New Roman" w:hAnsi="Times New Roman"/>
          <w:sz w:val="19"/>
          <w:szCs w:val="19"/>
          <w:color w:val="auto"/>
        </w:rPr>
        <w:t>” means Regulation S under the Securities Act.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w:t>
      </w:r>
      <w:r>
        <w:rPr>
          <w:rFonts w:ascii="Times New Roman" w:cs="Times New Roman" w:eastAsia="Times New Roman" w:hAnsi="Times New Roman"/>
          <w:sz w:val="19"/>
          <w:szCs w:val="19"/>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b w:val="1"/>
          <w:bCs w:val="1"/>
          <w:color w:val="auto"/>
        </w:rPr>
        <w:t>“SEC Reports</w:t>
      </w:r>
      <w:r>
        <w:rPr>
          <w:rFonts w:ascii="Times New Roman" w:cs="Times New Roman" w:eastAsia="Times New Roman" w:hAnsi="Times New Roman"/>
          <w:sz w:val="19"/>
          <w:szCs w:val="19"/>
          <w:color w:val="auto"/>
        </w:rPr>
        <w:t>” means (a) the Company’s most recently filed Annual Report on Form 10-K (including any information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therein by reference from the Company’s Definitive Proxy Statement on Schedule 14A),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and (c) the Disclosure Document.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A Common Warrants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B Common Warrants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A 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Series B Common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 Price</w:t>
      </w:r>
      <w:r>
        <w:rPr>
          <w:rFonts w:ascii="Times New Roman" w:cs="Times New Roman" w:eastAsia="Times New Roman" w:hAnsi="Times New Roman"/>
          <w:sz w:val="19"/>
          <w:szCs w:val="19"/>
          <w:color w:val="auto"/>
        </w:rPr>
        <w:t>” means $6.35.</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 Sales</w:t>
      </w:r>
      <w:r>
        <w:rPr>
          <w:rFonts w:ascii="Times New Roman" w:cs="Times New Roman" w:eastAsia="Times New Roman" w:hAnsi="Times New Roman"/>
          <w:sz w:val="19"/>
          <w:szCs w:val="19"/>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180" w:name="page181"/>
    <w:bookmarkEnd w:id="180"/>
    <w:p>
      <w:pPr>
        <w:jc w:val="both"/>
        <w:spacing w:after="0" w:line="262" w:lineRule="auto"/>
        <w:rPr>
          <w:sz w:val="20"/>
          <w:szCs w:val="20"/>
          <w:color w:val="auto"/>
        </w:rPr>
      </w:pPr>
      <w:r>
        <w:rPr>
          <w:rFonts w:ascii="Times New Roman" w:cs="Times New Roman" w:eastAsia="Times New Roman" w:hAnsi="Times New Roman"/>
          <w:sz w:val="19"/>
          <w:szCs w:val="19"/>
          <w:color w:val="auto"/>
        </w:rPr>
        <w:t>and/or reservation of borrowable shares of Common Stock), in each case, solely to the extent it has the same economic effect as a “short sale” (as defined in Rule 200 promulgated under Regulation SHO under the Exchange Act).</w:t>
      </w:r>
    </w:p>
    <w:p>
      <w:pPr>
        <w:spacing w:after="0" w:line="13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the applicable request to remove legends of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56"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Returns</w:t>
      </w:r>
      <w:r>
        <w:rPr>
          <w:rFonts w:ascii="Times New Roman" w:cs="Times New Roman" w:eastAsia="Times New Roman" w:hAnsi="Times New Roman"/>
          <w:sz w:val="19"/>
          <w:szCs w:val="19"/>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Transaction Agreements</w:t>
      </w:r>
      <w:r>
        <w:rPr>
          <w:rFonts w:ascii="Times New Roman" w:cs="Times New Roman" w:eastAsia="Times New Roman" w:hAnsi="Times New Roman"/>
          <w:sz w:val="19"/>
          <w:szCs w:val="19"/>
          <w:color w:val="auto"/>
        </w:rPr>
        <w:t>” means this Agreement, the Series A Common Warrants, the Series B Common Warrants, the Pre-Funded Warrants, and the Registration Rights Agreement.</w:t>
      </w:r>
    </w:p>
    <w:p>
      <w:pPr>
        <w:spacing w:after="0" w:line="131"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with respect to the Common Stock, Computershare Inc. or such other financial institution that provides transfer agent services as the Company may engage from time to time.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left="1020" w:hanging="275"/>
        <w:spacing w:after="0"/>
        <w:tabs>
          <w:tab w:leader="none" w:pos="10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Securities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On the Closing Date, upon the terms and subject to the conditions set forth herein, the Company agrees to sell, and the Investors, severally and not jointly, agree to purchase, the number and type of Securities, for the aggregate purchase price, set forth</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1" w:name="page182"/>
    <w:bookmarkEnd w:id="181"/>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opposite the Investor’s name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The purchase price per Initial Share and the accompanying Common Warrants is equal to the Share Price. The purchase price per Pre-Funded Warrant and the accompanying Common Warrants is equal to the Pre-Funded Warrant Price.</w:t>
      </w:r>
    </w:p>
    <w:p>
      <w:pPr>
        <w:spacing w:after="0" w:line="138"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Subject to the satisfaction or waiver of the conditions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this Agreement, the closing of the purchase and sale of the Securities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and the date on which the Closing occurs,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shall occur remotely via the exchange of documents and signatures at such time as agreed to by the Company and the Investors of at least a majority in interest of the Securities to be purchased at the Closing but (i) in no event earlier than the second Business Day after the date of this Agreement and (ii) in no event later than the fifth Business Day after the date of this Agreement. At the Closing, the Securities shall be issued and registered in the name of the Investor, or in such nominee name(s) as designated by such Investor, representing the number of Securities to be purchased by the Investor at such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in each case against payment to the Company of the purchase price therefor (the “</w:t>
      </w:r>
      <w:r>
        <w:rPr>
          <w:rFonts w:ascii="Times New Roman" w:cs="Times New Roman" w:eastAsia="Times New Roman" w:hAnsi="Times New Roman"/>
          <w:sz w:val="19"/>
          <w:szCs w:val="19"/>
          <w:b w:val="1"/>
          <w:bCs w:val="1"/>
          <w:color w:val="auto"/>
        </w:rPr>
        <w:t>Aggregate Purchase Amount</w:t>
      </w:r>
      <w:r>
        <w:rPr>
          <w:rFonts w:ascii="Times New Roman" w:cs="Times New Roman" w:eastAsia="Times New Roman" w:hAnsi="Times New Roman"/>
          <w:sz w:val="19"/>
          <w:szCs w:val="19"/>
          <w:color w:val="auto"/>
        </w:rPr>
        <w:t xml:space="preserve">”) in full, by wire transfer to the Company of immediately available funds, at or prior to the Closing, in accordance with wire instructions provided by the Company to the Investors at least one Business Day prior to the Closing. On the Closing Date, the Company will cause (A) the Transfer Agent to issue the Initial Shares in book-entry form, free and clear of all restrictive and other legends (except as expressly provided in </w:t>
      </w:r>
      <w:r>
        <w:rPr>
          <w:rFonts w:ascii="Times New Roman" w:cs="Times New Roman" w:eastAsia="Times New Roman" w:hAnsi="Times New Roman"/>
          <w:sz w:val="19"/>
          <w:szCs w:val="19"/>
          <w:u w:val="single" w:color="auto"/>
          <w:color w:val="auto"/>
        </w:rPr>
        <w:t>Section 4.11 hereof</w:t>
      </w:r>
      <w:r>
        <w:rPr>
          <w:rFonts w:ascii="Times New Roman" w:cs="Times New Roman" w:eastAsia="Times New Roman" w:hAnsi="Times New Roman"/>
          <w:sz w:val="19"/>
          <w:szCs w:val="19"/>
          <w:color w:val="auto"/>
        </w:rPr>
        <w:t xml:space="preserve">)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electronic copies of the Warrants exercisable for a number of shares of Common Stock as set forth in Exhibit A with respect to such Investor, with a physical copy of the Warrants to be delivered to such Investor, if requested, within two Business Days after such Investor’s request for such physical copy. In the event that the Closing has not occurred within one Business Day after the expected Closing Date, unless otherwise agreed by the Company and such Investor, the Company shall promptly (but no later than one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provided that, unless this Agreement has been terminated pursuant to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such return of funds shall not terminate this Agreement or relieve such Investor of its obligation to purchase, or the Company of its obligation to issue and sell, the Securities at the Closing.</w:t>
      </w:r>
    </w:p>
    <w:p>
      <w:pPr>
        <w:spacing w:after="0" w:line="168" w:lineRule="exact"/>
        <w:rPr>
          <w:sz w:val="20"/>
          <w:szCs w:val="20"/>
          <w:color w:val="auto"/>
        </w:rPr>
      </w:pPr>
    </w:p>
    <w:p>
      <w:pPr>
        <w:jc w:val="both"/>
        <w:ind w:firstLine="745"/>
        <w:spacing w:after="0" w:line="243" w:lineRule="auto"/>
        <w:tabs>
          <w:tab w:leader="none" w:pos="102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xml:space="preserve">. Except as set forth in the SEC Reports (other than as to the Fundamental Representations, which are not so qualified), the Company hereby represents and warrants to each of the Investors and the Placement Agent that the statements contained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true and correct as of the date of this Agreement and as of the Closing Date (except for the representations and warranties that speak as of a specific date, which shall be made as of such date).</w:t>
      </w:r>
    </w:p>
    <w:p>
      <w:pPr>
        <w:spacing w:after="0" w:line="15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Organization and Power</w:t>
      </w:r>
      <w:r>
        <w:rPr>
          <w:rFonts w:ascii="Times New Roman" w:cs="Times New Roman" w:eastAsia="Times New Roman" w:hAnsi="Times New Roman"/>
          <w:sz w:val="19"/>
          <w:szCs w:val="19"/>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2" w:name="page183"/>
    <w:bookmarkEnd w:id="182"/>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where such failure to be in good standing or to have such power and authority or to so qualify would not reasonably be expected to have a Material Adverse Effect. Each of the Company’s subsidiaries that constitutes a “significant subsidiary” (as defined in Rule 1-02 of Regulation S-X under the Exchange Act) (each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4"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37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and the Common Warrant Shares (the “</w:t>
      </w:r>
      <w:r>
        <w:rPr>
          <w:rFonts w:ascii="Times New Roman" w:cs="Times New Roman" w:eastAsia="Times New Roman" w:hAnsi="Times New Roman"/>
          <w:sz w:val="19"/>
          <w:szCs w:val="19"/>
          <w:b w:val="1"/>
          <w:bCs w:val="1"/>
          <w:color w:val="auto"/>
        </w:rPr>
        <w:t>Warrant Shares</w:t>
      </w:r>
      <w:r>
        <w:rPr>
          <w:rFonts w:ascii="Times New Roman" w:cs="Times New Roman" w:eastAsia="Times New Roman" w:hAnsi="Times New Roman"/>
          <w:sz w:val="19"/>
          <w:szCs w:val="19"/>
          <w:color w:val="auto"/>
        </w:rPr>
        <w:t>”). All corporate action on the part of the Company, its officers, directors and stockholders necessary for the authorization of the Initial Shares and the Warrant Shares, the authorization, execution, delivery and performance of the Transaction Agreements and the consummation of the transactions contemplated herein, including the issuance and sale of the Securities and the Warrant Shares and the reservation of the Warrant Shares has been taken, including, without limitation, the approval of the Board of Directors (or a committee thereof) 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3" w:name="page184"/>
    <w:bookmarkEnd w:id="183"/>
    <w:p>
      <w:pPr>
        <w:jc w:val="both"/>
        <w:spacing w:after="0" w:line="237" w:lineRule="auto"/>
        <w:rPr>
          <w:sz w:val="20"/>
          <w:szCs w:val="20"/>
          <w:color w:val="auto"/>
        </w:rPr>
      </w:pPr>
      <w:r>
        <w:rPr>
          <w:rFonts w:ascii="Times New Roman" w:cs="Times New Roman" w:eastAsia="Times New Roman" w:hAnsi="Times New Roman"/>
          <w:sz w:val="19"/>
          <w:szCs w:val="19"/>
          <w:color w:val="auto"/>
        </w:rPr>
        <w:t>accordance with Section 144 of the DGCL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Valid Issuance</w:t>
      </w:r>
      <w:r>
        <w:rPr>
          <w:rFonts w:ascii="Times New Roman" w:cs="Times New Roman" w:eastAsia="Times New Roman" w:hAnsi="Times New Roman"/>
          <w:sz w:val="19"/>
          <w:szCs w:val="19"/>
          <w:color w:val="auto"/>
        </w:rPr>
        <w:t xml:space="preserve">. The Initial Shares being purchased by the Investors hereunder have been duly and validly authorized and, upon issuance pursuant to the terms of this Agreement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Warrant Shares have been duly and validly authorized and reserved for issuance and, upon issuance pursuant to the terms of the Warrants against full payment therefor in accordance with the terms of the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Warrant Shares shall be entitled to all rights accorded to a holder of Common Stock. The issuance and delivery of the Initial Shares and the Warrants does not, and the exercise in full of the Warrants and the issuance and delivery of the Warrant Shares thereupon will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offer and sale of the Securities to the Investors is, and will be, and the issuance of the Warrant Shares to the Investors will be (i) 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71"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 Company, (ii) conflict with or result in a violation of or default (with or without notice or lapse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4" w:name="page185"/>
    <w:bookmarkEnd w:id="184"/>
    <w:p>
      <w:pPr>
        <w:jc w:val="both"/>
        <w:spacing w:after="0" w:line="238" w:lineRule="auto"/>
        <w:rPr>
          <w:sz w:val="20"/>
          <w:szCs w:val="20"/>
          <w:color w:val="auto"/>
        </w:rPr>
      </w:pPr>
      <w:r>
        <w:rPr>
          <w:rFonts w:ascii="Times New Roman" w:cs="Times New Roman" w:eastAsia="Times New Roman" w:hAnsi="Times New Roman"/>
          <w:sz w:val="19"/>
          <w:szCs w:val="19"/>
          <w:color w:val="auto"/>
        </w:rPr>
        <w:t>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63"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3.7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Assuming the accuracy of the representations and warranties of each Investor set forth in Section 4 hereof,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Initial Shares or the Warrant Shares and the listing of the Initial Shares or the Warrant Shares for trading or quotation, as the case may be, thereon in the time and manner required thereby, (c) customary post-closing filings with the SEC or pursuant to state securities laws in connection with the offer and sale of the Initial Shares or the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6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7" w:lineRule="auto"/>
        <w:tabs>
          <w:tab w:leader="none" w:pos="2552"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 data in eXtensible Business Reporting Language included in the SEC Reports fairly presents the information called for in all material respects and has been prepared in accordance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5" w:name="page186"/>
    <w:bookmarkEnd w:id="185"/>
    <w:p>
      <w:pPr>
        <w:spacing w:after="0" w:line="262" w:lineRule="auto"/>
        <w:rPr>
          <w:sz w:val="20"/>
          <w:szCs w:val="20"/>
          <w:color w:val="auto"/>
        </w:rPr>
      </w:pPr>
      <w:r>
        <w:rPr>
          <w:rFonts w:ascii="Times New Roman" w:cs="Times New Roman" w:eastAsia="Times New Roman" w:hAnsi="Times New Roman"/>
          <w:sz w:val="19"/>
          <w:szCs w:val="19"/>
          <w:color w:val="auto"/>
        </w:rPr>
        <w:t>with the SEC’s rules and guidelines applicable thereto. The Company is not, and has never been, an issuer subject to Rule 144(i) under the Securities Act.</w:t>
      </w:r>
    </w:p>
    <w:p>
      <w:pPr>
        <w:spacing w:after="0" w:line="134" w:lineRule="exact"/>
        <w:rPr>
          <w:sz w:val="20"/>
          <w:szCs w:val="20"/>
          <w:color w:val="auto"/>
        </w:rPr>
      </w:pPr>
    </w:p>
    <w:p>
      <w:pPr>
        <w:jc w:val="both"/>
        <w:ind w:firstLine="2246"/>
        <w:spacing w:after="0" w:line="237" w:lineRule="auto"/>
        <w:tabs>
          <w:tab w:leader="none" w:pos="255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financial statements of the Company included in the SEC Reports (collectively, the “</w:t>
      </w:r>
      <w:r>
        <w:rPr>
          <w:rFonts w:ascii="Times New Roman" w:cs="Times New Roman" w:eastAsia="Times New Roman" w:hAnsi="Times New Roman"/>
          <w:sz w:val="19"/>
          <w:szCs w:val="19"/>
          <w:b w:val="1"/>
          <w:b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Statements</w:t>
      </w:r>
      <w:r>
        <w:rPr>
          <w:rFonts w:ascii="Times New Roman" w:cs="Times New Roman" w:eastAsia="Times New Roman" w:hAnsi="Times New Roman"/>
          <w:sz w:val="19"/>
          <w:szCs w:val="19"/>
          <w:color w:val="auto"/>
        </w:rPr>
        <w:t>”) comply in all material respects with applicable accounting requirements and the rules and regulations of the SEC with respect thereto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62"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Absence of Changes</w:t>
      </w:r>
      <w:r>
        <w:rPr>
          <w:rFonts w:ascii="Times New Roman" w:cs="Times New Roman" w:eastAsia="Times New Roman" w:hAnsi="Times New Roman"/>
          <w:sz w:val="19"/>
          <w:szCs w:val="19"/>
          <w:color w:val="auto"/>
        </w:rPr>
        <w:t>. Since December 31, 2024,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u w:val="single" w:color="auto"/>
          <w:color w:val="auto"/>
        </w:rPr>
        <w:t>Absence of Litigation</w:t>
      </w:r>
      <w:r>
        <w:rPr>
          <w:rFonts w:ascii="Times New Roman" w:cs="Times New Roman" w:eastAsia="Times New Roman" w:hAnsi="Times New Roman"/>
          <w:sz w:val="19"/>
          <w:szCs w:val="19"/>
          <w:color w:val="auto"/>
        </w:rPr>
        <w:t>. There is no action, suit, proceeding, arbitration, claim, investigation, charge, complaint or inquiry pending or, to the Company’s knowledge, threatened in writing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(10) years has been, the subject of any action involving a claim of violation of or liability under federal or state securities laws relating to the Company or such Subsidiary or a claim of breach of fiduciary duty relating to the Company or any of its Subsidiaries.</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Compliance with Law; Permits</w:t>
      </w:r>
      <w:r>
        <w:rPr>
          <w:rFonts w:ascii="Times New Roman" w:cs="Times New Roman" w:eastAsia="Times New Roman" w:hAnsi="Times New Roman"/>
          <w:sz w:val="19"/>
          <w:szCs w:val="19"/>
          <w:color w:val="auto"/>
        </w:rPr>
        <w:t>. Neither the Company nor any of its Subsidiaries is in violation of, or has received any notices of violations with respect to, any laws, statutes, ordinances, rules or regulations of any governmental body, court or government agency or instrumentality, except for violations which, individually or in the aggregate, have not had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6" w:name="page187"/>
    <w:bookmarkEnd w:id="186"/>
    <w:p>
      <w:pPr>
        <w:jc w:val="both"/>
        <w:spacing w:after="0" w:line="238" w:lineRule="auto"/>
        <w:rPr>
          <w:sz w:val="20"/>
          <w:szCs w:val="20"/>
          <w:color w:val="auto"/>
        </w:rPr>
      </w:pPr>
      <w:r>
        <w:rPr>
          <w:rFonts w:ascii="Times New Roman" w:cs="Times New Roman" w:eastAsia="Times New Roman" w:hAnsi="Times New Roman"/>
          <w:sz w:val="19"/>
          <w:szCs w:val="19"/>
          <w:color w:val="auto"/>
        </w:rPr>
        <w:t>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63"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9"/>
          <w:szCs w:val="19"/>
          <w:b w:val="1"/>
          <w:bCs w:val="1"/>
          <w:color w:val="auto"/>
        </w:rPr>
        <w:t>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except where any failure to own, possess or acquire such Intellectual Property has not had, and would not, individually or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material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except, in each case, which, individually or in the aggregate, have not had and would not reasonably be expected to have a Material Adverse Effect. To the Company’s knowledge, there are no material defects in any of the patents or patent applications included in the Intellectual Property. The Company and its Subsidiaries have taken reasonable steps to protect, maintain and safeguard their Intellectual Property.</w:t>
      </w:r>
    </w:p>
    <w:p>
      <w:pPr>
        <w:spacing w:after="0" w:line="169"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7" w:name="page188"/>
    <w:bookmarkEnd w:id="187"/>
    <w:p>
      <w:pPr>
        <w:jc w:val="both"/>
        <w:spacing w:after="0" w:line="243" w:lineRule="auto"/>
        <w:rPr>
          <w:sz w:val="20"/>
          <w:szCs w:val="20"/>
          <w:color w:val="auto"/>
        </w:rPr>
      </w:pPr>
      <w:r>
        <w:rPr>
          <w:rFonts w:ascii="Times New Roman" w:cs="Times New Roman" w:eastAsia="Times New Roman" w:hAnsi="Times New Roman"/>
          <w:sz w:val="19"/>
          <w:szCs w:val="19"/>
          <w:color w:val="auto"/>
        </w:rPr>
        <w:t>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6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3.15 </w:t>
      </w: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color w:val="auto"/>
        </w:rPr>
        <w:t>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8" w:name="page189"/>
    <w:bookmarkEnd w:id="188"/>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Nasdaq Stock Market</w:t>
      </w:r>
      <w:r>
        <w:rPr>
          <w:rFonts w:ascii="Times New Roman" w:cs="Times New Roman" w:eastAsia="Times New Roman" w:hAnsi="Times New Roman"/>
          <w:sz w:val="19"/>
          <w:szCs w:val="19"/>
          <w:color w:val="auto"/>
        </w:rPr>
        <w:t>. The issued and outstanding shares of Common Stock are registered pursuant to Section 12(b) of the Exchange Act and are listed for trading on the Nasdaq Capital Market under the symbol “ATHA”.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3.18 </w:t>
      </w:r>
      <w:r>
        <w:rPr>
          <w:rFonts w:ascii="Times New Roman" w:cs="Times New Roman" w:eastAsia="Times New Roman" w:hAnsi="Times New Roman"/>
          <w:sz w:val="19"/>
          <w:szCs w:val="19"/>
          <w:u w:val="single" w:color="auto"/>
          <w:color w:val="auto"/>
        </w:rPr>
        <w:t>Sarbanes-Oxley Act</w:t>
      </w:r>
      <w:r>
        <w:rPr>
          <w:rFonts w:ascii="Times New Roman" w:cs="Times New Roman" w:eastAsia="Times New Roman" w:hAnsi="Times New Roman"/>
          <w:sz w:val="19"/>
          <w:szCs w:val="19"/>
          <w:color w:val="auto"/>
        </w:rPr>
        <w:t>. The Company is, and since January 1, 2025 has been, in compliance in all material respects with all applicable requirements of the Sarbanes-Oxley Act of 2002 and applicable rules and regulations promulgated by the SEC thereunder.</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3.19</w:t>
      </w:r>
      <w:r>
        <w:rPr>
          <w:sz w:val="20"/>
          <w:szCs w:val="20"/>
          <w:color w:val="auto"/>
        </w:rPr>
        <w:tab/>
      </w:r>
      <w:r>
        <w:rPr>
          <w:rFonts w:ascii="Times New Roman" w:cs="Times New Roman" w:eastAsia="Times New Roman" w:hAnsi="Times New Roman"/>
          <w:sz w:val="19"/>
          <w:szCs w:val="19"/>
          <w:u w:val="single" w:color="auto"/>
          <w:color w:val="auto"/>
        </w:rPr>
        <w:t>Clinical Data and Regulatory Compliance</w:t>
      </w:r>
      <w:r>
        <w:rPr>
          <w:rFonts w:ascii="Times New Roman" w:cs="Times New Roman" w:eastAsia="Times New Roman" w:hAnsi="Times New Roman"/>
          <w:sz w:val="19"/>
          <w:szCs w:val="19"/>
          <w:color w:val="auto"/>
        </w:rPr>
        <w:t>. Except as would not reasonably be expected to result in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 (i) the preclinical tests and clinical trials and other studies used to support regulatory approval (collectively, “</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that, prior to the date</w:t>
      </w:r>
    </w:p>
    <w:p>
      <w:pPr>
        <w:spacing w:after="0" w:line="233" w:lineRule="auto"/>
        <w:rPr>
          <w:sz w:val="20"/>
          <w:szCs w:val="20"/>
          <w:color w:val="auto"/>
        </w:rPr>
      </w:pPr>
      <w:r>
        <w:rPr>
          <w:rFonts w:ascii="Times New Roman" w:cs="Times New Roman" w:eastAsia="Times New Roman" w:hAnsi="Times New Roman"/>
          <w:sz w:val="19"/>
          <w:szCs w:val="19"/>
          <w:color w:val="auto"/>
        </w:rPr>
        <w:t>of this Agreement, have been conducted by or on behalf of, or sponsored by, the Company or its Subsidiaries that are described in, or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are referred to in, the SEC Reports were (and, if still pending, are being) conducted in all material respects in accordance with the protocols,</w:t>
      </w:r>
    </w:p>
    <w:p>
      <w:pPr>
        <w:spacing w:after="0" w:line="234" w:lineRule="auto"/>
        <w:rPr>
          <w:sz w:val="20"/>
          <w:szCs w:val="20"/>
          <w:color w:val="auto"/>
        </w:rPr>
      </w:pPr>
      <w:r>
        <w:rPr>
          <w:rFonts w:ascii="Times New Roman" w:cs="Times New Roman" w:eastAsia="Times New Roman" w:hAnsi="Times New Roman"/>
          <w:sz w:val="19"/>
          <w:szCs w:val="19"/>
          <w:color w:val="auto"/>
        </w:rPr>
        <w:t>approved for such Studies and applicable Law; (ii) each description of the results of such Studies is accurate and complete in all material respects</w:t>
      </w:r>
    </w:p>
    <w:p>
      <w:pPr>
        <w:spacing w:after="0" w:line="234" w:lineRule="auto"/>
        <w:rPr>
          <w:sz w:val="20"/>
          <w:szCs w:val="20"/>
          <w:color w:val="auto"/>
        </w:rPr>
      </w:pPr>
      <w:r>
        <w:rPr>
          <w:rFonts w:ascii="Times New Roman" w:cs="Times New Roman" w:eastAsia="Times New Roman" w:hAnsi="Times New Roman"/>
          <w:sz w:val="19"/>
          <w:szCs w:val="19"/>
          <w:color w:val="auto"/>
        </w:rPr>
        <w:t>and fairly presents the data derived from such Studies, and the Company and its Subsidiaries have no knowledge of any other studies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would reasonably be expected to render, the results described or referred to in the SEC Reports false or misleading; (iii) the Company and its</w:t>
      </w:r>
    </w:p>
    <w:p>
      <w:pPr>
        <w:spacing w:after="0" w:line="234" w:lineRule="auto"/>
        <w:rPr>
          <w:sz w:val="20"/>
          <w:szCs w:val="20"/>
          <w:color w:val="auto"/>
        </w:rPr>
      </w:pPr>
      <w:r>
        <w:rPr>
          <w:rFonts w:ascii="Times New Roman" w:cs="Times New Roman" w:eastAsia="Times New Roman" w:hAnsi="Times New Roman"/>
          <w:sz w:val="19"/>
          <w:szCs w:val="19"/>
          <w:color w:val="auto"/>
        </w:rPr>
        <w:t>Subsidiaries have made all required filings and obtained all applicable approvals as required by the FDA or from any other U.S. federal, state or</w:t>
      </w:r>
    </w:p>
    <w:p>
      <w:pPr>
        <w:spacing w:after="0" w:line="233" w:lineRule="auto"/>
        <w:rPr>
          <w:sz w:val="20"/>
          <w:szCs w:val="20"/>
          <w:color w:val="auto"/>
        </w:rPr>
      </w:pPr>
      <w:r>
        <w:rPr>
          <w:rFonts w:ascii="Times New Roman" w:cs="Times New Roman" w:eastAsia="Times New Roman" w:hAnsi="Times New Roman"/>
          <w:sz w:val="19"/>
          <w:szCs w:val="19"/>
          <w:color w:val="auto"/>
        </w:rPr>
        <w:t>local  government  or  foreign  government  or  Drug  Regulatory  Agency,  or  Institutional  Review  Board,  each  having  jurisdiction  over</w:t>
      </w:r>
    </w:p>
    <w:p>
      <w:pPr>
        <w:spacing w:after="0" w:line="234" w:lineRule="auto"/>
        <w:rPr>
          <w:sz w:val="20"/>
          <w:szCs w:val="20"/>
          <w:color w:val="auto"/>
        </w:rPr>
      </w:pPr>
      <w:r>
        <w:rPr>
          <w:rFonts w:ascii="Times New Roman" w:cs="Times New Roman" w:eastAsia="Times New Roman" w:hAnsi="Times New Roman"/>
          <w:sz w:val="19"/>
          <w:szCs w:val="19"/>
          <w:color w:val="auto"/>
        </w:rPr>
        <w:t>biopharmaceutical products (collectively, the “</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for the conduct of its business as described in the SEC Reports; (iv) neither</w:t>
      </w:r>
    </w:p>
    <w:p>
      <w:pPr>
        <w:spacing w:after="0" w:line="234" w:lineRule="auto"/>
        <w:rPr>
          <w:sz w:val="20"/>
          <w:szCs w:val="20"/>
          <w:color w:val="auto"/>
        </w:rPr>
      </w:pPr>
      <w:r>
        <w:rPr>
          <w:rFonts w:ascii="Times New Roman" w:cs="Times New Roman" w:eastAsia="Times New Roman" w:hAnsi="Times New Roman"/>
          <w:sz w:val="19"/>
          <w:szCs w:val="19"/>
          <w:color w:val="auto"/>
        </w:rPr>
        <w:t>the Company nor any of its Subsidiaries has received any notice of, or correspondence from, any of the Regulatory Agencies requiring the</w:t>
      </w:r>
    </w:p>
    <w:p>
      <w:pPr>
        <w:spacing w:after="0" w:line="234" w:lineRule="auto"/>
        <w:rPr>
          <w:sz w:val="20"/>
          <w:szCs w:val="20"/>
          <w:color w:val="auto"/>
        </w:rPr>
      </w:pPr>
      <w:r>
        <w:rPr>
          <w:rFonts w:ascii="Times New Roman" w:cs="Times New Roman" w:eastAsia="Times New Roman" w:hAnsi="Times New Roman"/>
          <w:sz w:val="19"/>
          <w:szCs w:val="19"/>
          <w:color w:val="auto"/>
        </w:rPr>
        <w:t>termination or suspension of or imposing any clinical hold on any clinical trials that are described or referred to in the SEC Reports; and (v) the</w:t>
      </w:r>
    </w:p>
    <w:p>
      <w:pPr>
        <w:spacing w:after="0"/>
        <w:rPr>
          <w:sz w:val="20"/>
          <w:szCs w:val="20"/>
          <w:color w:val="auto"/>
        </w:rPr>
      </w:pPr>
      <w:r>
        <w:rPr>
          <w:rFonts w:ascii="Times New Roman" w:cs="Times New Roman" w:eastAsia="Times New Roman" w:hAnsi="Times New Roman"/>
          <w:sz w:val="18"/>
          <w:szCs w:val="18"/>
          <w:color w:val="auto"/>
        </w:rPr>
        <w:t>Company and its Subsidiaries have each operated and currently are in compliance in all material respects with all applicable rules and regulations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Regulatory Agencies.</w:t>
      </w:r>
    </w:p>
    <w:p>
      <w:pPr>
        <w:spacing w:after="0" w:line="16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Compliance with Health Care Laws</w:t>
      </w:r>
      <w:r>
        <w:rPr>
          <w:rFonts w:ascii="Times New Roman" w:cs="Times New Roman" w:eastAsia="Times New Roman" w:hAnsi="Times New Roman"/>
          <w:sz w:val="19"/>
          <w:szCs w:val="19"/>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9"/>
          <w:szCs w:val="19"/>
          <w:b w:val="1"/>
          <w:bCs w:val="1"/>
          <w:color w:val="auto"/>
        </w:rPr>
        <w:t>EU</w:t>
      </w:r>
      <w:r>
        <w:rPr>
          <w:rFonts w:ascii="Times New Roman" w:cs="Times New Roman" w:eastAsia="Times New Roman" w:hAnsi="Times New Roman"/>
          <w:sz w:val="19"/>
          <w:szCs w:val="19"/>
          <w:color w:val="auto"/>
        </w:rPr>
        <w:t>”) Clinical Trials Regulation (Regulation (EU) No. 536/2014); (vi) the EU Regulation regarding community procedures for authorization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89" w:name="page190"/>
    <w:bookmarkEnd w:id="189"/>
    <w:p>
      <w:pPr>
        <w:jc w:val="both"/>
        <w:ind w:left="5"/>
        <w:spacing w:after="0" w:line="249" w:lineRule="auto"/>
        <w:rPr>
          <w:sz w:val="20"/>
          <w:szCs w:val="20"/>
          <w:color w:val="auto"/>
        </w:rPr>
      </w:pPr>
      <w:r>
        <w:rPr>
          <w:rFonts w:ascii="Times New Roman" w:cs="Times New Roman" w:eastAsia="Times New Roman" w:hAnsi="Times New Roman"/>
          <w:sz w:val="18"/>
          <w:szCs w:val="18"/>
          <w:color w:val="auto"/>
        </w:rPr>
        <w:t>supervision of medicinal products for human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applicable Health Care Laws, and, to the Company’s knowledge,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59" w:lineRule="exact"/>
        <w:rPr>
          <w:sz w:val="20"/>
          <w:szCs w:val="20"/>
          <w:color w:val="auto"/>
        </w:rPr>
      </w:pPr>
    </w:p>
    <w:p>
      <w:pPr>
        <w:jc w:val="both"/>
        <w:ind w:left="5"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19"/>
          <w:szCs w:val="19"/>
          <w:u w:val="single" w:color="auto"/>
          <w:color w:val="auto"/>
        </w:rPr>
        <w:t>Accounting Controls and Disclosure Controls and Procedures</w:t>
      </w:r>
      <w:r>
        <w:rPr>
          <w:rFonts w:ascii="Times New Roman" w:cs="Times New Roman" w:eastAsia="Times New Roman" w:hAnsi="Times New Roman"/>
          <w:sz w:val="19"/>
          <w:szCs w:val="19"/>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w:t>
      </w:r>
    </w:p>
    <w:p>
      <w:pPr>
        <w:ind w:left="225" w:hanging="225"/>
        <w:spacing w:after="0" w:line="235" w:lineRule="auto"/>
        <w:tabs>
          <w:tab w:leader="none" w:pos="225"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maintains records that in reasonable detail accurately and fairly reflect the Company’s transactions and dispositions of assets,</w:t>
      </w:r>
    </w:p>
    <w:p>
      <w:pPr>
        <w:jc w:val="both"/>
        <w:ind w:left="5" w:hanging="5"/>
        <w:spacing w:after="0" w:line="235" w:lineRule="auto"/>
        <w:tabs>
          <w:tab w:leader="none" w:pos="31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38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190" w:name="page191"/>
    <w:bookmarkEnd w:id="190"/>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19"/>
          <w:szCs w:val="19"/>
          <w:u w:val="single" w:color="auto"/>
          <w:color w:val="auto"/>
        </w:rPr>
        <w:t>Price Stabilization of Common Stock</w:t>
      </w:r>
      <w:r>
        <w:rPr>
          <w:rFonts w:ascii="Times New Roman" w:cs="Times New Roman" w:eastAsia="Times New Roman" w:hAnsi="Times New Roman"/>
          <w:sz w:val="19"/>
          <w:szCs w:val="19"/>
          <w:color w:val="auto"/>
        </w:rPr>
        <w:t>. The Company has not taken, nor will it take, directly or indirectly, any action designed to stabilize or manipulate the price of the Common Stock to facilitate the sale or resale of the Initial Shares, the Common Warrant Shares or the Pre-Funded Warrant Shares.</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3.23 </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The Company is not, and immediately after receipt of payment for the Initial Shares and Pre-Funded Warrants will not be, an “investment company” within the meaning of the U.S. Investment Company Act of 1940, as amended.</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Investors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 With respect to those Securities sold in reliance upon Regulation S to a Non-U.S. Investor,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spacing w:after="0" w:line="16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3.25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Other than the Placement Agent, neither the Company nor any other Person authorized by the Company to act on its behalf has retained, utilized or been represented by any broker or finder in connection with the transactions contemplated by this Agreement.</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3.26 </w:t>
      </w:r>
      <w:r>
        <w:rPr>
          <w:rFonts w:ascii="Times New Roman" w:cs="Times New Roman" w:eastAsia="Times New Roman" w:hAnsi="Times New Roman"/>
          <w:sz w:val="19"/>
          <w:szCs w:val="19"/>
          <w:u w:val="single" w:color="auto"/>
          <w:color w:val="auto"/>
        </w:rPr>
        <w:t>Reliance by the Investors</w:t>
      </w:r>
      <w:r>
        <w:rPr>
          <w:rFonts w:ascii="Times New Roman" w:cs="Times New Roman" w:eastAsia="Times New Roman" w:hAnsi="Times New Roman"/>
          <w:sz w:val="19"/>
          <w:szCs w:val="19"/>
          <w:color w:val="auto"/>
        </w:rPr>
        <w:t xml:space="preserve">. The Company has a reasonable basis for making each of the representations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51"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Other Covered Persons</w:t>
      </w:r>
      <w:r>
        <w:rPr>
          <w:rFonts w:ascii="Times New Roman" w:cs="Times New Roman" w:eastAsia="Times New Roman" w:hAnsi="Times New Roman"/>
          <w:sz w:val="19"/>
          <w:szCs w:val="19"/>
          <w:color w:val="auto"/>
        </w:rPr>
        <w:t>. Other than the Placement Agent(s), the Company is not aware of any person (other than any Issuer Covered Person) that has been or will be paid (directly or indirectly) remuneration for solicitation of purchasers in connection with the sale of any Securities.</w:t>
      </w:r>
    </w:p>
    <w:p>
      <w:pPr>
        <w:spacing w:after="0" w:line="15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3.28 </w:t>
      </w:r>
      <w:r>
        <w:rPr>
          <w:rFonts w:ascii="Times New Roman" w:cs="Times New Roman" w:eastAsia="Times New Roman" w:hAnsi="Times New Roman"/>
          <w:sz w:val="19"/>
          <w:szCs w:val="19"/>
          <w:u w:val="single" w:color="auto"/>
          <w:color w:val="auto"/>
        </w:rPr>
        <w:t>No Additional Agreements</w:t>
      </w:r>
      <w:r>
        <w:rPr>
          <w:rFonts w:ascii="Times New Roman" w:cs="Times New Roman" w:eastAsia="Times New Roman" w:hAnsi="Times New Roman"/>
          <w:sz w:val="19"/>
          <w:szCs w:val="19"/>
          <w:color w:val="auto"/>
        </w:rPr>
        <w:t>. There are no agreements or understandings between the Company and any Investor with respect to the transactions contemplated by the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1" w:name="page192"/>
    <w:bookmarkEnd w:id="191"/>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Transaction Agreements other than (i) as specified in the Transaction Agreements and (ii) any side letter agreements with any of the Investors, which side letters the Company has shared with all Investors and which, in each case, for the avoidance of doubt, does not contain terms (economic or otherwise) more favorable to such Investor.</w:t>
      </w:r>
    </w:p>
    <w:p>
      <w:pPr>
        <w:spacing w:after="0" w:line="15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3.29 </w:t>
      </w:r>
      <w:r>
        <w:rPr>
          <w:rFonts w:ascii="Times New Roman" w:cs="Times New Roman" w:eastAsia="Times New Roman" w:hAnsi="Times New Roman"/>
          <w:sz w:val="19"/>
          <w:szCs w:val="19"/>
          <w:u w:val="single" w:color="auto"/>
          <w:color w:val="auto"/>
        </w:rPr>
        <w:t>Anti-Bribery and Anti-Money Laundering Laws</w:t>
      </w:r>
      <w:r>
        <w:rPr>
          <w:rFonts w:ascii="Times New Roman" w:cs="Times New Roman" w:eastAsia="Times New Roman" w:hAnsi="Times New Roman"/>
          <w:sz w:val="19"/>
          <w:szCs w:val="19"/>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62"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material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(iv) any information that would qualify as “personal data,” “personal information” (or similar term) under the Privacy Laws. To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2" w:name="page193"/>
    <w:bookmarkEnd w:id="192"/>
    <w:p>
      <w:pPr>
        <w:jc w:val="both"/>
        <w:spacing w:after="0" w:line="262" w:lineRule="auto"/>
        <w:rPr>
          <w:sz w:val="20"/>
          <w:szCs w:val="20"/>
          <w:color w:val="auto"/>
        </w:rPr>
      </w:pPr>
      <w:r>
        <w:rPr>
          <w:rFonts w:ascii="Times New Roman" w:cs="Times New Roman" w:eastAsia="Times New Roman" w:hAnsi="Times New Roman"/>
          <w:sz w:val="19"/>
          <w:szCs w:val="19"/>
          <w:color w:val="auto"/>
        </w:rPr>
        <w:t>Company’s knowledge, there have been no breaches, outages or unauthorized uses of or accesses to the Company’s IT Systems, Confidential Data, or Personal Data that would require notification under Privacy Laws (as defined below).</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3.31 </w:t>
      </w:r>
      <w:r>
        <w:rPr>
          <w:rFonts w:ascii="Times New Roman" w:cs="Times New Roman" w:eastAsia="Times New Roman" w:hAnsi="Times New Roman"/>
          <w:sz w:val="19"/>
          <w:szCs w:val="19"/>
          <w:u w:val="single" w:color="auto"/>
          <w:color w:val="auto"/>
        </w:rPr>
        <w:t>Compliance with Data Privacy Laws</w:t>
      </w:r>
      <w:r>
        <w:rPr>
          <w:rFonts w:ascii="Times New Roman" w:cs="Times New Roman" w:eastAsia="Times New Roman" w:hAnsi="Times New Roman"/>
          <w:sz w:val="19"/>
          <w:szCs w:val="19"/>
          <w:color w:val="auto"/>
        </w:rPr>
        <w:t>. The Company and its Subsidiaries are, and at all prior times in the past five (5) years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of Personal Data, including without limitation HIPAA, the EU General Data Protection Regulation (“</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To the extent required by Privacy Laws,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66"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3.32 </w:t>
      </w:r>
      <w:r>
        <w:rPr>
          <w:rFonts w:ascii="Times New Roman" w:cs="Times New Roman" w:eastAsia="Times New Roman" w:hAnsi="Times New Roman"/>
          <w:sz w:val="19"/>
          <w:szCs w:val="19"/>
          <w:u w:val="single" w:color="auto"/>
          <w:color w:val="auto"/>
        </w:rPr>
        <w:t>Transactions with Affiliates and Employees</w:t>
      </w:r>
      <w:r>
        <w:rPr>
          <w:rFonts w:ascii="Times New Roman" w:cs="Times New Roman" w:eastAsia="Times New Roman" w:hAnsi="Times New Roman"/>
          <w:sz w:val="19"/>
          <w:szCs w:val="19"/>
          <w:color w:val="auto"/>
        </w:rPr>
        <w:t>. No relationship, direct or indirect, exists between or among the Company or any of its Subsidiaries, on the one hand, and any of the directors, officers, stockholders, customers or suppliers of the Company, on the other hand, that is required to be described in the SEC Reports that is not so described.</w:t>
      </w:r>
    </w:p>
    <w:p>
      <w:pPr>
        <w:spacing w:after="0" w:line="151" w:lineRule="exact"/>
        <w:rPr>
          <w:sz w:val="20"/>
          <w:szCs w:val="20"/>
          <w:color w:val="auto"/>
        </w:rPr>
      </w:pPr>
    </w:p>
    <w:p>
      <w:pPr>
        <w:jc w:val="both"/>
        <w:ind w:firstLine="745"/>
        <w:spacing w:after="0" w:line="248" w:lineRule="auto"/>
        <w:tabs>
          <w:tab w:leader="none" w:pos="1021"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Each Investor</w:t>
      </w:r>
      <w:r>
        <w:rPr>
          <w:rFonts w:ascii="Times New Roman" w:cs="Times New Roman" w:eastAsia="Times New Roman" w:hAnsi="Times New Roman"/>
          <w:sz w:val="19"/>
          <w:szCs w:val="19"/>
          <w:color w:val="auto"/>
        </w:rPr>
        <w:t xml:space="preserve">. Each Investor, severally for itself and not jointly with any other Investor, represents and warrants to the Company and the Placement Agent that the statements contained in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are true and correct as of the date of this Agreement and the Closing Date:</w:t>
      </w:r>
    </w:p>
    <w:p>
      <w:pPr>
        <w:spacing w:after="0" w:line="15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 The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38"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3" w:name="page194"/>
    <w:bookmarkEnd w:id="193"/>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the Investor to perform its obligations under the Transaction Agreements (such delay or hindrance, a “</w:t>
      </w:r>
      <w:r>
        <w:rPr>
          <w:rFonts w:ascii="Times New Roman" w:cs="Times New Roman" w:eastAsia="Times New Roman" w:hAnsi="Times New Roman"/>
          <w:sz w:val="19"/>
          <w:szCs w:val="19"/>
          <w:b w:val="1"/>
          <w:bCs w:val="1"/>
          <w:color w:val="auto"/>
        </w:rPr>
        <w:t>Purchaser Adverse Effect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All consents, approvals, orders and authorizations required on the part of such Investor in connection with the execution, delivery or performance of this Agreement, the issuance of the Securities, and the consummation of the other transactions contemplated herein have been obtained or made, other than such consents, approvals, orders and authorizations the failure of which to make or obtain, individually or in the aggregate, would not reasonably be expected to have a Purchaser Adverse Effect.</w:t>
      </w:r>
    </w:p>
    <w:p>
      <w:pPr>
        <w:spacing w:after="0" w:line="15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Residency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The Investor’s residence (if an individual) or offices in which its investment decision with respect to the Securities was made (if an entity) are located at the address immediately below the Investor’s name on the pertinent signature page of this Agreement, except as otherwise communicated by the Investor to the Company. Any Investor with an address set forth on the pertinent signature page to this Agreement that is outside the United States, as such term is defined under Regulation S, is referred to herein as a “</w:t>
      </w:r>
      <w:r>
        <w:rPr>
          <w:rFonts w:ascii="Times New Roman" w:cs="Times New Roman" w:eastAsia="Times New Roman" w:hAnsi="Times New Roman"/>
          <w:sz w:val="19"/>
          <w:szCs w:val="19"/>
          <w:b w:val="1"/>
          <w:bCs w:val="1"/>
          <w:color w:val="auto"/>
        </w:rPr>
        <w:t>Non-U.S. Investor</w:t>
      </w:r>
      <w:r>
        <w:rPr>
          <w:rFonts w:ascii="Times New Roman" w:cs="Times New Roman" w:eastAsia="Times New Roman" w:hAnsi="Times New Roman"/>
          <w:sz w:val="19"/>
          <w:szCs w:val="19"/>
          <w:color w:val="auto"/>
        </w:rPr>
        <w:t>.” Investor has disclosed to the Company the number of shares of Common Stock beneficially owned by Investor and the number of shares of Common Stock Equivalents beneficially owned by Investor, in each case as of immediately prior to the Closing.</w:t>
      </w:r>
    </w:p>
    <w:p>
      <w:pPr>
        <w:spacing w:after="0" w:line="16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The Investor has not retained, utilized or been represented by any broker or finder in connection with the transactions contemplated by this Agreement whose fees the Company would be required to pay.</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Investment Representations and Warranties</w:t>
      </w:r>
      <w:r>
        <w:rPr>
          <w:rFonts w:ascii="Times New Roman" w:cs="Times New Roman" w:eastAsia="Times New Roman" w:hAnsi="Times New Roman"/>
          <w:sz w:val="19"/>
          <w:szCs w:val="19"/>
          <w:color w:val="auto"/>
        </w:rPr>
        <w:t>. The Investor hereby represents and warrants that, it (i) as of the date of this Agreement is, if an entity, a “qualified institutional buyer” (as defined in Rule 144A under the Securities Act) or an “accredited investor” as that term is defined in Rule 501(a) under Regulation D promulgated pursuant to the Securities Act; or (ii) if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4" w:name="page195"/>
    <w:bookmarkEnd w:id="194"/>
    <w:p>
      <w:pPr>
        <w:jc w:val="both"/>
        <w:spacing w:after="0" w:line="248" w:lineRule="auto"/>
        <w:rPr>
          <w:sz w:val="20"/>
          <w:szCs w:val="20"/>
          <w:color w:val="auto"/>
        </w:rPr>
      </w:pPr>
      <w:r>
        <w:rPr>
          <w:rFonts w:ascii="Times New Roman" w:cs="Times New Roman" w:eastAsia="Times New Roman" w:hAnsi="Times New Roman"/>
          <w:sz w:val="18"/>
          <w:szCs w:val="18"/>
          <w:color w:val="auto"/>
        </w:rPr>
        <w:t>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evaluated the merits and risk of such investment.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With respect to those Securities sold in reliance upon Regulation S to a Non-U.S. Investor, such Non-U.S. Investor (i) is acquiring the Securities outside the United States in an offshore transaction meeting the 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neither it nor its Affiliates, nor any persons acting on its or their behalf has engaged or will engage in any “directed selling efforts” (as defined in Rule 902 of Regulation S) with respect to the Securities; (v) was outside the United States at the time of the origination of contact concerning the transactions contemplated by this Agreement and on the date of execution and delivery of this Agreement by such Investor; (vi) is not acquiring the Securities in a transaction or part of series of transactions that, although in technical compliance with Regulation S, is part of a plan or scheme to evade the registration provisions of the Securities Act; (vii) is neither a U.S. Person nor a Distributor (in each case, as defined in Rule 902 of Regulation S) and (viii) is the sole beneficial owner of the Securities specified on signature pages hereto and has not pre-arranged any sale with a purchaser in the United States. Such Non-U.S. Investor hereby represents that it is satisfied as to the full observance of the laws of the Non-U.S. Investor’s jurisdiction in connection with any invitation to subscribe for the Securities, the Common Warrant Shares and the Pre-Funded Warrant Shares or any use of the Transaction Agreements, including (i) the legal requirements within such Non-U.S. Investor’s jurisdiction for the purchase of the Securities, the Common Warrant Shares and the Pre-Funded Warrant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Non-U.S. Investor’s subscription and payment for, and the Investor’s continued beneficial ownership of, the Securities, the Common Warrant Shares and the Pre-Funded Warrant Shares will not violate any applicable securities or other laws of the Non-U.S. Investor’s jurisdiction.</w:t>
      </w:r>
    </w:p>
    <w:p>
      <w:pPr>
        <w:spacing w:after="0" w:line="379" w:lineRule="exact"/>
        <w:rPr>
          <w:sz w:val="20"/>
          <w:szCs w:val="20"/>
          <w:color w:val="auto"/>
        </w:rPr>
      </w:pPr>
    </w:p>
    <w:p>
      <w:pPr>
        <w:jc w:val="both"/>
        <w:ind w:right="20"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Intent</w:t>
      </w:r>
      <w:r>
        <w:rPr>
          <w:rFonts w:ascii="Times New Roman" w:cs="Times New Roman" w:eastAsia="Times New Roman" w:hAnsi="Times New Roman"/>
          <w:sz w:val="19"/>
          <w:szCs w:val="19"/>
          <w:color w:val="auto"/>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5" w:name="page196"/>
    <w:bookmarkEnd w:id="195"/>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Investment Experience; Ability to Protect Its Own Interests and Bear Economic Risks</w:t>
      </w:r>
      <w:r>
        <w:rPr>
          <w:rFonts w:ascii="Times New Roman" w:cs="Times New Roman" w:eastAsia="Times New Roman" w:hAnsi="Times New Roman"/>
          <w:sz w:val="19"/>
          <w:szCs w:val="19"/>
          <w:color w:val="auto"/>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spacing w:after="0" w:line="16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Independent Investment Decision</w:t>
      </w:r>
      <w:r>
        <w:rPr>
          <w:rFonts w:ascii="Times New Roman" w:cs="Times New Roman" w:eastAsia="Times New Roman" w:hAnsi="Times New Roman"/>
          <w:sz w:val="19"/>
          <w:szCs w:val="19"/>
          <w:color w:val="auto"/>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Securities Not Registered; Legends</w:t>
      </w:r>
      <w:r>
        <w:rPr>
          <w:rFonts w:ascii="Times New Roman" w:cs="Times New Roman" w:eastAsia="Times New Roman" w:hAnsi="Times New Roman"/>
          <w:sz w:val="19"/>
          <w:szCs w:val="19"/>
          <w:color w:val="auto"/>
        </w:rPr>
        <w:t>.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6" w:name="page197"/>
    <w:bookmarkEnd w:id="196"/>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spacing w:after="0" w:line="151"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The Investor understands that any certificates or book entry notations evidencing the Securities may bear the following legend, and for any Non-U.S. Investor, such additional legends as may be required for compliance with Regulation S:</w:t>
      </w:r>
    </w:p>
    <w:p>
      <w:pPr>
        <w:spacing w:after="0" w:line="138" w:lineRule="exact"/>
        <w:rPr>
          <w:sz w:val="20"/>
          <w:szCs w:val="20"/>
          <w:color w:val="auto"/>
        </w:rPr>
      </w:pPr>
    </w:p>
    <w:p>
      <w:pPr>
        <w:jc w:val="both"/>
        <w:ind w:left="740"/>
        <w:spacing w:after="0" w:line="236" w:lineRule="auto"/>
        <w:rPr>
          <w:sz w:val="20"/>
          <w:szCs w:val="20"/>
          <w:color w:val="auto"/>
        </w:rPr>
      </w:pPr>
      <w:r>
        <w:rPr>
          <w:rFonts w:ascii="Times New Roman" w:cs="Times New Roman" w:eastAsia="Times New Roman" w:hAnsi="Times New Roman"/>
          <w:sz w:val="19"/>
          <w:szCs w:val="19"/>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OR REGULATION S,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 HEDGING TRANSACTIONS CAN BE CONDUCTED WITH REGARD TO THE SECURITIES EXCEPT AS PERMITTED BY THE SECURITIES ACT.] NOTWITHSTANDING THE FOREGOING THE SECURITIES MAY BE PLEDGED IN CONNECTION WITH A BONA FIDE MARGIN ACCOUNT OR OTHER LOAN OR FINANCING ARRANGEMENT SECURED BY THE SECURITIES.”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addition, the Securities may contain a legend regarding affiliate status of the Investor, if applicable.</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The Investor acknowledges and agrees that the Investor is purchasing the Securities directly from the Company. Investor became aware of this offering of the Securities solely by means of direct contact from the Placement Agent or directly from the Company as a result of a pre-existing, substantive relationship with the Company or the Placement Agent,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 and/or their respective representatives. Investor did not become aware of this offering of the Securities, nor were the Securities offered to Investor, by any other means, and none of the Company, the Placement Agent and/or their respective representatives acted as investment advisor, broker or dealer to Investor. The Investor is not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9"/>
          <w:szCs w:val="19"/>
          <w:color w:val="auto"/>
        </w:rPr>
        <w:t>purchasing the Securities as a result of advertising or, to its knowledge, general solicitation, within the meaning of the Securities Act.</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In making its decision to purchase the Securities, such Investor has relied solely upon independent investigation made by such Investor, upon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Neither such inquiries nor any other due diligence investigation conducted by the Investor shall modify, limit or otherwise affect the Investor’s right to rely on the Company’s representations and warranties contained in this Agreement.</w:t>
      </w:r>
    </w:p>
    <w:p>
      <w:pPr>
        <w:spacing w:after="0" w:line="159"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Certain Trading Activities</w:t>
      </w:r>
      <w:r>
        <w:rPr>
          <w:rFonts w:ascii="Times New Roman" w:cs="Times New Roman" w:eastAsia="Times New Roman" w:hAnsi="Times New Roman"/>
          <w:sz w:val="19"/>
          <w:szCs w:val="19"/>
          <w:color w:val="auto"/>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8" w:name="page199"/>
    <w:bookmarkEnd w:id="198"/>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Disqualification Event</w:t>
      </w:r>
      <w:r>
        <w:rPr>
          <w:rFonts w:ascii="Times New Roman" w:cs="Times New Roman" w:eastAsia="Times New Roman" w:hAnsi="Times New Roman"/>
          <w:sz w:val="19"/>
          <w:szCs w:val="19"/>
          <w:color w:val="auto"/>
        </w:rPr>
        <w:t>. To the extent the Investor is one of the covered persons identified in Rule 506(d)(1), the Investor represents that no Disqualification Event is applicable to the Investor or any of its Rule 506(d) Related Parties (as defined below), except, if applicable, for a Disqualification Event as to which Rule 506(d)(2)(ii) or (iii) or (d)(3) is applicable. The Investor hereby agrees that it shall notify the Company promptly in writing in the event a Disqualification Event becomes applicable to the Investor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9"/>
          <w:szCs w:val="19"/>
          <w:b w:val="1"/>
          <w:bCs w:val="1"/>
          <w:color w:val="auto"/>
        </w:rPr>
        <w:t>Rule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506(d) Related Party</w:t>
      </w:r>
      <w:r>
        <w:rPr>
          <w:rFonts w:ascii="Times New Roman" w:cs="Times New Roman" w:eastAsia="Times New Roman" w:hAnsi="Times New Roman"/>
          <w:sz w:val="19"/>
          <w:szCs w:val="19"/>
          <w:color w:val="auto"/>
        </w:rPr>
        <w:t>” means a person or entity that is a beneficial owner of the Investor’s securities for purposes of Rule 506(d) of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w:t>
      </w:r>
    </w:p>
    <w:p>
      <w:pPr>
        <w:spacing w:after="0" w:line="163" w:lineRule="exact"/>
        <w:rPr>
          <w:sz w:val="20"/>
          <w:szCs w:val="20"/>
          <w:color w:val="auto"/>
        </w:rPr>
      </w:pPr>
    </w:p>
    <w:p>
      <w:pPr>
        <w:ind w:left="1020" w:hanging="275"/>
        <w:spacing w:after="0"/>
        <w:tabs>
          <w:tab w:leader="none" w:pos="102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 will rely on the acknowledgments, understandings, agreements, representations and warranties contained in this Agreement. Prior to the Closing, (i) the Investor agrees to promptly notify the Company if any of the acknowledgments, understandings, agreements, representations and warranties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Agreement are no longer accurate and (ii) the Company agrees to promptly notify each Investor and the Placement Agent if any of the acknowledgements, understandings, agreements, representations and warranties set forth in Section 3 of this Agreement are no longer accurate.</w:t>
      </w:r>
    </w:p>
    <w:p>
      <w:pPr>
        <w:spacing w:after="0" w:line="163"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Listing</w:t>
      </w:r>
      <w:r>
        <w:rPr>
          <w:rFonts w:ascii="Times New Roman" w:cs="Times New Roman" w:eastAsia="Times New Roman" w:hAnsi="Times New Roman"/>
          <w:sz w:val="19"/>
          <w:szCs w:val="19"/>
          <w:color w:val="auto"/>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w:t>
      </w:r>
    </w:p>
    <w:p>
      <w:pPr>
        <w:spacing w:after="0" w:line="15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8" w:lineRule="auto"/>
        <w:tabs>
          <w:tab w:leader="none" w:pos="255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by 9:00 a.m., New York City time, on the first (1st)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and the actual filing of such press release and Current Report on Form 8-K, the “</w:t>
      </w:r>
      <w:r>
        <w:rPr>
          <w:rFonts w:ascii="Times New Roman" w:cs="Times New Roman" w:eastAsia="Times New Roman" w:hAnsi="Times New Roman"/>
          <w:sz w:val="19"/>
          <w:szCs w:val="19"/>
          <w:b w:val="1"/>
          <w:bCs w:val="1"/>
          <w:color w:val="auto"/>
        </w:rPr>
        <w:t>Disclosure Time</w:t>
      </w:r>
      <w:r>
        <w:rPr>
          <w:rFonts w:ascii="Times New Roman" w:cs="Times New Roman" w:eastAsia="Times New Roman" w:hAnsi="Times New Roman"/>
          <w:sz w:val="19"/>
          <w:szCs w:val="19"/>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and the transactions contemplated hereby disclosed to the Investors prior to the Disclosure Time. Following the issuance or filing of the Disclosure Document, no Investor shall be in possession of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99" w:name="page200"/>
    <w:bookmarkEnd w:id="199"/>
    <w:p>
      <w:pPr>
        <w:jc w:val="both"/>
        <w:spacing w:after="0" w:line="236" w:lineRule="auto"/>
        <w:rPr>
          <w:sz w:val="20"/>
          <w:szCs w:val="20"/>
          <w:color w:val="auto"/>
        </w:rPr>
      </w:pPr>
      <w:r>
        <w:rPr>
          <w:rFonts w:ascii="Times New Roman" w:cs="Times New Roman" w:eastAsia="Times New Roman" w:hAnsi="Times New Roman"/>
          <w:sz w:val="19"/>
          <w:szCs w:val="19"/>
          <w:color w:val="auto"/>
        </w:rPr>
        <w:t>any material non-public information concerning the Company or any of its Subsidiaries disclosed to the Investors by the Company, its Subsidiaries or any of their respective representatives, officers, directors, or employees or agents, including the Placement Agent. The Company understands and confirms that the Investors will rely on the foregoing representation in effecting securities transactions. From and after the issuance or filing of the Disclosure Document, the Company shall not provide material non-public information to any Investor, unless otherwise specifically agreed in writing by such Investor prior to any such disclosure. In addition, unless it has already done so by filing the Disclosure Document, on or before the fourth (4th) Business Day following the date of this Agreement, the Company shall file with the SEC a Current Report on Form 8-K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Registration Rights Agreement or restatement of disclosure that had previously been made in compliance with the requirements of this Agreement)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 in which case the Company will provide the Investor with prior written notice (including by e-mail) of and an opportunity to review and comment on such required disclosure.</w:t>
      </w:r>
    </w:p>
    <w:p>
      <w:pPr>
        <w:spacing w:after="0" w:line="15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Integration; Regulation S Compliance</w:t>
      </w:r>
      <w:r>
        <w:rPr>
          <w:rFonts w:ascii="Times New Roman" w:cs="Times New Roman" w:eastAsia="Times New Roman" w:hAnsi="Times New Roman"/>
          <w:sz w:val="19"/>
          <w:szCs w:val="19"/>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With respect to those Securities sold in reliance upon Regulation S to a Non-U.S. Investor,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3" w:lineRule="auto"/>
        <w:tabs>
          <w:tab w:leader="none" w:pos="255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assignment, transfer or other disposition of the Initial Shares or Warrant Shares by an Investor pursuant to Rule 144 or pursuant to any other exemption under the Securities Act such that the purchaser acquires freely tradable shares and upon compliance by the Investor with the requirements of this Agreement, if requested by the Investor by written notice to the Company, the Company shall request the Transfer Agent to remove any restrictive legends related to the book entry account holding such shares and make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0" w:name="page201"/>
    <w:bookmarkEnd w:id="200"/>
    <w:p>
      <w:pPr>
        <w:ind w:left="5"/>
        <w:spacing w:after="0"/>
        <w:rPr>
          <w:sz w:val="20"/>
          <w:szCs w:val="20"/>
          <w:color w:val="auto"/>
        </w:rPr>
      </w:pPr>
      <w:r>
        <w:rPr>
          <w:rFonts w:ascii="Times New Roman" w:cs="Times New Roman" w:eastAsia="Times New Roman" w:hAnsi="Times New Roman"/>
          <w:sz w:val="19"/>
          <w:szCs w:val="19"/>
          <w:color w:val="auto"/>
        </w:rPr>
        <w:t>a new, unlegended entry for such book entry shares sold or disposed of without restrictive legends within the earlier of (i) one (1) business day and</w:t>
      </w:r>
    </w:p>
    <w:p>
      <w:pPr>
        <w:spacing w:after="0" w:line="14" w:lineRule="exact"/>
        <w:rPr>
          <w:sz w:val="20"/>
          <w:szCs w:val="20"/>
          <w:color w:val="auto"/>
        </w:rPr>
      </w:pPr>
    </w:p>
    <w:p>
      <w:pPr>
        <w:jc w:val="both"/>
        <w:ind w:left="5" w:hanging="5"/>
        <w:spacing w:after="0" w:line="238" w:lineRule="auto"/>
        <w:tabs>
          <w:tab w:leader="none" w:pos="301"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Standard Settlement Period, in each case, of any such request therefor from the Investor, provided that the Company has timely received from the Investor customary representations and other documentation reasonably acceptable to the Company in connection therewith. The Company shall be responsible for the fees of its Transfer Agent and its legal counsel associated with such legend removal.</w:t>
      </w:r>
    </w:p>
    <w:p>
      <w:pPr>
        <w:spacing w:after="0" w:line="157" w:lineRule="exact"/>
        <w:rPr>
          <w:rFonts w:ascii="Times New Roman" w:cs="Times New Roman" w:eastAsia="Times New Roman" w:hAnsi="Times New Roman"/>
          <w:sz w:val="19"/>
          <w:szCs w:val="19"/>
          <w:color w:val="auto"/>
        </w:rPr>
      </w:pPr>
    </w:p>
    <w:p>
      <w:pPr>
        <w:jc w:val="both"/>
        <w:ind w:left="5" w:firstLine="2246"/>
        <w:spacing w:after="0" w:line="236" w:lineRule="auto"/>
        <w:tabs>
          <w:tab w:leader="none" w:pos="2557"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receipt from the Investor by the Company and the Transfer Agent of customary representations and other documentation reasonably acceptable to the Company and the Transfer Agent in connection therewith, upon the earliest of such time as the Initial Shares or Warrant Shares (i) have been registered under the Securities Act pursuant to an effective registration statement; (ii) have been sold pursuant to Rule 144 or Regulation S,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9"/>
          <w:szCs w:val="19"/>
          <w:u w:val="single" w:color="auto"/>
          <w:color w:val="auto"/>
        </w:rPr>
        <w:t>Section 5.5(b)</w:t>
      </w:r>
      <w:r>
        <w:rPr>
          <w:rFonts w:ascii="Times New Roman" w:cs="Times New Roman" w:eastAsia="Times New Roman" w:hAnsi="Times New Roman"/>
          <w:sz w:val="19"/>
          <w:szCs w:val="19"/>
          <w:color w:val="auto"/>
        </w:rPr>
        <w:t xml:space="preserve"> and within the earlier of (i) one (1) business day and (ii) the Standard Settlement Period, in each case, of any request therefor from an Investor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and all DTC fees associated with such issuance.</w:t>
      </w:r>
    </w:p>
    <w:p>
      <w:pPr>
        <w:spacing w:after="0" w:line="164"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51"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Fees and Commissions</w:t>
      </w:r>
      <w:r>
        <w:rPr>
          <w:rFonts w:ascii="Times New Roman" w:cs="Times New Roman" w:eastAsia="Times New Roman" w:hAnsi="Times New Roman"/>
          <w:sz w:val="19"/>
          <w:szCs w:val="19"/>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w:t>
      </w:r>
    </w:p>
    <w:p>
      <w:pPr>
        <w:spacing w:after="0" w:line="151" w:lineRule="exact"/>
        <w:rPr>
          <w:sz w:val="20"/>
          <w:szCs w:val="20"/>
          <w:color w:val="auto"/>
        </w:rPr>
      </w:pPr>
    </w:p>
    <w:p>
      <w:pPr>
        <w:jc w:val="both"/>
        <w:ind w:left="5"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No Conflicting Agreements</w:t>
      </w:r>
      <w:r>
        <w:rPr>
          <w:rFonts w:ascii="Times New Roman" w:cs="Times New Roman" w:eastAsia="Times New Roman" w:hAnsi="Times New Roman"/>
          <w:sz w:val="19"/>
          <w:szCs w:val="19"/>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38"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184" w:lineRule="exact"/>
        <w:rPr>
          <w:sz w:val="20"/>
          <w:szCs w:val="20"/>
          <w:color w:val="auto"/>
        </w:rPr>
      </w:pPr>
    </w:p>
    <w:p>
      <w:pPr>
        <w:jc w:val="both"/>
        <w:ind w:left="5" w:firstLine="2246"/>
        <w:spacing w:after="0" w:line="248" w:lineRule="auto"/>
        <w:tabs>
          <w:tab w:leader="none" w:pos="2557"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indemnify and hold harmless each Investor and its Affiliates, and their respective directors, officers, trustees, members, managers, employees, investment advisors and agents (collectively, the “</w:t>
      </w:r>
      <w:r>
        <w:rPr>
          <w:rFonts w:ascii="Times New Roman" w:cs="Times New Roman" w:eastAsia="Times New Roman" w:hAnsi="Times New Roman"/>
          <w:sz w:val="19"/>
          <w:szCs w:val="19"/>
          <w:b w:val="1"/>
          <w:bCs w:val="1"/>
          <w:color w:val="auto"/>
        </w:rPr>
        <w:t>Indemnified Persons</w:t>
      </w:r>
      <w:r>
        <w:rPr>
          <w:rFonts w:ascii="Times New Roman" w:cs="Times New Roman" w:eastAsia="Times New Roman" w:hAnsi="Times New Roman"/>
          <w:sz w:val="19"/>
          <w:szCs w:val="19"/>
          <w:color w:val="auto"/>
        </w:rPr>
        <w:t>”), from and against any and all losses, claims, damages, liabilities and expenses (including without limitation reasonable</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01" w:name="page202"/>
    <w:bookmarkEnd w:id="201"/>
    <w:p>
      <w:pPr>
        <w:jc w:val="both"/>
        <w:spacing w:after="0" w:line="239" w:lineRule="auto"/>
        <w:rPr>
          <w:sz w:val="20"/>
          <w:szCs w:val="20"/>
          <w:color w:val="auto"/>
        </w:rPr>
      </w:pPr>
      <w:r>
        <w:rPr>
          <w:rFonts w:ascii="Times New Roman" w:cs="Times New Roman" w:eastAsia="Times New Roman" w:hAnsi="Times New Roman"/>
          <w:sz w:val="19"/>
          <w:szCs w:val="19"/>
          <w:color w:val="auto"/>
        </w:rPr>
        <w:t>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in quarterly payments for all such amounts incurred by such Person solely to the extent such amounts have been finally judicially determined not to have resulted from such Person’s fraud, gross negligence, willful misconduct or bad faith.</w:t>
      </w:r>
    </w:p>
    <w:p>
      <w:pPr>
        <w:spacing w:after="0" w:line="161" w:lineRule="exact"/>
        <w:rPr>
          <w:sz w:val="20"/>
          <w:szCs w:val="20"/>
          <w:color w:val="auto"/>
        </w:rPr>
      </w:pPr>
    </w:p>
    <w:p>
      <w:pPr>
        <w:jc w:val="both"/>
        <w:ind w:firstLine="2246"/>
        <w:spacing w:after="0" w:line="235" w:lineRule="auto"/>
        <w:tabs>
          <w:tab w:leader="none" w:pos="2552"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prior written consent of the indemnifying party, which consent shall not be unreasonably withheld, conditioned or delayed, consent to entry of any judgment or enter into any settlement.</w:t>
      </w:r>
    </w:p>
    <w:p>
      <w:pPr>
        <w:spacing w:after="0" w:line="169"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u w:val="single" w:color="auto"/>
          <w:color w:val="auto"/>
        </w:rPr>
        <w:t>Subsequent Equity Sales</w:t>
      </w:r>
      <w:r>
        <w:rPr>
          <w:rFonts w:ascii="Times New Roman" w:cs="Times New Roman" w:eastAsia="Times New Roman" w:hAnsi="Times New Roman"/>
          <w:sz w:val="19"/>
          <w:szCs w:val="19"/>
          <w:color w:val="auto"/>
        </w:rPr>
        <w:t>.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and pursuant to</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2" w:name="page203"/>
    <w:bookmarkEnd w:id="202"/>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terms of any registration rights agreement disclosed in the Disclosure Document. Notwithstanding the foregoing,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5.10</w:t>
      </w:r>
      <w:r>
        <w:rPr>
          <w:rFonts w:ascii="Times New Roman" w:cs="Times New Roman" w:eastAsia="Times New Roman" w:hAnsi="Times New Roman"/>
          <w:sz w:val="19"/>
          <w:szCs w:val="19"/>
          <w:color w:val="auto"/>
        </w:rPr>
        <w:t xml:space="preserve"> shall not apply to (i) the issuance of the Securities hereunder and pursuant to any transaction disclosed in the Disclosure Document, (ii) the issuance of Common Stock or Common Stock Equivalents upon the conversion, exercise or vesting of any securities of the Company outstanding on the date of this Agreement or outstanding pursuant to clause (iii) below; provided that such conversion, exercise or vesting is effected pursuant to the terms of such securities as in effect on the date of this Agreement and without giving effect to any amendments or adjustments thereto after the date hereof, (iii) the grant or issuance of any Common Stock or Common Stock Equivalents pursuant to any existing or hereinafter adopted or amended Company stock-based compensation plans approved by the Board of Directors of the Company or in accordance with Nasdaq Stock Market Rule 5635(c)(4), or (iv) the filing of registration statements on Form S-8 under the Securities Act to register the offer and sale of securities on an equity incentive plan or employee stock purchase plan.</w:t>
      </w:r>
    </w:p>
    <w:p>
      <w:pPr>
        <w:spacing w:after="0" w:line="163"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Warrant Shares that are issuable upon the exercise of the Warrants.</w:t>
      </w:r>
    </w:p>
    <w:p>
      <w:pPr>
        <w:spacing w:after="0" w:line="151"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5.12 </w:t>
      </w:r>
      <w:r>
        <w:rPr>
          <w:rFonts w:ascii="Times New Roman" w:cs="Times New Roman" w:eastAsia="Times New Roman" w:hAnsi="Times New Roman"/>
          <w:sz w:val="19"/>
          <w:szCs w:val="19"/>
          <w:u w:val="single" w:color="auto"/>
          <w:color w:val="auto"/>
        </w:rPr>
        <w:t>Stockholder Approval</w:t>
      </w:r>
      <w:r>
        <w:rPr>
          <w:rFonts w:ascii="Times New Roman" w:cs="Times New Roman" w:eastAsia="Times New Roman" w:hAnsi="Times New Roman"/>
          <w:sz w:val="19"/>
          <w:szCs w:val="19"/>
          <w:color w:val="auto"/>
        </w:rPr>
        <w:t>. To the extent any of the transactions contemplated by the Transaction Agreements, including the issuance of the Series A Common Warrant Shares, Series B Common Warrant Shares and the Pre-Funded Warrant Shares upon exercise of the Series A Common Warrants, Series B Common Warrants or the Pre-Funded Warrants (as applicable), requires stockholder approval pursuant to the rules and regulations of Nasdaq, the Company will, no later than in connection with its 2026 annual meeting of stockholders (the “</w:t>
      </w:r>
      <w:r>
        <w:rPr>
          <w:rFonts w:ascii="Times New Roman" w:cs="Times New Roman" w:eastAsia="Times New Roman" w:hAnsi="Times New Roman"/>
          <w:sz w:val="19"/>
          <w:szCs w:val="19"/>
          <w:b w:val="1"/>
          <w:bCs w:val="1"/>
          <w:color w:val="auto"/>
        </w:rPr>
        <w:t>Annual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Meeting</w:t>
      </w:r>
      <w:r>
        <w:rPr>
          <w:rFonts w:ascii="Times New Roman" w:cs="Times New Roman" w:eastAsia="Times New Roman" w:hAnsi="Times New Roman"/>
          <w:sz w:val="19"/>
          <w:szCs w:val="19"/>
          <w:color w:val="auto"/>
        </w:rPr>
        <w:t>”), provide notice of, and solicit proxies for the Company’s stockholders to obtain such required approvals such that the Series A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Warrants and Series B Common Warrants can be exercised pursuant to the terms of such Series A Common Warrants or Series B Common Warrants (as applicable) and the Pre-Funded Warrants can be exercised at any time, subject to beneficial ownership limitations contained therein, in each case without restriction or additional stockholder approval (the “</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The Annual Meeting shall occur no later than June 30, 2026. To the extent the Stockholder Approval is not obtained at or before the Annual Meeting, the Company shall cause an additional meeting (special or general) of the Company’s stockholders to be held every 90 days thereafter for the purpose of obtaining the Stockholder Approval until the Stockholder Approval is obtained.</w:t>
      </w:r>
    </w:p>
    <w:p>
      <w:pPr>
        <w:spacing w:after="0" w:line="158" w:lineRule="exact"/>
        <w:rPr>
          <w:sz w:val="20"/>
          <w:szCs w:val="20"/>
          <w:color w:val="auto"/>
        </w:rPr>
      </w:pPr>
    </w:p>
    <w:p>
      <w:pPr>
        <w:jc w:val="both"/>
        <w:ind w:right="20" w:firstLine="1501"/>
        <w:spacing w:after="0" w:line="238" w:lineRule="auto"/>
        <w:rPr>
          <w:sz w:val="20"/>
          <w:szCs w:val="20"/>
          <w:color w:val="auto"/>
        </w:rPr>
      </w:pPr>
      <w:r>
        <w:rPr>
          <w:rFonts w:ascii="Times New Roman" w:cs="Times New Roman" w:eastAsia="Times New Roman" w:hAnsi="Times New Roman"/>
          <w:sz w:val="19"/>
          <w:szCs w:val="19"/>
          <w:color w:val="auto"/>
        </w:rPr>
        <w:t xml:space="preserve">5.13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Company shall use the net proceeds from the sale of the Securities hereunder for working capital purposes and shall not use such proceeds: (a) for the repayment of Company debt for borrowed money, (b) for the redemption of any Common Stock or Common Stock Equivalents (excluding, for the avoidance of doubt, the redemption of that certain pre-funded warrant issued to Sermonix Pharmaceuticals, Inc. on or about the date hereof (the “</w:t>
      </w:r>
      <w:r>
        <w:rPr>
          <w:rFonts w:ascii="Times New Roman" w:cs="Times New Roman" w:eastAsia="Times New Roman" w:hAnsi="Times New Roman"/>
          <w:sz w:val="19"/>
          <w:szCs w:val="19"/>
          <w:b w:val="1"/>
          <w:bCs w:val="1"/>
          <w:color w:val="auto"/>
        </w:rPr>
        <w:t>Sermonix Warrant</w:t>
      </w:r>
      <w:r>
        <w:rPr>
          <w:rFonts w:ascii="Times New Roman" w:cs="Times New Roman" w:eastAsia="Times New Roman" w:hAnsi="Times New Roman"/>
          <w:sz w:val="19"/>
          <w:szCs w:val="19"/>
          <w:color w:val="auto"/>
        </w:rPr>
        <w:t>”) pursuant to Section 5 thereof and the net settlement of any Common Stock Equivalents, including options, RSUs and other equity incentive awards awarded by the Board of Directors, or a committee appointed thereby, the Sermonix Warrant, the Warrants and any transaction contemplated by Section 9(i) of the Series A Common Warrants, (c) for the settlement of any litigation outstanding as of Closing or (d) to in-license or develop a drug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3" w:name="page204"/>
    <w:bookmarkEnd w:id="203"/>
    <w:p>
      <w:pPr>
        <w:ind w:right="20"/>
        <w:spacing w:after="0" w:line="262" w:lineRule="auto"/>
        <w:rPr>
          <w:sz w:val="20"/>
          <w:szCs w:val="20"/>
          <w:color w:val="auto"/>
        </w:rPr>
      </w:pPr>
      <w:r>
        <w:rPr>
          <w:rFonts w:ascii="Times New Roman" w:cs="Times New Roman" w:eastAsia="Times New Roman" w:hAnsi="Times New Roman"/>
          <w:sz w:val="19"/>
          <w:szCs w:val="19"/>
          <w:color w:val="auto"/>
        </w:rPr>
        <w:t>candidate other than Lasofoxifene or any drug or drug candidate in the Company’s pipeline until the earlier of such time as the topline results of ELAINE-3 become available and the second anniversary of the Closing Date.</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5.14</w:t>
      </w:r>
      <w:r>
        <w:rPr>
          <w:sz w:val="20"/>
          <w:szCs w:val="20"/>
          <w:color w:val="auto"/>
        </w:rPr>
        <w:tab/>
      </w:r>
      <w:r>
        <w:rPr>
          <w:rFonts w:ascii="Times New Roman" w:cs="Times New Roman" w:eastAsia="Times New Roman" w:hAnsi="Times New Roman"/>
          <w:sz w:val="18"/>
          <w:szCs w:val="18"/>
          <w:u w:val="single" w:color="auto"/>
          <w:color w:val="auto"/>
        </w:rPr>
        <w:t>Board Rights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3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Closing Date and for so long as Commodore Capital LP and its Affiliates (collectively, “</w:t>
      </w:r>
      <w:r>
        <w:rPr>
          <w:rFonts w:ascii="Times New Roman" w:cs="Times New Roman" w:eastAsia="Times New Roman" w:hAnsi="Times New Roman"/>
          <w:sz w:val="19"/>
          <w:szCs w:val="19"/>
          <w:b w:val="1"/>
          <w:bCs w:val="1"/>
          <w:color w:val="auto"/>
        </w:rPr>
        <w:t>Commodore</w:t>
      </w:r>
      <w:r>
        <w:rPr>
          <w:rFonts w:ascii="Times New Roman" w:cs="Times New Roman" w:eastAsia="Times New Roman" w:hAnsi="Times New Roman"/>
          <w:sz w:val="19"/>
          <w:szCs w:val="19"/>
          <w:color w:val="auto"/>
        </w:rPr>
        <w:t>”) beneficially own five percent (5%) or more of the Company’s outstanding Common Stock (which solely for the purposes herein shall include any shares of Common Stock issuable upon exercise of the Warrants whose Initial Exercise Date (as defined in the applicable Warrant) has occurred, without giving effect to any limitations on exercise of the Warrants), Commodore shall have the right, but not the obligation, to designate one (1) individual to be appointed to the Board of Directors (such person, the “</w:t>
      </w:r>
      <w:r>
        <w:rPr>
          <w:rFonts w:ascii="Times New Roman" w:cs="Times New Roman" w:eastAsia="Times New Roman" w:hAnsi="Times New Roman"/>
          <w:sz w:val="19"/>
          <w:szCs w:val="19"/>
          <w:b w:val="1"/>
          <w:bCs w:val="1"/>
          <w:color w:val="auto"/>
        </w:rPr>
        <w:t>Commodore Designee</w:t>
      </w:r>
      <w:r>
        <w:rPr>
          <w:rFonts w:ascii="Times New Roman" w:cs="Times New Roman" w:eastAsia="Times New Roman" w:hAnsi="Times New Roman"/>
          <w:sz w:val="19"/>
          <w:szCs w:val="19"/>
          <w:color w:val="auto"/>
        </w:rPr>
        <w:t>”), which Commodore Designee shall be “independent” under the listing standards of Nasdaq. Following such designation, the Company shall take all actions reasonably necessary to have the Commodore Designee promptly appointed to the Board of Directors, including, but not limited to, increasing the size of the Board of Directors to accommodate the appointment of the Commodore Designee.</w:t>
      </w:r>
    </w:p>
    <w:p>
      <w:pPr>
        <w:spacing w:after="0" w:line="158" w:lineRule="exact"/>
        <w:rPr>
          <w:rFonts w:ascii="Times New Roman" w:cs="Times New Roman" w:eastAsia="Times New Roman" w:hAnsi="Times New Roman"/>
          <w:sz w:val="19"/>
          <w:szCs w:val="19"/>
          <w:color w:val="auto"/>
        </w:rPr>
      </w:pPr>
    </w:p>
    <w:p>
      <w:pPr>
        <w:jc w:val="both"/>
        <w:ind w:firstLine="2246"/>
        <w:spacing w:after="0" w:line="23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Closing Date and for so long as TCG Crossover Management LLC and its Affiliates (collectively, “</w:t>
      </w:r>
      <w:r>
        <w:rPr>
          <w:rFonts w:ascii="Times New Roman" w:cs="Times New Roman" w:eastAsia="Times New Roman" w:hAnsi="Times New Roman"/>
          <w:sz w:val="19"/>
          <w:szCs w:val="19"/>
          <w:b w:val="1"/>
          <w:bCs w:val="1"/>
          <w:color w:val="auto"/>
        </w:rPr>
        <w:t>TCGX</w:t>
      </w:r>
      <w:r>
        <w:rPr>
          <w:rFonts w:ascii="Times New Roman" w:cs="Times New Roman" w:eastAsia="Times New Roman" w:hAnsi="Times New Roman"/>
          <w:sz w:val="19"/>
          <w:szCs w:val="19"/>
          <w:color w:val="auto"/>
        </w:rPr>
        <w:t>”) beneficially own five percent (5%) or more of the Company’s outstanding Common Stock (which solely for the purposes herein shall include any shares of Common Stock issuable upon exercise of the Warrants whose Initial Exercise Date (as defined in the applicable Warrant) has occurred, without giving effect to any limitations on exercise of the Warrants), TCGX shall have the right, but not the obligation, to designate one (1) individual to be appointed to the Board of Directors (such person, the “</w:t>
      </w:r>
      <w:r>
        <w:rPr>
          <w:rFonts w:ascii="Times New Roman" w:cs="Times New Roman" w:eastAsia="Times New Roman" w:hAnsi="Times New Roman"/>
          <w:sz w:val="19"/>
          <w:szCs w:val="19"/>
          <w:b w:val="1"/>
          <w:bCs w:val="1"/>
          <w:color w:val="auto"/>
        </w:rPr>
        <w:t>TCGX Designee</w:t>
      </w:r>
      <w:r>
        <w:rPr>
          <w:rFonts w:ascii="Times New Roman" w:cs="Times New Roman" w:eastAsia="Times New Roman" w:hAnsi="Times New Roman"/>
          <w:sz w:val="19"/>
          <w:szCs w:val="19"/>
          <w:color w:val="auto"/>
        </w:rPr>
        <w:t>”), which TCGX Designee shall be “independent” under the listing standards of Nasdaq. Following such designation, the Company shall take all actions reasonably necessary to have the TCGX Designee promptly appointed to the Board of Directors, including, but not limited to, increasing the size of the Board of Directors to accommodate the appointment of the TCGX Designee.</w:t>
      </w:r>
    </w:p>
    <w:p>
      <w:pPr>
        <w:spacing w:after="0" w:line="158"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use its reasonable best efforts to cause, by the six (6) month anniversary of the Closing Date, the resignation of two (2) current members of the Board of Directors, such that following the appointment of the Commodore Designee and the TCGX Designee, the Board of Directors shall consist of eight (8) directors.</w:t>
      </w:r>
    </w:p>
    <w:p>
      <w:pPr>
        <w:spacing w:after="0" w:line="150"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that Commodore or TCGX is entitled to designate a Commodore Designee or a TCGX Designee, respectively, for appointment to the Board of Directors pursuant to Section 5.14(a) or Section 5.14(b), as applicable, the Company shall include in the slate of nominees recommended by the Board of Directors, at all of the Company’s applicable annual or special meetings of stockholders at which directors are to be elected (or in any written consent for election of directors), the Commodore Designee and/or the TCGX Designee designated in accordance with this Section 5.14, and the Company shall use its reasonable best efforts to cause the election of such designee to the Board of Directors, in connection therewith.</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4" w:name="page205"/>
    <w:bookmarkEnd w:id="204"/>
    <w:p>
      <w:pPr>
        <w:jc w:val="both"/>
        <w:ind w:firstLine="2246"/>
        <w:spacing w:after="0" w:line="239"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that Commodore or TCGX is entitled to designate the Commodore Designee or the TCGX Designee, as applicable, for appointment to the Board of Directors pursuant to Section 5.14(a) or Section 5.14(b), as applicable, in the event that a vacancy is created at any time by the death, disability, retirement, resignation or removal of a Commodore Designee and/or a TCGX Designee, as the case may be, the Company agrees to take at any time and from time to time all commercially reasonable actions necessary to cause the vacancy created thereby to be filled as promptly as practicable by a new designee of Commodore and/or TCGX, as applicable, designated in accordance with this Section 5.14.</w:t>
      </w:r>
    </w:p>
    <w:p>
      <w:pPr>
        <w:spacing w:after="0" w:line="161" w:lineRule="exact"/>
        <w:rPr>
          <w:rFonts w:ascii="Times New Roman" w:cs="Times New Roman" w:eastAsia="Times New Roman" w:hAnsi="Times New Roman"/>
          <w:sz w:val="19"/>
          <w:szCs w:val="19"/>
          <w:color w:val="auto"/>
        </w:rPr>
      </w:pPr>
    </w:p>
    <w:p>
      <w:pPr>
        <w:jc w:val="both"/>
        <w:ind w:right="20" w:firstLine="2246"/>
        <w:spacing w:after="0" w:line="243"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aggregate ownership of Common Stock of Commodore or TCGX falls below the applicable threshold set forth in Section 5.14(a) or Section 5.14(b), as applicable, the Commodore Designee or TCGX Designee, as applicable, shall promptly tender their resignation as a director, and the Company may take all commercially reasonable actions within its control to cause the removal of such Commodore Designee or TCGX Designee.</w:t>
      </w:r>
    </w:p>
    <w:p>
      <w:pPr>
        <w:spacing w:after="0" w:line="155"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Section 5.14, the appointment and service of any such Commodore Designee or TCGX Designee on the Board of Directors shall be subject to and conditioned upon: (i) such Commodore Designee or TCGX Designee providing all such information (including information necessary to determine the nominee’s independence status under various requirements and institutional investor guidelines as well as information necessary to determine any disclosure obligations of the Company) as the Board of Directors may reasonably request, including such information required by applicable law and all information required to be disclosed for directors, candidates for directors and their respective Affiliates in a proxy statement or other filing in accordance with applicable law or any stock exchange rules or listing standards, including the submission on a timely basis to the Company of a completed and executed questionnaire in the form that the Company provides to its outside directors generally, and (ii) the absence of any reasonable and good faith determination by a majority of the independent members of the Board of Directors, after consultation with the Company’s outside legal counsel, that such designee would not be qualified to serve or be appointed as a director of the Company under any applicable law (including requirements of fiduciary duties under applicable law), rule or regulation, the listing rules of the Nasdaq (or other stock exchange on which the Company’s shares of Common Stock are listed from time to time), the Certificate of Incorporation or Bylaws, or any policy or guidelines previously approved by the Board of Directors or any committee thereof, including the Company’s Corporate Governance Guidelines as then in effect (provided that a direct or indirect purpose of any such policy or guideline is not to obstruct Commodore or TCGX’s, as applicable, right to designate an individual as a nominee to the Board of Directors or its rights under this Section 5.14(g)).</w:t>
      </w:r>
    </w:p>
    <w:p>
      <w:pPr>
        <w:spacing w:after="0" w:line="159"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reimburse the Commodore Designee and TCGX Designee for all reasonable travel and other reasonable and documented out-of-pocket expenses related to his or her role as such and relating to the performance of his or her duties on the Board of Directors, as applicable, on the same terms as other members of the Board of Directors. At any time that a Commodore Designee or TCGX Designee serves as a member of the Board of Directors, the Company agrees to have in effect, at the expense of the Company, a director and officer liability insurance policy for the benefit of the Company and such Commodore Designee or TCGX Designee to the same extent as the Company provides such insurance covering the other members of the Board of Directors.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5" w:name="page206"/>
    <w:bookmarkEnd w:id="205"/>
    <w:p>
      <w:pPr>
        <w:ind w:left="1020" w:hanging="275"/>
        <w:spacing w:after="0"/>
        <w:tabs>
          <w:tab w:leader="none" w:pos="102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of Closing</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Conditions to the Obligation of the Investors</w:t>
      </w:r>
      <w:r>
        <w:rPr>
          <w:rFonts w:ascii="Times New Roman" w:cs="Times New Roman" w:eastAsia="Times New Roman" w:hAnsi="Times New Roman"/>
          <w:sz w:val="19"/>
          <w:szCs w:val="19"/>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51" w:lineRule="exact"/>
        <w:rPr>
          <w:sz w:val="20"/>
          <w:szCs w:val="20"/>
          <w:color w:val="auto"/>
        </w:rPr>
      </w:pPr>
    </w:p>
    <w:p>
      <w:pPr>
        <w:jc w:val="both"/>
        <w:ind w:firstLine="2246"/>
        <w:spacing w:after="0" w:line="254" w:lineRule="auto"/>
        <w:tabs>
          <w:tab w:leader="none" w:pos="255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and consummation of the Closing shall constitute a reaffirmation by the Company of each of the representations, warranties, covenants and agreements of the Investor contained in this Agreement as of the Closing Date.</w:t>
      </w:r>
    </w:p>
    <w:p>
      <w:pPr>
        <w:spacing w:after="0" w:line="145" w:lineRule="exact"/>
        <w:rPr>
          <w:rFonts w:ascii="Times New Roman" w:cs="Times New Roman" w:eastAsia="Times New Roman" w:hAnsi="Times New Roman"/>
          <w:sz w:val="18"/>
          <w:szCs w:val="18"/>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Company shall have performed in all material respects the obligations and conditions herein required to be performed or observed by the Company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Agent</w:t>
      </w:r>
      <w:r>
        <w:rPr>
          <w:rFonts w:ascii="Times New Roman" w:cs="Times New Roman" w:eastAsia="Times New Roman" w:hAnsi="Times New Roman"/>
          <w:sz w:val="19"/>
          <w:szCs w:val="19"/>
          <w:color w:val="auto"/>
        </w:rPr>
        <w:t>. The Company shall have furnished all required materials to the Transfer Agent to reflect the issuance of the Initial Shares at the Closing.</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Since the date of this Agreement, no event or series of events shall have occurred that has had or would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Company Counsel</w:t>
      </w:r>
      <w:r>
        <w:rPr>
          <w:rFonts w:ascii="Times New Roman" w:cs="Times New Roman" w:eastAsia="Times New Roman" w:hAnsi="Times New Roman"/>
          <w:sz w:val="19"/>
          <w:szCs w:val="19"/>
          <w:color w:val="auto"/>
        </w:rPr>
        <w:t>. The Company shall have delivered to the Investors and the Placement Agent the opinion of Wilson Sonsini Goodrich &amp; Rosati, P.C. (“</w:t>
      </w:r>
      <w:r>
        <w:rPr>
          <w:rFonts w:ascii="Times New Roman" w:cs="Times New Roman" w:eastAsia="Times New Roman" w:hAnsi="Times New Roman"/>
          <w:sz w:val="19"/>
          <w:szCs w:val="19"/>
          <w:b w:val="1"/>
          <w:bCs w:val="1"/>
          <w:color w:val="auto"/>
        </w:rPr>
        <w:t>WSGR</w:t>
      </w:r>
      <w:r>
        <w:rPr>
          <w:rFonts w:ascii="Times New Roman" w:cs="Times New Roman" w:eastAsia="Times New Roman" w:hAnsi="Times New Roman"/>
          <w:sz w:val="19"/>
          <w:szCs w:val="19"/>
          <w:color w:val="auto"/>
        </w:rPr>
        <w:t>”), dated as of the Closing Date, in customary form and substance to be reasonably agreed upon with the Investors and addressing such legal matters as the Investors and the Company reasonably agree.</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An authorized officer of the Company shall have delivered to the Investors at the Closing Date a certificate certifying that the conditions specified in </w:t>
      </w:r>
      <w:r>
        <w:rPr>
          <w:rFonts w:ascii="Times New Roman" w:cs="Times New Roman" w:eastAsia="Times New Roman" w:hAnsi="Times New Roman"/>
          <w:sz w:val="19"/>
          <w:szCs w:val="19"/>
          <w:u w:val="single" w:color="auto"/>
          <w:color w:val="auto"/>
        </w:rPr>
        <w:t>Sections 6.1(a) (Representations and Warranties)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6.1(c)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6.1(d) (Consents)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6.1(e) (Transfer Agent)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6.1(f) (Adverse Changes)</w:t>
      </w:r>
      <w:r>
        <w:rPr>
          <w:rFonts w:ascii="Times New Roman" w:cs="Times New Roman" w:eastAsia="Times New Roman" w:hAnsi="Times New Roman"/>
          <w:sz w:val="19"/>
          <w:szCs w:val="19"/>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9"/>
          <w:szCs w:val="19"/>
          <w:u w:val="single" w:color="auto"/>
          <w:color w:val="auto"/>
        </w:rPr>
        <w:t>6.1(l) (Listing Requirements)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6.1(m) (No Injunction)</w:t>
      </w:r>
      <w:r>
        <w:rPr>
          <w:rFonts w:ascii="Times New Roman" w:cs="Times New Roman" w:eastAsia="Times New Roman" w:hAnsi="Times New Roman"/>
          <w:sz w:val="19"/>
          <w:szCs w:val="19"/>
          <w:color w:val="auto"/>
        </w:rPr>
        <w:t>, of this Agreement have been fulfilled.</w:t>
      </w:r>
    </w:p>
    <w:p>
      <w:pPr>
        <w:spacing w:after="0" w:line="184" w:lineRule="exact"/>
        <w:rPr>
          <w:sz w:val="20"/>
          <w:szCs w:val="20"/>
          <w:color w:val="auto"/>
        </w:rPr>
      </w:pPr>
    </w:p>
    <w:p>
      <w:pPr>
        <w:jc w:val="both"/>
        <w:ind w:right="20" w:firstLine="2246"/>
        <w:spacing w:after="0" w:line="243"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w:t>
      </w:r>
      <w:r>
        <w:rPr>
          <w:rFonts w:ascii="Times New Roman" w:cs="Times New Roman" w:eastAsia="Times New Roman" w:hAnsi="Times New Roman"/>
          <w:sz w:val="19"/>
          <w:szCs w:val="19"/>
          <w:color w:val="auto"/>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Warrant Shares.</w:t>
      </w:r>
    </w:p>
    <w:p>
      <w:pPr>
        <w:spacing w:after="0" w:line="155"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Company shall have executed and delivered the Registration Rights Agreement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to the Investors.</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Lock-Up Agreements</w:t>
      </w:r>
      <w:r>
        <w:rPr>
          <w:rFonts w:ascii="Times New Roman" w:cs="Times New Roman" w:eastAsia="Times New Roman" w:hAnsi="Times New Roman"/>
          <w:sz w:val="19"/>
          <w:szCs w:val="19"/>
          <w:color w:val="auto"/>
        </w:rPr>
        <w:t>. The Company shall have furnished to the Placement Agent a lock-up agreement executed by each of the Company’s executive officers and directors (in their capacity in such positions) restricting sales for a period not to exceed 60 days from the Closing Date.</w:t>
      </w:r>
    </w:p>
    <w:p>
      <w:pPr>
        <w:spacing w:after="0" w:line="150" w:lineRule="exact"/>
        <w:rPr>
          <w:rFonts w:ascii="Times New Roman" w:cs="Times New Roman" w:eastAsia="Times New Roman" w:hAnsi="Times New Roman"/>
          <w:sz w:val="19"/>
          <w:szCs w:val="19"/>
          <w:color w:val="auto"/>
        </w:rPr>
      </w:pPr>
    </w:p>
    <w:p>
      <w:pPr>
        <w:jc w:val="both"/>
        <w:ind w:firstLine="2246"/>
        <w:spacing w:after="0" w:line="239"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Listing Requirements</w:t>
      </w:r>
      <w:r>
        <w:rPr>
          <w:rFonts w:ascii="Times New Roman" w:cs="Times New Roman" w:eastAsia="Times New Roman" w:hAnsi="Times New Roman"/>
          <w:sz w:val="19"/>
          <w:szCs w:val="19"/>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 listing of the Initial Shares and the Warrant Shares and Nasdaq shall have raised no objection to such notice and the transactions contemplated hereby.</w:t>
      </w:r>
    </w:p>
    <w:p>
      <w:pPr>
        <w:spacing w:after="0" w:line="161" w:lineRule="exact"/>
        <w:rPr>
          <w:rFonts w:ascii="Times New Roman" w:cs="Times New Roman" w:eastAsia="Times New Roman" w:hAnsi="Times New Roman"/>
          <w:sz w:val="19"/>
          <w:szCs w:val="19"/>
          <w:color w:val="auto"/>
        </w:rPr>
      </w:pPr>
    </w:p>
    <w:p>
      <w:pPr>
        <w:jc w:val="both"/>
        <w:ind w:right="20" w:firstLine="2246"/>
        <w:spacing w:after="0" w:line="243"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55"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The Company shall have received payment, by wire transfer of immediately available funds, in the full amount of the purchase price for the number of Securities being purchased by each other Investor at the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Conditions to the Obligation of the Company</w:t>
      </w:r>
      <w:r>
        <w:rPr>
          <w:rFonts w:ascii="Times New Roman" w:cs="Times New Roman" w:eastAsia="Times New Roman" w:hAnsi="Times New Roman"/>
          <w:sz w:val="19"/>
          <w:szCs w:val="19"/>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representations and warranties of each Investor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hereto shall be true and correct in all material respects, except for those representation and warranties qualified by materiality or material adverse effect, which shall be true and correct in all respects, on and as of the Closing Date, with the same force and effect as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7" w:name="page208"/>
    <w:bookmarkEnd w:id="207"/>
    <w:p>
      <w:pPr>
        <w:spacing w:after="0" w:line="262" w:lineRule="auto"/>
        <w:rPr>
          <w:sz w:val="20"/>
          <w:szCs w:val="20"/>
          <w:color w:val="auto"/>
        </w:rPr>
      </w:pPr>
      <w:r>
        <w:rPr>
          <w:rFonts w:ascii="Times New Roman" w:cs="Times New Roman" w:eastAsia="Times New Roman" w:hAnsi="Times New Roman"/>
          <w:sz w:val="19"/>
          <w:szCs w:val="19"/>
          <w:color w:val="auto"/>
        </w:rPr>
        <w:t>though made on and as of the Closing Date and consummation of the Closing shall constitute a reaffirmation by the Investor of each of the representations, warranties, covenants and agreements of the Investor contained in this Agreement as of the Closing Date.</w:t>
      </w:r>
    </w:p>
    <w:p>
      <w:pPr>
        <w:spacing w:after="0" w:line="138" w:lineRule="exact"/>
        <w:rPr>
          <w:sz w:val="20"/>
          <w:szCs w:val="20"/>
          <w:color w:val="auto"/>
        </w:rPr>
      </w:pPr>
    </w:p>
    <w:p>
      <w:pPr>
        <w:ind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Each Investor shall have performed or complied with in all material respects all obligations and conditions herein required to be performed or observed by such Investor on or prior to the Closing Date.</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The purchase of and payment for the Securities by each Investor shall not be prohibited or enjoined by any law or governmental or court order or regulation.</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Except as may be agreed to among the Company and such Investor in accordance with Section 2.2,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ind w:left="1020" w:hanging="275"/>
        <w:spacing w:after="0"/>
        <w:tabs>
          <w:tab w:leader="none" w:pos="102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1500"/>
        <w:spacing w:after="0"/>
        <w:tabs>
          <w:tab w:leader="none" w:pos="2020" w:val="left"/>
          <w:tab w:leader="none" w:pos="316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The obligations of the Company, on the one hand, and the Investors, on the other hand, to effect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shall terminate as follows:</w:t>
      </w:r>
    </w:p>
    <w:p>
      <w:pPr>
        <w:spacing w:after="0" w:line="164" w:lineRule="exact"/>
        <w:rPr>
          <w:sz w:val="20"/>
          <w:szCs w:val="20"/>
          <w:color w:val="auto"/>
        </w:rPr>
      </w:pPr>
    </w:p>
    <w:p>
      <w:pPr>
        <w:ind w:left="2540" w:hanging="294"/>
        <w:spacing w:after="0"/>
        <w:tabs>
          <w:tab w:leader="none" w:pos="254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mutual written consent of the Company and the Investors that agreed to purchase a majority of the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prior to the Closing;</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Company if any of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shall have become incapable of fulfillment, and shall not have been waived by the Company;</w:t>
      </w:r>
    </w:p>
    <w:p>
      <w:pPr>
        <w:spacing w:after="0" w:line="138" w:lineRule="exact"/>
        <w:rPr>
          <w:sz w:val="20"/>
          <w:szCs w:val="20"/>
          <w:color w:val="auto"/>
        </w:rPr>
      </w:pPr>
    </w:p>
    <w:p>
      <w:pPr>
        <w:ind w:right="20" w:firstLine="2252"/>
        <w:spacing w:after="0" w:line="262" w:lineRule="auto"/>
        <w:rPr>
          <w:sz w:val="20"/>
          <w:szCs w:val="20"/>
          <w:color w:val="auto"/>
        </w:rPr>
      </w:pPr>
      <w:r>
        <w:rPr>
          <w:rFonts w:ascii="Times New Roman" w:cs="Times New Roman" w:eastAsia="Times New Roman" w:hAnsi="Times New Roman"/>
          <w:sz w:val="19"/>
          <w:szCs w:val="19"/>
          <w:color w:val="auto"/>
        </w:rPr>
        <w:t xml:space="preserve">(iii)By an Investor (with respect to itself only) if any of the conditions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have become incapable of fulfillment, and shall not have been waived by such Investor; or</w:t>
      </w:r>
    </w:p>
    <w:p>
      <w:pPr>
        <w:spacing w:after="0" w:line="138" w:lineRule="exact"/>
        <w:rPr>
          <w:sz w:val="20"/>
          <w:szCs w:val="20"/>
          <w:color w:val="auto"/>
        </w:rPr>
      </w:pPr>
    </w:p>
    <w:p>
      <w:pPr>
        <w:ind w:right="20" w:firstLine="2246"/>
        <w:spacing w:after="0" w:line="262" w:lineRule="auto"/>
        <w:tabs>
          <w:tab w:leader="none" w:pos="255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the Company or an Investor (with respect to itself only) if the Closing has not occurred on or prior to the fifth Business Day following the date of this Agreement;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In the event of termination by the Company or the Investor of its obligations to effect the Closing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written notice thereof shall be given 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8" w:name="page209"/>
    <w:bookmarkEnd w:id="208"/>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 xml:space="preserve">the other Investors by the Company. Nothing in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51" w:lineRule="exact"/>
        <w:rPr>
          <w:sz w:val="20"/>
          <w:szCs w:val="20"/>
          <w:color w:val="auto"/>
        </w:rPr>
      </w:pPr>
    </w:p>
    <w:p>
      <w:pPr>
        <w:ind w:left="1020" w:hanging="275"/>
        <w:spacing w:after="0"/>
        <w:tabs>
          <w:tab w:leader="none" w:pos="102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Public Statements or Releases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Notwithstanding the foregoing, and subject to compliance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5.3</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any Investor in any press release or public announcement (which, for the avoidance of doubt, shall not include any filing with the SEC if so required by the applicable rules of the SEC) without the prior written consent of such Investor, except as otherwise required by law or the applicable rules or regulations of any securities exchange or securities market, in which case the Company shall allow such Investor,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w:t>
      </w:r>
      <w:r>
        <w:rPr>
          <w:rFonts w:ascii="Times New Roman" w:cs="Times New Roman" w:eastAsia="Times New Roman" w:hAnsi="Times New Roman"/>
          <w:sz w:val="19"/>
          <w:szCs w:val="19"/>
          <w:color w:val="auto"/>
        </w:rPr>
        <w:t>, Investor review shall not be required for Company disclosures that are substantially consistent with prior Company disclosures.</w:t>
      </w:r>
    </w:p>
    <w:p>
      <w:pPr>
        <w:spacing w:after="0" w:line="164"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(a) If to the Company, addressed as follows:</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18706 North Creek Parkway, Suite 104,</w:t>
      </w:r>
    </w:p>
    <w:p>
      <w:pPr>
        <w:ind w:left="3740"/>
        <w:spacing w:after="0" w:line="233" w:lineRule="auto"/>
        <w:rPr>
          <w:sz w:val="20"/>
          <w:szCs w:val="20"/>
          <w:color w:val="auto"/>
        </w:rPr>
      </w:pPr>
      <w:r>
        <w:rPr>
          <w:rFonts w:ascii="Times New Roman" w:cs="Times New Roman" w:eastAsia="Times New Roman" w:hAnsi="Times New Roman"/>
          <w:sz w:val="19"/>
          <w:szCs w:val="19"/>
          <w:color w:val="auto"/>
        </w:rPr>
        <w:t>Bothell, Washington 98011</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Legal</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 legal@athira.com</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with a copy (which shall not constitute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09" w:name="page210"/>
    <w:bookmarkEnd w:id="209"/>
    <w:p>
      <w:pPr>
        <w:ind w:left="3740"/>
        <w:spacing w:after="0"/>
        <w:rPr>
          <w:sz w:val="20"/>
          <w:szCs w:val="20"/>
          <w:color w:val="auto"/>
        </w:rPr>
      </w:pPr>
      <w:r>
        <w:rPr>
          <w:rFonts w:ascii="Times New Roman" w:cs="Times New Roman" w:eastAsia="Times New Roman" w:hAnsi="Times New Roman"/>
          <w:sz w:val="19"/>
          <w:szCs w:val="19"/>
          <w:color w:val="auto"/>
        </w:rPr>
        <w:t>Wilson Sonsini Goodrich &amp; Rosati, P.C.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701 5th Ave #5100,</w:t>
      </w:r>
    </w:p>
    <w:p>
      <w:pPr>
        <w:ind w:left="3740"/>
        <w:spacing w:after="0" w:line="233" w:lineRule="auto"/>
        <w:rPr>
          <w:sz w:val="20"/>
          <w:szCs w:val="20"/>
          <w:color w:val="auto"/>
        </w:rPr>
      </w:pPr>
      <w:r>
        <w:rPr>
          <w:rFonts w:ascii="Times New Roman" w:cs="Times New Roman" w:eastAsia="Times New Roman" w:hAnsi="Times New Roman"/>
          <w:sz w:val="19"/>
          <w:szCs w:val="19"/>
          <w:color w:val="auto"/>
        </w:rPr>
        <w:t>Seattle, WA 98104</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Michael Nordtvedt &amp; Bryan D. King</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 mnordtvedt@wsgr.com; bking@wsgr.com</w:t>
      </w:r>
    </w:p>
    <w:p>
      <w:pPr>
        <w:spacing w:after="0" w:line="187" w:lineRule="exact"/>
        <w:rPr>
          <w:sz w:val="20"/>
          <w:szCs w:val="20"/>
          <w:color w:val="auto"/>
        </w:rPr>
      </w:pPr>
    </w:p>
    <w:p>
      <w:pPr>
        <w:ind w:right="20" w:firstLine="2246"/>
        <w:spacing w:after="0" w:line="262" w:lineRule="auto"/>
        <w:tabs>
          <w:tab w:leader="none" w:pos="255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any Investor, at its address or e-mail address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such address as subsequently modified by written notice given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Any Person may change the address to which notices and communications to it are to be addressed by notification as provided for herein.</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Consent to Electronic Notice</w:t>
      </w:r>
      <w:r>
        <w:rPr>
          <w:rFonts w:ascii="Times New Roman" w:cs="Times New Roman" w:eastAsia="Times New Roman" w:hAnsi="Times New Roman"/>
          <w:sz w:val="19"/>
          <w:szCs w:val="19"/>
          <w:color w:val="auto"/>
        </w:rPr>
        <w:t>. Each Investor consents to the delivery of any stockholder notice pursuant to Section 232 of the Delaware General Corporation Law, as amended or superseded from time to time (the “DGCL”),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37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8" w:lineRule="auto"/>
        <w:tabs>
          <w:tab w:leader="none" w:pos="2552"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150"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of the Investors hereby irrevocably and unconditionally:</w:t>
      </w:r>
    </w:p>
    <w:p>
      <w:pPr>
        <w:spacing w:after="0" w:line="184" w:lineRule="exact"/>
        <w:rPr>
          <w:sz w:val="20"/>
          <w:szCs w:val="20"/>
          <w:color w:val="auto"/>
        </w:rPr>
      </w:pPr>
    </w:p>
    <w:p>
      <w:pPr>
        <w:jc w:val="both"/>
        <w:ind w:right="20" w:firstLine="2246"/>
        <w:spacing w:after="0" w:line="248" w:lineRule="auto"/>
        <w:tabs>
          <w:tab w:leader="none" w:pos="255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50"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such courts, and waives any objection that it may now or hereafter have to the venue of any such action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0" w:name="page211"/>
    <w:bookmarkEnd w:id="210"/>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or proceeding in any such court or that such action or proceeding was brought in an inconvenient court and agrees not to plead or claim the same to the extent permitted by applicable law;</w:t>
      </w:r>
    </w:p>
    <w:p>
      <w:pPr>
        <w:spacing w:after="0" w:line="138" w:lineRule="exact"/>
        <w:rPr>
          <w:sz w:val="20"/>
          <w:szCs w:val="20"/>
          <w:color w:val="auto"/>
        </w:rPr>
      </w:pPr>
    </w:p>
    <w:p>
      <w:pPr>
        <w:jc w:val="both"/>
        <w:ind w:right="20" w:firstLine="2252"/>
        <w:spacing w:after="0" w:line="248" w:lineRule="auto"/>
        <w:rPr>
          <w:sz w:val="20"/>
          <w:szCs w:val="20"/>
          <w:color w:val="auto"/>
        </w:rPr>
      </w:pPr>
      <w:r>
        <w:rPr>
          <w:rFonts w:ascii="Times New Roman" w:cs="Times New Roman" w:eastAsia="Times New Roman" w:hAnsi="Times New Roman"/>
          <w:sz w:val="19"/>
          <w:szCs w:val="19"/>
          <w:color w:val="auto"/>
        </w:rPr>
        <w:t xml:space="preserve">(iii)agrees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at such other address of which the other party shall have been notified pursuant thereto;</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50" w:lineRule="exact"/>
        <w:rPr>
          <w:rFonts w:ascii="Times New Roman" w:cs="Times New Roman" w:eastAsia="Times New Roman" w:hAnsi="Times New Roman"/>
          <w:sz w:val="19"/>
          <w:szCs w:val="19"/>
          <w:color w:val="auto"/>
        </w:rPr>
      </w:pPr>
    </w:p>
    <w:p>
      <w:pPr>
        <w:jc w:val="both"/>
        <w:ind w:right="20" w:firstLine="2246"/>
        <w:spacing w:after="0" w:line="248" w:lineRule="auto"/>
        <w:tabs>
          <w:tab w:leader="none" w:pos="2552"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5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(vii)irrevocably and unconditionally waives trial by jury in any legal action or proceeding in relation to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16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1"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at the Closing, the Company shall pay the reasonable and documented fees and expenses of (a) Paul Hastings LLP, counsel for certain Investors, in an amount not to exceed $75,000 in the aggregate and (b) McDermott Will &amp; Schulte, LLP, counsel for Commodore and Gunderson Dettmer Stough Villeneuve Franklin &amp; Hachigian, LLP, counsel for TCGX, in an amount not to exceed $150,000 in the aggregate, which amounts may be withheld by such Investors from their purchase price at the Closing. The Company shall pay all Placement Agent fees relating to or arising out of the transactions contemplated by this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1" w:name="page212"/>
    <w:bookmarkEnd w:id="211"/>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None of the parties may assign its rights or obligations under this Agreement or designate another person</w:t>
      </w:r>
    </w:p>
    <w:p>
      <w:pPr>
        <w:spacing w:after="0" w:line="14" w:lineRule="exact"/>
        <w:rPr>
          <w:sz w:val="20"/>
          <w:szCs w:val="20"/>
          <w:color w:val="auto"/>
        </w:rPr>
      </w:pPr>
    </w:p>
    <w:p>
      <w:pPr>
        <w:jc w:val="both"/>
        <w:ind w:left="5" w:hanging="5"/>
        <w:spacing w:after="0" w:line="235" w:lineRule="auto"/>
        <w:tabs>
          <w:tab w:leader="none" w:pos="231"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60"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right="20" w:firstLine="2246"/>
        <w:spacing w:after="0" w:line="241" w:lineRule="auto"/>
        <w:tabs>
          <w:tab w:leader="none" w:pos="2557"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56" w:lineRule="exact"/>
        <w:rPr>
          <w:rFonts w:ascii="Times New Roman" w:cs="Times New Roman" w:eastAsia="Times New Roman" w:hAnsi="Times New Roman"/>
          <w:sz w:val="19"/>
          <w:szCs w:val="19"/>
          <w:color w:val="auto"/>
        </w:rPr>
      </w:pPr>
    </w:p>
    <w:p>
      <w:pPr>
        <w:jc w:val="both"/>
        <w:ind w:left="5" w:firstLine="2246"/>
        <w:spacing w:after="0" w:line="237" w:lineRule="auto"/>
        <w:tabs>
          <w:tab w:leader="none" w:pos="2557"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Investor and provide the Investor with opportunity to review any disclosure that is not a restatement of disclosure previously made in compliance with the requirements of this Agreement. The Investor acknowledges that the Company may file a copy of this Agreement and the Registration Rights Agreement with the SEC as exhibit to a periodic report or a registration statement of the Company.</w:t>
      </w:r>
    </w:p>
    <w:p>
      <w:pPr>
        <w:spacing w:after="0" w:line="163"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8.10</w:t>
      </w:r>
      <w:r>
        <w:rPr>
          <w:sz w:val="20"/>
          <w:szCs w:val="20"/>
          <w:color w:val="auto"/>
        </w:rPr>
        <w:tab/>
      </w:r>
      <w:r>
        <w:rPr>
          <w:rFonts w:ascii="Times New Roman" w:cs="Times New Roman" w:eastAsia="Times New Roman" w:hAnsi="Times New Roman"/>
          <w:sz w:val="18"/>
          <w:szCs w:val="18"/>
          <w:u w:val="single" w:color="auto"/>
          <w:color w:val="auto"/>
        </w:rPr>
        <w:t>Reliance by and Exculpation of Placement Agent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right="20" w:firstLine="2246"/>
        <w:spacing w:after="0" w:line="248" w:lineRule="auto"/>
        <w:tabs>
          <w:tab w:leader="none" w:pos="2557"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Investor agrees for the express benefit of the Placement Agent, its affiliates and its representatives that (i) it is not relying upon, and has not relied upon, any statement, representation or warranty made by the Placement Agent, any of its affiliates or any of its or its representatives, in making its investment or decision to invest in the Company, (ii) the</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12" w:name="page213"/>
    <w:bookmarkEnd w:id="212"/>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Placement Agent is acting solely as placement agent in connection with the transactions contemplated hereby and is not acting as an underwriter, initial purchaser, dealer or in any other such capacity and is not and shall not be construed as a fiduciary for such Investor, (iii) the Placement Agent, its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 will not be responsible for the ultimate success of any such investment and (vii) the decision to invest in the Company will involve a significant degree of risk, including a risk of total loss of such investment. Each Investor further represents and warrants to the Placement Agent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9"/>
          <w:szCs w:val="19"/>
          <w:u w:val="single" w:color="auto"/>
          <w:color w:val="auto"/>
        </w:rPr>
        <w:t>Section 8.10</w:t>
      </w:r>
      <w:r>
        <w:rPr>
          <w:rFonts w:ascii="Times New Roman" w:cs="Times New Roman" w:eastAsia="Times New Roman" w:hAnsi="Times New Roman"/>
          <w:sz w:val="19"/>
          <w:szCs w:val="19"/>
          <w:color w:val="auto"/>
        </w:rPr>
        <w:t xml:space="preserve"> shall survive any termination of this Agreement.</w:t>
      </w:r>
    </w:p>
    <w:p>
      <w:pPr>
        <w:spacing w:after="0" w:line="160" w:lineRule="exact"/>
        <w:rPr>
          <w:sz w:val="20"/>
          <w:szCs w:val="20"/>
          <w:color w:val="auto"/>
        </w:rPr>
      </w:pPr>
    </w:p>
    <w:p>
      <w:pPr>
        <w:jc w:val="both"/>
        <w:ind w:firstLine="2246"/>
        <w:spacing w:after="0" w:line="243"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and acknowledges that the Placement Agent may rely on its representations, warranties, agreements and covenants contained in this Agreement and each Investor agrees that the Placement Agent may rely on such Investor’s representations and warranties contained in this Agreement as if such representations and warranties, as applicable, were made directly to the Placement Agent.</w:t>
      </w:r>
    </w:p>
    <w:p>
      <w:pPr>
        <w:spacing w:after="0" w:line="155" w:lineRule="exact"/>
        <w:rPr>
          <w:rFonts w:ascii="Times New Roman" w:cs="Times New Roman" w:eastAsia="Times New Roman" w:hAnsi="Times New Roman"/>
          <w:sz w:val="19"/>
          <w:szCs w:val="19"/>
          <w:color w:val="auto"/>
        </w:rPr>
      </w:pPr>
    </w:p>
    <w:p>
      <w:pPr>
        <w:jc w:val="both"/>
        <w:ind w:firstLine="2246"/>
        <w:spacing w:after="0" w:line="238"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Placement Agent nor any of its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spacing w:after="0" w:line="162"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that the Placement Agent, its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9"/>
          <w:szCs w:val="19"/>
          <w:color w:val="auto"/>
        </w:rPr>
        <w:t>hereunder pursuant to the indemnification provisions set forth in the applicable letter agreement between the Company and the Placement Agent.</w:t>
      </w:r>
    </w:p>
    <w:p>
      <w:pPr>
        <w:spacing w:after="0" w:line="18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19"/>
          <w:szCs w:val="19"/>
          <w:u w:val="single" w:color="auto"/>
          <w:color w:val="auto"/>
        </w:rPr>
        <w:t>Third Parties</w:t>
      </w:r>
      <w:r>
        <w:rPr>
          <w:rFonts w:ascii="Times New Roman" w:cs="Times New Roman" w:eastAsia="Times New Roman" w:hAnsi="Times New Roman"/>
          <w:sz w:val="19"/>
          <w:szCs w:val="19"/>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the Placement Agent is an intended third-party beneficiary of the representations and warranties of the Company and of each Investor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6.1(h)</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8.10</w:t>
      </w:r>
      <w:r>
        <w:rPr>
          <w:rFonts w:ascii="Times New Roman" w:cs="Times New Roman" w:eastAsia="Times New Roman" w:hAnsi="Times New Roman"/>
          <w:sz w:val="19"/>
          <w:szCs w:val="19"/>
          <w:color w:val="auto"/>
        </w:rPr>
        <w:t xml:space="preserve"> respectively, of this Agreement and (ii) the Indemnified Persons are intended third-party beneficiaries of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Independent Nature of Investors’ Obligations and Right.</w:t>
      </w:r>
      <w:r>
        <w:rPr>
          <w:rFonts w:ascii="Times New Roman" w:cs="Times New Roman" w:eastAsia="Times New Roman" w:hAnsi="Times New Roman"/>
          <w:sz w:val="19"/>
          <w:szCs w:val="19"/>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WSGR and Mintz, Levin, Cohn, Ferris Glovsky and Popeo, P.C. have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60"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titles, subtitles and headings in this Agreement are for convenience of reference and shall not form part of, or affect the interpretation of, this Agreement.</w:t>
      </w:r>
    </w:p>
    <w:p>
      <w:pPr>
        <w:spacing w:after="0" w:line="138"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8.14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4" w:name="page215"/>
    <w:bookmarkEnd w:id="214"/>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shall be binding upon the signatory thereto with the same force and effect as if the signature were an original, not a facsimile or pdf (or other electronic reproduction of a) signature.</w:t>
      </w:r>
    </w:p>
    <w:p>
      <w:pPr>
        <w:spacing w:after="0" w:line="138"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Entire Agreement; Amendments</w:t>
      </w:r>
      <w:r>
        <w:rPr>
          <w:rFonts w:ascii="Times New Roman" w:cs="Times New Roman" w:eastAsia="Times New Roman" w:hAnsi="Times New Roman"/>
          <w:sz w:val="19"/>
          <w:szCs w:val="19"/>
          <w:color w:val="auto"/>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all Investors shall be required, except as otherwise provided herein.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 w:cs="Times New Roman" w:eastAsia="Times New Roman" w:hAnsi="Times New Roman"/>
          <w:sz w:val="19"/>
          <w:szCs w:val="19"/>
          <w:u w:val="single" w:color="auto"/>
          <w:color w:val="auto"/>
        </w:rPr>
        <w:t>Section 8.15</w:t>
      </w:r>
      <w:r>
        <w:rPr>
          <w:rFonts w:ascii="Times New Roman" w:cs="Times New Roman" w:eastAsia="Times New Roman" w:hAnsi="Times New Roman"/>
          <w:sz w:val="19"/>
          <w:szCs w:val="19"/>
          <w:color w:val="auto"/>
        </w:rPr>
        <w:t xml:space="preserve"> shall be valid without the prior written consent of the Placement Agent, which consent may be granted or withheld in the sole discretion of the Placement Agent. In addition, no consideration shall be offered or paid to any Person to amend or consent to a waiver or modification of any provision of any of this Agreement unless the same consideration (other than the reimbursement of legal fees) also is offered to all Investors.</w:t>
      </w:r>
    </w:p>
    <w:p>
      <w:pPr>
        <w:spacing w:after="0" w:line="160"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Contract Interpretation.</w:t>
      </w:r>
      <w:r>
        <w:rPr>
          <w:rFonts w:ascii="Times New Roman" w:cs="Times New Roman" w:eastAsia="Times New Roman" w:hAnsi="Times New Roman"/>
          <w:sz w:val="19"/>
          <w:szCs w:val="19"/>
          <w:color w:val="auto"/>
        </w:rPr>
        <w:t xml:space="preserve"> This Agreement is the joint product of each Investor and the Company and each provision of this Agreement has been subject to the mutual consultation, negotiation and agreement of such parties and shall not be construed for or against any party hereto.</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8.18 </w:t>
      </w:r>
      <w:r>
        <w:rPr>
          <w:rFonts w:ascii="Times New Roman" w:cs="Times New Roman" w:eastAsia="Times New Roman" w:hAnsi="Times New Roman"/>
          <w:sz w:val="19"/>
          <w:szCs w:val="19"/>
          <w:u w:val="single" w:color="auto"/>
          <w:color w:val="auto"/>
        </w:rPr>
        <w:t>Arm’s Length Negotiations</w:t>
      </w:r>
      <w:r>
        <w:rPr>
          <w:rFonts w:ascii="Times New Roman" w:cs="Times New Roman" w:eastAsia="Times New Roman" w:hAnsi="Times New Roman"/>
          <w:sz w:val="19"/>
          <w:szCs w:val="19"/>
          <w:color w:val="auto"/>
        </w:rPr>
        <w:t>. For the avoidance of doubt, the parties acknowledge and confirm that the terms and conditions of the Securities were determined as a result of arm’s-length negotiations.</w:t>
      </w:r>
    </w:p>
    <w:p>
      <w:pPr>
        <w:spacing w:after="0" w:line="138"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8.19 </w:t>
      </w:r>
      <w:r>
        <w:rPr>
          <w:rFonts w:ascii="Times New Roman" w:cs="Times New Roman" w:eastAsia="Times New Roman" w:hAnsi="Times New Roman"/>
          <w:sz w:val="19"/>
          <w:szCs w:val="19"/>
          <w:u w:val="single" w:color="auto"/>
          <w:color w:val="auto"/>
        </w:rPr>
        <w:t>Waiver of Conflicts</w:t>
      </w:r>
      <w:r>
        <w:rPr>
          <w:rFonts w:ascii="Times New Roman" w:cs="Times New Roman" w:eastAsia="Times New Roman" w:hAnsi="Times New Roman"/>
          <w:sz w:val="19"/>
          <w:szCs w:val="19"/>
          <w:color w:val="auto"/>
        </w:rPr>
        <w:t>. Each party to this Agreement acknowledges that Wilson Sonsini Goodrich &amp; Rosati, P.C., counsel for the Company, may have in the past performed, and may continue to or in the future perform, legal services for certain of the Investors in matters that are similar, but not substantially related, to the transactions described in this Agreement, including the representation of such Investors in financings and other matters. Accordingly, each party to this Agreement hereby acknowledges that (a) they have had 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15" w:name="page216"/>
    <w:bookmarkEnd w:id="215"/>
    <w:p>
      <w:pPr>
        <w:jc w:val="both"/>
        <w:spacing w:after="0" w:line="241" w:lineRule="auto"/>
        <w:rPr>
          <w:sz w:val="20"/>
          <w:szCs w:val="20"/>
          <w:color w:val="auto"/>
        </w:rPr>
      </w:pPr>
      <w:r>
        <w:rPr>
          <w:rFonts w:ascii="Times New Roman" w:cs="Times New Roman" w:eastAsia="Times New Roman" w:hAnsi="Times New Roman"/>
          <w:sz w:val="19"/>
          <w:szCs w:val="19"/>
          <w:color w:val="auto"/>
        </w:rPr>
        <w:t>opportunity to ask for information relevant to this disclosure, and (b) Wilson Sonsini Goodrich &amp; Rosati, P.C. represents only the Company with respect to the Agreement and the transactions contemplated hereby. The Company gives its informed consent to Wilson Sonsini Goodrich &amp; Rosati, P.C.’s existing and/or future representation of such Investors in matters not substantially related to this Agreement, and each of the Investors hereby gives its informed consent to Wilson Sonsini Goodrich &amp; Rosati, P.C.’s representation of the Company in connection with this Agreement and the transactions contemplated hereby.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3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/s/Mark Litton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Mark Litton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415290</wp:posOffset>
            </wp:positionV>
            <wp:extent cx="717486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day and year first above written.</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SPRUCE STREET AGGREGATOR L.P.</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By: Blackstone Alternative Asset Management Associates LLC, 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Stephen O’Connor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Stephen O’Connor</w:t>
      </w:r>
    </w:p>
    <w:p>
      <w:pPr>
        <w:ind w:left="3760"/>
        <w:spacing w:after="0"/>
        <w:rPr>
          <w:sz w:val="20"/>
          <w:szCs w:val="20"/>
          <w:color w:val="auto"/>
        </w:rPr>
      </w:pPr>
      <w:r>
        <w:rPr>
          <w:rFonts w:ascii="Times New Roman" w:cs="Times New Roman" w:eastAsia="Times New Roman" w:hAnsi="Times New Roman"/>
          <w:sz w:val="19"/>
          <w:szCs w:val="19"/>
          <w:color w:val="auto"/>
        </w:rPr>
        <w:t>Title: Authorized Person</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00"/>
          </w:cols>
          <w:pgMar w:left="1060" w:top="1248" w:right="7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CDK ASSOCIATES, LLC</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Karen Cross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Karen Cross</w:t>
      </w:r>
    </w:p>
    <w:p>
      <w:pPr>
        <w:ind w:left="3760"/>
        <w:spacing w:after="0"/>
        <w:rPr>
          <w:sz w:val="20"/>
          <w:szCs w:val="20"/>
          <w:color w:val="auto"/>
        </w:rPr>
      </w:pPr>
      <w:r>
        <w:rPr>
          <w:rFonts w:ascii="Times New Roman" w:cs="Times New Roman" w:eastAsia="Times New Roman" w:hAnsi="Times New Roman"/>
          <w:sz w:val="19"/>
          <w:szCs w:val="19"/>
          <w:color w:val="auto"/>
        </w:rPr>
        <w:t>Title: Treasurer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415290</wp:posOffset>
            </wp:positionV>
            <wp:extent cx="717486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THIRD STREET HOLDINGS,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Pelican Management, LLC, its Managing Member</w:t>
      </w:r>
    </w:p>
    <w:p>
      <w:pPr>
        <w:spacing w:after="0" w:line="200" w:lineRule="exact"/>
        <w:rPr>
          <w:sz w:val="20"/>
          <w:szCs w:val="20"/>
          <w:color w:val="auto"/>
        </w:rPr>
      </w:pPr>
    </w:p>
    <w:p>
      <w:pPr>
        <w:spacing w:after="0" w:line="2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Peter P. D’Angelo</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Peter P. D’Angelo</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PERCEPTIVE LIFE SCIENCES MASTER FUND, LTD.</w:t>
      </w:r>
    </w:p>
    <w:p>
      <w:pPr>
        <w:spacing w:after="0" w:line="3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Perceptive Advisors LLC</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Mannix</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James Mannix</w:t>
      </w:r>
    </w:p>
    <w:p>
      <w:pPr>
        <w:ind w:left="3760"/>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PERCEPTIVE XONTOGENY VENTURE FUND 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Perceptive Xontogeny Venture II GP, LLC</w:t>
      </w:r>
    </w:p>
    <w:p>
      <w:pPr>
        <w:jc w:val="center"/>
        <w:ind w:right="399"/>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James Mannix</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James Mannix</w:t>
      </w:r>
    </w:p>
    <w:p>
      <w:pPr>
        <w:ind w:left="3760"/>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Christopher Garabedian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Christopher Garabedian</w:t>
      </w:r>
    </w:p>
    <w:p>
      <w:pPr>
        <w:ind w:left="376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ADAR1 PARTNERS, LP</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Daniel Schneeberger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Daniel Schneeberger</w:t>
      </w:r>
    </w:p>
    <w:p>
      <w:pPr>
        <w:ind w:left="3760"/>
        <w:spacing w:after="0"/>
        <w:rPr>
          <w:sz w:val="20"/>
          <w:szCs w:val="20"/>
          <w:color w:val="auto"/>
        </w:rPr>
      </w:pPr>
      <w:r>
        <w:rPr>
          <w:rFonts w:ascii="Times New Roman" w:cs="Times New Roman" w:eastAsia="Times New Roman" w:hAnsi="Times New Roman"/>
          <w:sz w:val="18"/>
          <w:szCs w:val="18"/>
          <w:color w:val="auto"/>
        </w:rPr>
        <w:t>Title: Manager of General Partner</w:t>
      </w:r>
    </w:p>
    <w:p>
      <w:pPr>
        <w:spacing w:after="0" w:line="19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day and year first above written.</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SPEARHEAD INSURANCE SOLUTIONS IDF, LLC – SERIES ADAR1</w:t>
      </w:r>
    </w:p>
    <w:p>
      <w:pPr>
        <w:spacing w:after="0" w:line="200" w:lineRule="exact"/>
        <w:rPr>
          <w:sz w:val="20"/>
          <w:szCs w:val="20"/>
          <w:color w:val="auto"/>
        </w:rPr>
      </w:pP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Ken Foley</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Ken Foley</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660"/>
          </w:cols>
          <w:pgMar w:left="1060" w:top="1248" w:right="11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COMMODORE CAPITAL MASTER LP</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Kramarz</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Michael Kramarz, MD</w:t>
      </w:r>
    </w:p>
    <w:p>
      <w:pPr>
        <w:ind w:left="376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KALEHUA CAPITAL PARTNERS LP</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Tai-Li Chang</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Tai-Li Chang</w:t>
      </w:r>
    </w:p>
    <w:p>
      <w:pPr>
        <w:ind w:left="3760"/>
        <w:spacing w:after="0"/>
        <w:rPr>
          <w:sz w:val="20"/>
          <w:szCs w:val="20"/>
          <w:color w:val="auto"/>
        </w:rPr>
      </w:pPr>
      <w:r>
        <w:rPr>
          <w:rFonts w:ascii="Times New Roman" w:cs="Times New Roman" w:eastAsia="Times New Roman" w:hAnsi="Times New Roman"/>
          <w:sz w:val="19"/>
          <w:szCs w:val="19"/>
          <w:color w:val="auto"/>
        </w:rPr>
        <w:t>Title: Authorized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TCG CROSSOVER FUND 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TCG Crossover GP II, LLC</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Chen Yu</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Chen Yu</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TCG CROSSOVER FUND III,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TCG Crossover GP III, LLC</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Chen Yu</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Chen Yu</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MAP 852 SP, a segregated portfolio of MAP Institutional SPC</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Spruce Street Capital LP</w:t>
      </w:r>
    </w:p>
    <w:p>
      <w:pPr>
        <w:ind w:left="3760"/>
        <w:spacing w:after="0"/>
        <w:rPr>
          <w:sz w:val="20"/>
          <w:szCs w:val="20"/>
          <w:color w:val="auto"/>
        </w:rPr>
      </w:pPr>
      <w:r>
        <w:rPr>
          <w:rFonts w:ascii="Times New Roman" w:cs="Times New Roman" w:eastAsia="Times New Roman" w:hAnsi="Times New Roman"/>
          <w:sz w:val="19"/>
          <w:szCs w:val="19"/>
          <w:color w:val="auto"/>
        </w:rPr>
        <w:t>Its: Investment Manager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Simon Basseyn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Simon Basseyn</w:t>
      </w:r>
    </w:p>
    <w:p>
      <w:pPr>
        <w:ind w:left="3760"/>
        <w:spacing w:after="0"/>
        <w:rPr>
          <w:sz w:val="20"/>
          <w:szCs w:val="20"/>
          <w:color w:val="auto"/>
        </w:rPr>
      </w:pPr>
      <w:r>
        <w:rPr>
          <w:rFonts w:ascii="Times New Roman" w:cs="Times New Roman" w:eastAsia="Times New Roman" w:hAnsi="Times New Roman"/>
          <w:sz w:val="19"/>
          <w:szCs w:val="19"/>
          <w:color w:val="auto"/>
        </w:rPr>
        <w:t>Title: Managing Partner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SPRUCE STREET CAPITAL MASTER FUND LP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Spruce Street Capital Fund GP, LLC</w:t>
      </w:r>
    </w:p>
    <w:p>
      <w:pPr>
        <w:jc w:val="center"/>
        <w:ind w:right="399"/>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Simon Basseyn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Simon Basseyn</w:t>
      </w:r>
    </w:p>
    <w:p>
      <w:pPr>
        <w:ind w:left="3760"/>
        <w:spacing w:after="0"/>
        <w:rPr>
          <w:sz w:val="20"/>
          <w:szCs w:val="20"/>
          <w:color w:val="auto"/>
        </w:rPr>
      </w:pPr>
      <w:r>
        <w:rPr>
          <w:rFonts w:ascii="Times New Roman" w:cs="Times New Roman" w:eastAsia="Times New Roman" w:hAnsi="Times New Roman"/>
          <w:sz w:val="19"/>
          <w:szCs w:val="19"/>
          <w:color w:val="auto"/>
        </w:rPr>
        <w:t>Title: Managing Member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NEMEAN ASSET MANAGEMENT, LLC</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Steven Oliveira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Steven Oliveira</w:t>
      </w:r>
    </w:p>
    <w:p>
      <w:pPr>
        <w:ind w:left="3760"/>
        <w:spacing w:after="0"/>
        <w:rPr>
          <w:sz w:val="20"/>
          <w:szCs w:val="20"/>
          <w:color w:val="auto"/>
        </w:rPr>
      </w:pPr>
      <w:r>
        <w:rPr>
          <w:rFonts w:ascii="Times New Roman" w:cs="Times New Roman" w:eastAsia="Times New Roman" w:hAnsi="Times New Roman"/>
          <w:sz w:val="19"/>
          <w:szCs w:val="19"/>
          <w:color w:val="auto"/>
        </w:rPr>
        <w:t>Title: Manager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GROWTH EQUITY OPPORTUNITIES 18 VGE, LLC</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Nicole Hatcher</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Nicole Hatcher</w:t>
      </w:r>
    </w:p>
    <w:p>
      <w:pPr>
        <w:ind w:left="3760"/>
        <w:spacing w:after="0"/>
        <w:rPr>
          <w:sz w:val="20"/>
          <w:szCs w:val="20"/>
          <w:color w:val="auto"/>
        </w:rPr>
      </w:pPr>
      <w:r>
        <w:rPr>
          <w:rFonts w:ascii="Times New Roman" w:cs="Times New Roman" w:eastAsia="Times New Roman" w:hAnsi="Times New Roman"/>
          <w:sz w:val="19"/>
          <w:szCs w:val="19"/>
          <w:color w:val="auto"/>
        </w:rPr>
        <w:t>Title: General Counsel</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LIGAND PHARMACEUTICALS INCORPORATED</w:t>
      </w:r>
    </w:p>
    <w:p>
      <w:pPr>
        <w:spacing w:after="0" w:line="200" w:lineRule="exact"/>
        <w:rPr>
          <w:sz w:val="20"/>
          <w:szCs w:val="20"/>
          <w:color w:val="auto"/>
        </w:rPr>
      </w:pPr>
    </w:p>
    <w:p>
      <w:pPr>
        <w:spacing w:after="0" w:line="2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Tavo Espinoza</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Tavo Espinoza</w:t>
      </w:r>
    </w:p>
    <w:p>
      <w:pPr>
        <w:ind w:left="37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9VC SPV 1, LIMITED PARTNERSHIP</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Beyond Capital VC Ltd.</w:t>
      </w:r>
    </w:p>
    <w:p>
      <w:pPr>
        <w:ind w:left="376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40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Anat Naschitz</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Anat Naschitz</w:t>
      </w:r>
    </w:p>
    <w:p>
      <w:pPr>
        <w:ind w:left="37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1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408305</wp:posOffset>
            </wp:positionV>
            <wp:extent cx="717486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34" w:name="page235"/>
    <w:bookmarkEnd w:id="23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INVESTORS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Investor Name</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Initial Shares</w:t>
            </w:r>
          </w:p>
        </w:tc>
        <w:tc>
          <w:tcPr>
            <w:tcW w:w="2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Price</w:t>
            </w:r>
          </w:p>
        </w:tc>
        <w:tc>
          <w:tcPr>
            <w:tcW w:w="180" w:type="dxa"/>
            <w:vAlign w:val="bottom"/>
          </w:tcPr>
          <w:p>
            <w:pPr>
              <w:spacing w:after="0"/>
              <w:rPr>
                <w:sz w:val="16"/>
                <w:szCs w:val="16"/>
                <w:color w:val="auto"/>
              </w:rPr>
            </w:pP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24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Aggregate Purchase</w:t>
            </w:r>
          </w:p>
        </w:tc>
      </w:tr>
      <w:tr>
        <w:trPr>
          <w:trHeight w:val="20"/>
        </w:trPr>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Warrant Shares</w:t>
            </w:r>
          </w:p>
        </w:tc>
        <w:tc>
          <w:tcPr>
            <w:tcW w:w="11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Warrant Price</w:t>
            </w:r>
          </w:p>
        </w:tc>
        <w:tc>
          <w:tcPr>
            <w:tcW w:w="240" w:type="dxa"/>
            <w:vAlign w:val="bottom"/>
          </w:tcPr>
          <w:p>
            <w:pPr>
              <w:spacing w:after="0"/>
              <w:rPr>
                <w:sz w:val="14"/>
                <w:szCs w:val="14"/>
                <w:color w:val="auto"/>
              </w:rPr>
            </w:pPr>
          </w:p>
        </w:tc>
        <w:tc>
          <w:tcPr>
            <w:tcW w:w="8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6"/>
                <w:szCs w:val="16"/>
                <w:b w:val="1"/>
                <w:bCs w:val="1"/>
                <w:color w:val="auto"/>
                <w:w w:val="91"/>
              </w:rPr>
              <w:t>Common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420"/>
              <w:spacing w:after="0" w:line="169" w:lineRule="exact"/>
              <w:rPr>
                <w:sz w:val="20"/>
                <w:szCs w:val="20"/>
                <w:color w:val="auto"/>
              </w:rPr>
            </w:pPr>
            <w:r>
              <w:rPr>
                <w:rFonts w:ascii="Times New Roman" w:cs="Times New Roman" w:eastAsia="Times New Roman" w:hAnsi="Times New Roman"/>
                <w:sz w:val="16"/>
                <w:szCs w:val="16"/>
                <w:b w:val="1"/>
                <w:bCs w:val="1"/>
                <w:color w:val="auto"/>
                <w:w w:val="91"/>
              </w:rPr>
              <w:t>Common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3"/>
          </w:tcPr>
          <w:p>
            <w:pPr>
              <w:jc w:val="center"/>
              <w:ind w:right="680"/>
              <w:spacing w:after="0" w:line="169" w:lineRule="exact"/>
              <w:rPr>
                <w:sz w:val="20"/>
                <w:szCs w:val="20"/>
                <w:color w:val="auto"/>
              </w:rPr>
            </w:pPr>
            <w:r>
              <w:rPr>
                <w:rFonts w:ascii="Times New Roman" w:cs="Times New Roman" w:eastAsia="Times New Roman" w:hAnsi="Times New Roman"/>
                <w:sz w:val="16"/>
                <w:szCs w:val="16"/>
                <w:b w:val="1"/>
                <w:bCs w:val="1"/>
                <w:color w:val="auto"/>
              </w:rPr>
              <w:t>Price</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5"/>
              </w:rPr>
              <w:t>Warrant Shares</w:t>
            </w:r>
          </w:p>
        </w:tc>
        <w:tc>
          <w:tcPr>
            <w:tcW w:w="1520" w:type="dxa"/>
            <w:vAlign w:val="bottom"/>
            <w:gridSpan w:val="5"/>
          </w:tcPr>
          <w:p>
            <w:pPr>
              <w:jc w:val="center"/>
              <w:ind w:left="41"/>
              <w:spacing w:after="0" w:line="169" w:lineRule="exact"/>
              <w:rPr>
                <w:sz w:val="20"/>
                <w:szCs w:val="20"/>
                <w:color w:val="auto"/>
              </w:rPr>
            </w:pPr>
            <w:r>
              <w:rPr>
                <w:rFonts w:ascii="Times New Roman" w:cs="Times New Roman" w:eastAsia="Times New Roman" w:hAnsi="Times New Roman"/>
                <w:sz w:val="16"/>
                <w:szCs w:val="16"/>
                <w:b w:val="1"/>
                <w:bCs w:val="1"/>
                <w:color w:val="auto"/>
                <w:w w:val="97"/>
              </w:rPr>
              <w:t>Warrant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0"/>
        </w:trPr>
        <w:tc>
          <w:tcPr>
            <w:tcW w:w="216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6"/>
                <w:szCs w:val="16"/>
                <w:color w:val="auto"/>
              </w:rPr>
              <w:t>9vc SPV 1, Limited</w:t>
            </w:r>
          </w:p>
        </w:tc>
        <w:tc>
          <w:tcPr>
            <w:tcW w:w="1040" w:type="dxa"/>
            <w:vAlign w:val="bottom"/>
            <w:gridSpan w:val="2"/>
          </w:tcPr>
          <w:p>
            <w:pPr>
              <w:jc w:val="center"/>
              <w:ind w:left="41"/>
              <w:spacing w:after="0" w:line="160" w:lineRule="exact"/>
              <w:rPr>
                <w:sz w:val="20"/>
                <w:szCs w:val="20"/>
                <w:color w:val="auto"/>
              </w:rPr>
            </w:pPr>
            <w:r>
              <w:rPr>
                <w:rFonts w:ascii="Times New Roman" w:cs="Times New Roman" w:eastAsia="Times New Roman" w:hAnsi="Times New Roman"/>
                <w:sz w:val="16"/>
                <w:szCs w:val="16"/>
                <w:color w:val="auto"/>
                <w:w w:val="99"/>
              </w:rPr>
              <w:t>157,480</w:t>
            </w:r>
          </w:p>
        </w:tc>
        <w:tc>
          <w:tcPr>
            <w:tcW w:w="2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3"/>
                <w:szCs w:val="13"/>
                <w:color w:val="auto"/>
              </w:rPr>
            </w:pPr>
          </w:p>
        </w:tc>
        <w:tc>
          <w:tcPr>
            <w:tcW w:w="960" w:type="dxa"/>
            <w:vAlign w:val="bottom"/>
            <w:gridSpan w:val="2"/>
          </w:tcPr>
          <w:p>
            <w:pPr>
              <w:jc w:val="center"/>
              <w:ind w:left="41"/>
              <w:spacing w:after="0" w:line="160"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3"/>
                <w:szCs w:val="13"/>
                <w:color w:val="auto"/>
              </w:rPr>
            </w:pPr>
          </w:p>
        </w:tc>
        <w:tc>
          <w:tcPr>
            <w:tcW w:w="840" w:type="dxa"/>
            <w:vAlign w:val="bottom"/>
            <w:gridSpan w:val="2"/>
          </w:tcPr>
          <w:p>
            <w:pPr>
              <w:jc w:val="center"/>
              <w:ind w:left="161"/>
              <w:spacing w:after="0" w:line="160" w:lineRule="exact"/>
              <w:rPr>
                <w:sz w:val="20"/>
                <w:szCs w:val="20"/>
                <w:color w:val="auto"/>
              </w:rPr>
            </w:pPr>
            <w:r>
              <w:rPr>
                <w:rFonts w:ascii="Times New Roman" w:cs="Times New Roman" w:eastAsia="Times New Roman" w:hAnsi="Times New Roman"/>
                <w:sz w:val="16"/>
                <w:szCs w:val="16"/>
                <w:color w:val="auto"/>
                <w:w w:val="99"/>
              </w:rPr>
              <w:t>255,905</w:t>
            </w:r>
          </w:p>
        </w:tc>
        <w:tc>
          <w:tcPr>
            <w:tcW w:w="240" w:type="dxa"/>
            <w:vAlign w:val="bottom"/>
          </w:tcPr>
          <w:p>
            <w:pPr>
              <w:spacing w:after="0"/>
              <w:rPr>
                <w:sz w:val="13"/>
                <w:szCs w:val="13"/>
                <w:color w:val="auto"/>
              </w:rPr>
            </w:pPr>
          </w:p>
        </w:tc>
        <w:tc>
          <w:tcPr>
            <w:tcW w:w="1120" w:type="dxa"/>
            <w:vAlign w:val="bottom"/>
            <w:gridSpan w:val="3"/>
          </w:tcPr>
          <w:p>
            <w:pPr>
              <w:jc w:val="center"/>
              <w:ind w:left="441"/>
              <w:spacing w:after="0" w:line="160" w:lineRule="exact"/>
              <w:rPr>
                <w:sz w:val="20"/>
                <w:szCs w:val="20"/>
                <w:color w:val="auto"/>
              </w:rPr>
            </w:pPr>
            <w:r>
              <w:rPr>
                <w:rFonts w:ascii="Times New Roman" w:cs="Times New Roman" w:eastAsia="Times New Roman" w:hAnsi="Times New Roman"/>
                <w:sz w:val="16"/>
                <w:szCs w:val="16"/>
                <w:color w:val="auto"/>
                <w:w w:val="99"/>
              </w:rPr>
              <w:t>236,220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jc w:val="center"/>
              <w:ind w:left="61"/>
              <w:spacing w:after="0" w:line="160" w:lineRule="exact"/>
              <w:rPr>
                <w:sz w:val="20"/>
                <w:szCs w:val="20"/>
                <w:color w:val="auto"/>
              </w:rPr>
            </w:pPr>
            <w:r>
              <w:rPr>
                <w:rFonts w:ascii="Times New Roman" w:cs="Times New Roman" w:eastAsia="Times New Roman" w:hAnsi="Times New Roman"/>
                <w:sz w:val="16"/>
                <w:szCs w:val="16"/>
                <w:color w:val="auto"/>
                <w:w w:val="99"/>
              </w:rPr>
              <w:t>$999,998.00</w:t>
            </w:r>
          </w:p>
        </w:tc>
        <w:tc>
          <w:tcPr>
            <w:tcW w:w="160" w:type="dxa"/>
            <w:vAlign w:val="bottom"/>
          </w:tcPr>
          <w:p>
            <w:pPr>
              <w:spacing w:after="0"/>
              <w:rPr>
                <w:sz w:val="13"/>
                <w:szCs w:val="13"/>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Partnership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08"/>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ADAR1 Partners, LP</w:t>
            </w:r>
          </w:p>
        </w:tc>
        <w:tc>
          <w:tcPr>
            <w:tcW w:w="104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340,552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9"/>
              </w:rPr>
              <w:t>553,397</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color w:val="auto"/>
                <w:w w:val="99"/>
              </w:rPr>
              <w:t>510,828</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left="41"/>
              <w:spacing w:after="0"/>
              <w:rPr>
                <w:sz w:val="20"/>
                <w:szCs w:val="20"/>
                <w:color w:val="auto"/>
              </w:rPr>
            </w:pPr>
            <w:r>
              <w:rPr>
                <w:rFonts w:ascii="Times New Roman" w:cs="Times New Roman" w:eastAsia="Times New Roman" w:hAnsi="Times New Roman"/>
                <w:sz w:val="16"/>
                <w:szCs w:val="16"/>
                <w:color w:val="auto"/>
                <w:w w:val="97"/>
              </w:rPr>
              <w:t>$2,162,505.20</w:t>
            </w:r>
          </w:p>
        </w:tc>
        <w:tc>
          <w:tcPr>
            <w:tcW w:w="160" w:type="dxa"/>
            <w:vAlign w:val="bottom"/>
            <w:tcBorders>
              <w:bottom w:val="single" w:sz="8" w:color="auto"/>
            </w:tcBorders>
          </w:tcPr>
          <w:p>
            <w:pPr>
              <w:spacing w:after="0"/>
              <w:rPr>
                <w:sz w:val="18"/>
                <w:szCs w:val="18"/>
                <w:color w:val="auto"/>
              </w:rPr>
            </w:pPr>
          </w:p>
        </w:tc>
      </w:tr>
      <w:tr>
        <w:trPr>
          <w:trHeight w:val="189"/>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CDK Associates, LLC</w:t>
            </w:r>
          </w:p>
        </w:tc>
        <w:tc>
          <w:tcPr>
            <w:tcW w:w="104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429,197</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271,528</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121"/>
              <w:spacing w:after="0"/>
              <w:rPr>
                <w:sz w:val="20"/>
                <w:szCs w:val="20"/>
                <w:color w:val="auto"/>
              </w:rPr>
            </w:pPr>
            <w:r>
              <w:rPr>
                <w:rFonts w:ascii="Times New Roman" w:cs="Times New Roman" w:eastAsia="Times New Roman" w:hAnsi="Times New Roman"/>
                <w:sz w:val="16"/>
                <w:szCs w:val="16"/>
                <w:color w:val="auto"/>
                <w:w w:val="99"/>
              </w:rPr>
              <w:t>1,138,678</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6"/>
                <w:szCs w:val="16"/>
                <w:color w:val="auto"/>
                <w:w w:val="99"/>
              </w:rPr>
              <w:t>1,051,087</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left="41"/>
              <w:spacing w:after="0"/>
              <w:rPr>
                <w:sz w:val="20"/>
                <w:szCs w:val="20"/>
                <w:color w:val="auto"/>
              </w:rPr>
            </w:pPr>
            <w:r>
              <w:rPr>
                <w:rFonts w:ascii="Times New Roman" w:cs="Times New Roman" w:eastAsia="Times New Roman" w:hAnsi="Times New Roman"/>
                <w:sz w:val="16"/>
                <w:szCs w:val="16"/>
                <w:color w:val="auto"/>
                <w:w w:val="97"/>
              </w:rPr>
              <w:t>$4,449,332.23</w:t>
            </w:r>
          </w:p>
        </w:tc>
        <w:tc>
          <w:tcPr>
            <w:tcW w:w="160" w:type="dxa"/>
            <w:vAlign w:val="bottom"/>
            <w:tcBorders>
              <w:bottom w:val="single" w:sz="8" w:color="auto"/>
            </w:tcBorders>
          </w:tcPr>
          <w:p>
            <w:pPr>
              <w:spacing w:after="0"/>
              <w:rPr>
                <w:sz w:val="16"/>
                <w:szCs w:val="16"/>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Commodore Capital Master</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464,398</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2,685,209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5,118,111</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4,724,410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$19,997,319.25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Growth Equity Opportunities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464,398</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1,110,406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2,559,056</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2,362,206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$9,998,895.00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18 VGE, LLC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Kalehua Capital Partners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393,701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61"/>
              <w:spacing w:after="0" w:line="181" w:lineRule="exact"/>
              <w:rPr>
                <w:sz w:val="20"/>
                <w:szCs w:val="20"/>
                <w:color w:val="auto"/>
              </w:rPr>
            </w:pPr>
            <w:r>
              <w:rPr>
                <w:rFonts w:ascii="Times New Roman" w:cs="Times New Roman" w:eastAsia="Times New Roman" w:hAnsi="Times New Roman"/>
                <w:sz w:val="16"/>
                <w:szCs w:val="16"/>
                <w:color w:val="auto"/>
                <w:w w:val="99"/>
              </w:rPr>
              <w:t>639,764</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41"/>
              <w:spacing w:after="0" w:line="181" w:lineRule="exact"/>
              <w:rPr>
                <w:sz w:val="20"/>
                <w:szCs w:val="20"/>
                <w:color w:val="auto"/>
              </w:rPr>
            </w:pPr>
            <w:r>
              <w:rPr>
                <w:rFonts w:ascii="Times New Roman" w:cs="Times New Roman" w:eastAsia="Times New Roman" w:hAnsi="Times New Roman"/>
                <w:sz w:val="16"/>
                <w:szCs w:val="16"/>
                <w:color w:val="auto"/>
                <w:w w:val="99"/>
              </w:rPr>
              <w:t>590,551</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$2,500,001.35</w:t>
            </w:r>
          </w:p>
        </w:tc>
        <w:tc>
          <w:tcPr>
            <w:tcW w:w="160" w:type="dxa"/>
            <w:vAlign w:val="bottom"/>
            <w:tcBorders>
              <w:bottom w:val="single" w:sz="8" w:color="auto"/>
            </w:tcBorders>
          </w:tcPr>
          <w:p>
            <w:pPr>
              <w:spacing w:after="0"/>
              <w:rPr>
                <w:sz w:val="15"/>
                <w:szCs w:val="15"/>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Ligand Pharmaceuticals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157,480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255,905</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236,220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$999,998.00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Incorporated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MAP 852 SP, a segregated</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69,900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113,587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104,850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$443,865.00</w:t>
            </w:r>
          </w:p>
        </w:tc>
        <w:tc>
          <w:tcPr>
            <w:tcW w:w="160" w:type="dxa"/>
            <w:vAlign w:val="bottom"/>
          </w:tcPr>
          <w:p>
            <w:pPr>
              <w:spacing w:after="0"/>
              <w:rPr>
                <w:sz w:val="14"/>
                <w:szCs w:val="14"/>
                <w:color w:val="auto"/>
              </w:rPr>
            </w:pPr>
          </w:p>
        </w:tc>
      </w:tr>
      <w:tr>
        <w:trPr>
          <w:trHeight w:val="189"/>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portfolio of MAP Institutional</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SPC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Nemean Asset Management,</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236,220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383,857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354,330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$1,499,997.00</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LLC</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Perceptive Life Sciences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989,270</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1,372,935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3,838,583</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3,543,307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$14,998,628.82</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Master Fund, Ltd.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Perceptive Xontogeny</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329,756</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457,645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21"/>
              <w:spacing w:after="0" w:line="165" w:lineRule="exact"/>
              <w:rPr>
                <w:sz w:val="20"/>
                <w:szCs w:val="20"/>
                <w:color w:val="auto"/>
              </w:rPr>
            </w:pPr>
            <w:r>
              <w:rPr>
                <w:rFonts w:ascii="Times New Roman" w:cs="Times New Roman" w:eastAsia="Times New Roman" w:hAnsi="Times New Roman"/>
                <w:sz w:val="16"/>
                <w:szCs w:val="16"/>
                <w:color w:val="auto"/>
                <w:w w:val="99"/>
              </w:rPr>
              <w:t>1,279,526</w:t>
            </w:r>
          </w:p>
        </w:tc>
        <w:tc>
          <w:tcPr>
            <w:tcW w:w="240" w:type="dxa"/>
            <w:vAlign w:val="bottom"/>
          </w:tcPr>
          <w:p>
            <w:pPr>
              <w:spacing w:after="0"/>
              <w:rPr>
                <w:sz w:val="14"/>
                <w:szCs w:val="14"/>
                <w:color w:val="auto"/>
              </w:rPr>
            </w:pPr>
          </w:p>
        </w:tc>
        <w:tc>
          <w:tcPr>
            <w:tcW w:w="1120" w:type="dxa"/>
            <w:vAlign w:val="bottom"/>
            <w:gridSpan w:val="3"/>
          </w:tcPr>
          <w:p>
            <w:pPr>
              <w:jc w:val="center"/>
              <w:ind w:left="401"/>
              <w:spacing w:after="0" w:line="165" w:lineRule="exact"/>
              <w:rPr>
                <w:sz w:val="20"/>
                <w:szCs w:val="20"/>
                <w:color w:val="auto"/>
              </w:rPr>
            </w:pPr>
            <w:r>
              <w:rPr>
                <w:rFonts w:ascii="Times New Roman" w:cs="Times New Roman" w:eastAsia="Times New Roman" w:hAnsi="Times New Roman"/>
                <w:sz w:val="16"/>
                <w:szCs w:val="16"/>
                <w:color w:val="auto"/>
                <w:w w:val="99"/>
              </w:rPr>
              <w:t>1,181,101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$4,999,538.71</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Venture Fund II, 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Spearhead Insurance Solutions</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53,149</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86,367</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79,723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61"/>
              <w:spacing w:after="0" w:line="165" w:lineRule="exact"/>
              <w:rPr>
                <w:sz w:val="20"/>
                <w:szCs w:val="20"/>
                <w:color w:val="auto"/>
              </w:rPr>
            </w:pPr>
            <w:r>
              <w:rPr>
                <w:rFonts w:ascii="Times New Roman" w:cs="Times New Roman" w:eastAsia="Times New Roman" w:hAnsi="Times New Roman"/>
                <w:sz w:val="16"/>
                <w:szCs w:val="16"/>
                <w:color w:val="auto"/>
                <w:w w:val="99"/>
              </w:rPr>
              <w:t>$337,496.15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IDF, LLC – Series ADAR1</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Spruce Street Aggregator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456,022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216,782</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1,093,306</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1,009,206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$4,272,088.62</w:t>
            </w:r>
          </w:p>
        </w:tc>
        <w:tc>
          <w:tcPr>
            <w:tcW w:w="160" w:type="dxa"/>
            <w:vAlign w:val="bottom"/>
            <w:tcBorders>
              <w:bottom w:val="single" w:sz="8" w:color="auto"/>
            </w:tcBorders>
          </w:tcPr>
          <w:p>
            <w:pPr>
              <w:spacing w:after="0"/>
              <w:rPr>
                <w:sz w:val="15"/>
                <w:szCs w:val="15"/>
                <w:color w:val="auto"/>
              </w:rPr>
            </w:pPr>
          </w:p>
        </w:tc>
      </w:tr>
      <w:tr>
        <w:trPr>
          <w:trHeight w:val="165"/>
        </w:trPr>
        <w:tc>
          <w:tcPr>
            <w:tcW w:w="2160" w:type="dxa"/>
            <w:vAlign w:val="bottom"/>
            <w:gridSpan w:val="3"/>
          </w:tcPr>
          <w:p>
            <w:pPr>
              <w:ind w:left="80"/>
              <w:spacing w:after="0" w:line="165" w:lineRule="exact"/>
              <w:rPr>
                <w:sz w:val="20"/>
                <w:szCs w:val="20"/>
                <w:color w:val="auto"/>
              </w:rPr>
            </w:pPr>
            <w:r>
              <w:rPr>
                <w:rFonts w:ascii="Times New Roman" w:cs="Times New Roman" w:eastAsia="Times New Roman" w:hAnsi="Times New Roman"/>
                <w:sz w:val="16"/>
                <w:szCs w:val="16"/>
                <w:color w:val="auto"/>
              </w:rPr>
              <w:t>Spruce Street Capital Master</w:t>
            </w:r>
          </w:p>
        </w:tc>
        <w:tc>
          <w:tcPr>
            <w:tcW w:w="104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323,801</w:t>
            </w:r>
          </w:p>
        </w:tc>
        <w:tc>
          <w:tcPr>
            <w:tcW w:w="26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Pr>
          <w:p>
            <w:pPr>
              <w:spacing w:after="0"/>
              <w:rPr>
                <w:sz w:val="14"/>
                <w:szCs w:val="14"/>
                <w:color w:val="auto"/>
              </w:rPr>
            </w:pPr>
          </w:p>
        </w:tc>
        <w:tc>
          <w:tcPr>
            <w:tcW w:w="960" w:type="dxa"/>
            <w:vAlign w:val="bottom"/>
            <w:gridSpan w:val="2"/>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9"/>
              </w:rPr>
              <w:t>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Pr>
          <w:p>
            <w:pPr>
              <w:spacing w:after="0"/>
              <w:rPr>
                <w:sz w:val="14"/>
                <w:szCs w:val="14"/>
                <w:color w:val="auto"/>
              </w:rPr>
            </w:pPr>
          </w:p>
        </w:tc>
        <w:tc>
          <w:tcPr>
            <w:tcW w:w="840" w:type="dxa"/>
            <w:vAlign w:val="bottom"/>
            <w:gridSpan w:val="2"/>
          </w:tcPr>
          <w:p>
            <w:pPr>
              <w:jc w:val="center"/>
              <w:ind w:left="161"/>
              <w:spacing w:after="0" w:line="165" w:lineRule="exact"/>
              <w:rPr>
                <w:sz w:val="20"/>
                <w:szCs w:val="20"/>
                <w:color w:val="auto"/>
              </w:rPr>
            </w:pPr>
            <w:r>
              <w:rPr>
                <w:rFonts w:ascii="Times New Roman" w:cs="Times New Roman" w:eastAsia="Times New Roman" w:hAnsi="Times New Roman"/>
                <w:sz w:val="16"/>
                <w:szCs w:val="16"/>
                <w:color w:val="auto"/>
                <w:w w:val="99"/>
              </w:rPr>
              <w:t>526,176</w:t>
            </w:r>
          </w:p>
        </w:tc>
        <w:tc>
          <w:tcPr>
            <w:tcW w:w="240" w:type="dxa"/>
            <w:vAlign w:val="bottom"/>
          </w:tcPr>
          <w:p>
            <w:pPr>
              <w:spacing w:after="0"/>
              <w:rPr>
                <w:sz w:val="14"/>
                <w:szCs w:val="14"/>
                <w:color w:val="auto"/>
              </w:rPr>
            </w:pPr>
          </w:p>
        </w:tc>
        <w:tc>
          <w:tcPr>
            <w:tcW w:w="1120" w:type="dxa"/>
            <w:vAlign w:val="bottom"/>
            <w:gridSpan w:val="3"/>
          </w:tcPr>
          <w:p>
            <w:pPr>
              <w:jc w:val="center"/>
              <w:ind w:left="441"/>
              <w:spacing w:after="0" w:line="165" w:lineRule="exact"/>
              <w:rPr>
                <w:sz w:val="20"/>
                <w:szCs w:val="20"/>
                <w:color w:val="auto"/>
              </w:rPr>
            </w:pPr>
            <w:r>
              <w:rPr>
                <w:rFonts w:ascii="Times New Roman" w:cs="Times New Roman" w:eastAsia="Times New Roman" w:hAnsi="Times New Roman"/>
                <w:sz w:val="16"/>
                <w:szCs w:val="16"/>
                <w:color w:val="auto"/>
                <w:w w:val="99"/>
              </w:rPr>
              <w:t>485,701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ind w:left="41"/>
              <w:spacing w:after="0" w:line="165" w:lineRule="exact"/>
              <w:rPr>
                <w:sz w:val="20"/>
                <w:szCs w:val="20"/>
                <w:color w:val="auto"/>
              </w:rPr>
            </w:pPr>
            <w:r>
              <w:rPr>
                <w:rFonts w:ascii="Times New Roman" w:cs="Times New Roman" w:eastAsia="Times New Roman" w:hAnsi="Times New Roman"/>
                <w:sz w:val="16"/>
                <w:szCs w:val="16"/>
                <w:color w:val="auto"/>
                <w:w w:val="97"/>
              </w:rPr>
              <w:t>$2,056,136.35</w:t>
            </w:r>
          </w:p>
        </w:tc>
        <w:tc>
          <w:tcPr>
            <w:tcW w:w="160" w:type="dxa"/>
            <w:vAlign w:val="bottom"/>
          </w:tcPr>
          <w:p>
            <w:pPr>
              <w:spacing w:after="0"/>
              <w:rPr>
                <w:sz w:val="14"/>
                <w:szCs w:val="14"/>
                <w:color w:val="auto"/>
              </w:rPr>
            </w:pPr>
          </w:p>
        </w:tc>
      </w:tr>
      <w:tr>
        <w:trPr>
          <w:trHeight w:val="206"/>
        </w:trPr>
        <w:tc>
          <w:tcPr>
            <w:tcW w:w="2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Fund LP</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TCG Crossover Fund II,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232,199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1,342,605</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2,559,056</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2,362,206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$9,998,662.80</w:t>
            </w:r>
          </w:p>
        </w:tc>
        <w:tc>
          <w:tcPr>
            <w:tcW w:w="160" w:type="dxa"/>
            <w:vAlign w:val="bottom"/>
            <w:tcBorders>
              <w:bottom w:val="single" w:sz="8" w:color="auto"/>
            </w:tcBorders>
          </w:tcPr>
          <w:p>
            <w:pPr>
              <w:spacing w:after="0"/>
              <w:rPr>
                <w:sz w:val="15"/>
                <w:szCs w:val="15"/>
                <w:color w:val="auto"/>
              </w:rPr>
            </w:pPr>
          </w:p>
        </w:tc>
      </w:tr>
      <w:tr>
        <w:trPr>
          <w:trHeight w:val="181"/>
        </w:trPr>
        <w:tc>
          <w:tcPr>
            <w:tcW w:w="2160" w:type="dxa"/>
            <w:vAlign w:val="bottom"/>
            <w:tcBorders>
              <w:bottom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6"/>
                <w:szCs w:val="16"/>
                <w:color w:val="auto"/>
              </w:rPr>
              <w:t>TCG Crossover Fund III, L.P.</w:t>
            </w:r>
          </w:p>
        </w:tc>
        <w:tc>
          <w:tcPr>
            <w:tcW w:w="104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232,199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$6.350</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9"/>
              </w:rPr>
              <w:t>1,342,604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$6.349</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left="121"/>
              <w:spacing w:after="0" w:line="181" w:lineRule="exact"/>
              <w:rPr>
                <w:sz w:val="20"/>
                <w:szCs w:val="20"/>
                <w:color w:val="auto"/>
              </w:rPr>
            </w:pPr>
            <w:r>
              <w:rPr>
                <w:rFonts w:ascii="Times New Roman" w:cs="Times New Roman" w:eastAsia="Times New Roman" w:hAnsi="Times New Roman"/>
                <w:sz w:val="16"/>
                <w:szCs w:val="16"/>
                <w:color w:val="auto"/>
                <w:w w:val="99"/>
              </w:rPr>
              <w:t>2,559,054</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01"/>
              <w:spacing w:after="0" w:line="181" w:lineRule="exact"/>
              <w:rPr>
                <w:sz w:val="20"/>
                <w:szCs w:val="20"/>
                <w:color w:val="auto"/>
              </w:rPr>
            </w:pPr>
            <w:r>
              <w:rPr>
                <w:rFonts w:ascii="Times New Roman" w:cs="Times New Roman" w:eastAsia="Times New Roman" w:hAnsi="Times New Roman"/>
                <w:sz w:val="16"/>
                <w:szCs w:val="16"/>
                <w:color w:val="auto"/>
                <w:w w:val="99"/>
              </w:rPr>
              <w:t>2,362,204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left="41"/>
              <w:spacing w:after="0" w:line="181" w:lineRule="exact"/>
              <w:rPr>
                <w:sz w:val="20"/>
                <w:szCs w:val="20"/>
                <w:color w:val="auto"/>
              </w:rPr>
            </w:pPr>
            <w:r>
              <w:rPr>
                <w:rFonts w:ascii="Times New Roman" w:cs="Times New Roman" w:eastAsia="Times New Roman" w:hAnsi="Times New Roman"/>
                <w:sz w:val="16"/>
                <w:szCs w:val="16"/>
                <w:color w:val="auto"/>
                <w:w w:val="97"/>
              </w:rPr>
              <w:t>$9,998,656.45</w:t>
            </w:r>
          </w:p>
        </w:tc>
        <w:tc>
          <w:tcPr>
            <w:tcW w:w="160" w:type="dxa"/>
            <w:vAlign w:val="bottom"/>
            <w:tcBorders>
              <w:bottom w:val="single" w:sz="8" w:color="auto"/>
            </w:tcBorders>
          </w:tcPr>
          <w:p>
            <w:pPr>
              <w:spacing w:after="0"/>
              <w:rPr>
                <w:sz w:val="15"/>
                <w:szCs w:val="15"/>
                <w:color w:val="auto"/>
              </w:rPr>
            </w:pPr>
          </w:p>
        </w:tc>
      </w:tr>
      <w:tr>
        <w:trPr>
          <w:trHeight w:val="1225"/>
        </w:trPr>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1"/>
        </w:trPr>
        <w:tc>
          <w:tcPr>
            <w:tcW w:w="21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Third Street Holdings, LLC</w:t>
            </w:r>
          </w:p>
        </w:tc>
        <w:tc>
          <w:tcPr>
            <w:tcW w:w="122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26,825</w:t>
            </w:r>
          </w:p>
        </w:tc>
        <w:tc>
          <w:tcPr>
            <w:tcW w:w="10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$6.350</w:t>
            </w:r>
          </w:p>
        </w:tc>
        <w:tc>
          <w:tcPr>
            <w:tcW w:w="12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16,970</w:t>
            </w:r>
          </w:p>
        </w:tc>
        <w:tc>
          <w:tcPr>
            <w:tcW w:w="11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$6.349</w:t>
            </w:r>
          </w:p>
        </w:tc>
        <w:tc>
          <w:tcPr>
            <w:tcW w:w="14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71,166</w:t>
            </w:r>
          </w:p>
        </w:tc>
        <w:tc>
          <w:tcPr>
            <w:tcW w:w="13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rPr>
              <w:t>65,692</w:t>
            </w:r>
          </w:p>
        </w:tc>
        <w:tc>
          <w:tcPr>
            <w:tcW w:w="17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rPr>
              <w:t>$278,081.28</w:t>
            </w:r>
          </w:p>
        </w:tc>
      </w:tr>
      <w:tr>
        <w:trPr>
          <w:trHeight w:val="181"/>
        </w:trPr>
        <w:tc>
          <w:tcPr>
            <w:tcW w:w="2120" w:type="dxa"/>
            <w:vAlign w:val="bottom"/>
            <w:tcBorders>
              <w:bottom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bottom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5,356,547</w:t>
            </w: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1"/>
              <w:spacing w:after="0" w:line="181" w:lineRule="exact"/>
              <w:rPr>
                <w:sz w:val="20"/>
                <w:szCs w:val="20"/>
                <w:color w:val="auto"/>
              </w:rPr>
            </w:pPr>
            <w:r>
              <w:rPr>
                <w:rFonts w:ascii="Times New Roman" w:cs="Times New Roman" w:eastAsia="Times New Roman" w:hAnsi="Times New Roman"/>
                <w:sz w:val="16"/>
                <w:szCs w:val="16"/>
                <w:b w:val="1"/>
                <w:bCs w:val="1"/>
                <w:color w:val="auto"/>
              </w:rPr>
              <w:t>8,816,684</w:t>
            </w:r>
          </w:p>
        </w:tc>
        <w:tc>
          <w:tcPr>
            <w:tcW w:w="1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b w:val="1"/>
                <w:bCs w:val="1"/>
                <w:color w:val="auto"/>
              </w:rPr>
              <w:t>23,031,494</w:t>
            </w:r>
          </w:p>
        </w:tc>
        <w:tc>
          <w:tcPr>
            <w:tcW w:w="1380" w:type="dxa"/>
            <w:vAlign w:val="bottom"/>
            <w:tcBorders>
              <w:bottom w:val="single" w:sz="8" w:color="auto"/>
            </w:tcBorders>
          </w:tcPr>
          <w:p>
            <w:pPr>
              <w:jc w:val="right"/>
              <w:ind w:right="261"/>
              <w:spacing w:after="0" w:line="181" w:lineRule="exact"/>
              <w:rPr>
                <w:sz w:val="20"/>
                <w:szCs w:val="20"/>
                <w:color w:val="auto"/>
              </w:rPr>
            </w:pPr>
            <w:r>
              <w:rPr>
                <w:rFonts w:ascii="Times New Roman" w:cs="Times New Roman" w:eastAsia="Times New Roman" w:hAnsi="Times New Roman"/>
                <w:sz w:val="16"/>
                <w:szCs w:val="16"/>
                <w:b w:val="1"/>
                <w:bCs w:val="1"/>
                <w:color w:val="auto"/>
              </w:rPr>
              <w:t>21,259,842</w:t>
            </w:r>
          </w:p>
        </w:tc>
        <w:tc>
          <w:tcPr>
            <w:tcW w:w="1700" w:type="dxa"/>
            <w:vAlign w:val="bottom"/>
            <w:tcBorders>
              <w:bottom w:val="single" w:sz="8" w:color="auto"/>
            </w:tcBorders>
          </w:tcPr>
          <w:p>
            <w:pPr>
              <w:jc w:val="right"/>
              <w:ind w:right="301"/>
              <w:spacing w:after="0" w:line="181" w:lineRule="exact"/>
              <w:rPr>
                <w:sz w:val="20"/>
                <w:szCs w:val="20"/>
                <w:color w:val="auto"/>
              </w:rPr>
            </w:pPr>
            <w:r>
              <w:rPr>
                <w:rFonts w:ascii="Times New Roman" w:cs="Times New Roman" w:eastAsia="Times New Roman" w:hAnsi="Times New Roman"/>
                <w:sz w:val="16"/>
                <w:szCs w:val="16"/>
                <w:b w:val="1"/>
                <w:bCs w:val="1"/>
                <w:color w:val="auto"/>
              </w:rPr>
              <w:t>$89,991,200.21</w:t>
            </w:r>
          </w:p>
        </w:tc>
      </w:tr>
      <w:tr>
        <w:trPr>
          <w:trHeight w:val="1225"/>
        </w:trPr>
        <w:tc>
          <w:tcPr>
            <w:tcW w:w="2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236" w:name="page237"/>
    <w:bookmarkEnd w:id="236"/>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1149985</wp:posOffset>
            </wp:positionV>
            <wp:extent cx="717486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SERIES A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SERIES B COMMON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909320</wp:posOffset>
            </wp:positionV>
            <wp:extent cx="717486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PURCHASE AGREEMENT</w:t>
      </w:r>
    </w:p>
    <w:p>
      <w:pPr>
        <w:spacing w:after="0" w:line="397"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dated as of December 18, 2025, by and among Athira Pharma, Inc., a Delaware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Sermonix Pharmaceuticals, Inc., a Delaware corporation (the “</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is party to that certain License Agreement, dated as of the date hereof (as may be amended, supplemented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modified from time to time, the “</w:t>
      </w:r>
      <w:r>
        <w:rPr>
          <w:rFonts w:ascii="Times New Roman" w:cs="Times New Roman" w:eastAsia="Times New Roman" w:hAnsi="Times New Roman"/>
          <w:sz w:val="19"/>
          <w:szCs w:val="19"/>
          <w:b w:val="1"/>
          <w:bCs w:val="1"/>
          <w:color w:val="auto"/>
        </w:rPr>
        <w:t>License Agreement</w:t>
      </w:r>
      <w:r>
        <w:rPr>
          <w:rFonts w:ascii="Times New Roman" w:cs="Times New Roman" w:eastAsia="Times New Roman" w:hAnsi="Times New Roman"/>
          <w:sz w:val="19"/>
          <w:szCs w:val="19"/>
          <w:color w:val="auto"/>
        </w:rPr>
        <w:t>”), by and between the Company and the Purchaser, pursuant to which the Purchaser will grant to the Company an exclusive license to develop, manufacture, commercialize, and otherwise exploit products containing lasofoxifene in certain territories (the “</w:t>
      </w:r>
      <w:r>
        <w:rPr>
          <w:rFonts w:ascii="Times New Roman" w:cs="Times New Roman" w:eastAsia="Times New Roman" w:hAnsi="Times New Roman"/>
          <w:sz w:val="19"/>
          <w:szCs w:val="19"/>
          <w:b w:val="1"/>
          <w:bCs w:val="1"/>
          <w:color w:val="auto"/>
        </w:rPr>
        <w:t>License Transaction</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Closing (as defined below) is contingent upon, and shall be consummated immediately following, the entry into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continued effectiveness of the License Agreement;</w:t>
      </w:r>
    </w:p>
    <w:p>
      <w:pPr>
        <w:spacing w:after="0" w:line="131"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partial consideration for Purchaser’s entry into the License Agreement, the Company desires to sell and issue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Purchaser a pre-funded warrant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Pre-Funded Warrant</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to purchase up to 5,502,402 shares of the Company’s common stock, par value $0.0001 per share (the “</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and</w:t>
      </w:r>
    </w:p>
    <w:p>
      <w:pPr>
        <w:spacing w:after="0" w:line="145"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contemporaneously with the sale of the Pre-Funded Warrant, the parties hereto will execute and deliver a Registration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Rights Agreement,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pursuant to which the Company will agree to provide certain registration rights in respect of the shares of Common Stock issuable pursuant to the Pre-Funded Warrant (the “</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or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under the Securities Act and applicable state securities laws.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agreements, representations, warranties and covenants herein contained,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the Purchaser agree as follows:</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Agreement, the following terms shall have the following respective meanings:</w:t>
      </w:r>
    </w:p>
    <w:p>
      <w:pPr>
        <w:spacing w:after="0" w:line="180"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with respect to any specified Person, any other Person that, directly or indirectly through one or more intermediaries, controls, is controlled by or is under common control with such Person; provided that the Affiliates of any Person that is an investment fund shall not include any portfolio companies of such investment fund or any affiliate investment fund.</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Bylaws</w:t>
      </w:r>
      <w:r>
        <w:rPr>
          <w:rFonts w:ascii="Times New Roman" w:cs="Times New Roman" w:eastAsia="Times New Roman" w:hAnsi="Times New Roman"/>
          <w:sz w:val="19"/>
          <w:szCs w:val="19"/>
          <w:color w:val="auto"/>
        </w:rPr>
        <w:t>” means the Bylaws of the Company, as currently in effect.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Amended and Restated Certificate of Incorporation</w:t>
      </w:r>
      <w:r>
        <w:rPr>
          <w:rFonts w:ascii="Times New Roman" w:cs="Times New Roman" w:eastAsia="Times New Roman" w:hAnsi="Times New Roman"/>
          <w:sz w:val="19"/>
          <w:szCs w:val="19"/>
          <w:color w:val="auto"/>
        </w:rPr>
        <w:t>” means the Certificate of Incorporation of the Company,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902335</wp:posOffset>
            </wp:positionV>
            <wp:extent cx="717486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41" w:name="page242"/>
    <w:bookmarkEnd w:id="241"/>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has the meaning set forth in Section 5.12 hereof.</w:t>
      </w:r>
    </w:p>
    <w:p>
      <w:pPr>
        <w:spacing w:after="0" w:line="184" w:lineRule="exact"/>
        <w:rPr>
          <w:sz w:val="20"/>
          <w:szCs w:val="20"/>
          <w:color w:val="auto"/>
        </w:rPr>
      </w:pPr>
    </w:p>
    <w:p>
      <w:pPr>
        <w:jc w:val="both"/>
        <w:ind w:firstLine="810"/>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Benefit Plan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Benefit Plans</w:t>
      </w:r>
      <w:r>
        <w:rPr>
          <w:rFonts w:ascii="Times New Roman" w:cs="Times New Roman" w:eastAsia="Times New Roman" w:hAnsi="Times New Roman"/>
          <w:sz w:val="19"/>
          <w:szCs w:val="19"/>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means the board of directors of the Company.</w:t>
      </w:r>
    </w:p>
    <w:p>
      <w:pPr>
        <w:spacing w:after="0" w:line="184"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U.S. Internal Revenue Code of 1986, as amended.</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 Equivalents</w:t>
      </w:r>
      <w:r>
        <w:rPr>
          <w:rFonts w:ascii="Times New Roman" w:cs="Times New Roman" w:eastAsia="Times New Roman" w:hAnsi="Times New Roman"/>
          <w:sz w:val="19"/>
          <w:szCs w:val="19"/>
          <w:color w:val="auto"/>
        </w:rPr>
        <w:t>” means any securities of the Company that would entitle the holder thereof to acquire at any time Common Stock, including, without limitation, any debt, preferred stock, rights, options, restricted stock units, equity awards, warrants or other instrument that is at any time convertible into or exchangeable for, or otherwise entitles the holder thereof to receive, Common Stock.</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Disqualification Event</w:t>
      </w:r>
      <w:r>
        <w:rPr>
          <w:rFonts w:ascii="Times New Roman" w:cs="Times New Roman" w:eastAsia="Times New Roman" w:hAnsi="Times New Roman"/>
          <w:sz w:val="19"/>
          <w:szCs w:val="19"/>
          <w:color w:val="auto"/>
        </w:rPr>
        <w:t>” means the disqualification provisions of Rule 506(d)(1)(i-viii) of Regulation D under the Securities Act.</w:t>
      </w:r>
    </w:p>
    <w:p>
      <w:pPr>
        <w:spacing w:after="0" w:line="184" w:lineRule="exact"/>
        <w:rPr>
          <w:sz w:val="20"/>
          <w:szCs w:val="20"/>
          <w:color w:val="auto"/>
        </w:rPr>
      </w:pPr>
    </w:p>
    <w:p>
      <w:pPr>
        <w:jc w:val="both"/>
        <w:ind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Drug Regulatory Agency</w:t>
      </w:r>
      <w:r>
        <w:rPr>
          <w:rFonts w:ascii="Times New Roman" w:cs="Times New Roman" w:eastAsia="Times New Roman" w:hAnsi="Times New Roman"/>
          <w:sz w:val="19"/>
          <w:szCs w:val="19"/>
          <w:color w:val="auto"/>
        </w:rPr>
        <w:t>” means the U.S. Food and Drug Administration (“</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means the U.S. Employee Retirement Income Security Act of 1974, as amended.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2" w:name="page243"/>
    <w:bookmarkEnd w:id="242"/>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U.S. Securities Exchange Act of 1934, as amended, and all of the rules and regulations promulgated thereunder.</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right="20" w:firstLine="751"/>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Fundamental Representations</w:t>
      </w:r>
      <w:r>
        <w:rPr>
          <w:rFonts w:ascii="Times New Roman" w:cs="Times New Roman" w:eastAsia="Times New Roman" w:hAnsi="Times New Roman"/>
          <w:sz w:val="19"/>
          <w:szCs w:val="19"/>
          <w:color w:val="auto"/>
        </w:rPr>
        <w:t>” means the representations and warranties made by the Company in Sections 3.1 (Organization and Power), 3.2 (Capitalization), 3.4 (Authorization), 3.5 (Valid Issuance), 3.6 (No Conflict), 3.7 (Consents), 3.8 (SEC Filings; Financial Statements), 3.17 (Nasdaq Stock Market), 3.18 (Sarbanes-Oxley Act), 3.22 (Price Stabilization of Common Stock), 3.23 (Investment Company Act), 3.24 (General Solicitation; No Integration or Aggregation), 3.25 (Brokers and Finders), 3.26 (Reliance by the Purchaser), 3.27 (Other Covered Persons) and 3.28 (No Additional Agreements).</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3.8(b)</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3.20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Issuer Covered Person</w:t>
      </w:r>
      <w:r>
        <w:rPr>
          <w:rFonts w:ascii="Times New Roman" w:cs="Times New Roman" w:eastAsia="Times New Roman" w:hAnsi="Times New Roman"/>
          <w:sz w:val="19"/>
          <w:szCs w:val="19"/>
          <w:color w:val="auto"/>
        </w:rPr>
        <w:t>” means the Company’s (i) predecessors, (ii) Affiliates, (iii) directors, (iv) executive officers, (v) non-executive officers participating in the placement contemplated by this Agreement, (vi) beneficial owners of 20% or more of its outstanding voting equity securities (calculated on the basis of voting power), (vii) promoters or (viii) investment managers (including any of such investment managers’ directors, executive officers or officers participating in the placement contemplated by this Agreement) or general partners or managing members of such investment managers (including any of such general partners’ or managing members’ directors, executive officers or officers participating in the placement contemplated by this Agreement).</w:t>
      </w:r>
    </w:p>
    <w:p>
      <w:pPr>
        <w:spacing w:after="0" w:line="1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Agreement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 Transaction</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timely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3" w:name="page244"/>
    <w:bookmarkEnd w:id="243"/>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comply, or prevents the Company from timely complying, with its obligations under this Agreement, the other Transaction Agreements, or with respect to the Closing, or would reasonably be expected to do so.</w:t>
      </w:r>
    </w:p>
    <w:p>
      <w:pPr>
        <w:spacing w:after="0" w:line="1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Nasdaq</w:t>
      </w:r>
      <w:r>
        <w:rPr>
          <w:rFonts w:ascii="Times New Roman" w:cs="Times New Roman" w:eastAsia="Times New Roman" w:hAnsi="Times New Roman"/>
          <w:sz w:val="19"/>
          <w:szCs w:val="19"/>
          <w:color w:val="auto"/>
        </w:rPr>
        <w:t>” means the Nasdaq Stock Market LLC.</w:t>
      </w:r>
    </w:p>
    <w:p>
      <w:pPr>
        <w:spacing w:after="0" w:line="184" w:lineRule="exact"/>
        <w:rPr>
          <w:sz w:val="20"/>
          <w:szCs w:val="20"/>
          <w:color w:val="auto"/>
        </w:rPr>
      </w:pPr>
    </w:p>
    <w:p>
      <w:pPr>
        <w:jc w:val="both"/>
        <w:ind w:right="20" w:firstLine="751"/>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National Exchange</w:t>
      </w:r>
      <w:r>
        <w:rPr>
          <w:rFonts w:ascii="Times New Roman" w:cs="Times New Roman" w:eastAsia="Times New Roman" w:hAnsi="Times New Roman"/>
          <w:sz w:val="19"/>
          <w:szCs w:val="19"/>
          <w:color w:val="auto"/>
        </w:rPr>
        <w:t>” means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45"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 individual, partnership, corporation, limited liability company, business trust, joint stock company, trust, unincorporated association, joint venture or any other entity or organization.</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3.30</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Price</w:t>
      </w:r>
      <w:r>
        <w:rPr>
          <w:rFonts w:ascii="Times New Roman" w:cs="Times New Roman" w:eastAsia="Times New Roman" w:hAnsi="Times New Roman"/>
          <w:sz w:val="19"/>
          <w:szCs w:val="19"/>
          <w:color w:val="auto"/>
        </w:rPr>
        <w:t>” means $6.349.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Pre-Funded Warrant Shares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the recitals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Principal Trading Market</w:t>
      </w:r>
      <w:r>
        <w:rPr>
          <w:rFonts w:ascii="Times New Roman" w:cs="Times New Roman" w:eastAsia="Times New Roman" w:hAnsi="Times New Roman"/>
          <w:sz w:val="19"/>
          <w:szCs w:val="19"/>
          <w:color w:val="auto"/>
        </w:rPr>
        <w:t>” means the National Exchange on which the Common Stock is primarily listed on and quoted for trading, which, as of the Closing Date, shall be the Nasdaq Capital Market.</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Purchaser</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6.1(i)</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has the meaning set forth in Section 5.13.</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Restricted Securities</w:t>
      </w:r>
      <w:r>
        <w:rPr>
          <w:rFonts w:ascii="Times New Roman" w:cs="Times New Roman" w:eastAsia="Times New Roman" w:hAnsi="Times New Roman"/>
          <w:sz w:val="19"/>
          <w:szCs w:val="19"/>
          <w:color w:val="auto"/>
        </w:rPr>
        <w:t>” has the meaning set forth in Section 5.13.</w:t>
      </w:r>
    </w:p>
    <w:p>
      <w:pPr>
        <w:spacing w:after="0" w:line="184"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Rule 144</w:t>
      </w:r>
      <w:r>
        <w:rPr>
          <w:rFonts w:ascii="Times New Roman" w:cs="Times New Roman" w:eastAsia="Times New Roman" w:hAnsi="Times New Roman"/>
          <w:sz w:val="19"/>
          <w:szCs w:val="19"/>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4" w:name="page245"/>
    <w:bookmarkEnd w:id="244"/>
    <w:p>
      <w:pPr>
        <w:jc w:val="both"/>
        <w:ind w:firstLine="751"/>
        <w:spacing w:after="0" w:line="242" w:lineRule="auto"/>
        <w:rPr>
          <w:sz w:val="20"/>
          <w:szCs w:val="20"/>
          <w:color w:val="auto"/>
        </w:rPr>
      </w:pPr>
      <w:r>
        <w:rPr>
          <w:rFonts w:ascii="Times New Roman" w:cs="Times New Roman" w:eastAsia="Times New Roman" w:hAnsi="Times New Roman"/>
          <w:sz w:val="19"/>
          <w:szCs w:val="19"/>
          <w:b w:val="1"/>
          <w:bCs w:val="1"/>
          <w:color w:val="auto"/>
        </w:rPr>
        <w:t>“SEC Reports</w:t>
      </w:r>
      <w:r>
        <w:rPr>
          <w:rFonts w:ascii="Times New Roman" w:cs="Times New Roman" w:eastAsia="Times New Roman" w:hAnsi="Times New Roman"/>
          <w:sz w:val="19"/>
          <w:szCs w:val="19"/>
          <w:color w:val="auto"/>
        </w:rPr>
        <w:t>” means (a) the Company’s most recently filed Annual Report on Form 10-K (including any information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therein by reference from the Company’s Definitive Proxy Statement on Schedule 14A), (b) 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 and (c) the Disclosure Document.</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U.S. Securities Act of 1933, as amended, and all of the rules and regulations promulgated thereunder.</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has the meaning set forth in the recitals.</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Short Sales</w:t>
      </w:r>
      <w:r>
        <w:rPr>
          <w:rFonts w:ascii="Times New Roman" w:cs="Times New Roman" w:eastAsia="Times New Roman" w:hAnsi="Times New Roman"/>
          <w:sz w:val="19"/>
          <w:szCs w:val="19"/>
          <w:color w:val="auto"/>
        </w:rPr>
        <w:t>” 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56" w:lineRule="exact"/>
        <w:rPr>
          <w:sz w:val="20"/>
          <w:szCs w:val="20"/>
          <w:color w:val="auto"/>
        </w:rPr>
      </w:pPr>
    </w:p>
    <w:p>
      <w:pPr>
        <w:jc w:val="both"/>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Standard Settlement Period</w:t>
      </w:r>
      <w:r>
        <w:rPr>
          <w:rFonts w:ascii="Times New Roman" w:cs="Times New Roman" w:eastAsia="Times New Roman" w:hAnsi="Times New Roman"/>
          <w:sz w:val="19"/>
          <w:szCs w:val="19"/>
          <w:color w:val="auto"/>
        </w:rPr>
        <w:t>” means the standard settlement period, expressed in a number of Trading Days for the Principal Trading Market with respect to the Common Stock that is in effect on the date of delivery of the applicable request to remove legends of Securities.</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hereof.</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3.19.</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751"/>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56" w:lineRule="exact"/>
        <w:rPr>
          <w:sz w:val="20"/>
          <w:szCs w:val="20"/>
          <w:color w:val="auto"/>
        </w:rPr>
      </w:pPr>
    </w:p>
    <w:p>
      <w:pPr>
        <w:jc w:val="both"/>
        <w:ind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Tax Returns</w:t>
      </w:r>
      <w:r>
        <w:rPr>
          <w:rFonts w:ascii="Times New Roman" w:cs="Times New Roman" w:eastAsia="Times New Roman" w:hAnsi="Times New Roman"/>
          <w:sz w:val="19"/>
          <w:szCs w:val="19"/>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and shall include any amended returns required as a result of examination adjustments made by the Internal Revenue Service or other Tax authority.</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Trading Day</w:t>
      </w:r>
      <w:r>
        <w:rPr>
          <w:rFonts w:ascii="Times New Roman" w:cs="Times New Roman" w:eastAsia="Times New Roman" w:hAnsi="Times New Roman"/>
          <w:sz w:val="19"/>
          <w:szCs w:val="19"/>
          <w:color w:val="auto"/>
        </w:rPr>
        <w:t>” means any weekday on which the Principal Trading Market is normally open for trading.</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Transaction Agreements</w:t>
      </w:r>
      <w:r>
        <w:rPr>
          <w:rFonts w:ascii="Times New Roman" w:cs="Times New Roman" w:eastAsia="Times New Roman" w:hAnsi="Times New Roman"/>
          <w:sz w:val="19"/>
          <w:szCs w:val="19"/>
          <w:color w:val="auto"/>
        </w:rPr>
        <w:t>” means this Agreement, the Pre-Funded Warrant and the Registration Rights Agreement.</w:t>
      </w:r>
    </w:p>
    <w:p>
      <w:pPr>
        <w:spacing w:after="0" w:line="184" w:lineRule="exact"/>
        <w:rPr>
          <w:sz w:val="20"/>
          <w:szCs w:val="20"/>
          <w:color w:val="auto"/>
        </w:rPr>
      </w:pPr>
    </w:p>
    <w:p>
      <w:pPr>
        <w:ind w:right="20" w:firstLine="75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 Agent</w:t>
      </w:r>
      <w:r>
        <w:rPr>
          <w:rFonts w:ascii="Times New Roman" w:cs="Times New Roman" w:eastAsia="Times New Roman" w:hAnsi="Times New Roman"/>
          <w:sz w:val="19"/>
          <w:szCs w:val="19"/>
          <w:color w:val="auto"/>
        </w:rPr>
        <w:t>” means, with respect to the Common Stock, Computershare Inc. or such other financial institution that provides transfer agent services as the Company may engage from time to time.</w:t>
      </w:r>
    </w:p>
    <w:p>
      <w:pPr>
        <w:spacing w:after="0" w:line="135" w:lineRule="exact"/>
        <w:rPr>
          <w:sz w:val="20"/>
          <w:szCs w:val="20"/>
          <w:color w:val="auto"/>
        </w:rPr>
      </w:pPr>
    </w:p>
    <w:p>
      <w:pPr>
        <w:ind w:left="1020" w:hanging="275"/>
        <w:spacing w:after="0"/>
        <w:tabs>
          <w:tab w:leader="none" w:pos="102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Purchase and Sale of Securities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Purchase and Sale</w:t>
      </w:r>
      <w:r>
        <w:rPr>
          <w:rFonts w:ascii="Times New Roman" w:cs="Times New Roman" w:eastAsia="Times New Roman" w:hAnsi="Times New Roman"/>
          <w:sz w:val="19"/>
          <w:szCs w:val="19"/>
          <w:color w:val="auto"/>
        </w:rPr>
        <w:t>. On the Closing Date, upon the terms and subject to the conditions set forth herein, the Company agrees to sell, and the Purchaser agrees to purchase, a Pre-Funded Warrant to purchase up to 5,502,402 Pre-Funded Warrant Shares. The Pre-Funded Warrant shall be issued in partial consideration for the Purchaser’s entry into the License Agreement, in addition to further consideration as set forth in the License Agreement.</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xml:space="preserve">. Subject to the satisfaction or waiver of the conditions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this Agreement, the closing of the purchase and sale of the Securities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and the date on which the Closing occurs,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shall occur remotely via the exchange of documents and signatures at such time as agreed to by the Company and the Purchaser but (i) in no event earlier than the second Business Day after the date of this Agreement and (ii) in no event later than the fifth Business Day after the date of this Agreement. At the Closing, the Securities shall be issued and registered in the name of the Purchaser, or in such nominee name(s) as designated by the Purchaser. On the Closing Date, the Company will deliver to the Purchaser (or the Purchaser’s designated custodian per its delivery instructions), or in such nominee name(s) as designated by the Purchaser, an electronic copy of the Pre-Funded Warrant, with a physical copy of the Pre-Funded Warrant to be delivered to Purchaser within two Business Days, if requested, after Purchaser’s request for such physical copy. The failure of the Closing to occur on the Closing Date shall not terminate this Agreement or relieve the parties of any of their obligations hereunder.</w:t>
      </w:r>
    </w:p>
    <w:p>
      <w:pPr>
        <w:spacing w:after="0" w:line="163" w:lineRule="exact"/>
        <w:rPr>
          <w:sz w:val="20"/>
          <w:szCs w:val="20"/>
          <w:color w:val="auto"/>
        </w:rPr>
      </w:pPr>
    </w:p>
    <w:p>
      <w:pPr>
        <w:jc w:val="both"/>
        <w:ind w:firstLine="745"/>
        <w:spacing w:after="0" w:line="243" w:lineRule="auto"/>
        <w:tabs>
          <w:tab w:leader="none" w:pos="1021"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xml:space="preserve">. Except as set forth in the SEC Reports (other than as to the Fundamental Representations, which are not so qualified), the Company hereby represents and warrants to the Purchaser that the statements contained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true and correct as of the date of this Agreement and as of the Closing Date (except for the representations and warranties that speak as of a specific date, which shall be made as of such date).</w:t>
      </w:r>
    </w:p>
    <w:p>
      <w:pPr>
        <w:spacing w:after="0" w:line="156"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Organization and Power</w:t>
      </w:r>
      <w:r>
        <w:rPr>
          <w:rFonts w:ascii="Times New Roman" w:cs="Times New Roman" w:eastAsia="Times New Roman" w:hAnsi="Times New Roman"/>
          <w:sz w:val="19"/>
          <w:szCs w:val="19"/>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6" w:name="page247"/>
    <w:bookmarkEnd w:id="246"/>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where such failure to be in good standing or to have such power and authority or to so qualify would not reasonably be expected to have a Material Adverse Effect. Each of the Company’s subsidiaries that constitutes a “significant subsidiary” (as defined in Rule 1-02 of Regulation S-X under the Exchange Act) (each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Capitalization</w:t>
      </w:r>
      <w:r>
        <w:rPr>
          <w:rFonts w:ascii="Times New Roman" w:cs="Times New Roman" w:eastAsia="Times New Roman" w:hAnsi="Times New Roman"/>
          <w:sz w:val="19"/>
          <w:szCs w:val="19"/>
          <w:color w:val="auto"/>
        </w:rPr>
        <w:t>. The Company’s disclosure of its authorized, issued and outstanding capital stock in the SEC Reports containing such disclosure was accurate in all material respects as of the date indicated in such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4"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Registration Rights</w:t>
      </w:r>
      <w:r>
        <w:rPr>
          <w:rFonts w:ascii="Times New Roman" w:cs="Times New Roman" w:eastAsia="Times New Roman" w:hAnsi="Times New Roman"/>
          <w:sz w:val="19"/>
          <w:szCs w:val="19"/>
          <w:color w:val="auto"/>
        </w:rPr>
        <w:t>. Except as set forth in the Transaction Agreements or as disclosed in the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37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Other than receipt of the Stockholder Approval, all corporate action on the part of the Company, its officers, directors and stockholders necessary for the authorization of the Pre-Funded Warrant and Pre-Funded Warrant Shares, the authorization, execution, delivery and performance of the Transaction Agreements and the consummation of the transactions contemplated herein, including the issuance and sale of the Securities and the Pre-Funded Warrant Shares has been taken, including, without limitation, the approval of the Board of Directors (or a committee thereof) in accordance with Section 144 of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7" w:name="page248"/>
    <w:bookmarkEnd w:id="247"/>
    <w:p>
      <w:pPr>
        <w:jc w:val="both"/>
        <w:spacing w:after="0" w:line="237" w:lineRule="auto"/>
        <w:rPr>
          <w:sz w:val="20"/>
          <w:szCs w:val="20"/>
          <w:color w:val="auto"/>
        </w:rPr>
      </w:pPr>
      <w:r>
        <w:rPr>
          <w:rFonts w:ascii="Times New Roman" w:cs="Times New Roman" w:eastAsia="Times New Roman" w:hAnsi="Times New Roman"/>
          <w:sz w:val="19"/>
          <w:szCs w:val="19"/>
          <w:color w:val="auto"/>
        </w:rPr>
        <w:t>DGCL. This Agreement has been duly executed and delivered by the Company and, assuming the due authorization, execution and delivery by the Purchaser of this Agreement and that this Agreement constitutes the legal, valid and binding agreement of the Purchaser, this Agreement and the Pre-Funded Warrant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Valid Issuance</w:t>
      </w:r>
      <w:r>
        <w:rPr>
          <w:rFonts w:ascii="Times New Roman" w:cs="Times New Roman" w:eastAsia="Times New Roman" w:hAnsi="Times New Roman"/>
          <w:sz w:val="19"/>
          <w:szCs w:val="19"/>
          <w:color w:val="auto"/>
        </w:rPr>
        <w:t xml:space="preserve">. The Pre-Funded Warrant has been duly and validly authorized and, upon issuance pursuant to the terms of this Agreement against full payment therefor in accordance with the terms of this Agreement, will be duly and validly issued and will be issued free and clear of any liens or other restrictions (other than those as provided in the Transaction Agreements or restrictions on transfer under applicable state and federal securities laws). The Pre-Funded Warrant Shares have been duly and validly authorized and reserved for issuance and, upon issuance pursuant to the terms of the Pre-Funded Warrant (including, for the avoidance of doubt, compliance with the Stockholder Approval requirement) against full payment therefor in accordance with the terms of the Pre-Funded Warrant,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The issuance and delivery of the Pre-Funded Warrant does not, and the exercise in full of the Pre-Funded Warrant and the issuance and delivery of the Pre-Funded Warrant Shares (as applicable) thereupon will not, (a) obligate the Company to offer to issue, or issue, shares of Common Stock or other securities to any Person (other than the Purchaser)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Purchaser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offer and sale of the Securities to the Purchaser is, and will be, and the issuance of the Pre-Funded Warrant Shares to the Purchaser will be (i) exempt from the registration and prospectus delivery requirements of the Securities Act and (ii) exempt from (or otherwise not subject to) the registration and qualification requirements of applicable securities laws of the states of the United States.</w:t>
      </w:r>
    </w:p>
    <w:p>
      <w:pPr>
        <w:spacing w:after="0" w:line="17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 Conflict</w:t>
      </w:r>
      <w:r>
        <w:rPr>
          <w:rFonts w:ascii="Times New Roman" w:cs="Times New Roman" w:eastAsia="Times New Roman" w:hAnsi="Times New Roman"/>
          <w:sz w:val="19"/>
          <w:szCs w:val="19"/>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8" w:name="page249"/>
    <w:bookmarkEnd w:id="248"/>
    <w:p>
      <w:pPr>
        <w:jc w:val="both"/>
        <w:spacing w:after="0" w:line="238" w:lineRule="auto"/>
        <w:rPr>
          <w:sz w:val="20"/>
          <w:szCs w:val="20"/>
          <w:color w:val="auto"/>
        </w:rPr>
      </w:pPr>
      <w:r>
        <w:rPr>
          <w:rFonts w:ascii="Times New Roman" w:cs="Times New Roman" w:eastAsia="Times New Roman" w:hAnsi="Times New Roman"/>
          <w:sz w:val="19"/>
          <w:szCs w:val="19"/>
          <w:color w:val="auto"/>
        </w:rPr>
        <w:t>Company,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of its Subsidiaries or their respective properties or assets or (iii) result in a violation of any law, rule, regulation, order, judgment, injunction, decree or other restriction of any court or governmental authority to which the Company or any of its Subsidiaries is subject (including federal and state securities laws and regulations) and the rules and regulations of any self-regulatory organization to which the Company or its securities are subject, or by which any property or asset of the Company or any of its Subsidiaries is bound or affected, except, in the case of clauses (ii) and (iii), as would not, individually or in the aggregate, be reasonably expected to have a Material Adverse Effect.</w:t>
      </w:r>
    </w:p>
    <w:p>
      <w:pPr>
        <w:spacing w:after="0" w:line="159"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the representations and warranties of the Purchaser set forth in Section 4 hereof,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Pre-Funded Warrant Shares and the listing of the Pre-Funded Warrant Shares for trading or quotation, as the case may be, thereon in the time and manner required thereby, (c) customary post-closing filings with the SEC or pursuant to state securities laws in connection with the offer and sale of the Pre-Funded Warrant Shares by the Company in the manner contemplated herein, which will be filed on a timely basis, (d) the filing of the registration statement required to be filed by the Registration Rights Agreement, (e) receipt of Stockholder Approval for issuance of the Pre-Funded Warrant Shares or (f)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53" w:lineRule="auto"/>
        <w:tabs>
          <w:tab w:leader="none" w:pos="255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SEC Reports complied in all material respects with the applicable requirements of the Exchange Act, and,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 The interactive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49" w:name="page250"/>
    <w:bookmarkEnd w:id="249"/>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data in eXtensible Business Reporting Language included in the SEC Reports fairly presents the information called for in all material respects and has been prepared in accordance with the SEC’s rules and guidelines applicable thereto. The Company is not, and has never been, an issuer subject to Rule 144(i) under the Securities Act.</w:t>
      </w:r>
    </w:p>
    <w:p>
      <w:pPr>
        <w:spacing w:after="0" w:line="147" w:lineRule="exact"/>
        <w:rPr>
          <w:sz w:val="20"/>
          <w:szCs w:val="20"/>
          <w:color w:val="auto"/>
        </w:rPr>
      </w:pPr>
    </w:p>
    <w:p>
      <w:pPr>
        <w:jc w:val="both"/>
        <w:ind w:firstLine="2246"/>
        <w:spacing w:after="0" w:line="237" w:lineRule="auto"/>
        <w:tabs>
          <w:tab w:leader="none" w:pos="2552"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financial statements of the Company included in the SEC Reports (collectively, the “</w:t>
      </w:r>
      <w:r>
        <w:rPr>
          <w:rFonts w:ascii="Times New Roman" w:cs="Times New Roman" w:eastAsia="Times New Roman" w:hAnsi="Times New Roman"/>
          <w:sz w:val="19"/>
          <w:szCs w:val="19"/>
          <w:b w:val="1"/>
          <w:b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Statements</w:t>
      </w:r>
      <w:r>
        <w:rPr>
          <w:rFonts w:ascii="Times New Roman" w:cs="Times New Roman" w:eastAsia="Times New Roman" w:hAnsi="Times New Roman"/>
          <w:sz w:val="19"/>
          <w:szCs w:val="19"/>
          <w:color w:val="auto"/>
        </w:rPr>
        <w:t>”) comply in all material respects with applicable accounting requirements and the rules and regulations of the SEC with respect thereto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9"/>
          <w:szCs w:val="19"/>
          <w:b w:val="1"/>
          <w:bCs w:val="1"/>
          <w:color w:val="auto"/>
        </w:rPr>
        <w:t>GAAP</w:t>
      </w:r>
      <w:r>
        <w:rPr>
          <w:rFonts w:ascii="Times New Roman" w:cs="Times New Roman" w:eastAsia="Times New Roman" w:hAnsi="Times New Roman"/>
          <w:sz w:val="19"/>
          <w:szCs w:val="19"/>
          <w:color w:val="auto"/>
        </w:rPr>
        <w:t>”)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62"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Absence of Changes</w:t>
      </w:r>
      <w:r>
        <w:rPr>
          <w:rFonts w:ascii="Times New Roman" w:cs="Times New Roman" w:eastAsia="Times New Roman" w:hAnsi="Times New Roman"/>
          <w:sz w:val="19"/>
          <w:szCs w:val="19"/>
          <w:color w:val="auto"/>
        </w:rPr>
        <w:t>. Since December 31, 2024,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that has not been disclosed in the SEC Reports and (c) there has not been any other event or condition of any character that has had or would reasonably be expected to have a Material Adverse Effect.</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3.10 </w:t>
      </w:r>
      <w:r>
        <w:rPr>
          <w:rFonts w:ascii="Times New Roman" w:cs="Times New Roman" w:eastAsia="Times New Roman" w:hAnsi="Times New Roman"/>
          <w:sz w:val="19"/>
          <w:szCs w:val="19"/>
          <w:u w:val="single" w:color="auto"/>
          <w:color w:val="auto"/>
        </w:rPr>
        <w:t>Absence of Litigation</w:t>
      </w:r>
      <w:r>
        <w:rPr>
          <w:rFonts w:ascii="Times New Roman" w:cs="Times New Roman" w:eastAsia="Times New Roman" w:hAnsi="Times New Roman"/>
          <w:sz w:val="19"/>
          <w:szCs w:val="19"/>
          <w:color w:val="auto"/>
        </w:rPr>
        <w:t>. There is no action, suit, proceeding, arbitration, claim, investigation, charge, complaint or inquiry pending or, to the Company’s knowledge, threatened in writing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Neither the Company nor any of its Subsidiaries, nor to the knowledge of the Company, any director or officer of the Company or any of its Subsidiaries, is, or within the last ten (10) years has been, the subject of any action involving a claim of violation of or liability under federal or state securities laws relating to the Company or such Subsidiary or a claim of breach of fiduciary duty relating to the Company or any of its Subsidiaries.</w:t>
      </w:r>
    </w:p>
    <w:p>
      <w:pPr>
        <w:spacing w:after="0" w:line="159"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Compliance with Law; Permits</w:t>
      </w:r>
      <w:r>
        <w:rPr>
          <w:rFonts w:ascii="Times New Roman" w:cs="Times New Roman" w:eastAsia="Times New Roman" w:hAnsi="Times New Roman"/>
          <w:sz w:val="19"/>
          <w:szCs w:val="19"/>
          <w:color w:val="auto"/>
        </w:rPr>
        <w:t>. Neither the Company nor any of its Subsidiaries is in violation of, or has received any notices of violations with respect to, any laws,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0" w:name="page251"/>
    <w:bookmarkEnd w:id="250"/>
    <w:p>
      <w:pPr>
        <w:jc w:val="both"/>
        <w:spacing w:after="0" w:line="237" w:lineRule="auto"/>
        <w:rPr>
          <w:sz w:val="20"/>
          <w:szCs w:val="20"/>
          <w:color w:val="auto"/>
        </w:rPr>
      </w:pPr>
      <w:r>
        <w:rPr>
          <w:rFonts w:ascii="Times New Roman" w:cs="Times New Roman" w:eastAsia="Times New Roman" w:hAnsi="Times New Roman"/>
          <w:sz w:val="19"/>
          <w:szCs w:val="19"/>
          <w:color w:val="auto"/>
        </w:rPr>
        <w:t>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9"/>
          <w:szCs w:val="19"/>
          <w:b w:val="1"/>
          <w:bCs w:val="1"/>
          <w:color w:val="auto"/>
        </w:rPr>
        <w:t>Governmental Authorizations</w:t>
      </w:r>
      <w:r>
        <w:rPr>
          <w:rFonts w:ascii="Times New Roman" w:cs="Times New Roman" w:eastAsia="Times New Roman" w:hAnsi="Times New Roman"/>
          <w:sz w:val="19"/>
          <w:szCs w:val="19"/>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Neither the Company nor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63" w:lineRule="exact"/>
        <w:rPr>
          <w:sz w:val="20"/>
          <w:szCs w:val="20"/>
          <w:color w:val="auto"/>
        </w:rPr>
      </w:pPr>
    </w:p>
    <w:p>
      <w:pPr>
        <w:jc w:val="both"/>
        <w:ind w:firstLine="1501"/>
        <w:spacing w:after="0" w:line="235"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as described in the SEC Reports necessary for, or used in the conduct of their respective businesses (including as described in the SEC Reports) (collectively, “</w:t>
      </w:r>
      <w:r>
        <w:rPr>
          <w:rFonts w:ascii="Times New Roman" w:cs="Times New Roman" w:eastAsia="Times New Roman" w:hAnsi="Times New Roman"/>
          <w:sz w:val="19"/>
          <w:szCs w:val="19"/>
          <w:b w:val="1"/>
          <w:bCs w:val="1"/>
          <w:color w:val="auto"/>
        </w:rPr>
        <w:t>Intellectual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Property</w:t>
      </w:r>
      <w:r>
        <w:rPr>
          <w:rFonts w:ascii="Times New Roman" w:cs="Times New Roman" w:eastAsia="Times New Roman" w:hAnsi="Times New Roman"/>
          <w:sz w:val="19"/>
          <w:szCs w:val="19"/>
          <w:color w:val="auto"/>
        </w:rPr>
        <w:t>”), except where any failure to own, possess or acquire such Intellectual Property has not had, and would not, individually or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material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except, in each case, which, individually or in the aggregate, have not had and would not reasonably be expected to have a Material Adverse Effect. To the Company’s knowledge, there are no material defects in any of the patents or patent applications included in the Intellectual Property. The Company and its Subsidiaries have taken reasonable steps to protect, maintain and safeguard their Intellectual Property.</w:t>
      </w:r>
    </w:p>
    <w:p>
      <w:pPr>
        <w:spacing w:after="0" w:line="169" w:lineRule="exact"/>
        <w:rPr>
          <w:sz w:val="20"/>
          <w:szCs w:val="20"/>
          <w:color w:val="auto"/>
        </w:rPr>
      </w:pPr>
    </w:p>
    <w:p>
      <w:pPr>
        <w:jc w:val="both"/>
        <w:ind w:firstLine="1501"/>
        <w:spacing w:after="0" w:line="250" w:lineRule="auto"/>
        <w:rPr>
          <w:sz w:val="20"/>
          <w:szCs w:val="20"/>
          <w:color w:val="auto"/>
        </w:rPr>
      </w:pPr>
      <w:r>
        <w:rPr>
          <w:rFonts w:ascii="Times New Roman" w:cs="Times New Roman" w:eastAsia="Times New Roman" w:hAnsi="Times New Roman"/>
          <w:sz w:val="19"/>
          <w:szCs w:val="19"/>
          <w:color w:val="auto"/>
        </w:rPr>
        <w:t xml:space="preserve">3.13 </w:t>
      </w: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Except as would not be reasonably likely to result in a Material Adverse Effect, each Benefit Plan has been established and administered in accordance with its terms and in compliance with the applicable provisions of ERISA, the Code, the Patient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1" w:name="page252"/>
    <w:bookmarkEnd w:id="251"/>
    <w:p>
      <w:pPr>
        <w:jc w:val="both"/>
        <w:spacing w:after="0" w:line="239" w:lineRule="auto"/>
        <w:rPr>
          <w:sz w:val="20"/>
          <w:szCs w:val="20"/>
          <w:color w:val="auto"/>
        </w:rPr>
      </w:pPr>
      <w:r>
        <w:rPr>
          <w:rFonts w:ascii="Times New Roman" w:cs="Times New Roman" w:eastAsia="Times New Roman" w:hAnsi="Times New Roman"/>
          <w:sz w:val="19"/>
          <w:szCs w:val="19"/>
          <w:color w:val="auto"/>
        </w:rPr>
        <w:t>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material liens on any of the assets of the Company. At all times since inception, the Company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66"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3.15 </w:t>
      </w:r>
      <w:r>
        <w:rPr>
          <w:rFonts w:ascii="Times New Roman" w:cs="Times New Roman" w:eastAsia="Times New Roman" w:hAnsi="Times New Roman"/>
          <w:sz w:val="19"/>
          <w:szCs w:val="19"/>
          <w:u w:val="single" w:color="auto"/>
          <w:color w:val="auto"/>
        </w:rPr>
        <w:t>Title</w:t>
      </w:r>
      <w:r>
        <w:rPr>
          <w:rFonts w:ascii="Times New Roman" w:cs="Times New Roman" w:eastAsia="Times New Roman" w:hAnsi="Times New Roman"/>
          <w:sz w:val="19"/>
          <w:szCs w:val="19"/>
          <w:color w:val="auto"/>
        </w:rPr>
        <w:t xml:space="preserve">.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color w:val="auto"/>
        </w:rPr>
        <w:t>ny real property and buildings held under lease by the Company or its Subsidiaries is held under valid, subsisting and enforceable leases with such exceptions as are not material and do not interfere with the use made and proposed to be made of such property and buildings by the Company or its Subsidiaries, as the case may be. The Company does not own any real property.</w:t>
      </w:r>
    </w:p>
    <w:p>
      <w:pPr>
        <w:spacing w:after="0" w:line="161"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3.16 </w:t>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The Company carries or is entitled to the benefits of insurance in such amounts and covering such risks that is customary for comparably situated companies and is adequate for the conduct of its business and the value of its real and personal properties (owned or leased) and tangible assets, and each of such insurance policies is in full force and effect and the Company is in compliance in all material respects with the terms of such insurance policies. Other than customary end-of-policy notifications from insurance carriers, since January 1, 2025, the Company has not received any notice or other communication regarding any actual or possible: (i) cancellation or invalidation of any material insurance policy or (ii) refusal or denial of any coverage, reservation of rights or rejection of any material claim under any insurance policy.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2" w:name="page253"/>
    <w:bookmarkEnd w:id="252"/>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3.17 </w:t>
      </w:r>
      <w:r>
        <w:rPr>
          <w:rFonts w:ascii="Times New Roman" w:cs="Times New Roman" w:eastAsia="Times New Roman" w:hAnsi="Times New Roman"/>
          <w:sz w:val="19"/>
          <w:szCs w:val="19"/>
          <w:u w:val="single" w:color="auto"/>
          <w:color w:val="auto"/>
        </w:rPr>
        <w:t>Nasdaq Stock Market</w:t>
      </w:r>
      <w:r>
        <w:rPr>
          <w:rFonts w:ascii="Times New Roman" w:cs="Times New Roman" w:eastAsia="Times New Roman" w:hAnsi="Times New Roman"/>
          <w:sz w:val="19"/>
          <w:szCs w:val="19"/>
          <w:color w:val="auto"/>
        </w:rPr>
        <w:t>. The issued and outstanding shares of Common Stock are registered pursuant to Section 12(b) of the Exchange Act and are listed for trading on the Nasdaq Capital Market under the symbol “ATHA”. The Company is in compliance with all listing requirements of Nasdaq applicable to the Company. As of the date of this Agreement, there is no suit, action, proceeding or investigation pending or, to the knowledge of the Company, threatened against the Company by Nasdaq or the SEC, respectively, to prohibit or terminate the listing of the Common Stock on the Nasdaq Capital Market or to deregister the Common Stock under the Exchange Act. The Company has taken no action as of the date of this Agreement that is designed to terminate the registration of the Common Stock under the Exchange Act.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3.18 </w:t>
      </w:r>
      <w:r>
        <w:rPr>
          <w:rFonts w:ascii="Times New Roman" w:cs="Times New Roman" w:eastAsia="Times New Roman" w:hAnsi="Times New Roman"/>
          <w:sz w:val="19"/>
          <w:szCs w:val="19"/>
          <w:u w:val="single" w:color="auto"/>
          <w:color w:val="auto"/>
        </w:rPr>
        <w:t>Sarbanes-Oxley Act</w:t>
      </w:r>
      <w:r>
        <w:rPr>
          <w:rFonts w:ascii="Times New Roman" w:cs="Times New Roman" w:eastAsia="Times New Roman" w:hAnsi="Times New Roman"/>
          <w:sz w:val="19"/>
          <w:szCs w:val="19"/>
          <w:color w:val="auto"/>
        </w:rPr>
        <w:t>. The Company is, and since January 1, 2025 has been, in compliance in all material respects with all applicable requirements of the Sarbanes-Oxley Act of 2002 and applicable rules and regulations promulgated by the SEC thereunder.</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3.19</w:t>
      </w:r>
      <w:r>
        <w:rPr>
          <w:sz w:val="20"/>
          <w:szCs w:val="20"/>
          <w:color w:val="auto"/>
        </w:rPr>
        <w:tab/>
      </w:r>
      <w:r>
        <w:rPr>
          <w:rFonts w:ascii="Times New Roman" w:cs="Times New Roman" w:eastAsia="Times New Roman" w:hAnsi="Times New Roman"/>
          <w:sz w:val="19"/>
          <w:szCs w:val="19"/>
          <w:u w:val="single" w:color="auto"/>
          <w:color w:val="auto"/>
        </w:rPr>
        <w:t>Clinical Data and Regulatory Compliance</w:t>
      </w:r>
      <w:r>
        <w:rPr>
          <w:rFonts w:ascii="Times New Roman" w:cs="Times New Roman" w:eastAsia="Times New Roman" w:hAnsi="Times New Roman"/>
          <w:sz w:val="19"/>
          <w:szCs w:val="19"/>
          <w:color w:val="auto"/>
        </w:rPr>
        <w:t>. Except as would not reasonably be expected to result in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 (i) the preclinical tests and clinical trials and other studies used to support regulatory approval (collectively, “</w:t>
      </w:r>
      <w:r>
        <w:rPr>
          <w:rFonts w:ascii="Times New Roman" w:cs="Times New Roman" w:eastAsia="Times New Roman" w:hAnsi="Times New Roman"/>
          <w:sz w:val="19"/>
          <w:szCs w:val="19"/>
          <w:b w:val="1"/>
          <w:bCs w:val="1"/>
          <w:color w:val="auto"/>
        </w:rPr>
        <w:t>Studies</w:t>
      </w:r>
      <w:r>
        <w:rPr>
          <w:rFonts w:ascii="Times New Roman" w:cs="Times New Roman" w:eastAsia="Times New Roman" w:hAnsi="Times New Roman"/>
          <w:sz w:val="19"/>
          <w:szCs w:val="19"/>
          <w:color w:val="auto"/>
        </w:rPr>
        <w:t>”) that, prior to the date</w:t>
      </w:r>
    </w:p>
    <w:p>
      <w:pPr>
        <w:spacing w:after="0" w:line="233" w:lineRule="auto"/>
        <w:rPr>
          <w:sz w:val="20"/>
          <w:szCs w:val="20"/>
          <w:color w:val="auto"/>
        </w:rPr>
      </w:pPr>
      <w:r>
        <w:rPr>
          <w:rFonts w:ascii="Times New Roman" w:cs="Times New Roman" w:eastAsia="Times New Roman" w:hAnsi="Times New Roman"/>
          <w:sz w:val="19"/>
          <w:szCs w:val="19"/>
          <w:color w:val="auto"/>
        </w:rPr>
        <w:t>of this Agreement, have been conducted by or on behalf of, or sponsored by, the Company or its Subsidiaries that are described in, or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are referred to in, the SEC Reports were (and, if still pending, are being) conducted in all material respects in accordance with the protocols,</w:t>
      </w:r>
    </w:p>
    <w:p>
      <w:pPr>
        <w:spacing w:after="0" w:line="234" w:lineRule="auto"/>
        <w:rPr>
          <w:sz w:val="20"/>
          <w:szCs w:val="20"/>
          <w:color w:val="auto"/>
        </w:rPr>
      </w:pPr>
      <w:r>
        <w:rPr>
          <w:rFonts w:ascii="Times New Roman" w:cs="Times New Roman" w:eastAsia="Times New Roman" w:hAnsi="Times New Roman"/>
          <w:sz w:val="19"/>
          <w:szCs w:val="19"/>
          <w:color w:val="auto"/>
        </w:rPr>
        <w:t>approved for such Studies and applicable Law, (ii) each description of the results of such Studies is accurate and complete in all material respects</w:t>
      </w:r>
    </w:p>
    <w:p>
      <w:pPr>
        <w:spacing w:after="0" w:line="234" w:lineRule="auto"/>
        <w:rPr>
          <w:sz w:val="20"/>
          <w:szCs w:val="20"/>
          <w:color w:val="auto"/>
        </w:rPr>
      </w:pPr>
      <w:r>
        <w:rPr>
          <w:rFonts w:ascii="Times New Roman" w:cs="Times New Roman" w:eastAsia="Times New Roman" w:hAnsi="Times New Roman"/>
          <w:sz w:val="19"/>
          <w:szCs w:val="19"/>
          <w:color w:val="auto"/>
        </w:rPr>
        <w:t>and fairly presents the data derived from such Studies, and the Company and its Subsidiaries have no knowledge of any other studies the results of</w:t>
      </w:r>
    </w:p>
    <w:p>
      <w:pPr>
        <w:spacing w:after="0" w:line="234" w:lineRule="auto"/>
        <w:rPr>
          <w:sz w:val="20"/>
          <w:szCs w:val="20"/>
          <w:color w:val="auto"/>
        </w:rPr>
      </w:pPr>
      <w:r>
        <w:rPr>
          <w:rFonts w:ascii="Times New Roman" w:cs="Times New Roman" w:eastAsia="Times New Roman" w:hAnsi="Times New Roman"/>
          <w:sz w:val="19"/>
          <w:szCs w:val="19"/>
          <w:color w:val="auto"/>
        </w:rPr>
        <w:t>which would reasonably be expected to render, the results described or referred to in the SEC Reports false or misleading, (iii) the Company and its</w:t>
      </w:r>
    </w:p>
    <w:p>
      <w:pPr>
        <w:spacing w:after="0" w:line="234" w:lineRule="auto"/>
        <w:rPr>
          <w:sz w:val="20"/>
          <w:szCs w:val="20"/>
          <w:color w:val="auto"/>
        </w:rPr>
      </w:pPr>
      <w:r>
        <w:rPr>
          <w:rFonts w:ascii="Times New Roman" w:cs="Times New Roman" w:eastAsia="Times New Roman" w:hAnsi="Times New Roman"/>
          <w:sz w:val="19"/>
          <w:szCs w:val="19"/>
          <w:color w:val="auto"/>
        </w:rPr>
        <w:t>Subsidiaries have made all required filings and obtained all applicable approvals as required by the FDA or from any other U.S. federal, state or</w:t>
      </w:r>
    </w:p>
    <w:p>
      <w:pPr>
        <w:spacing w:after="0" w:line="233" w:lineRule="auto"/>
        <w:rPr>
          <w:sz w:val="20"/>
          <w:szCs w:val="20"/>
          <w:color w:val="auto"/>
        </w:rPr>
      </w:pPr>
      <w:r>
        <w:rPr>
          <w:rFonts w:ascii="Times New Roman" w:cs="Times New Roman" w:eastAsia="Times New Roman" w:hAnsi="Times New Roman"/>
          <w:sz w:val="19"/>
          <w:szCs w:val="19"/>
          <w:color w:val="auto"/>
        </w:rPr>
        <w:t>local  government  or  foreign  government  or  Drug  Regulatory  Agency,  or  Institutional  Review  Board,  each  having  jurisdiction  over</w:t>
      </w:r>
    </w:p>
    <w:p>
      <w:pPr>
        <w:spacing w:after="0" w:line="234" w:lineRule="auto"/>
        <w:rPr>
          <w:sz w:val="20"/>
          <w:szCs w:val="20"/>
          <w:color w:val="auto"/>
        </w:rPr>
      </w:pPr>
      <w:r>
        <w:rPr>
          <w:rFonts w:ascii="Times New Roman" w:cs="Times New Roman" w:eastAsia="Times New Roman" w:hAnsi="Times New Roman"/>
          <w:sz w:val="19"/>
          <w:szCs w:val="19"/>
          <w:color w:val="auto"/>
        </w:rPr>
        <w:t>biopharmaceutical products (collectively, the “</w:t>
      </w:r>
      <w:r>
        <w:rPr>
          <w:rFonts w:ascii="Times New Roman" w:cs="Times New Roman" w:eastAsia="Times New Roman" w:hAnsi="Times New Roman"/>
          <w:sz w:val="19"/>
          <w:szCs w:val="19"/>
          <w:b w:val="1"/>
          <w:bCs w:val="1"/>
          <w:color w:val="auto"/>
        </w:rPr>
        <w:t>Regulatory Agencies</w:t>
      </w:r>
      <w:r>
        <w:rPr>
          <w:rFonts w:ascii="Times New Roman" w:cs="Times New Roman" w:eastAsia="Times New Roman" w:hAnsi="Times New Roman"/>
          <w:sz w:val="19"/>
          <w:szCs w:val="19"/>
          <w:color w:val="auto"/>
        </w:rPr>
        <w:t>”) for the conduct of its business as described in the SEC Reports, (iv) neither</w:t>
      </w:r>
    </w:p>
    <w:p>
      <w:pPr>
        <w:spacing w:after="0" w:line="234" w:lineRule="auto"/>
        <w:rPr>
          <w:sz w:val="20"/>
          <w:szCs w:val="20"/>
          <w:color w:val="auto"/>
        </w:rPr>
      </w:pPr>
      <w:r>
        <w:rPr>
          <w:rFonts w:ascii="Times New Roman" w:cs="Times New Roman" w:eastAsia="Times New Roman" w:hAnsi="Times New Roman"/>
          <w:sz w:val="19"/>
          <w:szCs w:val="19"/>
          <w:color w:val="auto"/>
        </w:rPr>
        <w:t>the Company nor any of its Subsidiaries has received any notice of, or correspondence from, any of the Regulatory Agencies requiring the</w:t>
      </w:r>
    </w:p>
    <w:p>
      <w:pPr>
        <w:spacing w:after="0" w:line="234" w:lineRule="auto"/>
        <w:rPr>
          <w:sz w:val="20"/>
          <w:szCs w:val="20"/>
          <w:color w:val="auto"/>
        </w:rPr>
      </w:pPr>
      <w:r>
        <w:rPr>
          <w:rFonts w:ascii="Times New Roman" w:cs="Times New Roman" w:eastAsia="Times New Roman" w:hAnsi="Times New Roman"/>
          <w:sz w:val="19"/>
          <w:szCs w:val="19"/>
          <w:color w:val="auto"/>
        </w:rPr>
        <w:t>termination or suspension of or imposing any clinical hold on any clinical trials that are described or referred to in the SEC Reports and (v) the</w:t>
      </w:r>
    </w:p>
    <w:p>
      <w:pPr>
        <w:spacing w:after="0"/>
        <w:rPr>
          <w:sz w:val="20"/>
          <w:szCs w:val="20"/>
          <w:color w:val="auto"/>
        </w:rPr>
      </w:pPr>
      <w:r>
        <w:rPr>
          <w:rFonts w:ascii="Times New Roman" w:cs="Times New Roman" w:eastAsia="Times New Roman" w:hAnsi="Times New Roman"/>
          <w:sz w:val="18"/>
          <w:szCs w:val="18"/>
          <w:color w:val="auto"/>
        </w:rPr>
        <w:t>Company and its Subsidiaries have each operated and currently are in compliance in all material respects with all applicable rules and regulations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Regulatory Agencies.</w:t>
      </w:r>
    </w:p>
    <w:p>
      <w:pPr>
        <w:spacing w:after="0" w:line="164"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3.20 </w:t>
      </w:r>
      <w:r>
        <w:rPr>
          <w:rFonts w:ascii="Times New Roman" w:cs="Times New Roman" w:eastAsia="Times New Roman" w:hAnsi="Times New Roman"/>
          <w:sz w:val="19"/>
          <w:szCs w:val="19"/>
          <w:u w:val="single" w:color="auto"/>
          <w:color w:val="auto"/>
        </w:rPr>
        <w:t>Compliance with Health Care Laws</w:t>
      </w:r>
      <w:r>
        <w:rPr>
          <w:rFonts w:ascii="Times New Roman" w:cs="Times New Roman" w:eastAsia="Times New Roman" w:hAnsi="Times New Roman"/>
          <w:sz w:val="19"/>
          <w:szCs w:val="19"/>
          <w:color w:val="auto"/>
        </w:rPr>
        <w:t>. The Company and its Subsidiaries are in compliance in all material respects with all Health Care Laws to the extent applicable to the current business of the Company and its Subsidiaries or any of their respective activities. For purposes of this Agreement, “</w:t>
      </w:r>
      <w:r>
        <w:rPr>
          <w:rFonts w:ascii="Times New Roman" w:cs="Times New Roman" w:eastAsia="Times New Roman" w:hAnsi="Times New Roman"/>
          <w:sz w:val="19"/>
          <w:szCs w:val="19"/>
          <w:b w:val="1"/>
          <w:bCs w:val="1"/>
          <w:color w:val="auto"/>
        </w:rPr>
        <w:t>Health Care Laws</w:t>
      </w:r>
      <w:r>
        <w:rPr>
          <w:rFonts w:ascii="Times New Roman" w:cs="Times New Roman" w:eastAsia="Times New Roman" w:hAnsi="Times New Roman"/>
          <w:sz w:val="19"/>
          <w:szCs w:val="19"/>
          <w:color w:val="auto"/>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cs="Times New Roman" w:eastAsia="Times New Roman" w:hAnsi="Times New Roman"/>
          <w:sz w:val="19"/>
          <w:szCs w:val="19"/>
          <w:b w:val="1"/>
          <w:bCs w:val="1"/>
          <w:color w:val="auto"/>
        </w:rPr>
        <w:t>EU</w:t>
      </w:r>
      <w:r>
        <w:rPr>
          <w:rFonts w:ascii="Times New Roman" w:cs="Times New Roman" w:eastAsia="Times New Roman" w:hAnsi="Times New Roman"/>
          <w:sz w:val="19"/>
          <w:szCs w:val="19"/>
          <w:color w:val="auto"/>
        </w:rPr>
        <w:t>”) Clinical Trials Regulation (Regulation (EU) No. 536/2014); (vi) the EU Regulation regarding community procedures for authorization and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3" w:name="page254"/>
    <w:bookmarkEnd w:id="253"/>
    <w:p>
      <w:pPr>
        <w:jc w:val="both"/>
        <w:ind w:left="5"/>
        <w:spacing w:after="0" w:line="249" w:lineRule="auto"/>
        <w:rPr>
          <w:sz w:val="20"/>
          <w:szCs w:val="20"/>
          <w:color w:val="auto"/>
        </w:rPr>
      </w:pPr>
      <w:r>
        <w:rPr>
          <w:rFonts w:ascii="Times New Roman" w:cs="Times New Roman" w:eastAsia="Times New Roman" w:hAnsi="Times New Roman"/>
          <w:sz w:val="18"/>
          <w:szCs w:val="18"/>
          <w:color w:val="auto"/>
        </w:rPr>
        <w:t>supervision of medicinal products for human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applicable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applicable Health Care Laws, and, to the Company’s knowledge,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59" w:lineRule="exact"/>
        <w:rPr>
          <w:sz w:val="20"/>
          <w:szCs w:val="20"/>
          <w:color w:val="auto"/>
        </w:rPr>
      </w:pPr>
    </w:p>
    <w:p>
      <w:pPr>
        <w:jc w:val="both"/>
        <w:ind w:left="5" w:firstLine="1501"/>
        <w:spacing w:after="0" w:line="239"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19"/>
          <w:szCs w:val="19"/>
          <w:u w:val="single" w:color="auto"/>
          <w:color w:val="auto"/>
        </w:rPr>
        <w:t>Accounting Controls and Disclosure Controls and Procedures</w:t>
      </w:r>
      <w:r>
        <w:rPr>
          <w:rFonts w:ascii="Times New Roman" w:cs="Times New Roman" w:eastAsia="Times New Roman" w:hAnsi="Times New Roman"/>
          <w:sz w:val="19"/>
          <w:szCs w:val="19"/>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w:t>
      </w:r>
    </w:p>
    <w:p>
      <w:pPr>
        <w:ind w:left="225" w:hanging="225"/>
        <w:spacing w:after="0" w:line="235" w:lineRule="auto"/>
        <w:tabs>
          <w:tab w:leader="none" w:pos="225"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maintains records that in reasonable detail accurately and fairly reflect the Company’s transactions and dispositions of assets,</w:t>
      </w:r>
    </w:p>
    <w:p>
      <w:pPr>
        <w:jc w:val="both"/>
        <w:ind w:left="5" w:hanging="5"/>
        <w:spacing w:after="0" w:line="235" w:lineRule="auto"/>
        <w:tabs>
          <w:tab w:leader="none" w:pos="31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Except as disclosed in the Company’s SEC Reports filed prior to the date of this Agreement, the Company has not identified any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38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54" w:name="page255"/>
    <w:bookmarkEnd w:id="254"/>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3.22 </w:t>
      </w:r>
      <w:r>
        <w:rPr>
          <w:rFonts w:ascii="Times New Roman" w:cs="Times New Roman" w:eastAsia="Times New Roman" w:hAnsi="Times New Roman"/>
          <w:sz w:val="19"/>
          <w:szCs w:val="19"/>
          <w:u w:val="single" w:color="auto"/>
          <w:color w:val="auto"/>
        </w:rPr>
        <w:t>Price Stabilization of Common Stock</w:t>
      </w:r>
      <w:r>
        <w:rPr>
          <w:rFonts w:ascii="Times New Roman" w:cs="Times New Roman" w:eastAsia="Times New Roman" w:hAnsi="Times New Roman"/>
          <w:sz w:val="19"/>
          <w:szCs w:val="19"/>
          <w:color w:val="auto"/>
        </w:rPr>
        <w:t>. The Company has not taken, nor will it take, directly or indirectly, any action designed to stabilize or manipulate the price of the Common Stock to facilitate the sale or resale of the Pre-Funded Warrant Shares.</w:t>
      </w:r>
    </w:p>
    <w:p>
      <w:pPr>
        <w:spacing w:after="0" w:line="138"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3.23 </w:t>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The Company is not, and immediately after receipt of payment for the Pre-Funded Warrant will not be, an “investment company” within the meaning of the U.S. Investment Company Act of 1940, as amended.</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3.24 </w:t>
      </w:r>
      <w:r>
        <w:rPr>
          <w:rFonts w:ascii="Times New Roman" w:cs="Times New Roman" w:eastAsia="Times New Roman" w:hAnsi="Times New Roman"/>
          <w:sz w:val="19"/>
          <w:szCs w:val="19"/>
          <w:u w:val="single" w:color="auto"/>
          <w:color w:val="auto"/>
        </w:rPr>
        <w:t>General Solicitation; No Integration or Aggregation</w:t>
      </w:r>
      <w:r>
        <w:rPr>
          <w:rFonts w:ascii="Times New Roman" w:cs="Times New Roman" w:eastAsia="Times New Roman" w:hAnsi="Times New Roman"/>
          <w:sz w:val="19"/>
          <w:szCs w:val="19"/>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the Nasdaq Capital Market. Assuming the accuracy of the representations and warranties of the Purchaser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and/or Rule 506 of Regulation D promulgated thereunder for the exemption from registration for the transactions contemplated hereby.</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3.25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Neither the Company nor any other Person authorized by the Company to act on its behalf has retained, utilized or been represented by any broker or finder in connection with the transactions contemplated by this Agreement.</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3.26 </w:t>
      </w:r>
      <w:r>
        <w:rPr>
          <w:rFonts w:ascii="Times New Roman" w:cs="Times New Roman" w:eastAsia="Times New Roman" w:hAnsi="Times New Roman"/>
          <w:sz w:val="19"/>
          <w:szCs w:val="19"/>
          <w:u w:val="single" w:color="auto"/>
          <w:color w:val="auto"/>
        </w:rPr>
        <w:t>Reliance by the Purchaser</w:t>
      </w:r>
      <w:r>
        <w:rPr>
          <w:rFonts w:ascii="Times New Roman" w:cs="Times New Roman" w:eastAsia="Times New Roman" w:hAnsi="Times New Roman"/>
          <w:sz w:val="19"/>
          <w:szCs w:val="19"/>
          <w:color w:val="auto"/>
        </w:rPr>
        <w:t xml:space="preserve">. The Company has a reasonable basis for making each of the representations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The Company acknowledges that the Purchaser will rely upon the truth and accuracy of, and the Company’s compliance with, the representations, warranties, agreements, acknowledgements and understandings of the Company set forth herein.</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Other Covered Persons</w:t>
      </w:r>
      <w:r>
        <w:rPr>
          <w:rFonts w:ascii="Times New Roman" w:cs="Times New Roman" w:eastAsia="Times New Roman" w:hAnsi="Times New Roman"/>
          <w:sz w:val="19"/>
          <w:szCs w:val="19"/>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38"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3.28 </w:t>
      </w:r>
      <w:r>
        <w:rPr>
          <w:rFonts w:ascii="Times New Roman" w:cs="Times New Roman" w:eastAsia="Times New Roman" w:hAnsi="Times New Roman"/>
          <w:sz w:val="19"/>
          <w:szCs w:val="19"/>
          <w:u w:val="single" w:color="auto"/>
          <w:color w:val="auto"/>
        </w:rPr>
        <w:t>No Additional Agreements</w:t>
      </w:r>
      <w:r>
        <w:rPr>
          <w:rFonts w:ascii="Times New Roman" w:cs="Times New Roman" w:eastAsia="Times New Roman" w:hAnsi="Times New Roman"/>
          <w:sz w:val="19"/>
          <w:szCs w:val="19"/>
          <w:color w:val="auto"/>
        </w:rPr>
        <w:t>. There are no agreements or understandings between the Company and the Purchaser with respect to the transactions contemplated by the Transaction Agreements other than (i) as specified in the Transaction Agreements and (ii) any side letter agreements with the Purchaser.</w:t>
      </w:r>
    </w:p>
    <w:p>
      <w:pPr>
        <w:spacing w:after="0" w:line="151"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3.29 </w:t>
      </w:r>
      <w:r>
        <w:rPr>
          <w:rFonts w:ascii="Times New Roman" w:cs="Times New Roman" w:eastAsia="Times New Roman" w:hAnsi="Times New Roman"/>
          <w:sz w:val="19"/>
          <w:szCs w:val="19"/>
          <w:u w:val="single" w:color="auto"/>
          <w:color w:val="auto"/>
        </w:rPr>
        <w:t>Anti-Bribery and Anti-Money Laundering Laws</w:t>
      </w:r>
      <w:r>
        <w:rPr>
          <w:rFonts w:ascii="Times New Roman" w:cs="Times New Roman" w:eastAsia="Times New Roman" w:hAnsi="Times New Roman"/>
          <w:sz w:val="19"/>
          <w:szCs w:val="19"/>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5" w:name="page256"/>
    <w:bookmarkEnd w:id="255"/>
    <w:p>
      <w:pPr>
        <w:jc w:val="both"/>
        <w:ind w:left="5" w:right="20"/>
        <w:spacing w:after="0" w:line="254" w:lineRule="auto"/>
        <w:rPr>
          <w:sz w:val="20"/>
          <w:szCs w:val="20"/>
          <w:color w:val="auto"/>
        </w:rPr>
      </w:pPr>
      <w:r>
        <w:rPr>
          <w:rFonts w:ascii="Times New Roman" w:cs="Times New Roman" w:eastAsia="Times New Roman" w:hAnsi="Times New Roman"/>
          <w:sz w:val="18"/>
          <w:szCs w:val="18"/>
          <w:color w:val="auto"/>
        </w:rPr>
        <w:t>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w:t>
      </w:r>
    </w:p>
    <w:p>
      <w:pPr>
        <w:spacing w:after="0" w:line="1" w:lineRule="exact"/>
        <w:rPr>
          <w:sz w:val="20"/>
          <w:szCs w:val="20"/>
          <w:color w:val="auto"/>
        </w:rPr>
      </w:pPr>
    </w:p>
    <w:p>
      <w:pPr>
        <w:jc w:val="both"/>
        <w:ind w:left="5" w:hanging="5"/>
        <w:spacing w:after="0" w:line="235" w:lineRule="auto"/>
        <w:tabs>
          <w:tab w:leader="none" w:pos="35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161" w:lineRule="exact"/>
        <w:rPr>
          <w:sz w:val="20"/>
          <w:szCs w:val="20"/>
          <w:color w:val="auto"/>
        </w:rPr>
      </w:pPr>
    </w:p>
    <w:p>
      <w:pPr>
        <w:jc w:val="both"/>
        <w:ind w:left="5" w:firstLine="1501"/>
        <w:spacing w:after="0" w:line="236" w:lineRule="auto"/>
        <w:rPr>
          <w:sz w:val="20"/>
          <w:szCs w:val="20"/>
          <w:color w:val="auto"/>
        </w:rPr>
      </w:pPr>
      <w:r>
        <w:rPr>
          <w:rFonts w:ascii="Times New Roman" w:cs="Times New Roman" w:eastAsia="Times New Roman" w:hAnsi="Times New Roman"/>
          <w:sz w:val="19"/>
          <w:szCs w:val="19"/>
          <w:color w:val="auto"/>
        </w:rPr>
        <w:t xml:space="preserve">3.30 </w:t>
      </w:r>
      <w:r>
        <w:rPr>
          <w:rFonts w:ascii="Times New Roman" w:cs="Times New Roman" w:eastAsia="Times New Roman" w:hAnsi="Times New Roman"/>
          <w:sz w:val="19"/>
          <w:szCs w:val="19"/>
          <w:u w:val="single" w:color="auto"/>
          <w:color w:val="auto"/>
        </w:rPr>
        <w:t>Cybersecurity</w:t>
      </w:r>
      <w:r>
        <w:rPr>
          <w:rFonts w:ascii="Times New Roman" w:cs="Times New Roman" w:eastAsia="Times New Roman" w:hAnsi="Times New Roman"/>
          <w:sz w:val="19"/>
          <w:szCs w:val="19"/>
          <w:color w:val="auto"/>
        </w:rPr>
        <w:t>. The Company and its Subsidiaries’ material information technology assets and equipment, computers, systems, networks, hardware, software, websites, applications and databases (collectively, “</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9"/>
          <w:szCs w:val="19"/>
          <w:b w:val="1"/>
          <w:bCs w:val="1"/>
          <w:color w:val="auto"/>
        </w:rPr>
        <w:t>Confidential Data</w:t>
      </w:r>
      <w:r>
        <w:rPr>
          <w:rFonts w:ascii="Times New Roman" w:cs="Times New Roman" w:eastAsia="Times New Roman" w:hAnsi="Times New Roman"/>
          <w:sz w:val="19"/>
          <w:szCs w:val="19"/>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9"/>
          <w:szCs w:val="19"/>
          <w:b w:val="1"/>
          <w:bCs w:val="1"/>
          <w:color w:val="auto"/>
        </w:rPr>
        <w:t>Personal Data</w:t>
      </w:r>
      <w:r>
        <w:rPr>
          <w:rFonts w:ascii="Times New Roman" w:cs="Times New Roman" w:eastAsia="Times New Roman" w:hAnsi="Times New Roman"/>
          <w:sz w:val="19"/>
          <w:szCs w:val="19"/>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9"/>
          <w:szCs w:val="19"/>
          <w:b w:val="1"/>
          <w:bCs w:val="1"/>
          <w:color w:val="auto"/>
        </w:rPr>
        <w:t>HIPAA</w:t>
      </w:r>
      <w:r>
        <w:rPr>
          <w:rFonts w:ascii="Times New Roman" w:cs="Times New Roman" w:eastAsia="Times New Roman" w:hAnsi="Times New Roman"/>
          <w:sz w:val="19"/>
          <w:szCs w:val="19"/>
          <w:color w:val="auto"/>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60" w:lineRule="exact"/>
        <w:rPr>
          <w:sz w:val="20"/>
          <w:szCs w:val="20"/>
          <w:color w:val="auto"/>
        </w:rPr>
      </w:pPr>
    </w:p>
    <w:p>
      <w:pPr>
        <w:jc w:val="both"/>
        <w:ind w:left="5" w:firstLine="1501"/>
        <w:spacing w:after="0" w:line="243" w:lineRule="auto"/>
        <w:rPr>
          <w:sz w:val="20"/>
          <w:szCs w:val="20"/>
          <w:color w:val="auto"/>
        </w:rPr>
      </w:pPr>
      <w:r>
        <w:rPr>
          <w:rFonts w:ascii="Times New Roman" w:cs="Times New Roman" w:eastAsia="Times New Roman" w:hAnsi="Times New Roman"/>
          <w:sz w:val="19"/>
          <w:szCs w:val="19"/>
          <w:color w:val="auto"/>
        </w:rPr>
        <w:t xml:space="preserve">3.31 </w:t>
      </w:r>
      <w:r>
        <w:rPr>
          <w:rFonts w:ascii="Times New Roman" w:cs="Times New Roman" w:eastAsia="Times New Roman" w:hAnsi="Times New Roman"/>
          <w:sz w:val="19"/>
          <w:szCs w:val="19"/>
          <w:u w:val="single" w:color="auto"/>
          <w:color w:val="auto"/>
        </w:rPr>
        <w:t>Compliance with Data Privacy Laws</w:t>
      </w:r>
      <w:r>
        <w:rPr>
          <w:rFonts w:ascii="Times New Roman" w:cs="Times New Roman" w:eastAsia="Times New Roman" w:hAnsi="Times New Roman"/>
          <w:sz w:val="19"/>
          <w:szCs w:val="19"/>
          <w:color w:val="auto"/>
        </w:rPr>
        <w:t>. The Company and its Subsidiaries are, and at all prior times in the past five (5) years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9"/>
          <w:szCs w:val="19"/>
          <w:b w:val="1"/>
          <w:bCs w:val="1"/>
          <w:color w:val="auto"/>
        </w:rPr>
        <w:t>Process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Processing</w:t>
      </w:r>
      <w:r>
        <w:rPr>
          <w:rFonts w:ascii="Times New Roman" w:cs="Times New Roman" w:eastAsia="Times New Roman" w:hAnsi="Times New Roman"/>
          <w:sz w:val="19"/>
          <w:szCs w:val="19"/>
          <w:color w:val="auto"/>
        </w:rPr>
        <w:t>”) of Personal Data, including without limitation HIPAA, the EU</w:t>
      </w:r>
    </w:p>
    <w:p>
      <w:pPr>
        <w:spacing w:after="0" w:line="38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56" w:name="page257"/>
    <w:bookmarkEnd w:id="256"/>
    <w:p>
      <w:pPr>
        <w:jc w:val="both"/>
        <w:spacing w:after="0" w:line="238" w:lineRule="auto"/>
        <w:rPr>
          <w:sz w:val="20"/>
          <w:szCs w:val="20"/>
          <w:color w:val="auto"/>
        </w:rPr>
      </w:pPr>
      <w:r>
        <w:rPr>
          <w:rFonts w:ascii="Times New Roman" w:cs="Times New Roman" w:eastAsia="Times New Roman" w:hAnsi="Times New Roman"/>
          <w:sz w:val="19"/>
          <w:szCs w:val="19"/>
          <w:color w:val="auto"/>
        </w:rPr>
        <w:t>General Data Protection Regulation (“</w:t>
      </w:r>
      <w:r>
        <w:rPr>
          <w:rFonts w:ascii="Times New Roman" w:cs="Times New Roman" w:eastAsia="Times New Roman" w:hAnsi="Times New Roman"/>
          <w:sz w:val="19"/>
          <w:szCs w:val="19"/>
          <w:b w:val="1"/>
          <w:bCs w:val="1"/>
          <w:color w:val="auto"/>
        </w:rPr>
        <w:t>GDPR</w:t>
      </w:r>
      <w:r>
        <w:rPr>
          <w:rFonts w:ascii="Times New Roman" w:cs="Times New Roman" w:eastAsia="Times New Roman" w:hAnsi="Times New Roman"/>
          <w:sz w:val="19"/>
          <w:szCs w:val="19"/>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9"/>
          <w:szCs w:val="19"/>
          <w:b w:val="1"/>
          <w:bCs w:val="1"/>
          <w:color w:val="auto"/>
        </w:rPr>
        <w:t>Privacy Statements</w:t>
      </w:r>
      <w:r>
        <w:rPr>
          <w:rFonts w:ascii="Times New Roman" w:cs="Times New Roman" w:eastAsia="Times New Roman" w:hAnsi="Times New Roman"/>
          <w:sz w:val="19"/>
          <w:szCs w:val="19"/>
          <w:color w:val="auto"/>
        </w:rPr>
        <w:t>”). To the extent required by Privacy Laws,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3.32 </w:t>
      </w:r>
      <w:r>
        <w:rPr>
          <w:rFonts w:ascii="Times New Roman" w:cs="Times New Roman" w:eastAsia="Times New Roman" w:hAnsi="Times New Roman"/>
          <w:sz w:val="19"/>
          <w:szCs w:val="19"/>
          <w:u w:val="single" w:color="auto"/>
          <w:color w:val="auto"/>
        </w:rPr>
        <w:t>Transactions with Affiliates and Employees</w:t>
      </w:r>
      <w:r>
        <w:rPr>
          <w:rFonts w:ascii="Times New Roman" w:cs="Times New Roman" w:eastAsia="Times New Roman" w:hAnsi="Times New Roman"/>
          <w:sz w:val="19"/>
          <w:szCs w:val="19"/>
          <w:color w:val="auto"/>
        </w:rPr>
        <w:t>. No relationship, direct or indirect, exists between or among the Company or any of its Subsidiaries, on the one hand, and any of the directors, officers, stockholders, customers or suppliers of the Company, on the other hand, that is required to be described in the SEC Reports that is not so described.</w:t>
      </w:r>
    </w:p>
    <w:p>
      <w:pPr>
        <w:spacing w:after="0" w:line="151" w:lineRule="exact"/>
        <w:rPr>
          <w:sz w:val="20"/>
          <w:szCs w:val="20"/>
          <w:color w:val="auto"/>
        </w:rPr>
      </w:pPr>
    </w:p>
    <w:p>
      <w:pPr>
        <w:ind w:right="20" w:firstLine="745"/>
        <w:spacing w:after="0" w:line="262" w:lineRule="auto"/>
        <w:tabs>
          <w:tab w:leader="none" w:pos="1021"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the Purchaser</w:t>
      </w:r>
      <w:r>
        <w:rPr>
          <w:rFonts w:ascii="Times New Roman" w:cs="Times New Roman" w:eastAsia="Times New Roman" w:hAnsi="Times New Roman"/>
          <w:sz w:val="19"/>
          <w:szCs w:val="19"/>
          <w:color w:val="auto"/>
        </w:rPr>
        <w:t xml:space="preserve">. The Purchaser represents and warrants to the Company that the statements contained in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are true and correct as of the date of this Agreement and the Closing Date:</w:t>
      </w:r>
    </w:p>
    <w:p>
      <w:pPr>
        <w:spacing w:after="0" w:line="138"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Organization</w:t>
      </w:r>
      <w:r>
        <w:rPr>
          <w:rFonts w:ascii="Times New Roman" w:cs="Times New Roman" w:eastAsia="Times New Roman" w:hAnsi="Times New Roman"/>
          <w:sz w:val="19"/>
          <w:szCs w:val="19"/>
          <w:color w:val="auto"/>
        </w:rPr>
        <w:t>. The Purchaser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Authorization</w:t>
      </w:r>
      <w:r>
        <w:rPr>
          <w:rFonts w:ascii="Times New Roman" w:cs="Times New Roman" w:eastAsia="Times New Roman" w:hAnsi="Times New Roman"/>
          <w:sz w:val="19"/>
          <w:szCs w:val="19"/>
          <w:color w:val="auto"/>
        </w:rPr>
        <w:t>. The Purchaser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the Purchaser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the Purchaser of the Transaction Agreements to which the Purchaser is a party has been duly authorized and each has been duly executed. Assuming this Agreement constitutes the legal and binding agreement of the Company, this Agreement constitutes a legal, valid and binding obligation of the Purchaser, enforceable against the Purchaser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6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No Conflicts</w:t>
      </w:r>
      <w:r>
        <w:rPr>
          <w:rFonts w:ascii="Times New Roman" w:cs="Times New Roman" w:eastAsia="Times New Roman" w:hAnsi="Times New Roman"/>
          <w:sz w:val="19"/>
          <w:szCs w:val="19"/>
          <w:color w:val="auto"/>
        </w:rPr>
        <w:t>. The execution, delivery and performance of the Transaction Agreements by the Purchaser, the purchase of the Securities in accordance with their terms and the consummation by the Purchaser of the other transactions contemplated hereby will not conflict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57" w:name="page258"/>
    <w:bookmarkEnd w:id="257"/>
    <w:p>
      <w:pPr>
        <w:jc w:val="both"/>
        <w:spacing w:after="0" w:line="238" w:lineRule="auto"/>
        <w:rPr>
          <w:sz w:val="20"/>
          <w:szCs w:val="20"/>
          <w:color w:val="auto"/>
        </w:rPr>
      </w:pPr>
      <w:r>
        <w:rPr>
          <w:rFonts w:ascii="Times New Roman" w:cs="Times New Roman" w:eastAsia="Times New Roman" w:hAnsi="Times New Roman"/>
          <w:sz w:val="19"/>
          <w:szCs w:val="19"/>
          <w:color w:val="auto"/>
        </w:rPr>
        <w:t>with or result in any violation of, breach or default by the Purchaser (with or without notice or lapse of time, or both) under, conflict with, or give rise to a right of termination, cancellation or acceleration of any obligation, a change of control right or to a loss of a material benefit under (i) any provision of the organizational documents of the Purchaser,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the Purchaser or its respective properties or assets, except, in the case of clause (ii), as would not, individually or in the aggregate, be reasonably expected to materially delay or materially hinder the ability of the Purchaser to perform its obligations under the Transaction Agreements (such delay or hindrance, a “</w:t>
      </w:r>
      <w:r>
        <w:rPr>
          <w:rFonts w:ascii="Times New Roman" w:cs="Times New Roman" w:eastAsia="Times New Roman" w:hAnsi="Times New Roman"/>
          <w:sz w:val="19"/>
          <w:szCs w:val="19"/>
          <w:b w:val="1"/>
          <w:bCs w:val="1"/>
          <w:color w:val="auto"/>
        </w:rPr>
        <w:t>Purchaser Adverse Effect</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right="20"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All consents, approvals, orders and authorizations required on the part of such Purchaser in connection with the execution, delivery or performance of this Agreement, the issuance of the Securities, and the consummation of the other transactions contemplated herein have been obtained or made, other than such consents, approvals, orders and authorizations the failure of which to make or obtain, individually or in the aggregate, would not reasonably be expected to have a Purchaser Adverse Effect.</w:t>
      </w:r>
    </w:p>
    <w:p>
      <w:pPr>
        <w:spacing w:after="0" w:line="156"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Residency; Holdings</w:t>
      </w:r>
      <w:r>
        <w:rPr>
          <w:rFonts w:ascii="Times New Roman" w:cs="Times New Roman" w:eastAsia="Times New Roman" w:hAnsi="Times New Roman"/>
          <w:sz w:val="19"/>
          <w:szCs w:val="19"/>
          <w:color w:val="auto"/>
        </w:rPr>
        <w:t>. The Purchaser’s offices in which its investment decision with respect to the Securities was made (if an entity) are located at the address immediately below the Purchaser’s name on the pertinent signature page of this Agreement, except as otherwise communicated by the Purchaser to the Company. Purchaser has set forth on the pertinent signature page to this Agreement the number of shares of Common Stock beneficially owned by Purchaser and the number of shares of Common Stock Equivalents beneficially owned by Purchaser, in each case as of immediately prior to the Closing.</w:t>
      </w:r>
    </w:p>
    <w:p>
      <w:pPr>
        <w:spacing w:after="0" w:line="157"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Brokers and Finders</w:t>
      </w:r>
      <w:r>
        <w:rPr>
          <w:rFonts w:ascii="Times New Roman" w:cs="Times New Roman" w:eastAsia="Times New Roman" w:hAnsi="Times New Roman"/>
          <w:sz w:val="19"/>
          <w:szCs w:val="19"/>
          <w:color w:val="auto"/>
        </w:rPr>
        <w:t>. The Purchaser has not retained, utilized or been represented by any broker or finder in connection with the transactions contemplated by this Agreement whose fees the Company would be required to pay.</w:t>
      </w:r>
    </w:p>
    <w:p>
      <w:pPr>
        <w:spacing w:after="0" w:line="138"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4.7 </w:t>
      </w:r>
      <w:r>
        <w:rPr>
          <w:rFonts w:ascii="Times New Roman" w:cs="Times New Roman" w:eastAsia="Times New Roman" w:hAnsi="Times New Roman"/>
          <w:sz w:val="19"/>
          <w:szCs w:val="19"/>
          <w:u w:val="single" w:color="auto"/>
          <w:color w:val="auto"/>
        </w:rPr>
        <w:t>Investment Representations and Warranties</w:t>
      </w:r>
      <w:r>
        <w:rPr>
          <w:rFonts w:ascii="Times New Roman" w:cs="Times New Roman" w:eastAsia="Times New Roman" w:hAnsi="Times New Roman"/>
          <w:sz w:val="19"/>
          <w:szCs w:val="19"/>
          <w:color w:val="auto"/>
        </w:rPr>
        <w:t>. The Purchaser hereby represents and warrants that, it as of the date of this Agreement is a “qualified institutional buyer” (as defined in Rule 144A under the Securities Act) or an institutional “accredited investor” as that term is defined in Rule 501(a) under Regulation D promulgated pursuant to the Securities Act. The Purchaser further represents and warrants that it is capable of evaluating the merits and risk of such investment, and has so evaluated the merits and risk of such investment. The Purchaser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63"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4.8 </w:t>
      </w:r>
      <w:r>
        <w:rPr>
          <w:rFonts w:ascii="Times New Roman" w:cs="Times New Roman" w:eastAsia="Times New Roman" w:hAnsi="Times New Roman"/>
          <w:sz w:val="19"/>
          <w:szCs w:val="19"/>
          <w:u w:val="single" w:color="auto"/>
          <w:color w:val="auto"/>
        </w:rPr>
        <w:t>Intent</w:t>
      </w:r>
      <w:r>
        <w:rPr>
          <w:rFonts w:ascii="Times New Roman" w:cs="Times New Roman" w:eastAsia="Times New Roman" w:hAnsi="Times New Roman"/>
          <w:sz w:val="19"/>
          <w:szCs w:val="19"/>
          <w:color w:val="auto"/>
        </w:rPr>
        <w:t>. The Purchaser is purchasing the Securities solely for the Purchaser’s own account and not for the account of others, and not with a view to the resale or distribution of any part thereof in violation of the Securities Act, and the Purchaser has no present intention of selling, granting any participation in, or otherwise distributing the same in violation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8" w:name="page259"/>
    <w:bookmarkEnd w:id="258"/>
    <w:p>
      <w:pPr>
        <w:jc w:val="both"/>
        <w:spacing w:after="0" w:line="241" w:lineRule="auto"/>
        <w:rPr>
          <w:sz w:val="20"/>
          <w:szCs w:val="20"/>
          <w:color w:val="auto"/>
        </w:rPr>
      </w:pPr>
      <w:r>
        <w:rPr>
          <w:rFonts w:ascii="Times New Roman" w:cs="Times New Roman" w:eastAsia="Times New Roman" w:hAnsi="Times New Roman"/>
          <w:sz w:val="19"/>
          <w:szCs w:val="19"/>
          <w:color w:val="auto"/>
        </w:rPr>
        <w:t>Securities Act without prejudice, however, to the Purchaser’s right at all times to sell or otherwise dispose of all or any part of such Securities in compliance with applicable federal and state securities laws. The Purchaser has no present arrangement to sell the Securities to or through any person or entity. The Purchaser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Purchaser to hold the Securities for any period of time.</w:t>
      </w:r>
    </w:p>
    <w:p>
      <w:pPr>
        <w:spacing w:after="0" w:line="157"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4.9 </w:t>
      </w:r>
      <w:r>
        <w:rPr>
          <w:rFonts w:ascii="Times New Roman" w:cs="Times New Roman" w:eastAsia="Times New Roman" w:hAnsi="Times New Roman"/>
          <w:sz w:val="19"/>
          <w:szCs w:val="19"/>
          <w:u w:val="single" w:color="auto"/>
          <w:color w:val="auto"/>
        </w:rPr>
        <w:t>Investment Experience; Ability to Protect Its Own Interests and Bear Economic Risks</w:t>
      </w:r>
      <w:r>
        <w:rPr>
          <w:rFonts w:ascii="Times New Roman" w:cs="Times New Roman" w:eastAsia="Times New Roman" w:hAnsi="Times New Roman"/>
          <w:sz w:val="19"/>
          <w:szCs w:val="19"/>
          <w:color w:val="auto"/>
        </w:rPr>
        <w:t>. The Purchaser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Purchaser has had an opportunity to seek, and has sought, such accounting, legal, business and tax advice as the Purchaser has considered necessary to make an informed investment decision. The Purchaser acknowledges that the Purchaser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Purchaser acknowledges that the Purchaser is aware that there are substantial risks incident to the purchase and ownership of the Securities, including those set forth in the Company’s filings with the SEC. Alone, or together with any professional advisor(s), the Purchaser has adequately analyzed and fully considered the risks of an investment in the Securities and determined that the Securities are a suitable investment for the Purchaser. The Purchaser is, at this time and in the foreseeable future, able to afford the loss of the Purchaser’s entire investment in the Securities and the Purchaser acknowledges specifically that a possibility of total loss exists.</w:t>
      </w:r>
    </w:p>
    <w:p>
      <w:pPr>
        <w:spacing w:after="0" w:line="166"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Independent Investment Decision</w:t>
      </w:r>
      <w:r>
        <w:rPr>
          <w:rFonts w:ascii="Times New Roman" w:cs="Times New Roman" w:eastAsia="Times New Roman" w:hAnsi="Times New Roman"/>
          <w:sz w:val="19"/>
          <w:szCs w:val="19"/>
          <w:color w:val="auto"/>
        </w:rPr>
        <w:t>. The Purchaser understands that nothing in the Transaction Agreements or any other materials presented by or on behalf of the Company to the Purchaser in connection with the purchase of the Securities constitutes legal, tax or investment advice. The Purchaser has consulted such legal, tax and investment advisors as it, in the Purchaser’s sole discretion, has deemed necessary or appropriate in connection with its purchase of the Securities.</w:t>
      </w:r>
    </w:p>
    <w:p>
      <w:pPr>
        <w:spacing w:after="0" w:line="156"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4.11 </w:t>
      </w:r>
      <w:r>
        <w:rPr>
          <w:rFonts w:ascii="Times New Roman" w:cs="Times New Roman" w:eastAsia="Times New Roman" w:hAnsi="Times New Roman"/>
          <w:sz w:val="19"/>
          <w:szCs w:val="19"/>
          <w:u w:val="single" w:color="auto"/>
          <w:color w:val="auto"/>
        </w:rPr>
        <w:t>Securities Not Registered; Legends</w:t>
      </w:r>
      <w:r>
        <w:rPr>
          <w:rFonts w:ascii="Times New Roman" w:cs="Times New Roman" w:eastAsia="Times New Roman" w:hAnsi="Times New Roman"/>
          <w:sz w:val="19"/>
          <w:szCs w:val="19"/>
          <w:color w:val="auto"/>
        </w:rPr>
        <w:t>. The Purchaser acknowledges and agrees that the Securities are being offered in a transaction not involving any public offering within the meaning of the Securities Act, and the Purchaser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the Purchaser unless a subsequent disposition thereof is registered under the Securities Act or is exempt from such registration and in each case in accordance with any applicable securities laws of any state of the United States. The Purchaser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the Purchaser’s control and which the Company may not be able to satisfy, and that, if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59" w:name="page260"/>
    <w:bookmarkEnd w:id="259"/>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applicable, Rule 144 may afford the basis for sales only in limited amounts. The Purchaser acknowledges and agrees that it has been advised to consult legal counsel prior to making any offer, resale, transfer, pledge or disposition of any of the Securities. The Purchaser acknowledges that no federal or state agency has passed upon or endorsed the merits of the offering of the Securities or made any findings or determination as to the fairness of this investment.</w:t>
      </w:r>
    </w:p>
    <w:p>
      <w:pPr>
        <w:spacing w:after="0" w:line="156" w:lineRule="exact"/>
        <w:rPr>
          <w:sz w:val="20"/>
          <w:szCs w:val="20"/>
          <w:color w:val="auto"/>
        </w:rPr>
      </w:pPr>
    </w:p>
    <w:p>
      <w:pPr>
        <w:jc w:val="both"/>
        <w:ind w:right="20" w:firstLine="751"/>
        <w:spacing w:after="0" w:line="262" w:lineRule="auto"/>
        <w:rPr>
          <w:sz w:val="20"/>
          <w:szCs w:val="20"/>
          <w:color w:val="auto"/>
        </w:rPr>
      </w:pPr>
      <w:r>
        <w:rPr>
          <w:rFonts w:ascii="Times New Roman" w:cs="Times New Roman" w:eastAsia="Times New Roman" w:hAnsi="Times New Roman"/>
          <w:sz w:val="19"/>
          <w:szCs w:val="19"/>
          <w:color w:val="auto"/>
        </w:rPr>
        <w:t>The Purchaser understands that any certificates or book entry notations evidencing the Securities may bear one or more legends in substantially the following form and substance:</w:t>
      </w:r>
    </w:p>
    <w:p>
      <w:pPr>
        <w:spacing w:after="0" w:line="138" w:lineRule="exact"/>
        <w:rPr>
          <w:sz w:val="20"/>
          <w:szCs w:val="20"/>
          <w:color w:val="auto"/>
        </w:rPr>
      </w:pPr>
    </w:p>
    <w:p>
      <w:pPr>
        <w:jc w:val="both"/>
        <w:ind w:left="740"/>
        <w:spacing w:after="0" w:line="236" w:lineRule="auto"/>
        <w:rPr>
          <w:sz w:val="20"/>
          <w:szCs w:val="20"/>
          <w:color w:val="auto"/>
        </w:rPr>
      </w:pPr>
      <w:r>
        <w:rPr>
          <w:rFonts w:ascii="Times New Roman" w:cs="Times New Roman" w:eastAsia="Times New Roman" w:hAnsi="Times New Roman"/>
          <w:sz w:val="19"/>
          <w:szCs w:val="19"/>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(WHICH FOR THE AVOIDANCE OF DOUBT SHALL REQUIRE NEITHER CONSENT NOR THE DELIVERY OF AN OPINION BY THE HOLDER),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In addition, the Securities may contain a legend regarding affiliate status of the Purchaser, if applicable.</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4.12 </w:t>
      </w:r>
      <w:r>
        <w:rPr>
          <w:rFonts w:ascii="Times New Roman" w:cs="Times New Roman" w:eastAsia="Times New Roman" w:hAnsi="Times New Roman"/>
          <w:sz w:val="19"/>
          <w:szCs w:val="19"/>
          <w:u w:val="single" w:color="auto"/>
          <w:color w:val="auto"/>
        </w:rPr>
        <w:t>No General Solicitation</w:t>
      </w:r>
      <w:r>
        <w:rPr>
          <w:rFonts w:ascii="Times New Roman" w:cs="Times New Roman" w:eastAsia="Times New Roman" w:hAnsi="Times New Roman"/>
          <w:sz w:val="19"/>
          <w:szCs w:val="19"/>
          <w:color w:val="auto"/>
        </w:rPr>
        <w:t>. The Purchaser acknowledges and agrees that the Purchaser is purchasing the Securities directly from the Company. The Securities were offered to the Purchaser solely by direct contact between the Purchaser and the Company and/or their respective representatives. The Purchaser did not become aware of this offering of the Securities, nor were the Securities offered to the Purchaser, by any other means, and none of the Company and/or their respective representatives acted as investment advisor, broker or dealer to the Purchaser. The Purchaser is not purchasing the Securities as a result of advertising or, to its knowledge, general solicitation within the meaning of the Securities Act.</w:t>
      </w:r>
    </w:p>
    <w:p>
      <w:pPr>
        <w:spacing w:after="0" w:line="161"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Access to Information</w:t>
      </w:r>
      <w:r>
        <w:rPr>
          <w:rFonts w:ascii="Times New Roman" w:cs="Times New Roman" w:eastAsia="Times New Roman" w:hAnsi="Times New Roman"/>
          <w:sz w:val="19"/>
          <w:szCs w:val="19"/>
          <w:color w:val="auto"/>
        </w:rPr>
        <w:t>. In making its decision to purchase the Securities, the Purchaser has relied solely upon independent investigation made by the Purchaser, upon the SEC Reports and upon the representations, warranties and covenants set forth herein and in the other Transaction Agreements and the License Agreement. The Purchaser acknowledges and agrees that the Purchaser and the Purchaser’s professional advisor(s), if any, have had the opportunity to ask such questions, receive such answers and obtain such information from the Company regarding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0" w:name="page261"/>
    <w:bookmarkEnd w:id="260"/>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business and the terms and conditions of the offering of the Securities as the Purchaser and the Purchaser’s professional advisor(s), if any, have deemed necessary to make an investment decision with respect to the Securities and that the Purchaser has independently made its own analysis and decision to invest in the Company. Neither such inquiries nor any other due diligence investigation conducted by the Purchaser shall modify, limit or otherwise affect the Purchaser’s right to rely on the Company’s representations and warranties contained in this Agreement.</w:t>
      </w:r>
    </w:p>
    <w:p>
      <w:pPr>
        <w:spacing w:after="0" w:line="140"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4.14 </w:t>
      </w:r>
      <w:r>
        <w:rPr>
          <w:rFonts w:ascii="Times New Roman" w:cs="Times New Roman" w:eastAsia="Times New Roman" w:hAnsi="Times New Roman"/>
          <w:sz w:val="19"/>
          <w:szCs w:val="19"/>
          <w:u w:val="single" w:color="auto"/>
          <w:color w:val="auto"/>
        </w:rPr>
        <w:t>Certain Trading Activities</w:t>
      </w:r>
      <w:r>
        <w:rPr>
          <w:rFonts w:ascii="Times New Roman" w:cs="Times New Roman" w:eastAsia="Times New Roman" w:hAnsi="Times New Roman"/>
          <w:sz w:val="19"/>
          <w:szCs w:val="19"/>
          <w:color w:val="auto"/>
        </w:rPr>
        <w:t>. Other than consummating the transaction contemplated hereby,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was first contacted by the Company or any other Person regarding the transaction contemplated hereby and ending immediately prior to the date of this Agreement. Notwithstanding the foregoing, if the Purchaser’s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the Purchaser’s assets was informed of the information regarding the transactions contemplated hereunder and, with respect to the Purchaser’s investment advisor, the representation set forth above shall only apply with respect to any purchases or sales, including Short Sales, of the securities of the Company on behalf of other funds or investment vehicles for which the Purchaser’s investment advisor is also an investment advisor or sub-advisor after the point in time when the portfolio manager who manages the assets of such other funds or investment vehicles for which the Purchaser’s investment advisor is also an investment advisor or sub-advisor was informed of the information regarding the transactions contemplated hereunder. Other than to other Persons party to this Agreement and to its advisors and agents who had a need to know such information, the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58"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Disqualification Event</w:t>
      </w:r>
      <w:r>
        <w:rPr>
          <w:rFonts w:ascii="Times New Roman" w:cs="Times New Roman" w:eastAsia="Times New Roman" w:hAnsi="Times New Roman"/>
          <w:sz w:val="19"/>
          <w:szCs w:val="19"/>
          <w:color w:val="auto"/>
        </w:rPr>
        <w:t>. To the extent the Purchaser is one of the covered persons identified in Rule 506(d)(1), the Purchaser represents that no Disqualification Event is applicable to the Purchaser or any of its Rule 506(d) Related Parties (as defined below), except, if applicable, for a Disqualification Event as to which Rule 506(d)(2)(ii) or (iii) or (d)(3) is applicable. The Purchaser hereby agrees that it shall notify the Company promptly in writing in the event a Disqualification Event becomes applicable to the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9"/>
          <w:szCs w:val="19"/>
          <w:b w:val="1"/>
          <w:bCs w:val="1"/>
          <w:color w:val="auto"/>
        </w:rPr>
        <w:t>Rule 506(d) Related Party</w:t>
      </w:r>
      <w:r>
        <w:rPr>
          <w:rFonts w:ascii="Times New Roman" w:cs="Times New Roman" w:eastAsia="Times New Roman" w:hAnsi="Times New Roman"/>
          <w:sz w:val="19"/>
          <w:szCs w:val="19"/>
          <w:color w:val="auto"/>
        </w:rPr>
        <w:t>” means a person or entity that is a beneficial owner of the Purchaser’s securities for purposes of Rule 506(d) of the Securities Act.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1" w:name="page262"/>
    <w:bookmarkEnd w:id="261"/>
    <w:p>
      <w:pPr>
        <w:ind w:left="1025" w:hanging="275"/>
        <w:spacing w:after="0"/>
        <w:tabs>
          <w:tab w:leader="none" w:pos="1025"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left="5" w:firstLine="1501"/>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Purchaser acknowledges that the Company will rely on the acknowledgments, understandings, agreements, representations and warranties contained in this Agreement. Prior to the Closing, (i) the Purchaser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are no longer accurate and</w:t>
      </w:r>
    </w:p>
    <w:p>
      <w:pPr>
        <w:spacing w:after="0" w:line="1" w:lineRule="exact"/>
        <w:rPr>
          <w:sz w:val="20"/>
          <w:szCs w:val="20"/>
          <w:color w:val="auto"/>
        </w:rPr>
      </w:pPr>
    </w:p>
    <w:p>
      <w:pPr>
        <w:ind w:left="5" w:hanging="5"/>
        <w:spacing w:after="0"/>
        <w:tabs>
          <w:tab w:leader="none" w:pos="316"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promptly notify each Purchaser if any of the acknowledgements, understandings, agreements, representations, and warranties set forth in Section 3 of this Agreement are no longer accurate.</w:t>
      </w:r>
    </w:p>
    <w:p>
      <w:pPr>
        <w:spacing w:after="0" w:line="158" w:lineRule="exact"/>
        <w:rPr>
          <w:sz w:val="20"/>
          <w:szCs w:val="20"/>
          <w:color w:val="auto"/>
        </w:rPr>
      </w:pPr>
    </w:p>
    <w:p>
      <w:pPr>
        <w:jc w:val="both"/>
        <w:ind w:left="5"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Listing</w:t>
      </w:r>
      <w:r>
        <w:rPr>
          <w:rFonts w:ascii="Times New Roman" w:cs="Times New Roman" w:eastAsia="Times New Roman" w:hAnsi="Times New Roman"/>
          <w:sz w:val="19"/>
          <w:szCs w:val="19"/>
          <w:color w:val="auto"/>
        </w:rPr>
        <w:t>. The Company shall use commercially reasonable efforts to maintain the listing and trading of its Common Stock on the Nasdaq Capital Market and, in accordance therewith, will use reasonable best efforts to comply in all material respects with the Company’s reporting, filing and other obligations under the rules and regulations of Nasdaq.</w:t>
      </w:r>
    </w:p>
    <w:p>
      <w:pPr>
        <w:spacing w:after="0" w:line="151" w:lineRule="exact"/>
        <w:rPr>
          <w:sz w:val="20"/>
          <w:szCs w:val="20"/>
          <w:color w:val="auto"/>
        </w:rPr>
      </w:pPr>
    </w:p>
    <w:p>
      <w:pPr>
        <w:ind w:left="1505"/>
        <w:spacing w:after="0"/>
        <w:tabs>
          <w:tab w:leader="none" w:pos="2025"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5" w:firstLine="2246"/>
        <w:spacing w:after="0" w:line="236" w:lineRule="auto"/>
        <w:tabs>
          <w:tab w:leader="none" w:pos="2557"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by 9:00 a.m., New York City time, on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9"/>
          <w:szCs w:val="19"/>
          <w:color w:val="auto"/>
        </w:rPr>
        <w:t>) Business Day immediately following the date of this Agreement (provided that, if this Agreement is executed between midnight and 9:00 a.m., New York City time on any Business Day, no later than 9:01 a.m. on the date hereof, issue a press release and/or file with the SEC a Current Report on Form 8-K (including, if applicable, all exhibits thereto, the “</w:t>
      </w:r>
      <w:r>
        <w:rPr>
          <w:rFonts w:ascii="Times New Roman" w:cs="Times New Roman" w:eastAsia="Times New Roman" w:hAnsi="Times New Roman"/>
          <w:sz w:val="19"/>
          <w:szCs w:val="19"/>
          <w:b w:val="1"/>
          <w:bCs w:val="1"/>
          <w:color w:val="auto"/>
        </w:rPr>
        <w:t>Disclosure Document</w:t>
      </w:r>
      <w:r>
        <w:rPr>
          <w:rFonts w:ascii="Times New Roman" w:cs="Times New Roman" w:eastAsia="Times New Roman" w:hAnsi="Times New Roman"/>
          <w:sz w:val="19"/>
          <w:szCs w:val="19"/>
          <w:color w:val="auto"/>
        </w:rPr>
        <w:t>” and the actual filing of such press release and Current Report on Form 8-K, the “</w:t>
      </w:r>
      <w:r>
        <w:rPr>
          <w:rFonts w:ascii="Times New Roman" w:cs="Times New Roman" w:eastAsia="Times New Roman" w:hAnsi="Times New Roman"/>
          <w:sz w:val="19"/>
          <w:szCs w:val="19"/>
          <w:b w:val="1"/>
          <w:bCs w:val="1"/>
          <w:color w:val="auto"/>
        </w:rPr>
        <w:t>Disclosure Time</w:t>
      </w:r>
      <w:r>
        <w:rPr>
          <w:rFonts w:ascii="Times New Roman" w:cs="Times New Roman" w:eastAsia="Times New Roman" w:hAnsi="Times New Roman"/>
          <w:sz w:val="19"/>
          <w:szCs w:val="19"/>
          <w:color w:val="auto"/>
        </w:rPr>
        <w:t>”) disclosing (i) all material terms of the transactions contemplated hereby and by the other Transaction Agreements and, if the Disclosure Document is a Current Report on Form 8-K, attaching this Agreement and the other Transaction Agreements as exhibits to such Disclosure Document and (ii) all material non-public information concerning the Company and the transactions contemplated hereby disclosed to the Purchaser prior to the Disclosure Time. Following the issuance or filing of the Disclosure Document, the Purchaser shall not be in possession of any material non-public information concerning the Company disclosed to the Purchaser by the Company or its representatives, officers, directors, ore employees or agents. The Company understands and confirms that the Purchaser will rely on the foregoing representation in effecting securities transactions. From and after the issuance or filing of the Disclosure Document, the Company shall not provide material non-public information to Purchaser, unless otherwise specifically agreed in writing by Purchaser prior to any such disclosure. In addition, unless it has already done so by filing the Disclosure Document, on or before the fourth (4</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Business Day following the date of this Agreement, the Company shall file with the SEC a Current Report on Form 8-K disclosing all material terms of the transactions contemplated by this Agreement.</w:t>
      </w:r>
    </w:p>
    <w:p>
      <w:pPr>
        <w:spacing w:after="0" w:line="162" w:lineRule="exact"/>
        <w:rPr>
          <w:sz w:val="20"/>
          <w:szCs w:val="20"/>
          <w:color w:val="auto"/>
        </w:rPr>
      </w:pPr>
    </w:p>
    <w:p>
      <w:pPr>
        <w:ind w:left="5"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The Company shall not, and shall use its commercially reasonable efforts to ensure that no Affiliate of the Company shall, sell, offer for sale or solicit</w:t>
      </w:r>
    </w:p>
    <w:p>
      <w:pPr>
        <w:spacing w:after="0" w:line="36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501650</wp:posOffset>
            </wp:positionV>
            <wp:extent cx="717486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2" w:right="319" w:bottom="1440" w:gutter="0" w:footer="0" w:header="0"/>
        </w:sectPr>
      </w:pPr>
    </w:p>
    <w:bookmarkStart w:id="262" w:name="page263"/>
    <w:bookmarkEnd w:id="262"/>
    <w:p>
      <w:pPr>
        <w:jc w:val="both"/>
        <w:spacing w:after="0" w:line="241" w:lineRule="auto"/>
        <w:rPr>
          <w:sz w:val="20"/>
          <w:szCs w:val="20"/>
          <w:color w:val="auto"/>
        </w:rPr>
      </w:pPr>
      <w:r>
        <w:rPr>
          <w:rFonts w:ascii="Times New Roman" w:cs="Times New Roman" w:eastAsia="Times New Roman" w:hAnsi="Times New Roman"/>
          <w:sz w:val="19"/>
          <w:szCs w:val="19"/>
          <w:color w:val="auto"/>
        </w:rPr>
        <w:t>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5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2246"/>
        <w:spacing w:after="0" w:line="238" w:lineRule="auto"/>
        <w:tabs>
          <w:tab w:leader="none" w:pos="25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sale, assignment, transfer or other disposition of the Pre-Funded Warrant Shares by the Purchaser pursuant to Rule 144 or pursuant to any other exemption under the Securities Act such that the purchaser acquires freely tradable shares and upon compliance by the Purchaser with the requirements of this Agreement, if requested by the Purchaser by written notice to the Company, the Company shall request the Transfer Agent to remove any restrictive legends related to the book entry account holding such shares and make a new, unlegended entry for such book entry shares sold or disposed of without restrictive legends within the earlier of (i) one (1) business day and (ii) the Standard Settlement Period, in each case, of any such request therefor from the Purchaser, provided that the Company has timely received from the Purchaser customary representations and other documentation reasonably acceptable to the Company in connection therewith. The Company shall be responsible for the fees of its Transfer Agent and its legal counsel associated with such legend removal.</w:t>
      </w:r>
    </w:p>
    <w:p>
      <w:pPr>
        <w:spacing w:after="0" w:line="158"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receipt from the Purchaser by the Company and the Transfer Agent of customary representations and other documentation reasonably acceptable to the Company and the Transfer Agent in connection therewith, and subject to any legends related the restrictions on transfer contemplated by Section 5.13 hereof upon the earliest of such time as the Pre-Funded Warrant Shares (i) have been registered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9"/>
          <w:szCs w:val="19"/>
          <w:u w:val="single" w:color="auto"/>
          <w:color w:val="auto"/>
        </w:rPr>
        <w:t>Section 5.5(b)</w:t>
      </w:r>
      <w:r>
        <w:rPr>
          <w:rFonts w:ascii="Times New Roman" w:cs="Times New Roman" w:eastAsia="Times New Roman" w:hAnsi="Times New Roman"/>
          <w:sz w:val="19"/>
          <w:szCs w:val="19"/>
          <w:color w:val="auto"/>
        </w:rPr>
        <w:t xml:space="preserve"> and within the earlier of (i) one (1) business day and (ii) the Standard Settlement Period, in each case, of any request therefor from the Purchaser accompanied by such customary and reasonably acceptable documentation referred to above, (A) deliver to the Transfer Agent irrevocable instructions that the Transfer Agent shall make a new, unlegended entry for such book entry shares (other than any legends related the restrictions on transfer contemplated by Section 5.13 hereof)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this Agreement. Any shares subject to legend removal under this Section 5.5 may be transmitted by the Transfer Agent to Purchaser by crediting the account of Purchaser’s prime broker with the DTC System as directed by Purchaser. The Company shall be responsible for the fees of its Transfer Agent and all DTC fees associated with such issuance.</w:t>
      </w:r>
    </w:p>
    <w:p>
      <w:pPr>
        <w:spacing w:after="0" w:line="162" w:lineRule="exact"/>
        <w:rPr>
          <w:sz w:val="20"/>
          <w:szCs w:val="20"/>
          <w:color w:val="auto"/>
        </w:rPr>
      </w:pPr>
    </w:p>
    <w:p>
      <w:pPr>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5.6 </w:t>
      </w:r>
      <w:r>
        <w:rPr>
          <w:rFonts w:ascii="Times New Roman" w:cs="Times New Roman" w:eastAsia="Times New Roman" w:hAnsi="Times New Roman"/>
          <w:sz w:val="19"/>
          <w:szCs w:val="19"/>
          <w:u w:val="single" w:color="auto"/>
          <w:color w:val="auto"/>
        </w:rPr>
        <w:t>Withholding Taxes</w:t>
      </w:r>
      <w:r>
        <w:rPr>
          <w:rFonts w:ascii="Times New Roman" w:cs="Times New Roman" w:eastAsia="Times New Roman" w:hAnsi="Times New Roman"/>
          <w:sz w:val="19"/>
          <w:szCs w:val="19"/>
          <w:color w:val="auto"/>
        </w:rPr>
        <w:t>. The Purchaser agrees to furnish the Company with any information, representations and forms as shall reasonably be requested by the Company from time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9"/>
          <w:szCs w:val="19"/>
          <w:color w:val="auto"/>
        </w:rPr>
        <w:t>to time to assist the Company in complying with any applicable tax law (including any withholding obligations).</w:t>
      </w:r>
    </w:p>
    <w:p>
      <w:pPr>
        <w:spacing w:after="0" w:line="184" w:lineRule="exact"/>
        <w:rPr>
          <w:sz w:val="20"/>
          <w:szCs w:val="20"/>
          <w:color w:val="auto"/>
        </w:rPr>
      </w:pPr>
    </w:p>
    <w:p>
      <w:pPr>
        <w:jc w:val="both"/>
        <w:ind w:right="20"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Fees and Commissions</w:t>
      </w:r>
      <w:r>
        <w:rPr>
          <w:rFonts w:ascii="Times New Roman" w:cs="Times New Roman" w:eastAsia="Times New Roman" w:hAnsi="Times New Roman"/>
          <w:sz w:val="19"/>
          <w:szCs w:val="19"/>
          <w:color w:val="auto"/>
        </w:rPr>
        <w:t>. The Company shall be solely responsible for the payment of any placement agent’s fees, financial advisory fees or broker’s commissions (other than for Persons engaged by the Purchaser) relating to or arising out of the transactions contemplated hereby.</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No Conflicting Agreements</w:t>
      </w:r>
      <w:r>
        <w:rPr>
          <w:rFonts w:ascii="Times New Roman" w:cs="Times New Roman" w:eastAsia="Times New Roman" w:hAnsi="Times New Roman"/>
          <w:sz w:val="19"/>
          <w:szCs w:val="19"/>
          <w:color w:val="auto"/>
        </w:rPr>
        <w:t>. The Company will not take any action, enter into any agreement or make any commitment that would conflict or interfere in any material respect with the Company’s obligations to the Purchaser under the Transaction Agreements.</w:t>
      </w:r>
    </w:p>
    <w:p>
      <w:pPr>
        <w:spacing w:after="0" w:line="13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8"/>
          <w:szCs w:val="18"/>
          <w:u w:val="single" w:color="auto"/>
          <w:color w:val="auto"/>
        </w:rPr>
        <w:t>Indemnification.</w:t>
      </w:r>
    </w:p>
    <w:p>
      <w:pPr>
        <w:spacing w:after="0" w:line="184" w:lineRule="exact"/>
        <w:rPr>
          <w:sz w:val="20"/>
          <w:szCs w:val="20"/>
          <w:color w:val="auto"/>
        </w:rPr>
      </w:pPr>
    </w:p>
    <w:p>
      <w:pPr>
        <w:jc w:val="both"/>
        <w:ind w:firstLine="2246"/>
        <w:spacing w:after="0" w:line="238" w:lineRule="auto"/>
        <w:tabs>
          <w:tab w:leader="none" w:pos="255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agrees to indemnify and hold harmless the Purchaser and its Affiliates, and their respective directors, officers, trustees, members, managers, employees, investment advisors and agents (collectively, the “</w:t>
      </w:r>
      <w:r>
        <w:rPr>
          <w:rFonts w:ascii="Times New Roman" w:cs="Times New Roman" w:eastAsia="Times New Roman" w:hAnsi="Times New Roman"/>
          <w:sz w:val="19"/>
          <w:szCs w:val="19"/>
          <w:b w:val="1"/>
          <w:bCs w:val="1"/>
          <w:color w:val="auto"/>
        </w:rPr>
        <w:t>Indemnified Persons</w:t>
      </w:r>
      <w:r>
        <w:rPr>
          <w:rFonts w:ascii="Times New Roman" w:cs="Times New Roman" w:eastAsia="Times New Roman" w:hAnsi="Times New Roman"/>
          <w:sz w:val="19"/>
          <w:szCs w:val="19"/>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in quarterly payments for all such amounts incurred by such Person solely to the extent such amounts have been finally judicially determined not to have resulted from such Person’s fraud, gross negligence, willful misconduct or bad faith.</w:t>
      </w:r>
    </w:p>
    <w:p>
      <w:pPr>
        <w:spacing w:after="0" w:line="158" w:lineRule="exact"/>
        <w:rPr>
          <w:rFonts w:ascii="Times New Roman" w:cs="Times New Roman" w:eastAsia="Times New Roman" w:hAnsi="Times New Roman"/>
          <w:sz w:val="19"/>
          <w:szCs w:val="19"/>
          <w:color w:val="auto"/>
        </w:rPr>
      </w:pPr>
    </w:p>
    <w:p>
      <w:pPr>
        <w:jc w:val="both"/>
        <w:ind w:firstLine="2246"/>
        <w:spacing w:after="0" w:line="236" w:lineRule="auto"/>
        <w:tabs>
          <w:tab w:leader="none" w:pos="255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4" w:name="page265"/>
    <w:bookmarkEnd w:id="264"/>
    <w:p>
      <w:pPr>
        <w:jc w:val="both"/>
        <w:spacing w:after="0" w:line="239" w:lineRule="auto"/>
        <w:rPr>
          <w:sz w:val="20"/>
          <w:szCs w:val="20"/>
          <w:color w:val="auto"/>
        </w:rPr>
      </w:pPr>
      <w:r>
        <w:rPr>
          <w:rFonts w:ascii="Times New Roman" w:cs="Times New Roman" w:eastAsia="Times New Roman" w:hAnsi="Times New Roman"/>
          <w:sz w:val="19"/>
          <w:szCs w:val="19"/>
          <w:color w:val="auto"/>
        </w:rPr>
        <w:t>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prior written consent of the indemnifying party, which consent shall not be unreasonably withheld, conditioned or delayed, consent to entry of any judgment or enter into any settlement.</w:t>
      </w:r>
    </w:p>
    <w:p>
      <w:pPr>
        <w:spacing w:after="0" w:line="161"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5.10 </w:t>
      </w:r>
      <w:r>
        <w:rPr>
          <w:rFonts w:ascii="Times New Roman" w:cs="Times New Roman" w:eastAsia="Times New Roman" w:hAnsi="Times New Roman"/>
          <w:sz w:val="19"/>
          <w:szCs w:val="19"/>
          <w:u w:val="single" w:color="auto"/>
          <w:color w:val="auto"/>
        </w:rPr>
        <w:t>Subsequent Equity Sales</w:t>
      </w:r>
      <w:r>
        <w:rPr>
          <w:rFonts w:ascii="Times New Roman" w:cs="Times New Roman" w:eastAsia="Times New Roman" w:hAnsi="Times New Roman"/>
          <w:sz w:val="19"/>
          <w:szCs w:val="19"/>
          <w:color w:val="auto"/>
        </w:rPr>
        <w:t xml:space="preserve">. From the date of this Agreement until the earlier of (a) sixty (60) days after the Closing Date and (b) the Business Day immediately following the effective date of the registration statement filed pursuant to the Registration Rights Agreement, the Company shall not (A) issue shares of Common Stock or Common Stock Equivalents, (B) effect a reverse stock split, recapitalization, share consolidation, reclassification or similar transaction affecting the outstanding Common Stock or (C) file with the SEC a registration statement under the Securities Act relating to any shares of Common Stock or Common Stock Equivalents, except pursuant to the terms of the Registration Rights Agreement and pursuant to the terms of any registration rights agreement disclosed in the Disclosure Document. Notwithstanding the foregoing, the provisions of this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shall not apply to (i) the issuance of the Securities hereunder and pursuant to any transaction disclosed in the Disclosure Document, (ii) the issuance of Common Stock or Common Stock Equivalents upon the conversion, exercise or vesting of any securities of the Company outstanding on the date of this Agreement or outstanding pursuant to clause (iii) below; provided that such conversion, exercise or vesting is effected pursuant to the terms of such securities as in effect on the date of this Agreement and without giving effect to any amendments or adjustments thereto after the date hereof,, (iii) the grant or issuance of any Common Stock or Common Stock Equivalents pursuant to any existing or hereinafter adopted or amended Company stock-based compensation plans approved by the Board of Directors of the Company or in accordance with Nasdaq Stock Market Rule 5635(c)(4) or (iv) the filing of registration statements on Form S-8 under the Securities Act to register the offer and sale of securities on an equity incentive plan or employee stock purchase plan.</w:t>
      </w:r>
    </w:p>
    <w:p>
      <w:pPr>
        <w:spacing w:after="0" w:line="162"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As of the date of this Agreement,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w:t>
      </w:r>
    </w:p>
    <w:p>
      <w:pPr>
        <w:spacing w:after="0" w:line="151"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5.12</w:t>
      </w:r>
      <w:r>
        <w:rPr>
          <w:sz w:val="20"/>
          <w:szCs w:val="20"/>
          <w:color w:val="auto"/>
        </w:rPr>
        <w:tab/>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1" w:lineRule="auto"/>
        <w:tabs>
          <w:tab w:leader="none" w:pos="2552"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of the transactions contemplated by the Transaction Agreements, including the issuance of the Pre-Funded Warrant Shares upon exercise of the Pre-Funded Warrant, requires stockholder approval pursuant to the rules and regulations of Nasdaq, the Company will, no later than in connection with its 2026 annual meeting of stockholders (the “</w:t>
      </w:r>
      <w:r>
        <w:rPr>
          <w:rFonts w:ascii="Times New Roman" w:cs="Times New Roman" w:eastAsia="Times New Roman" w:hAnsi="Times New Roman"/>
          <w:sz w:val="19"/>
          <w:szCs w:val="19"/>
          <w:b w:val="1"/>
          <w:bCs w:val="1"/>
          <w:color w:val="auto"/>
        </w:rPr>
        <w:t>Annual Meeting</w:t>
      </w:r>
      <w:r>
        <w:rPr>
          <w:rFonts w:ascii="Times New Roman" w:cs="Times New Roman" w:eastAsia="Times New Roman" w:hAnsi="Times New Roman"/>
          <w:sz w:val="19"/>
          <w:szCs w:val="19"/>
          <w:color w:val="auto"/>
        </w:rPr>
        <w:t>”), provide notice of, and solicit proxies for the Company’s stockholders to obtain such required approvals such that the Pre-Funded Warrant can be exercised at any time, subject to beneficial ownership limitations contained therein, in each case without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5" w:name="page266"/>
    <w:bookmarkEnd w:id="265"/>
    <w:p>
      <w:pPr>
        <w:jc w:val="both"/>
        <w:spacing w:after="0" w:line="244" w:lineRule="auto"/>
        <w:rPr>
          <w:sz w:val="20"/>
          <w:szCs w:val="20"/>
          <w:color w:val="auto"/>
        </w:rPr>
      </w:pPr>
      <w:r>
        <w:rPr>
          <w:rFonts w:ascii="Times New Roman" w:cs="Times New Roman" w:eastAsia="Times New Roman" w:hAnsi="Times New Roman"/>
          <w:sz w:val="19"/>
          <w:szCs w:val="19"/>
          <w:color w:val="auto"/>
        </w:rPr>
        <w:t>restriction or additional stockholder approval (the “</w:t>
      </w:r>
      <w:r>
        <w:rPr>
          <w:rFonts w:ascii="Times New Roman" w:cs="Times New Roman" w:eastAsia="Times New Roman" w:hAnsi="Times New Roman"/>
          <w:sz w:val="19"/>
          <w:szCs w:val="19"/>
          <w:b w:val="1"/>
          <w:bCs w:val="1"/>
          <w:color w:val="auto"/>
        </w:rPr>
        <w:t>Stockholder Approval</w:t>
      </w:r>
      <w:r>
        <w:rPr>
          <w:rFonts w:ascii="Times New Roman" w:cs="Times New Roman" w:eastAsia="Times New Roman" w:hAnsi="Times New Roman"/>
          <w:sz w:val="19"/>
          <w:szCs w:val="19"/>
          <w:color w:val="auto"/>
        </w:rPr>
        <w:t>”). The Annual Meeting shall occur no later than June 30, 2026. To the extent the Stockholder Approval is not obtained at or before the Annual Meeting, the Company shall cause an additional meeting (special or general) of the Company’s stockholders to be held every 90 days thereafter for the purpose of obtaining the Stockholder Approval until the Stockholder Approval is obtained.</w:t>
      </w:r>
    </w:p>
    <w:p>
      <w:pPr>
        <w:spacing w:after="0" w:line="156"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5.13 </w:t>
      </w:r>
      <w:r>
        <w:rPr>
          <w:rFonts w:ascii="Times New Roman" w:cs="Times New Roman" w:eastAsia="Times New Roman" w:hAnsi="Times New Roman"/>
          <w:sz w:val="19"/>
          <w:szCs w:val="19"/>
          <w:u w:val="single" w:color="auto"/>
          <w:color w:val="auto"/>
        </w:rPr>
        <w:t>Lock-up</w:t>
      </w:r>
      <w:r>
        <w:rPr>
          <w:rFonts w:ascii="Times New Roman" w:cs="Times New Roman" w:eastAsia="Times New Roman" w:hAnsi="Times New Roman"/>
          <w:sz w:val="19"/>
          <w:szCs w:val="19"/>
          <w:color w:val="auto"/>
        </w:rPr>
        <w:t>. Without the prior written consent of the Company, Purchaser will not, and will not publicly disclose an intention to, during the period commencing on the date hereof and ending 180 days after the Closing Date (the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Purchaser or any other securities so owned convertible into or exercisable or exchangeable for Common Stock including the Securities (collectively, the “</w:t>
      </w:r>
      <w:r>
        <w:rPr>
          <w:rFonts w:ascii="Times New Roman" w:cs="Times New Roman" w:eastAsia="Times New Roman" w:hAnsi="Times New Roman"/>
          <w:sz w:val="19"/>
          <w:szCs w:val="19"/>
          <w:b w:val="1"/>
          <w:bCs w:val="1"/>
          <w:color w:val="auto"/>
        </w:rPr>
        <w:t>Restricted Securities</w:t>
      </w:r>
      <w:r>
        <w:rPr>
          <w:rFonts w:ascii="Times New Roman" w:cs="Times New Roman" w:eastAsia="Times New Roman" w:hAnsi="Times New Roman"/>
          <w:sz w:val="19"/>
          <w:szCs w:val="19"/>
          <w:color w:val="auto"/>
        </w:rPr>
        <w:t>”) or (2) enter into any swap or other arrangement that transfers to another, in whole or in part, any of the economic consequences of ownership of the Common Stock or the Securities,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including the Securities, even if any such sale or disposition transaction or transactions would be made or executed by or on behalf of someone other than the Purchaser. Notwithstanding the foregoing, and subject to compliance with applicable securities laws, Purchaser may transfer the Restricted Securities as part of a pro rata distribution to stockholders of the Purchaser that does not involve a disposition for value; provided that prior to any such distribution, the Company receives a signed lock-up agreement from each distributee containing substantially the same restrictions to this Section 5.13.</w:t>
      </w:r>
    </w:p>
    <w:p>
      <w:pPr>
        <w:spacing w:after="0" w:line="160" w:lineRule="exact"/>
        <w:rPr>
          <w:sz w:val="20"/>
          <w:szCs w:val="20"/>
          <w:color w:val="auto"/>
        </w:rPr>
      </w:pPr>
    </w:p>
    <w:p>
      <w:pPr>
        <w:ind w:left="1020" w:hanging="275"/>
        <w:spacing w:after="0"/>
        <w:tabs>
          <w:tab w:leader="none" w:pos="10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of Closing</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Conditions to the Obligation of the Purchaser</w:t>
      </w:r>
      <w:r>
        <w:rPr>
          <w:rFonts w:ascii="Times New Roman" w:cs="Times New Roman" w:eastAsia="Times New Roman" w:hAnsi="Times New Roman"/>
          <w:sz w:val="19"/>
          <w:szCs w:val="19"/>
          <w:color w:val="auto"/>
        </w:rPr>
        <w:t>. The obligations of the Purchaser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151" w:lineRule="exact"/>
        <w:rPr>
          <w:sz w:val="20"/>
          <w:szCs w:val="20"/>
          <w:color w:val="auto"/>
        </w:rPr>
      </w:pPr>
    </w:p>
    <w:p>
      <w:pPr>
        <w:jc w:val="both"/>
        <w:ind w:firstLine="2246"/>
        <w:spacing w:after="0" w:line="254" w:lineRule="auto"/>
        <w:tabs>
          <w:tab w:leader="none" w:pos="25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and consummation of the Closing shall constitute a reaffirmation by the Company of each of the representations, warranties, covenants and agreements of Purchaser contained in this Agreement as of the Closing Date.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8" w:right="319" w:bottom="1440" w:gutter="0" w:footer="0" w:header="0"/>
        </w:sectPr>
      </w:pPr>
    </w:p>
    <w:bookmarkStart w:id="266" w:name="page267"/>
    <w:bookmarkEnd w:id="266"/>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Company shall have performed in all material respects the obligations and conditions herein required to be performed or observed by the Company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The purchase of and payment for the Securities by the Purchaser shall not be prohibited or enjoined by any law or governmental or court order or regulation and no such prohibition shall have been threatened in writing.</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Consents</w:t>
      </w:r>
      <w:r>
        <w:rPr>
          <w:rFonts w:ascii="Times New Roman" w:cs="Times New Roman" w:eastAsia="Times New Roman" w:hAnsi="Times New Roman"/>
          <w:sz w:val="19"/>
          <w:szCs w:val="19"/>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Since the date of this Agreement, no event or series of events shall have occurred that has had or would reasonably be expected to have a Material Adverse Effect.</w:t>
      </w:r>
    </w:p>
    <w:p>
      <w:pPr>
        <w:spacing w:after="0" w:line="137"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 of Company Counsel</w:t>
      </w:r>
      <w:r>
        <w:rPr>
          <w:rFonts w:ascii="Times New Roman" w:cs="Times New Roman" w:eastAsia="Times New Roman" w:hAnsi="Times New Roman"/>
          <w:sz w:val="19"/>
          <w:szCs w:val="19"/>
          <w:color w:val="auto"/>
        </w:rPr>
        <w:t>. The Company shall have delivered to the Purchaser the opinion of Wilson Sonsini Goodrich &amp; Rosati, P.C. (“</w:t>
      </w:r>
      <w:r>
        <w:rPr>
          <w:rFonts w:ascii="Times New Roman" w:cs="Times New Roman" w:eastAsia="Times New Roman" w:hAnsi="Times New Roman"/>
          <w:sz w:val="19"/>
          <w:szCs w:val="19"/>
          <w:b w:val="1"/>
          <w:bCs w:val="1"/>
          <w:color w:val="auto"/>
        </w:rPr>
        <w:t>WSGR</w:t>
      </w:r>
      <w:r>
        <w:rPr>
          <w:rFonts w:ascii="Times New Roman" w:cs="Times New Roman" w:eastAsia="Times New Roman" w:hAnsi="Times New Roman"/>
          <w:sz w:val="19"/>
          <w:szCs w:val="19"/>
          <w:color w:val="auto"/>
        </w:rPr>
        <w:t>”), dated as of the Closing Date, in customary form and substance to be reasonably agreed upon with the Purchaser and addressing such legal matters as the Purchaser and the Company reasonably agree.</w:t>
      </w:r>
    </w:p>
    <w:p>
      <w:pPr>
        <w:spacing w:after="0" w:line="150" w:lineRule="exact"/>
        <w:rPr>
          <w:rFonts w:ascii="Times New Roman" w:cs="Times New Roman" w:eastAsia="Times New Roman" w:hAnsi="Times New Roman"/>
          <w:sz w:val="19"/>
          <w:szCs w:val="19"/>
          <w:color w:val="auto"/>
        </w:rPr>
      </w:pPr>
    </w:p>
    <w:p>
      <w:pPr>
        <w:jc w:val="both"/>
        <w:ind w:right="20" w:firstLine="2246"/>
        <w:spacing w:after="0" w:line="248"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An authorized officer of the Company shall have delivered to the Purchaser at the Closing Date a certificate certifying that the conditions specified in </w:t>
      </w:r>
      <w:r>
        <w:rPr>
          <w:rFonts w:ascii="Times New Roman" w:cs="Times New Roman" w:eastAsia="Times New Roman" w:hAnsi="Times New Roman"/>
          <w:sz w:val="19"/>
          <w:szCs w:val="19"/>
          <w:u w:val="single" w:color="auto"/>
          <w:color w:val="auto"/>
        </w:rPr>
        <w:t>Sections 6.1(a) (Representations and Warranties)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 (Performance)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6.1(c) (No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xml:space="preserve">, 6.1(e) </w:t>
      </w:r>
      <w:r>
        <w:rPr>
          <w:rFonts w:ascii="Times New Roman" w:cs="Times New Roman" w:eastAsia="Times New Roman" w:hAnsi="Times New Roman"/>
          <w:sz w:val="19"/>
          <w:szCs w:val="19"/>
          <w:u w:val="single" w:color="auto"/>
          <w:color w:val="auto"/>
        </w:rPr>
        <w:t>(Adverse Changes)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6.1(k) (Listing Requirements)</w:t>
      </w:r>
      <w:r>
        <w:rPr>
          <w:rFonts w:ascii="Times New Roman" w:cs="Times New Roman" w:eastAsia="Times New Roman" w:hAnsi="Times New Roman"/>
          <w:sz w:val="19"/>
          <w:szCs w:val="19"/>
          <w:color w:val="auto"/>
        </w:rPr>
        <w:t xml:space="preserve"> of this Agreement have been fulfilled.</w:t>
      </w:r>
    </w:p>
    <w:p>
      <w:pPr>
        <w:spacing w:after="0" w:line="150" w:lineRule="exact"/>
        <w:rPr>
          <w:rFonts w:ascii="Times New Roman" w:cs="Times New Roman" w:eastAsia="Times New Roman" w:hAnsi="Times New Roman"/>
          <w:sz w:val="19"/>
          <w:szCs w:val="19"/>
          <w:color w:val="auto"/>
        </w:rPr>
      </w:pPr>
    </w:p>
    <w:p>
      <w:pPr>
        <w:jc w:val="both"/>
        <w:ind w:firstLine="2246"/>
        <w:spacing w:after="0" w:line="243"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Secretary’s Certificate</w:t>
      </w:r>
      <w:r>
        <w:rPr>
          <w:rFonts w:ascii="Times New Roman" w:cs="Times New Roman" w:eastAsia="Times New Roman" w:hAnsi="Times New Roman"/>
          <w:sz w:val="19"/>
          <w:szCs w:val="19"/>
          <w:color w:val="auto"/>
        </w:rPr>
        <w:t>. The Secretary of the Company shall have delivered to the Purchaser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55"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The License Agreement shall have been executed by the parties thereto, have come into force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remain effective.</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Company shall have executed and delivered the Registration Rights Agreement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to the Purchaser.</w:t>
      </w:r>
    </w:p>
    <w:p>
      <w:pPr>
        <w:spacing w:after="0" w:line="137" w:lineRule="exact"/>
        <w:rPr>
          <w:rFonts w:ascii="Times New Roman" w:cs="Times New Roman" w:eastAsia="Times New Roman" w:hAnsi="Times New Roman"/>
          <w:sz w:val="19"/>
          <w:szCs w:val="19"/>
          <w:color w:val="auto"/>
        </w:rPr>
      </w:pPr>
    </w:p>
    <w:p>
      <w:pPr>
        <w:jc w:val="both"/>
        <w:ind w:firstLine="2246"/>
        <w:spacing w:after="0" w:line="241" w:lineRule="auto"/>
        <w:tabs>
          <w:tab w:leader="none" w:pos="2552"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Listing Requirements</w:t>
      </w:r>
      <w:r>
        <w:rPr>
          <w:rFonts w:ascii="Times New Roman" w:cs="Times New Roman" w:eastAsia="Times New Roman" w:hAnsi="Times New Roman"/>
          <w:sz w:val="19"/>
          <w:szCs w:val="19"/>
          <w:color w:val="auto"/>
        </w:rPr>
        <w:t>. No stop order or suspension of trading shall have been imposed by Nasdaq, the SEC or any other governmental or regulatory body with respect to public trading in the Common Stock. The Common Stock shall be listed on a National Exchange and shall not have been suspended, as of the Closing Date, by the SEC or the National Exchange from trading thereon nor shall suspension by the SEC or the National Exchange have been threatened, as of the Closing Date, in writing by the SEC or the National Exchange; and the Company shall have filed with Nasdaq a Notification Form: Listing of Additional Shares for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9"/>
          <w:szCs w:val="19"/>
          <w:color w:val="auto"/>
        </w:rPr>
        <w:t>listing of the Pre-Funded Warrant Shares and Nasdaq shall have raised no objection to such notice and the transactions contemplated hereby.</w:t>
      </w:r>
    </w:p>
    <w:p>
      <w:pPr>
        <w:spacing w:after="0" w:line="184" w:lineRule="exact"/>
        <w:rPr>
          <w:sz w:val="20"/>
          <w:szCs w:val="20"/>
          <w:color w:val="auto"/>
        </w:rPr>
      </w:pPr>
    </w:p>
    <w:p>
      <w:pPr>
        <w:jc w:val="both"/>
        <w:ind w:right="20" w:firstLine="2246"/>
        <w:spacing w:after="0" w:line="243" w:lineRule="auto"/>
        <w:tabs>
          <w:tab w:leader="none" w:pos="255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Injunction</w:t>
      </w:r>
      <w:r>
        <w:rPr>
          <w:rFonts w:ascii="Times New Roman" w:cs="Times New Roman" w:eastAsia="Times New Roman" w:hAnsi="Times New Roman"/>
          <w:sz w:val="19"/>
          <w:szCs w:val="19"/>
          <w:color w:val="auto"/>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spacing w:after="0" w:line="156"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Conditions to the Obligation of the Company</w:t>
      </w:r>
      <w:r>
        <w:rPr>
          <w:rFonts w:ascii="Times New Roman" w:cs="Times New Roman" w:eastAsia="Times New Roman" w:hAnsi="Times New Roman"/>
          <w:sz w:val="19"/>
          <w:szCs w:val="19"/>
          <w:color w:val="auto"/>
        </w:rPr>
        <w:t>. The obligation of the Company to consummate the transactions to be consummated at the Closing, and to issue and sell to the Purchaser the Securities to be purchased by it at the Closing pursuant to this Agreement, is subject to the satisfaction or waiver in writing of the following conditions precedent:</w:t>
      </w:r>
    </w:p>
    <w:p>
      <w:pPr>
        <w:spacing w:after="0" w:line="151" w:lineRule="exact"/>
        <w:rPr>
          <w:sz w:val="20"/>
          <w:szCs w:val="20"/>
          <w:color w:val="auto"/>
        </w:rPr>
      </w:pPr>
    </w:p>
    <w:p>
      <w:pPr>
        <w:jc w:val="both"/>
        <w:ind w:firstLine="2246"/>
        <w:spacing w:after="0" w:line="241"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representations and warranties of the Purchaser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hereto shall be true and correct in all material respects, except for those representation and warranties qualified by materiality or material adverse effect, which shall be true and correct in all respects, on and as of the Closing Date, with the same force and effect as though made on and as of the Closing Date and consummation of the Closing shall constitute a reaffirmation by the Purchaser of each of the representations, warranties, covenants and agreements of the Purchaser contained in this Agreement as of the Closing Date.</w:t>
      </w:r>
    </w:p>
    <w:p>
      <w:pPr>
        <w:spacing w:after="0" w:line="156"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w:t>
      </w:r>
      <w:r>
        <w:rPr>
          <w:rFonts w:ascii="Times New Roman" w:cs="Times New Roman" w:eastAsia="Times New Roman" w:hAnsi="Times New Roman"/>
          <w:sz w:val="19"/>
          <w:szCs w:val="19"/>
          <w:color w:val="auto"/>
        </w:rPr>
        <w:t>. The Purchaser shall have performed or complied with in all material respects all obligations and conditions herein required to be performed or observed by the Purchaser on or prior to the Closing Date.</w:t>
      </w:r>
    </w:p>
    <w:p>
      <w:pPr>
        <w:spacing w:after="0" w:line="137"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Injunction</w:t>
      </w:r>
      <w:r>
        <w:rPr>
          <w:rFonts w:ascii="Times New Roman" w:cs="Times New Roman" w:eastAsia="Times New Roman" w:hAnsi="Times New Roman"/>
          <w:sz w:val="19"/>
          <w:szCs w:val="19"/>
          <w:color w:val="auto"/>
        </w:rPr>
        <w:t>. The purchase of and payment for the Securities by the Purchaser shall not be prohibited or enjoined by any law or governmental or court order or regulation.</w:t>
      </w:r>
    </w:p>
    <w:p>
      <w:pPr>
        <w:spacing w:after="0" w:line="137"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License Agreement</w:t>
      </w:r>
      <w:r>
        <w:rPr>
          <w:rFonts w:ascii="Times New Roman" w:cs="Times New Roman" w:eastAsia="Times New Roman" w:hAnsi="Times New Roman"/>
          <w:sz w:val="19"/>
          <w:szCs w:val="19"/>
          <w:color w:val="auto"/>
        </w:rPr>
        <w:t>. The License Agreement shall have been executed by the parties thereto, have come into force</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remain effective.</w:t>
      </w:r>
    </w:p>
    <w:p>
      <w:pPr>
        <w:spacing w:after="0" w:line="163" w:lineRule="exact"/>
        <w:rPr>
          <w:rFonts w:ascii="Times New Roman" w:cs="Times New Roman" w:eastAsia="Times New Roman" w:hAnsi="Times New Roman"/>
          <w:sz w:val="19"/>
          <w:szCs w:val="19"/>
          <w:color w:val="auto"/>
        </w:rPr>
      </w:pPr>
    </w:p>
    <w:p>
      <w:pPr>
        <w:ind w:right="20" w:firstLine="2246"/>
        <w:spacing w:after="0" w:line="262" w:lineRule="auto"/>
        <w:tabs>
          <w:tab w:leader="none" w:pos="2552"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xml:space="preserve">. The Purchaser shall have executed and delivered the Registration Rights Agreement to the Company in the form attached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020" w:hanging="275"/>
        <w:spacing w:after="0"/>
        <w:tabs>
          <w:tab w:leader="none" w:pos="102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The obligations of the Company, on the one hand, and the Purchaser, on the other hand, to effect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shall terminate as follows:</w:t>
      </w:r>
    </w:p>
    <w:p>
      <w:pPr>
        <w:spacing w:after="0" w:line="164" w:lineRule="exact"/>
        <w:rPr>
          <w:sz w:val="20"/>
          <w:szCs w:val="20"/>
          <w:color w:val="auto"/>
        </w:rPr>
      </w:pPr>
    </w:p>
    <w:p>
      <w:pPr>
        <w:ind w:left="2540" w:hanging="294"/>
        <w:spacing w:after="0"/>
        <w:tabs>
          <w:tab w:leader="none" w:pos="25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mutual written consent of the Company and the Purchaser;</w:t>
      </w:r>
    </w:p>
    <w:p>
      <w:pPr>
        <w:spacing w:after="0" w:line="183" w:lineRule="exact"/>
        <w:rPr>
          <w:rFonts w:ascii="Times New Roman" w:cs="Times New Roman" w:eastAsia="Times New Roman" w:hAnsi="Times New Roman"/>
          <w:sz w:val="19"/>
          <w:szCs w:val="19"/>
          <w:color w:val="auto"/>
        </w:rPr>
      </w:pPr>
    </w:p>
    <w:p>
      <w:pPr>
        <w:ind w:left="2540" w:hanging="294"/>
        <w:spacing w:after="0"/>
        <w:tabs>
          <w:tab w:leader="none" w:pos="254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party if the License Agreement is terminated in accordance with its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8" w:name="page269"/>
    <w:bookmarkEnd w:id="268"/>
    <w:p>
      <w:pPr>
        <w:ind w:right="20" w:firstLine="2252"/>
        <w:spacing w:after="0" w:line="262" w:lineRule="auto"/>
        <w:rPr>
          <w:sz w:val="20"/>
          <w:szCs w:val="20"/>
          <w:color w:val="auto"/>
        </w:rPr>
      </w:pPr>
      <w:r>
        <w:rPr>
          <w:rFonts w:ascii="Times New Roman" w:cs="Times New Roman" w:eastAsia="Times New Roman" w:hAnsi="Times New Roman"/>
          <w:sz w:val="19"/>
          <w:szCs w:val="19"/>
          <w:color w:val="auto"/>
        </w:rPr>
        <w:t xml:space="preserve">(iii)By the Company if any of the conditions set forth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shall have become incapable of fulfillment, and shall not have been waived by the Company;</w:t>
      </w:r>
    </w:p>
    <w:p>
      <w:pPr>
        <w:spacing w:after="0" w:line="138" w:lineRule="exact"/>
        <w:rPr>
          <w:sz w:val="20"/>
          <w:szCs w:val="20"/>
          <w:color w:val="auto"/>
        </w:rPr>
      </w:pPr>
    </w:p>
    <w:p>
      <w:pPr>
        <w:ind w:right="20" w:firstLine="2246"/>
        <w:spacing w:after="0" w:line="262" w:lineRule="auto"/>
        <w:tabs>
          <w:tab w:leader="none" w:pos="255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the Purchaser if any of the conditions set forth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shall have become incapable of fulfillment, and shall not have been waived by the Purchaser; or</w:t>
      </w:r>
    </w:p>
    <w:p>
      <w:pPr>
        <w:spacing w:after="0" w:line="137" w:lineRule="exact"/>
        <w:rPr>
          <w:rFonts w:ascii="Times New Roman" w:cs="Times New Roman" w:eastAsia="Times New Roman" w:hAnsi="Times New Roman"/>
          <w:sz w:val="19"/>
          <w:szCs w:val="19"/>
          <w:color w:val="auto"/>
        </w:rPr>
      </w:pPr>
    </w:p>
    <w:p>
      <w:pPr>
        <w:ind w:firstLine="2246"/>
        <w:spacing w:after="0" w:line="262" w:lineRule="auto"/>
        <w:tabs>
          <w:tab w:leader="none" w:pos="255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either the Company or the Purchaser if the Closing has not occurred on or prior to the fifth Business Day following the date of this Agreement;</w:t>
      </w:r>
    </w:p>
    <w:p>
      <w:pPr>
        <w:spacing w:after="0" w:line="138"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provided, however, that, in the case of clauses (iii) and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51" w:lineRule="exact"/>
        <w:rPr>
          <w:sz w:val="20"/>
          <w:szCs w:val="20"/>
          <w:color w:val="auto"/>
        </w:rPr>
      </w:pPr>
    </w:p>
    <w:p>
      <w:pPr>
        <w:ind w:left="1020" w:hanging="275"/>
        <w:spacing w:after="0"/>
        <w:tabs>
          <w:tab w:leader="none" w:pos="102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501"/>
        <w:spacing w:after="0" w:line="236" w:lineRule="auto"/>
        <w:rPr>
          <w:sz w:val="20"/>
          <w:szCs w:val="20"/>
          <w:color w:val="auto"/>
        </w:rPr>
      </w:pPr>
      <w:r>
        <w:rPr>
          <w:rFonts w:ascii="Times New Roman" w:cs="Times New Roman" w:eastAsia="Times New Roman" w:hAnsi="Times New Roman"/>
          <w:sz w:val="19"/>
          <w:szCs w:val="19"/>
          <w:color w:val="auto"/>
        </w:rPr>
        <w:t xml:space="preserve">8.1 </w:t>
      </w:r>
      <w:r>
        <w:rPr>
          <w:rFonts w:ascii="Times New Roman" w:cs="Times New Roman" w:eastAsia="Times New Roman" w:hAnsi="Times New Roman"/>
          <w:sz w:val="19"/>
          <w:szCs w:val="19"/>
          <w:u w:val="single" w:color="auto"/>
          <w:color w:val="auto"/>
        </w:rPr>
        <w:t>Public Statements or Releases</w:t>
      </w:r>
      <w:r>
        <w:rPr>
          <w:rFonts w:ascii="Times New Roman" w:cs="Times New Roman" w:eastAsia="Times New Roman" w:hAnsi="Times New Roman"/>
          <w:sz w:val="19"/>
          <w:szCs w:val="19"/>
          <w:color w:val="auto"/>
        </w:rPr>
        <w:t xml:space="preserve">. Except as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neither the Company nor the Purchaser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Notwithstanding the foregoing, and subject to compliance with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Purchaser reasonable time to comment on such release or announcement in advance of such issuance, and the Company will consider in good faith the Purchaser’s comments. The Company shall not include the name of the Purchaser in any press release or public announcement (which, for the avoidance of doubt, shall not include any filing with the SEC if so required by the applicable rules of the SEC) without the prior written consent of the Purchaser, except as otherwise required by law or the applicable rules or regulations of any securities exchange or securities market, in which case the Company shall allow the Purchaser, to the extent reasonably practicable in the circumstances, reasonable time to comment on such release or announcement in advance of such issuance. Notwithstanding anything to the contrary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w:t>
      </w:r>
      <w:r>
        <w:rPr>
          <w:rFonts w:ascii="Times New Roman" w:cs="Times New Roman" w:eastAsia="Times New Roman" w:hAnsi="Times New Roman"/>
          <w:sz w:val="19"/>
          <w:szCs w:val="19"/>
          <w:color w:val="auto"/>
        </w:rPr>
        <w:t>, the Purchaser’s review shall not be required for Company disclosures that are substantially consistent with prior Company disclosures.</w:t>
      </w:r>
    </w:p>
    <w:p>
      <w:pPr>
        <w:spacing w:after="0" w:line="164" w:lineRule="exact"/>
        <w:rPr>
          <w:sz w:val="20"/>
          <w:szCs w:val="20"/>
          <w:color w:val="auto"/>
        </w:rPr>
      </w:pPr>
    </w:p>
    <w:p>
      <w:pPr>
        <w:jc w:val="both"/>
        <w:ind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69" w:name="page270"/>
    <w:bookmarkEnd w:id="269"/>
    <w:p>
      <w:pPr>
        <w:ind w:left="2240"/>
        <w:spacing w:after="0"/>
        <w:rPr>
          <w:sz w:val="20"/>
          <w:szCs w:val="20"/>
          <w:color w:val="auto"/>
        </w:rPr>
      </w:pPr>
      <w:r>
        <w:rPr>
          <w:rFonts w:ascii="Times New Roman" w:cs="Times New Roman" w:eastAsia="Times New Roman" w:hAnsi="Times New Roman"/>
          <w:sz w:val="19"/>
          <w:szCs w:val="19"/>
          <w:color w:val="auto"/>
        </w:rPr>
        <w:t>(a) If to the Company, addressed as follows:</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Athira Pharma, Inc.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18706 North Creek Parkway, Suite 104,</w:t>
      </w:r>
    </w:p>
    <w:p>
      <w:pPr>
        <w:ind w:left="3740"/>
        <w:spacing w:after="0" w:line="233" w:lineRule="auto"/>
        <w:rPr>
          <w:sz w:val="20"/>
          <w:szCs w:val="20"/>
          <w:color w:val="auto"/>
        </w:rPr>
      </w:pPr>
      <w:r>
        <w:rPr>
          <w:rFonts w:ascii="Times New Roman" w:cs="Times New Roman" w:eastAsia="Times New Roman" w:hAnsi="Times New Roman"/>
          <w:sz w:val="19"/>
          <w:szCs w:val="19"/>
          <w:color w:val="auto"/>
        </w:rPr>
        <w:t>Bothell, Washington 98011</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Legal</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w:t>
      </w:r>
    </w:p>
    <w:p>
      <w:pPr>
        <w:spacing w:after="0" w:line="1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9"/>
          <w:szCs w:val="19"/>
          <w:color w:val="auto"/>
        </w:rPr>
        <w:t>with a copy (which shall not constitute notice):</w:t>
      </w:r>
    </w:p>
    <w:p>
      <w:pPr>
        <w:spacing w:after="0" w:line="18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Wilson Sonsini Goodrich &amp; Rosati, P.C.</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701 5th Ave #5100,</w:t>
      </w:r>
    </w:p>
    <w:p>
      <w:pPr>
        <w:ind w:left="3740"/>
        <w:spacing w:after="0" w:line="233" w:lineRule="auto"/>
        <w:rPr>
          <w:sz w:val="20"/>
          <w:szCs w:val="20"/>
          <w:color w:val="auto"/>
        </w:rPr>
      </w:pPr>
      <w:r>
        <w:rPr>
          <w:rFonts w:ascii="Times New Roman" w:cs="Times New Roman" w:eastAsia="Times New Roman" w:hAnsi="Times New Roman"/>
          <w:sz w:val="19"/>
          <w:szCs w:val="19"/>
          <w:color w:val="auto"/>
        </w:rPr>
        <w:t>Seattle, WA 98104</w:t>
      </w:r>
    </w:p>
    <w:p>
      <w:pPr>
        <w:ind w:left="3740"/>
        <w:spacing w:after="0" w:line="234" w:lineRule="auto"/>
        <w:rPr>
          <w:sz w:val="20"/>
          <w:szCs w:val="20"/>
          <w:color w:val="auto"/>
        </w:rPr>
      </w:pPr>
      <w:r>
        <w:rPr>
          <w:rFonts w:ascii="Times New Roman" w:cs="Times New Roman" w:eastAsia="Times New Roman" w:hAnsi="Times New Roman"/>
          <w:sz w:val="19"/>
          <w:szCs w:val="19"/>
          <w:color w:val="auto"/>
        </w:rPr>
        <w:t>Attention: Michael Nordtvedt &amp; Bryan D. King</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Email:</w:t>
      </w:r>
    </w:p>
    <w:p>
      <w:pPr>
        <w:spacing w:after="0" w:line="187" w:lineRule="exact"/>
        <w:rPr>
          <w:sz w:val="20"/>
          <w:szCs w:val="20"/>
          <w:color w:val="auto"/>
        </w:rPr>
      </w:pPr>
    </w:p>
    <w:p>
      <w:pPr>
        <w:ind w:right="20" w:firstLine="2246"/>
        <w:spacing w:after="0" w:line="262" w:lineRule="auto"/>
        <w:tabs>
          <w:tab w:leader="none" w:pos="2552"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the Purchaser, at its address or e-mail address set forth on </w:t>
      </w:r>
      <w:r>
        <w:rPr>
          <w:rFonts w:ascii="Times New Roman" w:cs="Times New Roman" w:eastAsia="Times New Roman" w:hAnsi="Times New Roman"/>
          <w:sz w:val="19"/>
          <w:szCs w:val="19"/>
          <w:u w:val="single" w:color="auto"/>
          <w:color w:val="auto"/>
        </w:rPr>
        <w:t>the</w:t>
      </w:r>
      <w:r>
        <w:rPr>
          <w:rFonts w:ascii="Times New Roman" w:cs="Times New Roman" w:eastAsia="Times New Roman" w:hAnsi="Times New Roman"/>
          <w:sz w:val="19"/>
          <w:szCs w:val="19"/>
          <w:color w:val="auto"/>
        </w:rPr>
        <w:t xml:space="preserve"> signature page hereto, or such address as subsequently modified by written notice given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Any Person may change the address to which notices and communications to it are to be addressed by notification as provided for herein.</w:t>
      </w:r>
    </w:p>
    <w:p>
      <w:pPr>
        <w:spacing w:after="0" w:line="184" w:lineRule="exact"/>
        <w:rPr>
          <w:sz w:val="20"/>
          <w:szCs w:val="20"/>
          <w:color w:val="auto"/>
        </w:rPr>
      </w:pPr>
    </w:p>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Consent to Electronic Notice</w:t>
      </w:r>
      <w:r>
        <w:rPr>
          <w:rFonts w:ascii="Times New Roman" w:cs="Times New Roman" w:eastAsia="Times New Roman" w:hAnsi="Times New Roman"/>
          <w:sz w:val="19"/>
          <w:szCs w:val="19"/>
          <w:color w:val="auto"/>
        </w:rPr>
        <w:t>. The Purchaser consents to the delivery of any stockholder notice pursuant to Section 232 of the Delaware General Corporation Law, as amended or superseded from time to time (the “DGCL”), at the e-mail address set forth below the Purchaser’s name on the pertinent signature page,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374"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5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8" w:lineRule="auto"/>
        <w:tabs>
          <w:tab w:leader="none" w:pos="2552"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governed by, and construed in accordance with, the laws of the State of New York without regard to choice of laws or conflicts of laws provisions thereof that would require the application of the laws of any other jurisdiction, except to the extent that mandatory principles of Delaware law may apply.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0" w:name="page271"/>
    <w:bookmarkEnd w:id="270"/>
    <w:p>
      <w:pPr>
        <w:ind w:left="2240"/>
        <w:spacing w:after="0"/>
        <w:rPr>
          <w:sz w:val="20"/>
          <w:szCs w:val="20"/>
          <w:color w:val="auto"/>
        </w:rPr>
      </w:pPr>
      <w:r>
        <w:rPr>
          <w:rFonts w:ascii="Times New Roman" w:cs="Times New Roman" w:eastAsia="Times New Roman" w:hAnsi="Times New Roman"/>
          <w:sz w:val="19"/>
          <w:szCs w:val="19"/>
          <w:color w:val="auto"/>
        </w:rPr>
        <w:t>(b) The Company and the Purchaser hereby irrevocably and unconditionally:</w:t>
      </w:r>
    </w:p>
    <w:p>
      <w:pPr>
        <w:spacing w:after="0" w:line="184" w:lineRule="exact"/>
        <w:rPr>
          <w:sz w:val="20"/>
          <w:szCs w:val="20"/>
          <w:color w:val="auto"/>
        </w:rPr>
      </w:pPr>
    </w:p>
    <w:p>
      <w:pPr>
        <w:jc w:val="both"/>
        <w:ind w:firstLine="2246"/>
        <w:spacing w:after="0" w:line="248" w:lineRule="auto"/>
        <w:tabs>
          <w:tab w:leader="none" w:pos="2552"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 for each party and each party’s respective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that any such action or proceeding may be brought in such courts, and waive any objection that each party may now or hereafter have to the venue of any such action or proceeding in any such court or that such action or proceeding was brought in an inconvenient court and agree not to plead or claim the same to the extent permitted by applicable law;</w:t>
      </w:r>
    </w:p>
    <w:p>
      <w:pPr>
        <w:spacing w:after="0" w:line="151" w:lineRule="exact"/>
        <w:rPr>
          <w:sz w:val="20"/>
          <w:szCs w:val="20"/>
          <w:color w:val="auto"/>
        </w:rPr>
      </w:pPr>
    </w:p>
    <w:p>
      <w:pPr>
        <w:jc w:val="both"/>
        <w:ind w:firstLine="2252"/>
        <w:spacing w:after="0" w:line="248" w:lineRule="auto"/>
        <w:rPr>
          <w:sz w:val="20"/>
          <w:szCs w:val="20"/>
          <w:color w:val="auto"/>
        </w:rPr>
      </w:pPr>
      <w:r>
        <w:rPr>
          <w:rFonts w:ascii="Times New Roman" w:cs="Times New Roman" w:eastAsia="Times New Roman" w:hAnsi="Times New Roman"/>
          <w:sz w:val="19"/>
          <w:szCs w:val="19"/>
          <w:color w:val="auto"/>
        </w:rPr>
        <w:t xml:space="preserve">(iii)agree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or at such other address of which the other party shall have been notified pursuant thereto;</w:t>
      </w:r>
    </w:p>
    <w:p>
      <w:pPr>
        <w:spacing w:after="0" w:line="151" w:lineRule="exact"/>
        <w:rPr>
          <w:sz w:val="20"/>
          <w:szCs w:val="20"/>
          <w:color w:val="auto"/>
        </w:rPr>
      </w:pPr>
    </w:p>
    <w:p>
      <w:pPr>
        <w:jc w:val="both"/>
        <w:ind w:right="20"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50" w:lineRule="exact"/>
        <w:rPr>
          <w:rFonts w:ascii="Times New Roman" w:cs="Times New Roman" w:eastAsia="Times New Roman" w:hAnsi="Times New Roman"/>
          <w:sz w:val="19"/>
          <w:szCs w:val="19"/>
          <w:color w:val="auto"/>
        </w:rPr>
      </w:pPr>
    </w:p>
    <w:p>
      <w:pPr>
        <w:jc w:val="both"/>
        <w:ind w:firstLine="2246"/>
        <w:spacing w:after="0" w:line="248" w:lineRule="auto"/>
        <w:tabs>
          <w:tab w:leader="none" w:pos="2552"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5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(vii)irrevocably and unconditionally waive trial by jury in any legal action or proceeding in relation to this Agreement.</w:t>
      </w:r>
    </w:p>
    <w:p>
      <w:pPr>
        <w:spacing w:after="0" w:line="195"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51" w:lineRule="exact"/>
        <w:rPr>
          <w:sz w:val="20"/>
          <w:szCs w:val="20"/>
          <w:color w:val="auto"/>
        </w:rPr>
      </w:pPr>
    </w:p>
    <w:p>
      <w:pPr>
        <w:jc w:val="both"/>
        <w:ind w:firstLine="1501"/>
        <w:spacing w:after="0" w:line="243"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1" w:name="page272"/>
    <w:bookmarkEnd w:id="271"/>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delivered by the Company), stamp taxes and other taxes (other than income taxes) and duties levied in connection with the delivery of any Securities to the Purchaser.</w:t>
      </w:r>
    </w:p>
    <w:p>
      <w:pPr>
        <w:spacing w:after="0" w:line="138" w:lineRule="exact"/>
        <w:rPr>
          <w:sz w:val="20"/>
          <w:szCs w:val="20"/>
          <w:color w:val="auto"/>
        </w:rPr>
      </w:pPr>
    </w:p>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Except for an assignment by the Company in the case of a Fundamental Transaction as contemplated in the Pre-Funded Warrant, neither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the Purchaser and (y) the Purchaser, in the case of the Company provided that Purchaser may, without the prior consent of the Company, assign its rights to purchase the Securities hereunder to any of its Affiliates or to any other investment funds or accounts managed or advised by the investment manager who acts on behalf of the Purchaser (provided each such assignee agrees to be bound by the terms of this Agreement and makes the same representations and warranties set forth in Section 4 ).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2246"/>
        <w:spacing w:after="0" w:line="241" w:lineRule="auto"/>
        <w:tabs>
          <w:tab w:leader="none" w:pos="255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Purchaser covenants that until such time as the transactions contemplated by this Agreement and any material non-public information provided to the Purchaser are publicly disclosed by the Company, the Purchaser will maintain the confidentiality of all disclosures made to it in connection with this transaction (including the existence and terms of this transaction), other than to the Purchaser’s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156" w:lineRule="exact"/>
        <w:rPr>
          <w:rFonts w:ascii="Times New Roman" w:cs="Times New Roman" w:eastAsia="Times New Roman" w:hAnsi="Times New Roman"/>
          <w:sz w:val="19"/>
          <w:szCs w:val="19"/>
          <w:color w:val="auto"/>
        </w:rPr>
      </w:pPr>
    </w:p>
    <w:p>
      <w:pPr>
        <w:jc w:val="both"/>
        <w:ind w:firstLine="2246"/>
        <w:spacing w:after="0" w:line="237" w:lineRule="auto"/>
        <w:tabs>
          <w:tab w:leader="none" w:pos="255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request from the Purchaser such reasonable and customary additional information as the Company may deem necessary to evaluate the eligibility of the Purchaser to acquire the Securities, and the Purchaser shall promptly provide such information as may reasonably be requested to the extent readily available; provided, that the Company agrees to keep any such information provided by the Purchaser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will use commercially reasonable efforts to notify the Purchaser and provide the Purchaser with opportunity to review any disclosure that is not a restatement of disclosure previously made in compliance with the requirements of this Agreement. The Purchaser acknowledges that the Company may file a copy of this Agreement and the Registration Rights Agreement with the SEC as exhibit to a periodic report or a registration statement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2" w:name="page273"/>
    <w:bookmarkEnd w:id="272"/>
    <w:p>
      <w:pPr>
        <w:jc w:val="both"/>
        <w:ind w:firstLine="1501"/>
        <w:spacing w:after="0" w:line="239"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19"/>
          <w:szCs w:val="19"/>
          <w:u w:val="single" w:color="auto"/>
          <w:color w:val="auto"/>
        </w:rPr>
        <w:t>Third Parties</w:t>
      </w:r>
      <w:r>
        <w:rPr>
          <w:rFonts w:ascii="Times New Roman" w:cs="Times New Roman" w:eastAsia="Times New Roman" w:hAnsi="Times New Roman"/>
          <w:sz w:val="19"/>
          <w:szCs w:val="19"/>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the Indemnified Persons are intended third-party beneficiaries of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ind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titles, subtitles and headings in this Agreement are for convenience of reference and shall not form part of, or affect the interpretation of, this Agreement.</w:t>
      </w:r>
    </w:p>
    <w:p>
      <w:pPr>
        <w:spacing w:after="0" w:line="138" w:lineRule="exact"/>
        <w:rPr>
          <w:sz w:val="20"/>
          <w:szCs w:val="20"/>
          <w:color w:val="auto"/>
        </w:rPr>
      </w:pPr>
    </w:p>
    <w:p>
      <w:pPr>
        <w:jc w:val="both"/>
        <w:ind w:right="20" w:firstLine="1501"/>
        <w:spacing w:after="0" w:line="241"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57" w:lineRule="exact"/>
        <w:rPr>
          <w:sz w:val="20"/>
          <w:szCs w:val="20"/>
          <w:color w:val="auto"/>
        </w:rPr>
      </w:pPr>
    </w:p>
    <w:p>
      <w:pPr>
        <w:jc w:val="both"/>
        <w:ind w:firstLine="1501"/>
        <w:spacing w:after="0" w:line="238" w:lineRule="auto"/>
        <w:rPr>
          <w:sz w:val="20"/>
          <w:szCs w:val="20"/>
          <w:color w:val="auto"/>
        </w:rPr>
      </w:pPr>
      <w:r>
        <w:rPr>
          <w:rFonts w:ascii="Times New Roman" w:cs="Times New Roman" w:eastAsia="Times New Roman" w:hAnsi="Times New Roman"/>
          <w:sz w:val="19"/>
          <w:szCs w:val="19"/>
          <w:color w:val="auto"/>
        </w:rPr>
        <w:t xml:space="preserve">8.13 </w:t>
      </w:r>
      <w:r>
        <w:rPr>
          <w:rFonts w:ascii="Times New Roman" w:cs="Times New Roman" w:eastAsia="Times New Roman" w:hAnsi="Times New Roman"/>
          <w:sz w:val="19"/>
          <w:szCs w:val="19"/>
          <w:u w:val="single" w:color="auto"/>
          <w:color w:val="auto"/>
        </w:rPr>
        <w:t>Entire Agreement; Amendments</w:t>
      </w:r>
      <w:r>
        <w:rPr>
          <w:rFonts w:ascii="Times New Roman" w:cs="Times New Roman" w:eastAsia="Times New Roman" w:hAnsi="Times New Roman"/>
          <w:sz w:val="19"/>
          <w:szCs w:val="19"/>
          <w:color w:val="auto"/>
        </w:rPr>
        <w:t>. This Agreement and the other Transaction Agreements and the License Agreement (including all schedules and exhibits hereto and thereto)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Purchaser. The Company, on the one hand, and the Purchaser, on the other hand, may by an instrument signed in writing by such parties waive the performance, compliance or satisfaction by the Purchaser or the Company, respectively, with any term or provision of this Agreement or any condition hereto to be performed, complied with or satisfied by the Purchaser or the Company, respectively.</w:t>
      </w:r>
    </w:p>
    <w:p>
      <w:pPr>
        <w:spacing w:after="0" w:line="159"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8.14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covenants, representations and warranties made by each party hereto contained in this Agreement shall survive the Closing and the delivery of the Securities in accordance with their respective terms. The Purchaser shall be responsible only for its own representations, warranties, agreements and covenants hereunder.</w:t>
      </w:r>
    </w:p>
    <w:p>
      <w:pPr>
        <w:spacing w:after="0" w:line="151" w:lineRule="exact"/>
        <w:rPr>
          <w:sz w:val="20"/>
          <w:szCs w:val="20"/>
          <w:color w:val="auto"/>
        </w:rPr>
      </w:pPr>
    </w:p>
    <w:p>
      <w:pPr>
        <w:jc w:val="both"/>
        <w:ind w:firstLine="1501"/>
        <w:spacing w:after="0" w:line="248" w:lineRule="auto"/>
        <w:rPr>
          <w:sz w:val="20"/>
          <w:szCs w:val="20"/>
          <w:color w:val="auto"/>
        </w:rPr>
      </w:pPr>
      <w:r>
        <w:rPr>
          <w:rFonts w:ascii="Times New Roman" w:cs="Times New Roman" w:eastAsia="Times New Roman" w:hAnsi="Times New Roman"/>
          <w:sz w:val="19"/>
          <w:szCs w:val="19"/>
          <w:color w:val="auto"/>
        </w:rPr>
        <w:t xml:space="preserve">8.15 </w:t>
      </w:r>
      <w:r>
        <w:rPr>
          <w:rFonts w:ascii="Times New Roman" w:cs="Times New Roman" w:eastAsia="Times New Roman" w:hAnsi="Times New Roman"/>
          <w:sz w:val="19"/>
          <w:szCs w:val="19"/>
          <w:u w:val="single" w:color="auto"/>
          <w:color w:val="auto"/>
        </w:rPr>
        <w:t>Contract Interpretation.</w:t>
      </w:r>
      <w:r>
        <w:rPr>
          <w:rFonts w:ascii="Times New Roman" w:cs="Times New Roman" w:eastAsia="Times New Roman" w:hAnsi="Times New Roman"/>
          <w:sz w:val="19"/>
          <w:szCs w:val="19"/>
          <w:color w:val="auto"/>
        </w:rPr>
        <w:t xml:space="preserve"> This Agreement is the joint product of the Purchaser and the Company and each provision of this Agreement has been subject to the mutual consultation, negotiation and agreement of such parties and shall not be construed for or against any party hereto.</w:t>
      </w:r>
    </w:p>
    <w:p>
      <w:pPr>
        <w:spacing w:after="0" w:line="151" w:lineRule="exact"/>
        <w:rPr>
          <w:sz w:val="20"/>
          <w:szCs w:val="20"/>
          <w:color w:val="auto"/>
        </w:rPr>
      </w:pPr>
    </w:p>
    <w:p>
      <w:pPr>
        <w:jc w:val="both"/>
        <w:ind w:right="20" w:firstLine="1501"/>
        <w:spacing w:after="0" w:line="262" w:lineRule="auto"/>
        <w:rPr>
          <w:sz w:val="20"/>
          <w:szCs w:val="20"/>
          <w:color w:val="auto"/>
        </w:rPr>
      </w:pPr>
      <w:r>
        <w:rPr>
          <w:rFonts w:ascii="Times New Roman" w:cs="Times New Roman" w:eastAsia="Times New Roman" w:hAnsi="Times New Roman"/>
          <w:sz w:val="19"/>
          <w:szCs w:val="19"/>
          <w:color w:val="auto"/>
        </w:rPr>
        <w:t xml:space="preserve">8.16 </w:t>
      </w:r>
      <w:r>
        <w:rPr>
          <w:rFonts w:ascii="Times New Roman" w:cs="Times New Roman" w:eastAsia="Times New Roman" w:hAnsi="Times New Roman"/>
          <w:sz w:val="19"/>
          <w:szCs w:val="19"/>
          <w:u w:val="single" w:color="auto"/>
          <w:color w:val="auto"/>
        </w:rPr>
        <w:t>Arm’s Length Negotiations</w:t>
      </w:r>
      <w:r>
        <w:rPr>
          <w:rFonts w:ascii="Times New Roman" w:cs="Times New Roman" w:eastAsia="Times New Roman" w:hAnsi="Times New Roman"/>
          <w:sz w:val="19"/>
          <w:szCs w:val="19"/>
          <w:color w:val="auto"/>
        </w:rPr>
        <w:t>. For the avoidance of doubt, the parties acknowledge and confirm that the terms and conditions of the Securities were determined as a result of arm’s-length negotiations.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3" w:name="page274"/>
    <w:bookmarkEnd w:id="273"/>
    <w:p>
      <w:pPr>
        <w:jc w:val="both"/>
        <w:ind w:firstLine="1501"/>
        <w:spacing w:after="0" w:line="237" w:lineRule="auto"/>
        <w:rPr>
          <w:sz w:val="20"/>
          <w:szCs w:val="20"/>
          <w:color w:val="auto"/>
        </w:rPr>
      </w:pPr>
      <w:r>
        <w:rPr>
          <w:rFonts w:ascii="Times New Roman" w:cs="Times New Roman" w:eastAsia="Times New Roman" w:hAnsi="Times New Roman"/>
          <w:sz w:val="19"/>
          <w:szCs w:val="19"/>
          <w:color w:val="auto"/>
        </w:rPr>
        <w:t xml:space="preserve">8.17 </w:t>
      </w:r>
      <w:r>
        <w:rPr>
          <w:rFonts w:ascii="Times New Roman" w:cs="Times New Roman" w:eastAsia="Times New Roman" w:hAnsi="Times New Roman"/>
          <w:sz w:val="19"/>
          <w:szCs w:val="19"/>
          <w:u w:val="single" w:color="auto"/>
          <w:color w:val="auto"/>
        </w:rPr>
        <w:t>Waiver of Conflicts</w:t>
      </w:r>
      <w:r>
        <w:rPr>
          <w:rFonts w:ascii="Times New Roman" w:cs="Times New Roman" w:eastAsia="Times New Roman" w:hAnsi="Times New Roman"/>
          <w:sz w:val="19"/>
          <w:szCs w:val="19"/>
          <w:color w:val="auto"/>
        </w:rPr>
        <w:t>. Each party to this Agreement acknowledges that Wilson Sonsini Goodrich &amp; Rosati, P.C., counsel for the Company, may have in the past performed, and may continue to or in the future perform, legal services for certain of the Purchaser in matters that are similar, but not substantially related, to the transactions described in this Agreement, including the representation of the Purchaser in financings and other matters. Accordingly, each party to this Agreement hereby acknowledges that (a) such party has had an opportunity to ask for information relevant to this disclosure, and (b) Wilson Sonsini Goodrich &amp; Rosati, P.C. represents only the Company with respect to the Agreement and the transactions contemplated hereby. The Company gives its informed consent to Wilson Sonsini Goodrich &amp; Rosati, P.C.’s existing and/or future representation of the Purchaser in matters not substantially related to this Agreement, and the Purchaser hereby gives its informed consent to Wilson Sonsini Goodrich &amp; Rosati, P.C.’s representation of the Company in connection with this Agreement and the transactions contemplated hereby.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501650</wp:posOffset>
            </wp:positionV>
            <wp:extent cx="717486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248"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-10795</wp:posOffset>
            </wp:positionV>
            <wp:extent cx="99758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u w:val="single" w:color="auto"/>
          <w:color w:val="auto"/>
        </w:rPr>
        <w:t>Mark Litton</w:t>
      </w:r>
    </w:p>
    <w:p>
      <w:pPr>
        <w:ind w:left="4220"/>
        <w:spacing w:after="0"/>
        <w:rPr>
          <w:sz w:val="20"/>
          <w:szCs w:val="20"/>
          <w:color w:val="auto"/>
        </w:rPr>
      </w:pPr>
      <w:r>
        <w:rPr>
          <w:rFonts w:ascii="Times New Roman" w:cs="Times New Roman" w:eastAsia="Times New Roman" w:hAnsi="Times New Roman"/>
          <w:sz w:val="19"/>
          <w:szCs w:val="19"/>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1007110</wp:posOffset>
            </wp:positionV>
            <wp:extent cx="717486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-23495</wp:posOffset>
            </wp:positionV>
            <wp:extent cx="43053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0530" cy="7620"/>
                    </a:xfrm>
                    <a:prstGeom prst="rect">
                      <a:avLst/>
                    </a:prstGeom>
                    <a:noFill/>
                  </pic:spPr>
                </pic:pic>
              </a:graphicData>
            </a:graphic>
          </wp:anchor>
        </w:drawing>
      </w:r>
    </w:p>
    <w:p>
      <w:pPr>
        <w:sectPr>
          <w:pgSz w:w="11900" w:h="16838" w:orient="portrait"/>
          <w:cols w:equalWidth="0" w:num="1">
            <w:col w:w="9399"/>
          </w:cols>
          <w:pgMar w:left="1060" w:top="1248" w:right="1440" w:bottom="1440" w:gutter="0" w:footer="0" w:header="0"/>
          <w:type w:val="continuous"/>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ectPr>
          <w:pgSz w:w="11900" w:h="16838" w:orient="portrait"/>
          <w:cols w:equalWidth="0" w:num="1">
            <w:col w:w="9399"/>
          </w:cols>
          <w:pgMar w:left="1060" w:top="1437" w:right="1440" w:bottom="1440" w:gutter="0" w:footer="0" w:header="0"/>
        </w:sectPr>
      </w:pPr>
    </w:p>
    <w:p>
      <w:pPr>
        <w:spacing w:after="0" w:line="1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PURCHASER:</w:t>
      </w:r>
    </w:p>
    <w:p>
      <w:pPr>
        <w:spacing w:after="0" w:line="1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SERMONIX PHARMACEUTICALS, INC.</w:t>
      </w:r>
    </w:p>
    <w:p>
      <w:pPr>
        <w:spacing w:after="0" w:line="38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/s/ David Portman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-10795</wp:posOffset>
            </wp:positionV>
            <wp:extent cx="99758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97585" cy="7620"/>
                    </a:xfrm>
                    <a:prstGeom prst="rect">
                      <a:avLst/>
                    </a:prstGeom>
                    <a:noFill/>
                  </pic:spPr>
                </pic:pic>
              </a:graphicData>
            </a:graphic>
          </wp:anchor>
        </w:drawing>
      </w:r>
    </w:p>
    <w:p>
      <w:pPr>
        <w:spacing w:after="0" w:line="16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 David Portman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-10795</wp:posOffset>
            </wp:positionV>
            <wp:extent cx="8509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16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-10795</wp:posOffset>
            </wp:positionV>
            <wp:extent cx="43053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0530" cy="7620"/>
                    </a:xfrm>
                    <a:prstGeom prst="rect">
                      <a:avLst/>
                    </a:prstGeom>
                    <a:noFill/>
                  </pic:spPr>
                </pic:pic>
              </a:graphicData>
            </a:graphic>
          </wp:anchor>
        </w:drawing>
      </w:r>
    </w:p>
    <w:p>
      <w:pPr>
        <w:spacing w:after="0" w:line="3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Address:</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1019810</wp:posOffset>
            </wp:positionV>
            <wp:extent cx="717486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399"/>
          </w:cols>
          <w:pgMar w:left="1060" w:top="1437" w:right="1440" w:bottom="1440" w:gutter="0" w:footer="0" w:header="0"/>
          <w:type w:val="continuous"/>
        </w:sectPr>
      </w:pPr>
    </w:p>
    <w:bookmarkStart w:id="276" w:name="page277"/>
    <w:bookmarkEnd w:id="276"/>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501650</wp:posOffset>
            </wp:positionV>
            <wp:extent cx="717486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77" w:name="page278"/>
    <w:bookmarkEnd w:id="27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501650</wp:posOffset>
            </wp:positionV>
            <wp:extent cx="717486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248" w:right="1440"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74" w:lineRule="exact"/>
        <w:rPr>
          <w:sz w:val="20"/>
          <w:szCs w:val="20"/>
          <w:color w:val="auto"/>
        </w:rPr>
      </w:pPr>
    </w:p>
    <w:p>
      <w:pPr>
        <w:jc w:val="center"/>
        <w:ind w:right="40"/>
        <w:spacing w:after="0" w:line="294" w:lineRule="auto"/>
        <w:rPr>
          <w:sz w:val="20"/>
          <w:szCs w:val="20"/>
          <w:color w:val="auto"/>
        </w:rPr>
      </w:pPr>
      <w:r>
        <w:rPr>
          <w:rFonts w:ascii="Arial" w:cs="Arial" w:eastAsia="Arial" w:hAnsi="Arial"/>
          <w:sz w:val="22"/>
          <w:szCs w:val="22"/>
          <w:b w:val="1"/>
          <w:bCs w:val="1"/>
          <w:color w:val="auto"/>
        </w:rPr>
        <w:t>Athira Pharma Announces Exclusive License to Lasofoxifene Phase 3 Development Program for Metastatic Breast Cancer Candidate and a Financing for up to $236 Million</w:t>
      </w:r>
    </w:p>
    <w:p>
      <w:pPr>
        <w:spacing w:after="0" w:line="89" w:lineRule="exact"/>
        <w:rPr>
          <w:sz w:val="20"/>
          <w:szCs w:val="20"/>
          <w:color w:val="auto"/>
        </w:rPr>
      </w:pPr>
    </w:p>
    <w:p>
      <w:pPr>
        <w:jc w:val="center"/>
        <w:ind w:right="60"/>
        <w:spacing w:after="0" w:line="265" w:lineRule="auto"/>
        <w:rPr>
          <w:sz w:val="20"/>
          <w:szCs w:val="20"/>
          <w:color w:val="auto"/>
        </w:rPr>
      </w:pPr>
      <w:r>
        <w:rPr>
          <w:rFonts w:ascii="Arial" w:cs="Arial" w:eastAsia="Arial" w:hAnsi="Arial"/>
          <w:sz w:val="19"/>
          <w:szCs w:val="19"/>
          <w:i w:val="1"/>
          <w:iCs w:val="1"/>
          <w:color w:val="auto"/>
        </w:rPr>
        <w:t>Phase 3 Development Program of Novel Selective Estrogen Receptor Modulator (SERM) Represents Potential Multi-Billion Dollar Opportunity as Treatment Option for Patients with ESR1-Mutations</w:t>
      </w:r>
    </w:p>
    <w:p>
      <w:pPr>
        <w:spacing w:after="0" w:line="132" w:lineRule="exact"/>
        <w:rPr>
          <w:sz w:val="20"/>
          <w:szCs w:val="20"/>
          <w:color w:val="auto"/>
        </w:rPr>
      </w:pPr>
    </w:p>
    <w:p>
      <w:pPr>
        <w:jc w:val="center"/>
        <w:ind w:right="60"/>
        <w:spacing w:after="0" w:line="265" w:lineRule="auto"/>
        <w:rPr>
          <w:sz w:val="20"/>
          <w:szCs w:val="20"/>
          <w:color w:val="auto"/>
        </w:rPr>
      </w:pPr>
      <w:r>
        <w:rPr>
          <w:rFonts w:ascii="Arial" w:cs="Arial" w:eastAsia="Arial" w:hAnsi="Arial"/>
          <w:sz w:val="19"/>
          <w:szCs w:val="19"/>
          <w:i w:val="1"/>
          <w:iCs w:val="1"/>
          <w:color w:val="auto"/>
        </w:rPr>
        <w:t>Financing Co-Led by Commodore Capital, Perceptive Advisors and TCGX Supports Development of Lasofoxifene through Phase 3 Clinical Topline Data Readout and Regulatory Milestones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Conference Call Today at 8:30 am Eastern Time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color w:val="auto"/>
        </w:rPr>
        <w:t xml:space="preserve">BOTHELL, Wash., December 18, 2025 – Athira Pharma, Inc. </w:t>
      </w:r>
      <w:r>
        <w:rPr>
          <w:rFonts w:ascii="Arial" w:cs="Arial" w:eastAsia="Arial" w:hAnsi="Arial"/>
          <w:sz w:val="17"/>
          <w:szCs w:val="17"/>
          <w:color w:val="auto"/>
        </w:rPr>
        <w:t>(NASDAQ: ATHA), a clinical-stage biopharmaceutical company dedicated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novel therapeutics for high unmet medical needs, today announced that it has entered into an agreement to acquire the rights for the development and commercialization of lasofoxifene, a promising clinical asset in a potentially registrational Phase 3 trial. The ongoing Phase 3 ELAINE-3 clinical trial (NCT05696626) is greater than 50% enrolled with data expected in mid-2027.</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Athira has acquired an exclusive global license (excluding Asia and certain countries in the Middle East) from Sermonix Pharmaceuticals, Inc. for rights to develop and commercialize lasofoxifene, a selective estrogen receptor modulator (SERM) for the potential treatment of metastatic breast cancer.</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conjunction with this transaction, Athira also announced an upfront financing of $90 million in private placement financing of common stock and warrants, with the warrants providing, if exercised, up to an additional $ 146 million to support development of the new program through key clinical and regulatory milestones. The financing was co-led by Commodore Capital, Perceptive Advisors, and TCGX, with participation from ADAR1, Blackstone Multi-Asset Investing, Kalehua Capital, Ligand Pharmaceuticals, New Enterprise Associates (NEA), Spruce Street Capital, and 9vc. The Company anticipates the upfront financing will support lasofoxifene development through its topline data readout and key regulatory milestones, with sufficient capital for runway into 2028.</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“Today marks a defining moment for our company. This agreement for the rights to the Phase 3 lasofoxifene program for metastatic breast cancer is a significant step in building a pipeline with the potential to change lives and create enduring value,” said Mark Litton, Ph.D., President and Chief Executive Officer of Athira. “This program provides a near-term opportunity to generate pivotal data necessary for the approval of lasofoxifene and to establish it as the new standard of care to treat ESR1-mutant breast cancer in patients who have progressed on aromatase inhibitors and prior CDK4/6 inhibitors. Supported by compelling Phase 2 clinical data and backed by blue-chip investors, we have a clear development strategy and are committed to advancing therapies that matter to patients while delivering value for our shareholders.”</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“In the ELAINE-2 clinical trial, lasofoxifene demonstrated the potential to provide meaningful combination efficacy with 13 months of progression-free survival in heavily pre-treated second- and third-line ESR1-mutated metastatic breast cancer patients. We believe lasofoxifene has the potential to be the preferred endocrine therapy for metastatic breast cancer patients given its tissue-selective SERM profile may allow for the preservation of estrogen function in non-breast tissue, which provides tolerability and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752475</wp:posOffset>
            </wp:positionV>
            <wp:extent cx="717486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279" w:name="page280"/>
    <w:bookmarkEnd w:id="279"/>
    <w:p>
      <w:pPr>
        <w:jc w:val="both"/>
        <w:ind w:right="20"/>
        <w:spacing w:after="0" w:line="273" w:lineRule="auto"/>
        <w:rPr>
          <w:sz w:val="20"/>
          <w:szCs w:val="20"/>
          <w:color w:val="auto"/>
        </w:rPr>
      </w:pPr>
      <w:r>
        <w:rPr>
          <w:rFonts w:ascii="Arial" w:cs="Arial" w:eastAsia="Arial" w:hAnsi="Arial"/>
          <w:sz w:val="17"/>
          <w:szCs w:val="17"/>
          <w:color w:val="auto"/>
        </w:rPr>
        <w:t>bone protection and quality of life benefits,” noted David Portman, M.D., Chief Executive Officer of Sermonix. “With the Phase 3 trial now more than 50% enrolled, we look forward to delivering pivotal data in mid-2027 and advancing toward a regulatory submission.”</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are excited to announce this financing to help accelerate the development of lasofoxifene," said Cariad Chester, Managing Partner at TCGX. "With its differentiated profile, lasofoxifene has the potential to become the endocrine therapy of choice for the approximately 40% of breast cancer patients who develop ESR1 mutations and have progressed on aromatase inhibitors and prior CDK4/6 inhibitors. The accomplished team at Athira is committed to efficiently executing the ongoing pivotal trial of lasofoxifene, and we believe, lasofoxifene, may become the treatment of choice for oncologists and patients who are battling this challenging disease.”</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scientific and clinical data supporting lasofoxifene are compelling, and we are confident in Athira’s leadership to drive the Company’s next chapter with clarity, urgency, and excellence. We’re proud to support this evolution and excited by the opportunity to deliver meaningful impact for patients and shareholders alike," stated Joseph Edelman, Founder and CEO of Perceptive Advisors.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the Transaction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Sermonix License Agreement</w:t>
      </w:r>
    </w:p>
    <w:p>
      <w:pPr>
        <w:jc w:val="both"/>
        <w:spacing w:after="0" w:line="238" w:lineRule="auto"/>
        <w:rPr>
          <w:sz w:val="20"/>
          <w:szCs w:val="20"/>
          <w:color w:val="auto"/>
        </w:rPr>
      </w:pPr>
      <w:r>
        <w:rPr>
          <w:rFonts w:ascii="Arial" w:cs="Arial" w:eastAsia="Arial" w:hAnsi="Arial"/>
          <w:sz w:val="17"/>
          <w:szCs w:val="17"/>
          <w:color w:val="auto"/>
        </w:rPr>
        <w:t>In connection with the entry into the Sermonix license agreement, Athira will issue to Sermonix, as partial consideration, a pre-funded warrant to purchase approximately 5.5 million shares of common stock, with an exercise price of $0.001 per share. Athira will also be obligated to make certain payments to Sermonix of up to $100.0 million if Athira achieves certain commercialization or annual net sales milestones with respect to licensed products with respect to lasofoxifene, including royalty payments on the net sales of any licensed products in any licensed territory, ranging from sub-single digit to low-single digit royalties depending on pre-specified net sales.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December 18, 2025, Athira entered into a securities purchase agreement with certain investors, pursuant to which Athira has agreed to issue and sell approximately 5.4 million shares of common stock, pre-funded warrants to purchase approximately 8.8 million shares of common stock and accompanying warrants to purchase approximately 23.0 million shares of common stock and/or pre-funded warrants (representing 162.5% of the aggregate shares and shares underlying the pre-funded warrants), with an exercise price of $6.35 per share (the “Series A common warrants”), and accompanying warrants to purchase approximately 21.3 million shares of common stock and/or pre-funded warrants (representing 150% of the aggregate shares and shares underlying the pre-funded warrants), with an exercise price of $7.62 per share (the “Series B common warrants”) (the “Private Placement”). The common stock, including the accompanying Series A common warrants and Series B common warrants, will be sold at a price of $6.35 per share, and the pre-funded warrants, including the accompanying Series A common warrants and Series B common warrants, will be sold at the price per underlying pre-funded warrant share of the common stock less the exercise price of $0.001 per share.</w:t>
      </w:r>
    </w:p>
    <w:p>
      <w:pPr>
        <w:spacing w:after="0" w:line="154"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The Private Placement is expected to close on or about December 23, 2025, subject to the satisfaction of customary closing conditions. Additional details regarding the Private Placement and the other transactions discussed herein will be included in a Current Report on Form 8-K to be filed by Athira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869950</wp:posOffset>
            </wp:positionV>
            <wp:extent cx="717486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80" w:name="page281"/>
    <w:bookmarkEnd w:id="280"/>
    <w:p>
      <w:pPr>
        <w:jc w:val="both"/>
        <w:ind w:left="5"/>
        <w:spacing w:after="0" w:line="252" w:lineRule="auto"/>
        <w:rPr>
          <w:sz w:val="20"/>
          <w:szCs w:val="20"/>
          <w:color w:val="auto"/>
        </w:rPr>
      </w:pPr>
      <w:r>
        <w:rPr>
          <w:rFonts w:ascii="Arial" w:cs="Arial" w:eastAsia="Arial" w:hAnsi="Arial"/>
          <w:sz w:val="17"/>
          <w:szCs w:val="17"/>
          <w:color w:val="auto"/>
        </w:rPr>
        <w:t>Athira intends to use the net proceeds from the Private Placement to fund the development of lasofoxifene for the potential treatment of treatment-resistant metastatic breast cancer, and other clinical assets in its pipeline, such as ATH-1105 as a treatment for ALS, and for working capital and general corporate purposes.</w:t>
      </w:r>
    </w:p>
    <w:p>
      <w:pPr>
        <w:spacing w:after="0" w:line="141" w:lineRule="exact"/>
        <w:rPr>
          <w:sz w:val="20"/>
          <w:szCs w:val="20"/>
          <w:color w:val="auto"/>
        </w:rPr>
      </w:pPr>
    </w:p>
    <w:p>
      <w:pPr>
        <w:jc w:val="both"/>
        <w:ind w:left="5"/>
        <w:spacing w:after="0" w:line="273" w:lineRule="auto"/>
        <w:rPr>
          <w:sz w:val="20"/>
          <w:szCs w:val="20"/>
          <w:color w:val="auto"/>
        </w:rPr>
      </w:pPr>
      <w:r>
        <w:rPr>
          <w:rFonts w:ascii="Arial" w:cs="Arial" w:eastAsia="Arial" w:hAnsi="Arial"/>
          <w:sz w:val="17"/>
          <w:szCs w:val="17"/>
          <w:color w:val="auto"/>
        </w:rPr>
        <w:t>Cantor is acting as exclusive financial advisor to Athira in connection with the license transaction and sole placement agent in connection with the Private Placement.</w:t>
      </w:r>
    </w:p>
    <w:p>
      <w:pPr>
        <w:spacing w:after="0" w:line="123" w:lineRule="exact"/>
        <w:rPr>
          <w:sz w:val="20"/>
          <w:szCs w:val="20"/>
          <w:color w:val="auto"/>
        </w:rPr>
      </w:pPr>
    </w:p>
    <w:p>
      <w:pPr>
        <w:jc w:val="both"/>
        <w:ind w:left="5"/>
        <w:spacing w:after="0" w:line="246" w:lineRule="auto"/>
        <w:rPr>
          <w:sz w:val="20"/>
          <w:szCs w:val="20"/>
          <w:color w:val="auto"/>
        </w:rPr>
      </w:pPr>
      <w:r>
        <w:rPr>
          <w:rFonts w:ascii="Arial" w:cs="Arial" w:eastAsia="Arial" w:hAnsi="Arial"/>
          <w:sz w:val="17"/>
          <w:szCs w:val="17"/>
          <w:color w:val="auto"/>
        </w:rPr>
        <w:t>The securities being sold in the private placements discussed herein have not been registered under the Securities Act of 1933, as amended (the “Securities Act”), or state securities laws and may not be offered or sold in the United States absent registration with the SEC or an applicable exemption from applicable registration requirements. Athira has agreed to file registration statements with the SEC covering the resale of the shares of common stock issuable in connection with the private placements and upon exercise of the pre-funded warrants and warrants.</w:t>
      </w:r>
    </w:p>
    <w:p>
      <w:pPr>
        <w:spacing w:after="0" w:line="145"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7"/>
          <w:szCs w:val="17"/>
          <w:color w:val="auto"/>
        </w:rPr>
        <w:t>This press release shall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Conference Call Details</w:t>
      </w:r>
    </w:p>
    <w:p>
      <w:pPr>
        <w:spacing w:after="0" w:line="12"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Athira management will host a conference call and webcast today, December 18, 2025, at 8:30 AM Eastern Time to discuss these transactions and answer questions. A live webcast of the conference call can be accessed at https://edge.media-server.com/mmc/p/zwdrpi3i and in the “Events</w:t>
      </w:r>
    </w:p>
    <w:p>
      <w:pPr>
        <w:spacing w:after="0" w:line="1" w:lineRule="exact"/>
        <w:rPr>
          <w:sz w:val="20"/>
          <w:szCs w:val="20"/>
          <w:color w:val="auto"/>
        </w:rPr>
      </w:pPr>
    </w:p>
    <w:p>
      <w:pPr>
        <w:ind w:left="5" w:right="20" w:hanging="5"/>
        <w:spacing w:after="0" w:line="253" w:lineRule="auto"/>
        <w:tabs>
          <w:tab w:leader="none" w:pos="20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Presentations” section of Athira’s website at www.athira.com. A recording of the webcast will be archived on the company’s website for approximately 90 days.</w:t>
      </w:r>
    </w:p>
    <w:p>
      <w:pPr>
        <w:spacing w:after="0" w:line="26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Metastatic Breast Cancer</w:t>
      </w:r>
    </w:p>
    <w:p>
      <w:pPr>
        <w:spacing w:after="0" w:line="12"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Metastatic breast cancer (MBC) occurs when cancer spreads from the breast to other parts of the body—such as bones, lungs, liver, or brain. While approximately 66% of breast cancers are diagnosed at a localized stage, a notable proportion either present as metastatic at diagnosis or progress to that stage over time.</w:t>
      </w:r>
    </w:p>
    <w:p>
      <w:pPr>
        <w:spacing w:after="0" w:line="1" w:lineRule="exact"/>
        <w:rPr>
          <w:sz w:val="20"/>
          <w:szCs w:val="20"/>
          <w:color w:val="auto"/>
        </w:rPr>
      </w:pPr>
    </w:p>
    <w:p>
      <w:pPr>
        <w:jc w:val="both"/>
        <w:ind w:left="5" w:right="20"/>
        <w:spacing w:after="0" w:line="232" w:lineRule="auto"/>
        <w:rPr>
          <w:sz w:val="20"/>
          <w:szCs w:val="20"/>
          <w:color w:val="auto"/>
        </w:rPr>
      </w:pPr>
      <w:r>
        <w:rPr>
          <w:rFonts w:ascii="Arial" w:cs="Arial" w:eastAsia="Arial" w:hAnsi="Arial"/>
          <w:sz w:val="17"/>
          <w:szCs w:val="17"/>
          <w:color w:val="auto"/>
        </w:rPr>
        <w:t xml:space="preserve">In the United States, there are approximately 4.65 million new cases of female breast cancer, with approximately 260,000 (5.6%) diagnosed as distant (metastatic) stage at initial diagnosis. The metastatic breast cancer treatment market represents a sizable and rapidly expanding global opportunity with a global market of </w:t>
      </w:r>
      <w:r>
        <w:rPr>
          <w:rFonts w:ascii="Arial" w:cs="Arial" w:eastAsia="Arial" w:hAnsi="Arial"/>
          <w:sz w:val="17"/>
          <w:szCs w:val="17"/>
          <w:b w:val="1"/>
          <w:bCs w:val="1"/>
          <w:color w:val="auto"/>
        </w:rPr>
        <w:t>$</w:t>
      </w:r>
      <w:r>
        <w:rPr>
          <w:rFonts w:ascii="Arial" w:cs="Arial" w:eastAsia="Arial" w:hAnsi="Arial"/>
          <w:sz w:val="17"/>
          <w:szCs w:val="17"/>
          <w:color w:val="auto"/>
        </w:rPr>
        <w:t>17.1 billion in 2021, expected to expand to $41.7 billion by 2030, with a CAGR of around 10.4%.</w:t>
      </w:r>
    </w:p>
    <w:p>
      <w:pPr>
        <w:spacing w:after="0" w:line="1" w:lineRule="exact"/>
        <w:rPr>
          <w:sz w:val="20"/>
          <w:szCs w:val="20"/>
          <w:color w:val="auto"/>
        </w:rPr>
      </w:pPr>
    </w:p>
    <w:p>
      <w:pPr>
        <w:jc w:val="both"/>
        <w:ind w:left="5" w:right="20"/>
        <w:spacing w:after="0" w:line="243" w:lineRule="auto"/>
        <w:rPr>
          <w:sz w:val="20"/>
          <w:szCs w:val="20"/>
          <w:color w:val="auto"/>
        </w:rPr>
      </w:pPr>
      <w:r>
        <w:rPr>
          <w:rFonts w:ascii="Arial" w:cs="Arial" w:eastAsia="Arial" w:hAnsi="Arial"/>
          <w:sz w:val="17"/>
          <w:szCs w:val="17"/>
          <w:color w:val="auto"/>
        </w:rPr>
        <w:t>These projections reflect a market rich with innovation—from chemotherapy and hormone therapies to biologics, targeted agents and emerging personalized medicine. Growth is driven by the persistent incidence of metastatic disease, regulatory and clinical advances and evolving treatment landscapes.</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Lasofoxifene</w:t>
      </w:r>
    </w:p>
    <w:p>
      <w:pPr>
        <w:spacing w:after="0" w:line="12" w:lineRule="exact"/>
        <w:rPr>
          <w:sz w:val="20"/>
          <w:szCs w:val="20"/>
          <w:color w:val="auto"/>
        </w:rPr>
      </w:pPr>
    </w:p>
    <w:p>
      <w:pPr>
        <w:jc w:val="both"/>
        <w:ind w:left="5"/>
        <w:spacing w:after="0" w:line="243" w:lineRule="auto"/>
        <w:rPr>
          <w:sz w:val="20"/>
          <w:szCs w:val="20"/>
          <w:color w:val="auto"/>
        </w:rPr>
      </w:pPr>
      <w:r>
        <w:rPr>
          <w:rFonts w:ascii="Arial" w:cs="Arial" w:eastAsia="Arial" w:hAnsi="Arial"/>
          <w:sz w:val="17"/>
          <w:szCs w:val="17"/>
          <w:color w:val="auto"/>
        </w:rPr>
        <w:t>Lasofoxifene is a novel, nonsteroidal selective estrogen receptor modulator (SERM) with a unique binding profile, designed to confer potent activity against both wild-type and mutant estrogen receptors, including the clinically significant ESR1 mutations commonly associated with resistance to endocrine therapy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753745</wp:posOffset>
            </wp:positionV>
            <wp:extent cx="717486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281" w:name="page282"/>
    <w:bookmarkEnd w:id="281"/>
    <w:p>
      <w:pPr>
        <w:jc w:val="both"/>
        <w:ind w:right="20"/>
        <w:spacing w:after="0" w:line="229" w:lineRule="exact"/>
        <w:rPr>
          <w:sz w:val="20"/>
          <w:szCs w:val="20"/>
          <w:color w:val="auto"/>
        </w:rPr>
      </w:pPr>
      <w:r>
        <w:rPr>
          <w:rFonts w:ascii="Arial" w:cs="Arial" w:eastAsia="Arial" w:hAnsi="Arial"/>
          <w:sz w:val="17"/>
          <w:szCs w:val="17"/>
          <w:color w:val="auto"/>
        </w:rPr>
        <w:t>metastatic breast cancer. Two Phase 2 studies—ELAINE</w:t>
      </w:r>
      <w:r>
        <w:rPr>
          <w:rFonts w:ascii="MS PGothic" w:cs="MS PGothic" w:eastAsia="MS PGothic" w:hAnsi="MS PGothic"/>
          <w:sz w:val="17"/>
          <w:szCs w:val="17"/>
          <w:color w:val="auto"/>
        </w:rPr>
        <w:t>‑</w:t>
      </w:r>
      <w:r>
        <w:rPr>
          <w:rFonts w:ascii="Arial" w:cs="Arial" w:eastAsia="Arial" w:hAnsi="Arial"/>
          <w:sz w:val="17"/>
          <w:szCs w:val="17"/>
          <w:color w:val="auto"/>
        </w:rPr>
        <w:t>1 and ELAINE</w:t>
      </w:r>
      <w:r>
        <w:rPr>
          <w:rFonts w:ascii="MS PGothic" w:cs="MS PGothic" w:eastAsia="MS PGothic" w:hAnsi="MS PGothic"/>
          <w:sz w:val="17"/>
          <w:szCs w:val="17"/>
          <w:color w:val="auto"/>
        </w:rPr>
        <w:t>‑</w:t>
      </w:r>
      <w:r>
        <w:rPr>
          <w:rFonts w:ascii="Arial" w:cs="Arial" w:eastAsia="Arial" w:hAnsi="Arial"/>
          <w:sz w:val="17"/>
          <w:szCs w:val="17"/>
          <w:color w:val="auto"/>
        </w:rPr>
        <w:t>2—have demonstrated its potential to address a critical unmet need in this patient population.</w:t>
      </w:r>
    </w:p>
    <w:p>
      <w:pPr>
        <w:spacing w:after="0" w:line="122"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ELAINE</w:t>
      </w:r>
      <w:r>
        <w:rPr>
          <w:rFonts w:ascii="MS PGothic" w:cs="MS PGothic" w:eastAsia="MS PGothic" w:hAnsi="MS PGothic"/>
          <w:sz w:val="17"/>
          <w:szCs w:val="17"/>
          <w:color w:val="auto"/>
        </w:rPr>
        <w:t>‑</w:t>
      </w:r>
      <w:r>
        <w:rPr>
          <w:rFonts w:ascii="Arial" w:cs="Arial" w:eastAsia="Arial" w:hAnsi="Arial"/>
          <w:sz w:val="17"/>
          <w:szCs w:val="17"/>
          <w:color w:val="auto"/>
        </w:rPr>
        <w:t>1, a randomized trial comparing lasofoxifene to fulvestrant, showed improved outcomes for lasofoxifene, including longer median progression-free survival (5.6 vs. 3.7 months), higher objective response rates (13.3% vs. 2.9%), and a durable complete response lasting more than 2.5 years. Patients also reported quality-of-life benefits and the treatment was well tolerated.</w:t>
      </w:r>
    </w:p>
    <w:p>
      <w:pPr>
        <w:spacing w:after="0" w:line="124"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ELAINE</w:t>
      </w:r>
      <w:r>
        <w:rPr>
          <w:rFonts w:ascii="MS PGothic" w:cs="MS PGothic" w:eastAsia="MS PGothic" w:hAnsi="MS PGothic"/>
          <w:sz w:val="17"/>
          <w:szCs w:val="17"/>
          <w:color w:val="auto"/>
        </w:rPr>
        <w:t>‑</w:t>
      </w:r>
      <w:r>
        <w:rPr>
          <w:rFonts w:ascii="Arial" w:cs="Arial" w:eastAsia="Arial" w:hAnsi="Arial"/>
          <w:sz w:val="17"/>
          <w:szCs w:val="17"/>
          <w:color w:val="auto"/>
        </w:rPr>
        <w:t>2, an open-label study evaluating lasofoxifene in combination with abemaciclib, demonstrated clinical benefits in heavily pretreated patients, with a median progression-free survival of approximately 13 months, an objective response rate of 56%, and a clinical benefit rate of 65.5%. The combination was generally well tolerated, with most adverse events being low grade.</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Lasofoxifene is being advanced in a Phase 3 clinical trial as a targeted therapy for estrogen receptor-positive (ER+), HER2-negative, ESR1-mutated metastatic breast cancer, a population with limited treatment options following progression on aromatase inhibitors and CDK4/6 inhibitors. The ongoing ELAINE-3 trial (NCT05696626) is evaluating lasofoxifene in combination with the CDK4/6 inhibitor, abemaciclib, and is aiming to establish a new standard of care for this genetically defined patient group.</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ATH-1105</w:t>
      </w:r>
    </w:p>
    <w:p>
      <w:pPr>
        <w:spacing w:after="0" w:line="12"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ATH-1105 is Athira’s novel, orally available, brain-penetrant, next-generation small molecule drug candidate designed to positively modulate the neurotrophic HGF system for potential treatment of neurodegenerative diseases, including amyotrophic lateral sclerosis (ALS), Alzheimer’s disease, and Parkinson’s disease. ATH-1105 is currently in clinical development for the potential treatment of ALS.</w:t>
      </w:r>
    </w:p>
    <w:p>
      <w:pPr>
        <w:spacing w:after="0" w:line="15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May 2025, Athira presented data from the first-in-human Phase 1 clinical trial (NCT06432647) of ATH-1105 at the 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ALS Drug Development Summit highlighting ATH-1105 has demonstrated consistent and robust beneficial effects in preclinical models of ALS, showed a favorable safety profile and was well tolerated in both single and multiple ascending dose studies in healthy volunteers. In addition, ATH-1105 showed dose proportional pharmacokinetics and central nervous system penetration in this first-in-human study.</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first-in-human Phase 1 (NCT06432647) double-blind, placebo-controlled clinical trial enrolled 80 healthy volunteers to evaluate single and multiple oral ascending doses of ATH-1105. Athira plans to initiate a Phase 2 clinical trial of ATH-1105 in ALS patients in early 2026.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Athira</w:t>
      </w:r>
    </w:p>
    <w:p>
      <w:pPr>
        <w:spacing w:after="0" w:line="90"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color w:val="auto"/>
        </w:rPr>
        <w:t>Athira Pharma, Inc., headquartered in the Seattle, Washington area, is a clinical-stage biopharmaceutical company dedicated to the development of novel therapeutics for high unmet medical needs, including amyotrophic lateral sclerosis (ALS) and treatment-resistant metastatic breast cancer, with the goal of improving patients’ lives. 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are dedicated to developing meaningful new therapies for those who need them most.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visit www.athira.com. You can also follow Athira on Facebook, LinkedIn, X (formerly known as Twitter)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896620</wp:posOffset>
            </wp:positionV>
            <wp:extent cx="717486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28" w:right="31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color w:val="auto"/>
        </w:rPr>
        <w:t>Forward-Looking Statements</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communication contains “forward-looking statements” within the meaning of Section 27A of the Securities Act, Section 21E of the Securities Exchange Act of 1934 and the Private Securities Litigation Reform Act of 1995. These forward-looking statements are not based on historical fact and include statements regarding: the beneficial characteristics, safety and efficacy of Athira’s drug candidates; the anticipated consummation of the transactions described herein; Athira’s ability to obtain funding for its operations, including funding necessary to develop and commercialize its drug candidates and funding necessary for the payment of future milestone and other payments that may be earned by its collaboration partners; the success, cost, and timing of Athira’s development activities, nonclinical studies and clinical trials; the potential of any subsequent clinical trials to show the beneficial characteristics, safety and efficacy of ATH-1105; the potential of Athira to complete the Phase 3 ELAINE-3 clinical trial for lasofoxifene and any subsequent clinical trials to show the clinical benefits of lasofoxifene; the potential for the Phase 3 ELAINE-3 clinical trial to be pivotal; the potential learnings from preclinical studies and other nonclinical data and their ability to inform and improve future clinical development plans; the rate and degree of market acceptance of Athira’s drug candidates; the size and growth potential of the markets for Athira’s drug candidates, if approved for commercial use, and Athira’s ability to serve those markets; anticipated milestone timelines, such as the timing of data releases, and Athira’s ability to meet such timelines; Athira’s ability to obtain and maintain orphan drug designations for any product candidates for which it may seek such designation; the potential for lasofoxifene to be a new standard of care in the genetically defined patient group; Athira’s ability to obtain and maintain regulatory approval of its drug candidates in the United States and other jurisdictions and the timing thereof, and any related restrictions, limitations or warnings in the label of any approved drug candidate; and Athira’s expected rebranding efforts. Forward-looking statements generally include statements that are predictive in nature and depend upon or refer to future events or conditions, and include words such as “may,” “will,” “should,” “on track,” “would,” “expect,” “plan,” “believe,” “intend,” “pursue,” “continue,” “suggest,” “potential,” “target”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conditions to the closing of any or all of the transactions are not satisfied; uncertainties as to the timing of the consummation of the proposed transactions and the ability of each of the parties thereto to consummate them; unexpected costs, charges, or expenses resulting from the transactions; potential adverse reactions or changes to business relationships resulting from the announcement or completion of any or all of the proposed transactions; risks associated with the possible failure to realize certain anticipated benefits of any or all of the proposed transactions, including with respect to future financial and operating results; the data from preclinical and clinical trials may not support the safety, efficacy and tolerability of Athira’s drug candidates; development of drug candidates may cease or be delayed; regulatory authorities could object to protocols, amendments and other submissions; future potential regulatory milestones for drug candidates, including those related to current and planned clinical studies, may be insufficient to support regulatory submissions or approval; whether Athira’s trials are sufficiently powered to meet the planned endpoints; Athira may not be able to recruit sufficient patients for its clinical trials; the outcome of legal proceedings that may in the future be instituted against Athira, its directors and officers; possible negative interactions of Athira's drug candidates with other treatments; FDA regulatory delays and uncertainty and new policies, including executive orders, changes in the leadership of federal agencies such as the FDA and SEC, staff layoffs, budget cuts to agency programs and research and changes in drug pricing controls; Athira’s assumptions regarding its financial condition and the sufficiency of its cash, cash equivalents and investments to fund its planned operations may be incorrect; adverse conditions in the general domestic and global economic markets, including as a result of tariffs; the impact of competition; the impact of drug candidate development and clinical activities on operating expenses; the impact of new or changing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755650</wp:posOffset>
            </wp:positionV>
            <wp:extent cx="717486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283" w:name="page284"/>
    <w:bookmarkEnd w:id="283"/>
    <w:p>
      <w:pPr>
        <w:jc w:val="both"/>
        <w:spacing w:after="0" w:line="252" w:lineRule="auto"/>
        <w:rPr>
          <w:sz w:val="20"/>
          <w:szCs w:val="20"/>
          <w:color w:val="auto"/>
        </w:rPr>
      </w:pPr>
      <w:r>
        <w:rPr>
          <w:rFonts w:ascii="Arial" w:cs="Arial" w:eastAsia="Arial" w:hAnsi="Arial"/>
          <w:sz w:val="17"/>
          <w:szCs w:val="17"/>
          <w:color w:val="auto"/>
        </w:rPr>
        <w:t>and regulations; as well as the other risks detailed in Athira’s filings with the SEC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&amp; Media Contact: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Julie Rathbun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Athira Pharma</w:t>
      </w:r>
    </w:p>
    <w:p>
      <w:pPr>
        <w:spacing w:after="0" w:line="232" w:lineRule="auto"/>
        <w:rPr>
          <w:sz w:val="20"/>
          <w:szCs w:val="20"/>
          <w:color w:val="auto"/>
        </w:rPr>
      </w:pPr>
      <w:r>
        <w:rPr>
          <w:rFonts w:ascii="Arial" w:cs="Arial" w:eastAsia="Arial" w:hAnsi="Arial"/>
          <w:sz w:val="17"/>
          <w:szCs w:val="17"/>
          <w:color w:val="auto"/>
        </w:rPr>
        <w:t>Julie.rathbun@athira.com</w:t>
      </w:r>
    </w:p>
    <w:p>
      <w:pPr>
        <w:spacing w:after="0"/>
        <w:rPr>
          <w:sz w:val="20"/>
          <w:szCs w:val="20"/>
          <w:color w:val="auto"/>
        </w:rPr>
      </w:pPr>
      <w:r>
        <w:rPr>
          <w:rFonts w:ascii="Arial" w:cs="Arial" w:eastAsia="Arial" w:hAnsi="Arial"/>
          <w:sz w:val="17"/>
          <w:szCs w:val="17"/>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1127125</wp:posOffset>
            </wp:positionV>
            <wp:extent cx="717486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81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6775"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209550</wp:posOffset>
            </wp:positionV>
            <wp:extent cx="7216775" cy="4330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13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6775"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13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16775"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ind w:left="10440"/>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0"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 factors, in addition to the other information contained in this Current Report on Form 8-K, or the Form 8-K, the Company’s Annual Report on Form 10-K filed on February 27, 2025 and the Company’s Quarterly Report on Form 10-Q filed on November 6, 2025, together with the Form 8-K, the SEC Reports. If any of the events described in the following risk factors and the risks described in the SEC Reports occurs, our business, operating results and financial condition could be seriously harmed. The Form 8-K also contains forward-looking statements that involve risks and uncertainties. Our actual results could differ materially from those anticipated in the forward-looking statements as a result of factors that are described below and elsewhere in the Form 8-K. Our Risk Factors are not guarantees that no such conditions exist as of the date of the Form 8-K and should not be interpreted as an affirmative statement that such risks or conditions have not materialized, in whole or in part.</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the Development of Our Drug Candidates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are a clinical-stage biopharmaceutical company with a limited operating history.</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are a clinical-stage biopharmaceutical company dedicated to the development of novel therapeutics for high unmet medical needs.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65"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We may fail to or be unable to design and execute clinical trials to support marketing approval of ATH-1105, lasofoxifene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candidates, which may also limit their commercial potential.</w:t>
      </w:r>
    </w:p>
    <w:p>
      <w:pPr>
        <w:spacing w:after="0" w:line="25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spacing w:after="0" w:line="5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are developing lasofoxifene to treat breast cancer. Lasofoxifene is a next-generation selective estrogen receptor modulator (“SERM”), that inhibits estrogen receptor signaling in both wild-type and ESR1-mutated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fully disrupts the activation helix within the ER ligand-binding domain, uniquely preventing downstream estrogen signaling. This mechanism effectively shuts down the constitutive signaling that drives proliferation and metastasis in ESR1-mutated tumors. Given this unique approach, we cannot be certain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761365</wp:posOffset>
            </wp:positionV>
            <wp:extent cx="717486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327" w:name="page328"/>
    <w:bookmarkEnd w:id="327"/>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safety and efficacy of lasofoxifene in applicable patients or that our clinical trials will provide sufficient evidence that our design approach results in the intended therapeutic effect.</w:t>
      </w:r>
    </w:p>
    <w:p>
      <w:pPr>
        <w:spacing w:after="0" w:line="14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limited evidence regarding the efficacy, safety and tolerability of lasofoxifene. We or a future partner may ultimately determine that lasofoxifene does not possess certain properties required for therapeutic effectiveness. We or a future partner may spend substantial funds attempting to develop lasofoxifene and never succeed in doing so.</w:t>
      </w:r>
    </w:p>
    <w:p>
      <w:pPr>
        <w:spacing w:after="0" w:line="247"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spacing w:after="0" w:line="5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have discovered and are developing small molecule drug candidates to treat neurodegenerative diseases, including ALS.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spacing w:after="0" w:line="165"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5"/>
          <w:szCs w:val="15"/>
          <w:color w:val="auto"/>
        </w:rPr>
        <w:t>Fosgonimeton a first-generation small molecule designed to positively modulate the neurotrophic HGF system for potential treatment of CNS disorders, has been tested in Phase 1 to 2/3 clinical trials. 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spacing w:after="0" w:line="15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Since the readout of topline data from LIFT-AD, in September 2024 we have been focused on advancing the clinical development program for ATH-1105, a next generation small molecule designed for the potential treatment of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subject to our continued exploration of strategic alternatives focused on maximizing stockholder value; however, our plans, including trial design, timing and other factors have not yet been finalized.</w:t>
      </w:r>
    </w:p>
    <w:p>
      <w:pPr>
        <w:spacing w:after="0" w:line="16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have limited evidence regarding the efficacy, safety and tolerability of ATH-1105 and other small molecules in our drug product pipeline. We or a future partner may ultimately determine that ATH-1105, or any of our other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28" w:name="page329"/>
    <w:bookmarkEnd w:id="328"/>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small molecules, does not possess certain properties required for therapeutic effectiveness. We or a future partner may spend substantial funds attempting to develop these drug candidates and never succeed in doing so.</w:t>
      </w: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development of ATH-1105 or lasofoxifene may never lead to marketable products.</w:t>
      </w:r>
    </w:p>
    <w:p>
      <w:pPr>
        <w:spacing w:after="0" w:line="10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are developing ATH-1105 and lasofoxifene to address devastating diseases where current treatment options are limited or ineffective. We have not received regulatory approval for any of our product candidates and cannot be certain that our approach will lead to the development of an approvable or marketable product, alone or in combination with other therapies.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Advancing our product candidates creates significant challenges for us or a future partner, including:</w:t>
      </w:r>
    </w:p>
    <w:p>
      <w:pPr>
        <w:spacing w:after="0" w:line="100" w:lineRule="exact"/>
        <w:rPr>
          <w:sz w:val="20"/>
          <w:szCs w:val="20"/>
          <w:color w:val="auto"/>
        </w:rPr>
      </w:pPr>
    </w:p>
    <w:p>
      <w:pPr>
        <w:ind w:left="1020" w:hanging="516"/>
        <w:spacing w:after="0"/>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marketing approval;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ATH-1105 or lasofoxifene is approved, educating medical personnel regarding the potential efficacy and safety benefits, as well as the challenges, of incorporating ATH-1105 or lasofoxifene into existing treatment regimens, including in combination with other treatments or as a monotherapy;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the sales and marketing capabilities upon obtaining any marketing approvals to gain market acceptance.</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prospects as a standalone business are highly dependent on the successful development of ATH-1105 and lasofoxifene.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and about the potential of lasofoxifene based on clinical and preclinical data, we or a future partner may decide to discontinue development of some or all of our product candidates, including if we or a future partner do not demonstrate the safety and efficacy of our product candidates in current and future clinical trials.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generate revenue and achieve profitability depends significantly on our ability to achieve a number of objectives.</w:t>
      </w:r>
    </w:p>
    <w:p>
      <w:pPr>
        <w:spacing w:after="0" w:line="10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lasofoxifene or any other drug candidates we may seek to develop. Our ability to generate revenue and achieve profitability depends significantly on our ability to achieve a number of objectives, including:</w:t>
      </w:r>
    </w:p>
    <w:p>
      <w:pPr>
        <w:spacing w:after="0" w:line="66" w:lineRule="exact"/>
        <w:rPr>
          <w:sz w:val="20"/>
          <w:szCs w:val="20"/>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and timely completion of nonclinical and clinical development of our drug candidates and any future drug candidates, as well as the associated costs, including any unforeseen costs;</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relationships with contract research organizations (“CROs”), and clinical sites for the clinical development, both in the United States and internationally, of our drug candidates and any future drug candidates;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submission of application for and receipt of marketing approvals from applicable regulatory authorities for any drug candidates for which we successfully complete clinical development;</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any required post-marketing approval commitments to applicable regulatory authorities;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 efficient and scalable manufacturing process for our drug candidates, including obtaining finished products that are appropriately packaged for sale;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29" w:name="page330"/>
    <w:bookmarkEnd w:id="329"/>
    <w:p>
      <w:pPr>
        <w:ind w:left="1020" w:right="20" w:hanging="516"/>
        <w:spacing w:after="0" w:line="276" w:lineRule="auto"/>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commercial launch following any marketing approval, including the development of a commercial infrastructure, whether inhouse or with one or more collaborators;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acceptable safety profile following any marketing approval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 of our drug candidates by patients, the medical community and third-party payors;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assessing and developing new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maintaining and expanding patent protection, trade secret protection and regulatory exclusivity, both in the United States and internationally;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protecting our rights in our intellectual property portfolio;</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patent challenges, derivation proceedings, or interference or infringement claims, if any;</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 that may be necessary or desirable to develop, manufacture or commercialize our drug candidates;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coverage and adequate reimbursement by hospitals, government and third-party payors for drug candidates that we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competing therapies and technological and market developments;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61"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spacing w:after="0" w:line="16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54"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Historically, we have concentrated our research and development efforts on the treatment of central and peripheral nervous system degenerative disorders, a field that has seen very limited success in product development.</w:t>
      </w:r>
    </w:p>
    <w:p>
      <w:pPr>
        <w:spacing w:after="0" w:line="4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Prior to our in-licensing of lasofoxifene, 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0" w:name="page331"/>
    <w:bookmarkEnd w:id="330"/>
    <w:p>
      <w:pPr>
        <w:jc w:val="both"/>
        <w:spacing w:after="0" w:line="252" w:lineRule="auto"/>
        <w:rPr>
          <w:sz w:val="20"/>
          <w:szCs w:val="20"/>
          <w:color w:val="auto"/>
        </w:rPr>
      </w:pPr>
      <w:r>
        <w:rPr>
          <w:rFonts w:ascii="Times New Roman" w:cs="Times New Roman" w:eastAsia="Times New Roman" w:hAnsi="Times New Roman"/>
          <w:sz w:val="16"/>
          <w:szCs w:val="16"/>
          <w:color w:val="auto"/>
        </w:rPr>
        <w:t>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limited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56"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no marketed proprietary products and have not yet completed any Phase 3 clinical trials, which makes it difficult to assess our ability to develop our future product candidates and commercialize any resulting products independently.</w:t>
      </w:r>
    </w:p>
    <w:p>
      <w:pPr>
        <w:spacing w:after="0" w:line="46"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While we have completed Phase 1 and 2/3 clinical trials for product candidates focused on addressing CNS and PNS disorders, we have no previous experience in completing a Phase 3 clinical trial or in completing clinical trials in oncology, and the related regulatory requirements, or the commercialization of any products. We have not yet demonstrated our ability to independently and repeatedly conduct clinical development after Phase 2, obtain regulatory approval, manufacture drug product on a registrational and commercial scale or arrange for a third-party to do so on our behalf, and commercialize therapeutic products. If we do not find a partner to assist with the later stage clinical development and commercialization of our product candidates, we will need to develop such abilities in order to successfully develop and commercialize our product candidates. To develop and commercialize our product candidates independently, we will need to successfully:</w:t>
      </w:r>
    </w:p>
    <w:p>
      <w:pPr>
        <w:spacing w:after="0" w:line="71" w:lineRule="exact"/>
        <w:rPr>
          <w:sz w:val="20"/>
          <w:szCs w:val="20"/>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reach agreement with multiple regulatory agencies on clinical and pre-clinical studies required for registration;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clinical development and manufacturing plans for later-stage product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required regulatory approvals in each jurisdiction in which we will seek to commercialize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maintain appropriate pre-commercialization capabilities as well as commercial sales, distribution and marketing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and implement effective market access strategy and gain market acceptance for our future products, if any;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 our spending as costs and expenses increase due to clinical trials, regulatory approvals and commercialization activities.</w:t>
      </w:r>
    </w:p>
    <w:p>
      <w:pPr>
        <w:spacing w:after="0" w:line="100"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If we are unsuccessful in accomplishing these objectives, we will not be able to develop and commercialize any future product candidates independently and could fail to realize the potential advantages of doing so.</w:t>
      </w:r>
    </w:p>
    <w:p>
      <w:pPr>
        <w:spacing w:after="0" w:line="235"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59"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currently have two clinical-stage drug candidates, each for the treatment of different indications. It is impossible to predict when or if any of our drug candidates will prove to be effective and safe in humans or will receive regulatory approval.</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Clinical trials can also be lengthy due to the challenge of identifying patients. Even if patients are successfully identified, they may fail screening criteria and, as a result, not be enrolled in the trial. These uncertainties are enhanced where the diseases or disorders under study lack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1" w:name="page332"/>
    <w:bookmarkEnd w:id="331"/>
    <w:p>
      <w:pPr>
        <w:spacing w:after="0" w:line="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established clinical endpoints, validated measures of efficacy, as is often the case with disorders for which no drugs have been developed previously and where the product candidates target novel mechanisms. In oncology clinical trials, there is often a need to enroll large numbers of patients, which can be expensive and time-consuming. Failure can occur at any time during the nonclinical study and clinical trial processes, and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we paused further development of our fosgonimeton product candidate after our Phase 2 and Phase 2/3 clinical trials failed to meet their primary endpoints and secondary endpoints.</w:t>
      </w:r>
    </w:p>
    <w:p>
      <w:pPr>
        <w:spacing w:after="0" w:line="15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spacing w:after="0" w:line="15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6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by the institutional review boards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62" w:lineRule="exact"/>
        <w:rPr>
          <w:sz w:val="20"/>
          <w:szCs w:val="20"/>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disagreeing as to the design or implementation of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disagreeing with our clinical development strategy or statistical plan;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regulations or administrative actions;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our ability to commence a clinical trial;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2" w:name="page333"/>
    <w:bookmarkEnd w:id="332"/>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IRB approval at each clinical trial site;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an adequate number of suitable patients to participate in a clinical trial on a timely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drug candidates may be larger than we anticipate;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having subjects complete a clinical trial or return for post-treatment follow-up;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sites deviating from clinical trial protocol or dropping out of a clinical trial;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protocol deviations or non-compliance with good clinical practice (“GCP”) requirements, or other data integrity reasons, that cause us or the FDA or other regulatory authorities to exclude data from non-compliant sites or investigators, which may cause the trial to be underpowered to meet the endpoints;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by us or our CROs in qualifying or analyzing patient data at the completion of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a benefit from using a drug candidate;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subject safety concerns that arise during the course of a clinical trial;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adding a sufficient number of clinical trial sites;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sufficient supply of drug candidates for use in nonclinical studies or clinical trials from third-party suppliers.</w:t>
      </w:r>
    </w:p>
    <w:p>
      <w:pPr>
        <w:spacing w:after="0" w:line="19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57"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167"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spacing w:after="0" w:line="50" w:lineRule="exact"/>
        <w:rPr>
          <w:sz w:val="20"/>
          <w:szCs w:val="20"/>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unplanned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to limit or terminate clinical trials, including our open-label extension trial;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or prevented from obtaining marketing approval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 including boxed warnings;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changes in the way our drug candidates are administered;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3" w:name="page334"/>
    <w:bookmarkEnd w:id="333"/>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perform additional clinical trials to support approval or be subject to additional post-marketing testing requirements;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regulatory authorities withdraw their approval of the drug product or impose restrictions on its distribution in the form of a modified risk evaluation and mitigation strategy (“REMS”);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the addition of labeling statements, such as warnings or contraindications;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sued;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damage to our reputation.</w:t>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integrating lasofoxifene into our pipeline of product candidates.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 xml:space="preserve">In December 2025, we entered into agreements with Sermonix Pharmaceuticals, Inc. and Ligand Pharmaceuticals Incorporated granting the Company exclusive licenses and rights to develop, manufacture and commercialize oral forms of the selective estrogen-receptor modulator known as lasofoxifene in all countries and territories of the world except for Asia and certain countries in the Middle East. </w:t>
      </w:r>
      <w:r>
        <w:rPr>
          <w:rFonts w:ascii="Times New Roman" w:cs="Times New Roman" w:eastAsia="Times New Roman" w:hAnsi="Times New Roman"/>
          <w:sz w:val="16"/>
          <w:szCs w:val="16"/>
          <w:color w:val="212529"/>
        </w:rPr>
        <w:t>The development and any potential partnering or independent commercialization of this product candidate will require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substantial additional cash to fund the costs associated with conducting the necessary preclinical and clinical testing and obtaining regulatory approval. In addition, the consummation of this transaction may also require more time or greater cash resources than we anticipate and expose us to other operational and financial risks, including:</w:t>
      </w:r>
    </w:p>
    <w:p>
      <w:pPr>
        <w:spacing w:after="0" w:line="67" w:lineRule="exact"/>
        <w:rPr>
          <w:sz w:val="20"/>
          <w:szCs w:val="20"/>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near-term and long-term expenditures;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unknown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than expected acquisition, disposition or integration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incurrence of substantial debt or dilutive issuances of equity securities to fund future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write-downs of assets or incurrence of non-recurring, impairment or other charges;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and cost in integrating the development of lasofoxifene into our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impairment of relationships with key suppliers or service providers involved in the historical development of lasofoxifene;</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hire for key areas of need or retain our employees that are necessary for the development of our product candidates and management of our business;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possibility of future litigation.</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12529"/>
        </w:rPr>
        <w:t>If any of the foregoing risks materialize it could have a material adverse effect on our business, financial condition and prospects.</w:t>
      </w:r>
    </w:p>
    <w:p>
      <w:pPr>
        <w:spacing w:after="0" w:line="28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4" w:name="page335"/>
    <w:bookmarkEnd w:id="334"/>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to that drug candidate through collaboration, licensing or other royalty arrangements in cases in which it would have been more advantageous for us to retain sole development and commercialization rights.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46"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success of other future drug candidates we may develop will depend on many factors, including the following:</w:t>
      </w:r>
    </w:p>
    <w:p>
      <w:pPr>
        <w:spacing w:after="0" w:line="100" w:lineRule="exact"/>
        <w:rPr>
          <w:sz w:val="20"/>
          <w:szCs w:val="20"/>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generating sufficient data to support the initiation or continuation of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regulatory permission to initiate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contracting with the necessary parties to conduct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enrollment of patients in, and the completion of, clinical trials on a timely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timely manufacture of sufficient quantities of the drug candidate for use in clinical trials;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events in the clinical trials.</w:t>
      </w:r>
    </w:p>
    <w:p>
      <w:pPr>
        <w:spacing w:after="0" w:line="19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24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spacing w:after="0" w:line="15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35" w:name="page336"/>
    <w:bookmarkEnd w:id="335"/>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resources, which could adversely affect our business and cash resources and our ability to consummate a potential strategic transaction or the ultimate value our stockholders receive in any such transaction.</w:t>
      </w:r>
    </w:p>
    <w:p>
      <w:pPr>
        <w:spacing w:after="0" w:line="14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60"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Washington State University (“WSU”), previously announced that it had undertaken a review of prior claims of potential research misconduct involving our former chief executive officer’s doctoral research at WSU. We cannot predict what conclusions WSU has reached or may reach in the future, whether or when WSU would share its conclusions with us or the public, and what effect, if any, this review could have on our business and reputation</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In connection with 2021 claims of potential research misconduct involving our former chief executive officer’s research at WSU, WSU previously announced that it would undertake a review of these claims. These claims precipitated an investigation by our board of directors, securities class action and shareholder derivative litigation, and a Department of Justice civil investigation that have all since been resolved. We cannot predict what, if any, effect this review may have on our business and reputation, including with regards to our in-licensed patents and our relationship with WSU, from which we in-license patents underlying our previous lead drug candidate, fosgonimeton.</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61"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6" w:name="page337"/>
    <w:bookmarkEnd w:id="336"/>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spacing w:after="0" w:line="15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56"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reporting of topline or final data for our clinical trials may be delayed and our regulatory submissions or receipt of necessary marketing approvals could be delayed or prevented.</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Our projected timeline for announcing our topline data for ATH-1105, lasofoxifene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spacing w:after="0" w:line="15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clinical trials or third-party clinical trials for similar indications may impact enrollment of our trials in progress. If we are unable to locate a sufficient number of such patients, our clinical trial and development plans could be delayed.</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the timely completion of our clinical trials in accordance with their protocols and applicable requirements depends, among other things, on our ability to enroll a sufficient number of participants who remain in the study until its conclusion. 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timelines for ATH-1105, lasofoxifene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7" w:name="page338"/>
    <w:bookmarkEnd w:id="337"/>
    <w:p>
      <w:pPr>
        <w:spacing w:after="0" w:line="99"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Specifically, there are a large number of companies developing or marketing treatments for cancer, including many major pharmaceutical and biotechnology companies. Our competitors may compete with us in patient recruitment, use of clinical research organizations, and procurement of operational resources. As a result, our competitors may discover, develop, license or commercialize products before or more successfully than we do.</w:t>
      </w:r>
    </w:p>
    <w:p>
      <w:pPr>
        <w:spacing w:after="0" w:line="202"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Centers for Medicare &amp; Medicaid Services(“CMS”),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subsections of this Form 8-K titled “Competition” under the section titled “Business”.</w:t>
      </w: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develop drug candidates in combination with other therapies, which exposes us to additional risks.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candidates we develop, we may be unable to obtain approval of or market such combination therapy.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all the anticipated benefits of our expected corporate rebranding and it may result in unanticipated disruptions to our on-going business.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8" w:name="page339"/>
    <w:bookmarkEnd w:id="338"/>
    <w:p>
      <w:pPr>
        <w:spacing w:after="0" w:line="8" w:lineRule="exact"/>
        <w:rPr>
          <w:sz w:val="20"/>
          <w:szCs w:val="20"/>
          <w:color w:val="auto"/>
        </w:rPr>
      </w:pPr>
    </w:p>
    <w:p>
      <w:pPr>
        <w:jc w:val="both"/>
        <w:ind w:right="20" w:firstLine="571"/>
        <w:spacing w:after="0" w:line="261" w:lineRule="auto"/>
        <w:rPr>
          <w:sz w:val="20"/>
          <w:szCs w:val="20"/>
          <w:color w:val="auto"/>
        </w:rPr>
      </w:pPr>
      <w:r>
        <w:rPr>
          <w:rFonts w:ascii="Times New Roman" w:cs="Times New Roman" w:eastAsia="Times New Roman" w:hAnsi="Times New Roman"/>
          <w:sz w:val="16"/>
          <w:szCs w:val="16"/>
          <w:color w:val="auto"/>
        </w:rPr>
        <w:t>In order to reflect our strategic shift to focus on developing lasofoxifene, in addition to ATH-1105, we expect to change our name and re-brand our business (the “Corporate Rebrand”). The Corporate Rebrand is expected to involve the adoption of a new ticker symbol on The Nasdaq Stock Market. We may face unanticipated disruptions to our business arising from the Corporate Rebrand, and it may expose us to additional risks, including:</w:t>
      </w:r>
    </w:p>
    <w:p>
      <w:pPr>
        <w:spacing w:after="0" w:line="62" w:lineRule="exact"/>
        <w:rPr>
          <w:sz w:val="20"/>
          <w:szCs w:val="20"/>
          <w:color w:val="auto"/>
        </w:rPr>
      </w:pPr>
    </w:p>
    <w:p>
      <w:pPr>
        <w:ind w:left="1020" w:hanging="516"/>
        <w:spacing w:after="0" w:line="276" w:lineRule="auto"/>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or unanticipated delays accessing certain markets or segments due to delays or other issues with regulatory approvals, clinical trials, or other updates arising from or related to the Corporate Rebrand;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Intellectual property risks associated with the adoption of a new corporate identity and trade dress;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goodwill and brand equity associated with our legacy brand that will become less prominent over time.</w:t>
      </w:r>
    </w:p>
    <w:p>
      <w:pPr>
        <w:spacing w:after="0" w:line="19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The Corporate Rebrand is expected to involve a significant financial and resource investment as we complete this transition. The anticipated benefits of the Corporate Rebrand may not be achieved within the anticipated timeframe, without additional near or long-term investment, or at all. Any of these factors could negatively impact our brand and reputation, decrease or delay the expected accretive effect of the Corporate Rebrand, and negatively impact the price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Capital Needs</w:t>
      </w:r>
    </w:p>
    <w:p>
      <w:pPr>
        <w:spacing w:after="0" w:line="98" w:lineRule="exact"/>
        <w:rPr>
          <w:sz w:val="20"/>
          <w:szCs w:val="20"/>
          <w:color w:val="auto"/>
        </w:rPr>
      </w:pPr>
    </w:p>
    <w:p>
      <w:pPr>
        <w:jc w:val="both"/>
        <w:ind w:right="20" w:firstLine="510"/>
        <w:spacing w:after="0" w:line="287" w:lineRule="auto"/>
        <w:rPr>
          <w:sz w:val="20"/>
          <w:szCs w:val="20"/>
          <w:color w:val="auto"/>
        </w:rPr>
      </w:pPr>
      <w:r>
        <w:rPr>
          <w:rFonts w:ascii="Times New Roman" w:cs="Times New Roman" w:eastAsia="Times New Roman" w:hAnsi="Times New Roman"/>
          <w:sz w:val="15"/>
          <w:szCs w:val="15"/>
          <w:b w:val="1"/>
          <w:bCs w:val="1"/>
          <w:i w:val="1"/>
          <w:iCs w:val="1"/>
          <w:color w:val="auto"/>
        </w:rPr>
        <w:t>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eliminate our drug product development programs, commercialization efforts or other operations.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and lasofoxifene. Developing ATH-1105 and lasofoxifene and conducting clinical trials for the potential treatment of ALS and breast cancer,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Times New Roman" w:cs="Times New Roman" w:eastAsia="Times New Roman" w:hAnsi="Times New Roman"/>
          <w:sz w:val="16"/>
          <w:szCs w:val="16"/>
          <w:color w:val="212529"/>
        </w:rPr>
        <w:t>.</w:t>
      </w:r>
    </w:p>
    <w:p>
      <w:pPr>
        <w:spacing w:after="0" w:line="16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Accordingly, we will need to obtain substantial additional funding in connection with our continuing operations. As of September 30, 2025, we had cash, cash equivalents and investments of $25.2 million. Based upon our current operating plan, we estimate that our existing cash, cash equivalents and investments will be sufficient to fund our operating expenses and capital expenditure requirements through at least the next 12 months. On December 18, 2025, we announced that we entered into a securities purchase agreement with certain institutional investors whereby we agreed to issue and sell, by way of a private placement, shares of common stock and pre-funded warrants to purchase common stock, which, upon closing, will provide us with approximately $90 million in gross proceeds, excluding placement agent fees and offering expenses. While we expect to use these proceeds to fund the clinical development of our product candidates, we will need to raise substantial additional capital to advance these product candidates through later-stage clinical development, partnering or independent commercialization. If we raise additional funds by issuing equity securities, our stockholders will suffer additional dilution, and the terms of any financing may adversely affect the rights of our stockholders.</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12529"/>
        </w:rPr>
        <w:t xml:space="preserve">The </w:t>
      </w:r>
      <w:r>
        <w:rPr>
          <w:rFonts w:ascii="Times New Roman" w:cs="Times New Roman" w:eastAsia="Times New Roman" w:hAnsi="Times New Roman"/>
          <w:sz w:val="16"/>
          <w:szCs w:val="16"/>
          <w:color w:val="000000"/>
        </w:rPr>
        <w:t>amount and timing of our future funding requirements depends on many factors, some of which are outside of our control, including but not limited to:</w:t>
      </w:r>
    </w:p>
    <w:p>
      <w:pPr>
        <w:spacing w:after="0" w:line="100" w:lineRule="exact"/>
        <w:rPr>
          <w:sz w:val="20"/>
          <w:szCs w:val="20"/>
          <w:color w:val="auto"/>
        </w:rPr>
      </w:pPr>
    </w:p>
    <w:p>
      <w:pPr>
        <w:ind w:left="1020" w:hanging="516"/>
        <w:spacing w:after="0"/>
        <w:tabs>
          <w:tab w:leader="none" w:pos="10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progress, costs, clinical trial design, results of and timing of our clinical trials, including for potential additional indications that we may pursue;</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FDA, EMA and any other regulatory agencies to accept ATH-1105 or lasofoxifene or clinical trial data, as well as data from any completed and planned clinical and nonclinical studies and other work, as the basis for review and approval of ATH-1105 for ALS and lasofoxifene for breast cancer and the potential need for additional clinical trials;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39" w:name="page340"/>
    <w:bookmarkEnd w:id="339"/>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costs and timing of seeking and obtaining FDA, EMA and any other regulatory approvals, including ongoing management of regulatory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characteristics of drug candidates that we pursue;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sufficient quantities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expand our research and development activities and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securing and establishing commercialization and manufacturing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acquiring, licensing or investing in businesses, drug candidates and technologies;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timing and outcomes of any litigation involving our company, including securities class actions and government investigations which we may be or may in the future become involved in;</w:t>
      </w:r>
    </w:p>
    <w:p>
      <w:pPr>
        <w:spacing w:after="0" w:line="49" w:lineRule="exact"/>
        <w:rPr>
          <w:rFonts w:ascii="Times New Roman" w:cs="Times New Roman" w:eastAsia="Times New Roman" w:hAnsi="Times New Roman"/>
          <w:sz w:val="16"/>
          <w:szCs w:val="16"/>
          <w:color w:val="auto"/>
        </w:rPr>
      </w:pPr>
    </w:p>
    <w:p>
      <w:pPr>
        <w:jc w:val="both"/>
        <w:ind w:left="1020" w:right="20" w:hanging="516"/>
        <w:spacing w:after="0" w:line="310" w:lineRule="auto"/>
        <w:tabs>
          <w:tab w:leader="none" w:pos="102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7"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and ability to retain management and hire scientific, clinical and other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drugs and drug candidates and other market developments;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implement additional internal systems and infrastructure, including financial, quality, and reporting systems;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economic and other terms, timing of and success of any collaboration, licensing or other arrangements into which we may enter in the future.</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spacing w:after="0" w:line="145" w:lineRule="exact"/>
        <w:rPr>
          <w:sz w:val="20"/>
          <w:szCs w:val="20"/>
          <w:color w:val="auto"/>
        </w:rPr>
      </w:pPr>
    </w:p>
    <w:p>
      <w:pPr>
        <w:jc w:val="both"/>
        <w:ind w:firstLine="551"/>
        <w:spacing w:after="0" w:line="251" w:lineRule="auto"/>
        <w:rPr>
          <w:sz w:val="20"/>
          <w:szCs w:val="20"/>
          <w:color w:val="auto"/>
        </w:rPr>
      </w:pPr>
      <w:r>
        <w:rPr>
          <w:rFonts w:ascii="Times New Roman" w:cs="Times New Roman" w:eastAsia="Times New Roman" w:hAnsi="Times New Roman"/>
          <w:sz w:val="16"/>
          <w:szCs w:val="16"/>
          <w:color w:val="auto"/>
        </w:rPr>
        <w:t xml:space="preserve">In addition, in January 2023, we entered into a sales agreement with Cantor and BTIG to sell shares of our common stock having aggregate sales proceeds of up to $75.0 million, from time to time, subject to applicable limitations on sales pursuant to SEC rules and regulations, through an at-the-market (“ATM”) equity offering program under which Cantor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Times New Roman" w:cs="Times New Roman" w:eastAsia="Times New Roman" w:hAnsi="Times New Roman"/>
          <w:sz w:val="16"/>
          <w:szCs w:val="16"/>
          <w:color w:val="212529"/>
        </w:rPr>
        <w:t>unable</w:t>
      </w:r>
      <w:r>
        <w:rPr>
          <w:rFonts w:ascii="Times New Roman" w:cs="Times New Roman" w:eastAsia="Times New Roman" w:hAnsi="Times New Roman"/>
          <w:sz w:val="16"/>
          <w:szCs w:val="16"/>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16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spacing w:after="0" w:line="157"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5"/>
          <w:szCs w:val="15"/>
          <w:color w:val="auto"/>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40" w:name="page341"/>
    <w:bookmarkEnd w:id="340"/>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losses since our inception and anticipate that we will continue to incur significant losses for the foreseeable future.</w:t>
      </w:r>
    </w:p>
    <w:p>
      <w:pPr>
        <w:spacing w:after="0" w:line="10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not generated any revenue from drug product sales and our drug candidates will require substantial additional investment before they may provide us with any revenue. We had net losses of $22.7 million and $81.9 million for the nine months ended September 30, 2025 and 2024</w:t>
      </w:r>
      <w:r>
        <w:rPr>
          <w:rFonts w:ascii="Times New Roman" w:cs="Times New Roman" w:eastAsia="Times New Roman" w:hAnsi="Times New Roman"/>
          <w:sz w:val="16"/>
          <w:szCs w:val="16"/>
          <w:color w:val="212529"/>
        </w:rPr>
        <w:t>, respectively, and an accumulated deficit of $428.9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million as of September 30, 2025.</w:t>
      </w:r>
    </w:p>
    <w:p>
      <w:pPr>
        <w:spacing w:after="0" w:line="157"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212529"/>
        </w:rPr>
        <w:t xml:space="preserve">We have devoted most of our financial resources to research and development, including our clinical and nonclinical development </w:t>
      </w:r>
      <w:r>
        <w:rPr>
          <w:rFonts w:ascii="Times New Roman" w:cs="Times New Roman" w:eastAsia="Times New Roman" w:hAnsi="Times New Roman"/>
          <w:sz w:val="16"/>
          <w:szCs w:val="16"/>
          <w:color w:val="000000"/>
        </w:rPr>
        <w:t>activities. To date, we have financed</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our operations primarily with proceeds from the sale and issuance of common stock, convertible preferred stock, common stock warrants, and convertible notes, and to a lesser extent from grant income and stock option exercises.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We expect to incur significant expenses and operating losses for the foreseeable future, including as a result of the following actions that we may take to:</w:t>
      </w:r>
    </w:p>
    <w:p>
      <w:pPr>
        <w:spacing w:after="0" w:line="100" w:lineRule="exact"/>
        <w:rPr>
          <w:sz w:val="20"/>
          <w:szCs w:val="20"/>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nonclinical and clinical development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the scope of our clinical studies for our current and prospective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additional nonclinical, clinical or other studies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or add additional manufacturers or suppliers and manufacture drug supply and drug product for clinical trials and commercialization;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and marketing approvals for any of our drug candidates that successfully complete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additional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operate as a public company;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our facilities and lab space;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identify and validate additional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other drug candidates and technologies or engage in other strategic transactions;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or other payments under our in-license or other agreements, including with respect to our license of lasofoxifene;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protect and expand our intellectual property portfolio;</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additional infrastructure to support our operations and our drug product development efforts;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expenses in connection with potential future legal proceedings, and addressing potential stockholder activism.</w:t>
      </w:r>
    </w:p>
    <w:p>
      <w:pPr>
        <w:spacing w:after="0" w:line="19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 xml:space="preserve">Our expenses could increase beyond expectations for a variety of reasons, including if we experience any delays or encounter issues with any of the above, are required by the FDA, the European Medicines Agency (“EMA”), or other regulatory agencies, domestic or foreign, to perform clinical and other </w:t>
      </w:r>
      <w:r>
        <w:rPr>
          <w:rFonts w:ascii="Times New Roman" w:cs="Times New Roman" w:eastAsia="Times New Roman" w:hAnsi="Times New Roman"/>
          <w:sz w:val="16"/>
          <w:szCs w:val="16"/>
          <w:color w:val="212529"/>
        </w:rPr>
        <w:t>studies</w:t>
      </w:r>
      <w:r>
        <w:rPr>
          <w:rFonts w:ascii="Times New Roman" w:cs="Times New Roman" w:eastAsia="Times New Roman" w:hAnsi="Times New Roman"/>
          <w:sz w:val="16"/>
          <w:szCs w:val="16"/>
          <w:color w:val="auto"/>
        </w:rPr>
        <w:t xml:space="preserve"> in addition to those that we currently anticipate. Our prior losses, combined with expected future losses, have had and will continue to have an adverse effect on our stockholders’ equity.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1" w:name="page342"/>
    <w:bookmarkEnd w:id="341"/>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Adverse events or perceptions affecting the financial services industry could adversely affect our operating results, liquidity, financial condition and prospects.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67" w:lineRule="exact"/>
        <w:rPr>
          <w:sz w:val="20"/>
          <w:szCs w:val="20"/>
          <w:color w:val="auto"/>
        </w:rPr>
      </w:pPr>
    </w:p>
    <w:p>
      <w:pPr>
        <w:ind w:left="1020" w:hanging="516"/>
        <w:spacing w:after="0"/>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delayed access to deposits or other financial assets or the uninsured loss of deposits or other financial assets;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or actual breach of obligations, including U.S. federal and state wage laws and contracts that required them to maintain letters or credit or other credit support arrangements;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cash management arrangements or delays in accessing or actual loss of funds subject to cash management arrangements.</w:t>
      </w:r>
    </w:p>
    <w:p>
      <w:pPr>
        <w:spacing w:after="0" w:line="19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spacing w:after="0" w:line="162"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Concerns regarding the U.S. or international financial systems could impact the availability and cost of financing, thereby making it more difficult for us to acquire financing on acceptable terms or at all.</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Any of these risks could materially impact our operating results, liquidity, financial condition and prospects.</w:t>
      </w:r>
    </w:p>
    <w:p>
      <w:pPr>
        <w:spacing w:after="0" w:line="285"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212529"/>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46" w:lineRule="exact"/>
        <w:rPr>
          <w:sz w:val="20"/>
          <w:szCs w:val="20"/>
          <w:color w:val="auto"/>
        </w:rPr>
      </w:pPr>
    </w:p>
    <w:p>
      <w:pPr>
        <w:jc w:val="both"/>
        <w:ind w:right="20" w:firstLine="510"/>
        <w:spacing w:after="0" w:line="279" w:lineRule="auto"/>
        <w:rPr>
          <w:sz w:val="20"/>
          <w:szCs w:val="20"/>
          <w:color w:val="auto"/>
        </w:rPr>
      </w:pPr>
      <w:r>
        <w:rPr>
          <w:rFonts w:ascii="Times New Roman" w:cs="Times New Roman" w:eastAsia="Times New Roman" w:hAnsi="Times New Roman"/>
          <w:sz w:val="15"/>
          <w:szCs w:val="15"/>
          <w:color w:val="212529"/>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14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212529"/>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2" w:name="page343"/>
    <w:bookmarkEnd w:id="342"/>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212529"/>
        </w:rPr>
        <w:t>portions of the investment portfolio and sell securities in an unrealized loss position, we will incur realized losses. Any such charge may have a material adverse effect on our results of operations and business.</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 xml:space="preserve">Our ability to use net operating </w:t>
      </w:r>
      <w:r>
        <w:rPr>
          <w:rFonts w:ascii="Times New Roman" w:cs="Times New Roman" w:eastAsia="Times New Roman" w:hAnsi="Times New Roman"/>
          <w:sz w:val="16"/>
          <w:szCs w:val="16"/>
          <w:b w:val="1"/>
          <w:bCs w:val="1"/>
          <w:i w:val="1"/>
          <w:iCs w:val="1"/>
          <w:color w:val="000000"/>
        </w:rPr>
        <w:t>losses</w:t>
      </w:r>
      <w:r>
        <w:rPr>
          <w:rFonts w:ascii="Times New Roman" w:cs="Times New Roman" w:eastAsia="Times New Roman" w:hAnsi="Times New Roman"/>
          <w:sz w:val="16"/>
          <w:szCs w:val="16"/>
          <w:b w:val="1"/>
          <w:bCs w:val="1"/>
          <w:i w:val="1"/>
          <w:iCs w:val="1"/>
          <w:color w:val="212529"/>
        </w:rPr>
        <w:t xml:space="preserve"> to offset future taxable income may be subject to certain limitations.</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212529"/>
        </w:rPr>
        <w:t>As of December 31, 2024, we had federal net operating loss carryforwards(“NOLs”) to offset future taxable income of approximately $9.5 million and federal tax credit carryforwards of approximately $16.5 million, which expire over a period of 7 to 13 years. Federal NOLs of $196.0 million generated after the 2017 tax year will carry forward indefinitely and will be subject to the 80% of taxable income limitation. As of December 31, 2024, we also had state NOLs of $3.9 million, which expire over a period of 17 to 20 years. A lack of future taxable income would adversely affect our ability to utilize these NOLs.</w:t>
      </w:r>
    </w:p>
    <w:p>
      <w:pPr>
        <w:spacing w:after="0" w:line="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212529"/>
        </w:rPr>
        <w:t>In addition, under Section 382 of the Internal Revenue Code of 1986, as amended(“the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spacing w:after="0" w:line="66"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212529"/>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Changes in tax laws could have a material adverse effect on our business, cash flows, results of operations or financial condition.</w:t>
      </w:r>
    </w:p>
    <w:p>
      <w:pPr>
        <w:spacing w:after="0" w:line="10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212529"/>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(or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 OBBB on the Company.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Regulatory Approval and Other Legal Compliance Matters</w:t>
      </w:r>
    </w:p>
    <w:p>
      <w:pPr>
        <w:spacing w:after="0" w:line="98" w:lineRule="exact"/>
        <w:rPr>
          <w:sz w:val="20"/>
          <w:szCs w:val="20"/>
          <w:color w:val="auto"/>
        </w:rPr>
      </w:pPr>
    </w:p>
    <w:p>
      <w:pPr>
        <w:jc w:val="both"/>
        <w:ind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15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drug candidates and the activities associated with their development and commercialization, including their design, testing, manufacture, safety, efficacy, recordkeeping, labeling, storage, approval, advertising, promotion, sale,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3" w:name="page344"/>
    <w:bookmarkEnd w:id="343"/>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145"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Applications for our drug candidates could fail to receive regulatory approval for many reasons, including the following:</w:t>
      </w:r>
    </w:p>
    <w:p>
      <w:pPr>
        <w:spacing w:after="0" w:line="100" w:lineRule="exact"/>
        <w:rPr>
          <w:sz w:val="20"/>
          <w:szCs w:val="20"/>
          <w:color w:val="auto"/>
        </w:rPr>
      </w:pPr>
    </w:p>
    <w:p>
      <w:pPr>
        <w:ind w:left="1020" w:hanging="516"/>
        <w:spacing w:after="0"/>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disagree with the design, implementation or results of our clinical trials;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population studied in the clinical trial may not be sufficiently broad or representative to assure efficacy and safety in the full population for which we seek approval;</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disagree with our interpretation of data from nonclinical studies or clinical trials;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to the FDA or other comparable foreign regulatory authorities that our drug candidate’s risk-benefit ratio for its proposed indication is acceptable;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56" w:lineRule="auto"/>
        <w:tabs>
          <w:tab w:leader="none" w:pos="102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161"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4" w:name="page345"/>
    <w:bookmarkEnd w:id="344"/>
    <w:p>
      <w:pPr>
        <w:spacing w:after="0" w:line="8"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157"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Further, under the current administration, agency reorganization, government shutdown, lapse of U.S. government appropriations,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Further, FDA's “real-time</w:t>
      </w:r>
      <w:r>
        <w:rPr>
          <w:rFonts w:ascii="Times New Roman" w:cs="Times New Roman" w:eastAsia="Times New Roman" w:hAnsi="Times New Roman"/>
          <w:sz w:val="16"/>
          <w:szCs w:val="16"/>
          <w:color w:val="212529"/>
        </w:rPr>
        <w:t>”</w:t>
      </w:r>
      <w:r>
        <w:rPr>
          <w:rFonts w:ascii="Times New Roman" w:cs="Times New Roman" w:eastAsia="Times New Roman" w:hAnsi="Times New Roman"/>
          <w:sz w:val="16"/>
          <w:szCs w:val="16"/>
          <w:color w:val="auto"/>
        </w:rPr>
        <w:t xml:space="preserve"> 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 government shutdown lead to disruptions in FDA’s operations, including changes in funding for certain programs at the FDA, correspondence and regulatory review processes with the FDA may be materially delayed.</w:t>
      </w:r>
    </w:p>
    <w:p>
      <w:pPr>
        <w:spacing w:after="0" w:line="25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9"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62"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5" w:name="page346"/>
    <w:bookmarkEnd w:id="345"/>
    <w:p>
      <w:pPr>
        <w:spacing w:after="0" w:line="8"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spacing w:after="0" w:line="162"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67"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pacing w:after="0" w:line="167"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Even if we receive regulatory approval of our drug candidates, we will be subject to ongoing regulatory obligations and continued regulatory review, which may result in significant additional expense and we may be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6" w:name="page347"/>
    <w:bookmarkEnd w:id="346"/>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subject to penalties if we fail to comply with regulatory requirements or experience unanticipated problems with our drug candidates.</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current good manufacturing practice(“cGMP”) regulations, good laboratory practice, or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our drug candidates, withdrawal of the drug product from the market or voluntary or mandatory product recalls;</w:t>
      </w:r>
    </w:p>
    <w:p>
      <w:pPr>
        <w:spacing w:after="0" w:line="111"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delays and supply disruptions where regulatory inspections identify observations of noncompliance requiring remediation;</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revisions to the labeling, including limitation on approved uses or the addition of additional warnings, contraindications or other safety information, including boxed warnings;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a REMS, which may include distribution or use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to conduct additional post-market clinical trials to assess the safety of the drug product;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holds on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revocation of approvals;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our drug candidates;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94"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7" w:name="page348"/>
    <w:bookmarkEnd w:id="347"/>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challenges brought against the FDA, or the nature or extent of government regulation that may arise from future legislation or administrative action.</w:t>
      </w:r>
    </w:p>
    <w:p>
      <w:pPr>
        <w:spacing w:after="0" w:line="19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p>
    <w:p>
      <w:pPr>
        <w:spacing w:after="0" w:line="252"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changes in the administration, changes in the agency leadership, agency reorganization, mass layoffs, budget cuts, lapse in government appropriations, and other initiatives implemented by the 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5"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To the extent the FDA’s normal operations are disrupted or delayed, for example, due to executive orders and other policies promulgated by the administration, travel restrictions, public health or geopolitical issues, staffing shortages or layoffs, government shutdown,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56" w:lineRule="exact"/>
        <w:rPr>
          <w:sz w:val="20"/>
          <w:szCs w:val="20"/>
          <w:color w:val="auto"/>
        </w:rPr>
      </w:pPr>
    </w:p>
    <w:p>
      <w:pPr>
        <w:jc w:val="both"/>
        <w:ind w:right="20" w:firstLine="51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5"/>
          <w:szCs w:val="15"/>
          <w:color w:val="auto"/>
        </w:rPr>
        <w:t>studies to verify and describe the drug’s clinical benefit. If such post-approval studies fail to confirm the drug’s clinical benefit, the FDA may withdraw its approval of the drug.</w:t>
      </w:r>
    </w:p>
    <w:p>
      <w:pPr>
        <w:spacing w:after="0" w:line="20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could increase the cost of development of such drug candidate and could harm our competitive position in the marketplace.</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spacing w:after="0" w:line="254"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7" w:lineRule="exact"/>
        <w:rPr>
          <w:sz w:val="20"/>
          <w:szCs w:val="20"/>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our manufacturing arrangements;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modifications to drug product labeling;</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recall or discontinuation of our drug products; or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record-keeping requirements. If any such changes were to be imposed, they could adversely affect the operation of our business.</w:t>
      </w:r>
    </w:p>
    <w:p>
      <w:pPr>
        <w:spacing w:after="0" w:line="194"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49" w:name="page350"/>
    <w:bookmarkEnd w:id="349"/>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manufacturers to enter into and have in effect a national rebate agreement with the U.S. Department of Health and Human Services Secretary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71"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spacing w:after="0" w:line="167"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0" w:name="page351"/>
    <w:bookmarkEnd w:id="350"/>
    <w:p>
      <w:pPr>
        <w:spacing w:after="0" w:line="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September and October 2025, the government announced agreements with major pharmaceutical companies to bring American drug prices in line with the lowest paid by other developed nations, requiring the company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71"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122"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1" w:name="page352"/>
    <w:bookmarkEnd w:id="351"/>
    <w:p>
      <w:pPr>
        <w:spacing w:after="0" w:line="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66" w:lineRule="exact"/>
        <w:rPr>
          <w:sz w:val="20"/>
          <w:szCs w:val="20"/>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our drug candidates, if we obtain regulatory approval;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set a price that we believe is fair for our drug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coverage and reimbursement approval for a drug product;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revenue and achieve or maintain profitability;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taxes that we are required to pay;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capital.</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54"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67"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laws that may affect our ability to operate include, but are not limited to:</w:t>
      </w:r>
    </w:p>
    <w:p>
      <w:pPr>
        <w:spacing w:after="0" w:line="100" w:lineRule="exact"/>
        <w:rPr>
          <w:sz w:val="20"/>
          <w:szCs w:val="20"/>
          <w:color w:val="auto"/>
        </w:rPr>
      </w:pPr>
    </w:p>
    <w:p>
      <w:pPr>
        <w:jc w:val="both"/>
        <w:ind w:left="1020" w:hanging="516"/>
        <w:spacing w:after="0" w:line="256" w:lineRule="auto"/>
        <w:tabs>
          <w:tab w:leader="none" w:pos="102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2" w:name="page353"/>
    <w:bookmarkEnd w:id="352"/>
    <w:p>
      <w:pPr>
        <w:jc w:val="both"/>
        <w:ind w:left="520"/>
        <w:spacing w:after="0" w:line="254" w:lineRule="auto"/>
        <w:rPr>
          <w:sz w:val="20"/>
          <w:szCs w:val="20"/>
          <w:color w:val="auto"/>
        </w:rPr>
      </w:pPr>
      <w:r>
        <w:rPr>
          <w:rFonts w:ascii="Times New Roman" w:cs="Times New Roman" w:eastAsia="Times New Roman" w:hAnsi="Times New Roman"/>
          <w:sz w:val="16"/>
          <w:szCs w:val="16"/>
          <w:color w:val="auto"/>
        </w:rPr>
        <w:t>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Act(“FCA”). There are a number of statutory exceptions and regulatory safe harbors protecting some common activities from prosecution, but the exceptions and safe harbors are drawn narrowly and require strict compliance in order to offer protection.</w:t>
      </w:r>
    </w:p>
    <w:p>
      <w:pPr>
        <w:spacing w:after="0" w:line="67" w:lineRule="exact"/>
        <w:rPr>
          <w:sz w:val="20"/>
          <w:szCs w:val="20"/>
          <w:color w:val="auto"/>
        </w:rPr>
      </w:pPr>
    </w:p>
    <w:p>
      <w:pPr>
        <w:jc w:val="both"/>
        <w:ind w:left="520" w:hanging="516"/>
        <w:spacing w:after="0" w:line="267" w:lineRule="auto"/>
        <w:tabs>
          <w:tab w:leader="none" w:pos="52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62" w:lineRule="exact"/>
        <w:rPr>
          <w:rFonts w:ascii="Times New Roman" w:cs="Times New Roman" w:eastAsia="Times New Roman" w:hAnsi="Times New Roman"/>
          <w:sz w:val="15"/>
          <w:szCs w:val="15"/>
          <w:color w:val="auto"/>
        </w:rPr>
      </w:pPr>
    </w:p>
    <w:p>
      <w:pPr>
        <w:jc w:val="both"/>
        <w:ind w:left="520" w:hanging="516"/>
        <w:spacing w:after="0" w:line="252"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0" w:lineRule="exact"/>
        <w:rPr>
          <w:rFonts w:ascii="Times New Roman" w:cs="Times New Roman" w:eastAsia="Times New Roman" w:hAnsi="Times New Roman"/>
          <w:sz w:val="16"/>
          <w:szCs w:val="16"/>
          <w:color w:val="auto"/>
        </w:rPr>
      </w:pPr>
    </w:p>
    <w:p>
      <w:pPr>
        <w:jc w:val="both"/>
        <w:ind w:left="520" w:hanging="516"/>
        <w:spacing w:after="0" w:line="251"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2" w:lineRule="exact"/>
        <w:rPr>
          <w:rFonts w:ascii="Times New Roman" w:cs="Times New Roman" w:eastAsia="Times New Roman" w:hAnsi="Times New Roman"/>
          <w:sz w:val="16"/>
          <w:szCs w:val="16"/>
          <w:color w:val="auto"/>
        </w:rPr>
      </w:pPr>
    </w:p>
    <w:p>
      <w:pPr>
        <w:jc w:val="both"/>
        <w:ind w:left="520" w:right="20" w:hanging="516"/>
        <w:spacing w:after="0" w:line="256" w:lineRule="auto"/>
        <w:tabs>
          <w:tab w:leader="none" w:pos="52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w:t>
      </w:r>
    </w:p>
    <w:p>
      <w:pPr>
        <w:spacing w:after="0" w:line="2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504190</wp:posOffset>
            </wp:positionV>
            <wp:extent cx="7174865"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820" w:top="1353" w:right="319" w:bottom="1440" w:gutter="0" w:footer="0" w:header="0"/>
        </w:sectPr>
      </w:pPr>
    </w:p>
    <w:bookmarkStart w:id="353" w:name="page354"/>
    <w:bookmarkEnd w:id="353"/>
    <w:p>
      <w:pPr>
        <w:ind w:left="1020"/>
        <w:spacing w:after="0" w:line="276" w:lineRule="auto"/>
        <w:rPr>
          <w:sz w:val="20"/>
          <w:szCs w:val="20"/>
          <w:color w:val="auto"/>
        </w:rPr>
      </w:pPr>
      <w:r>
        <w:rPr>
          <w:rFonts w:ascii="Times New Roman" w:cs="Times New Roman" w:eastAsia="Times New Roman" w:hAnsi="Times New Roman"/>
          <w:sz w:val="16"/>
          <w:szCs w:val="16"/>
          <w:color w:val="auto"/>
        </w:rPr>
        <w:t>practitioners, among others), and teaching hospitals, as well as information regarding ownership and investment interests held by physicians and their immediate family members.</w:t>
      </w:r>
    </w:p>
    <w:p>
      <w:pPr>
        <w:spacing w:after="0" w:line="50" w:lineRule="exact"/>
        <w:rPr>
          <w:sz w:val="20"/>
          <w:szCs w:val="20"/>
          <w:color w:val="auto"/>
        </w:rPr>
      </w:pPr>
    </w:p>
    <w:p>
      <w:pPr>
        <w:ind w:left="1020" w:hanging="516"/>
        <w:spacing w:after="0"/>
        <w:tabs>
          <w:tab w:leader="none" w:pos="10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50" w:lineRule="auto"/>
        <w:tabs>
          <w:tab w:leader="none" w:pos="102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5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6"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4" w:name="page355"/>
    <w:bookmarkEnd w:id="354"/>
    <w:p>
      <w:pPr>
        <w:spacing w:after="0" w:line="99"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4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98"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own or in-license worldwide intellectual property rights to our drug candidates, including ATH-1105 and lasofoxifene. We have in the past and, where appropriate in</w:t>
      </w:r>
    </w:p>
    <w:p>
      <w:pPr>
        <w:spacing w:after="0" w:line="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future,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6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spacing w:after="0" w:line="6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5" w:name="page356"/>
    <w:bookmarkEnd w:id="355"/>
    <w:p>
      <w:pPr>
        <w:jc w:val="both"/>
        <w:spacing w:after="0" w:line="256" w:lineRule="auto"/>
        <w:rPr>
          <w:sz w:val="20"/>
          <w:szCs w:val="20"/>
          <w:color w:val="auto"/>
        </w:rPr>
      </w:pPr>
      <w:r>
        <w:rPr>
          <w:rFonts w:ascii="Times New Roman" w:cs="Times New Roman" w:eastAsia="Times New Roman" w:hAnsi="Times New Roman"/>
          <w:sz w:val="16"/>
          <w:szCs w:val="16"/>
          <w:color w:val="auto"/>
        </w:rPr>
        <w:t>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6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we are successful in entering into collaborations involving our drug candidates, these relationships are subject to numerous risks, which may include the following:</w:t>
      </w:r>
    </w:p>
    <w:p>
      <w:pPr>
        <w:spacing w:after="0" w:line="50" w:lineRule="exact"/>
        <w:rPr>
          <w:sz w:val="20"/>
          <w:szCs w:val="20"/>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a collaboration;</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2"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products that compete directly or indirectly with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collaborator with marketing and distribution rights to one or more drug products may not commit sufficient resources to their marketing and distribution;</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may be terminated and, if terminated, may result in a need for additional capital to pursue further development or commercialization of the applicable drug candidates; and</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5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6"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We have in the past in-licensed product candidates, including lasofoxifene, and from time to time, we may evaluate future acquisition opportunities and strategic transactions and partnerships, including licensing or acquiring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6" w:name="page357"/>
    <w:bookmarkEnd w:id="356"/>
    <w:p>
      <w:pPr>
        <w:ind w:right="20"/>
        <w:spacing w:after="0" w:line="276" w:lineRule="auto"/>
        <w:rPr>
          <w:sz w:val="20"/>
          <w:szCs w:val="20"/>
          <w:color w:val="auto"/>
        </w:rPr>
      </w:pPr>
      <w:r>
        <w:rPr>
          <w:rFonts w:ascii="Times New Roman" w:cs="Times New Roman" w:eastAsia="Times New Roman" w:hAnsi="Times New Roman"/>
          <w:sz w:val="16"/>
          <w:szCs w:val="16"/>
          <w:color w:val="auto"/>
        </w:rPr>
        <w:t>complementary products, intellectual property rights, technologies or businesses. Any acquisition, license, or strategic partnership or potential acquisition or strategic partnership entails and may entail numerous risks, including:</w:t>
      </w:r>
    </w:p>
    <w:p>
      <w:pPr>
        <w:spacing w:after="0" w:line="50" w:lineRule="exact"/>
        <w:rPr>
          <w:sz w:val="20"/>
          <w:szCs w:val="20"/>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 including difficulties associated with integrating new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programs and initiatives in pursuing such a strategic merger or acquisition;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products or product candidates and marketing approvals;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14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In connection with our in-license of lasofoxifene, we issued dilutive securities, assumed certain payment obligations, and incurred significant transaction expenses. Such obligations and expenses could increase in the future as we integrate this product candidate into our operations and as we progress their development. 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46"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7" w:name="page358"/>
    <w:bookmarkEnd w:id="357"/>
    <w:p>
      <w:pPr>
        <w:spacing w:after="0" w:line="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 As a result of our in-license of lasofoxifene, we are working with a number of third parties involved in the development of those product candidates with whom we do not have a prior relationship. Our new relationships with these parties are subject to the risks described above and we will need to develop a strong working relationship with these parties in the near-term to help drive the clinical development of lasofoxifene in a timely manner and we may not be successful in these efforts.</w:t>
      </w:r>
    </w:p>
    <w:p>
      <w:pPr>
        <w:spacing w:after="0" w:line="17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47" w:lineRule="exact"/>
        <w:rPr>
          <w:sz w:val="20"/>
          <w:szCs w:val="20"/>
          <w:color w:val="auto"/>
        </w:rPr>
      </w:pPr>
    </w:p>
    <w:p>
      <w:pPr>
        <w:jc w:val="both"/>
        <w:ind w:right="20" w:firstLine="51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candidates or drugs or such quantities at an acceptable cost, which could delay, prevent or impair our development or commercialization efforts.</w:t>
      </w:r>
    </w:p>
    <w:p>
      <w:pPr>
        <w:spacing w:after="0" w:line="104"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6" w:lineRule="exact"/>
        <w:rPr>
          <w:sz w:val="20"/>
          <w:szCs w:val="20"/>
          <w:color w:val="auto"/>
        </w:rPr>
      </w:pPr>
    </w:p>
    <w:p>
      <w:pPr>
        <w:ind w:left="1020" w:right="20" w:hanging="516"/>
        <w:spacing w:after="0" w:line="310" w:lineRule="auto"/>
        <w:tabs>
          <w:tab w:leader="none" w:pos="102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27" w:lineRule="exact"/>
        <w:rPr>
          <w:rFonts w:ascii="Times New Roman" w:cs="Times New Roman" w:eastAsia="Times New Roman" w:hAnsi="Times New Roman"/>
          <w:sz w:val="15"/>
          <w:szCs w:val="15"/>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reduction or termination of production or deliveries by suppliers, or the raising of prices or renegotiation of terms;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or nonrenewal of arrangements or agreements by our third-party contractors at a time that is costly or inconvenient for 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breach by the third-party contractors of our agreements with them;</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58" w:name="page359"/>
    <w:bookmarkEnd w:id="358"/>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third-party contractors to comply with applicable regulatory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the third party to manufacture our drug candidates according to our specifications;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mislabeling of clinical supplies, potentially resulting in the wrong dose amounts being supplied or active drug or placebo not being properly identified;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misappropriation of our proprietary information, including our trade secrets and know-how.</w:t>
      </w:r>
    </w:p>
    <w:p>
      <w:pPr>
        <w:spacing w:after="0" w:line="19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169"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p>
    <w:p>
      <w:pPr>
        <w:spacing w:after="0" w:line="164" w:lineRule="exact"/>
        <w:rPr>
          <w:sz w:val="20"/>
          <w:szCs w:val="20"/>
          <w:color w:val="auto"/>
        </w:rPr>
      </w:pPr>
    </w:p>
    <w:p>
      <w:pPr>
        <w:jc w:val="both"/>
        <w:ind w:firstLine="510"/>
        <w:spacing w:after="0" w:line="272" w:lineRule="auto"/>
        <w:rPr>
          <w:sz w:val="20"/>
          <w:szCs w:val="20"/>
          <w:color w:val="auto"/>
        </w:rPr>
      </w:pPr>
      <w:r>
        <w:rPr>
          <w:rFonts w:ascii="Times New Roman" w:cs="Times New Roman" w:eastAsia="Times New Roman" w:hAnsi="Times New Roman"/>
          <w:sz w:val="15"/>
          <w:szCs w:val="15"/>
          <w:color w:val="auto"/>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spacing w:after="0" w:line="152"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59" w:name="page360"/>
    <w:bookmarkEnd w:id="35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what other actions may ultimately be taken with respect to trade relations between the United States and China or other countries, including countries which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 has identified as a foreign adversary that poses national security risks to the United States.</w:t>
      </w:r>
    </w:p>
    <w:p>
      <w:pPr>
        <w:spacing w:after="0" w:line="17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Relatedly, the United States has recently enacted and proposed to enact significant new tariffs on a number of countries.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spacing w:after="0" w:line="16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our third-party manufacturers use hazardous materials in a manner that causes injury or violates applicable law, we may be liable for damages.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0" w:name="page361"/>
    <w:bookmarkEnd w:id="360"/>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Ability to Commercialize our Drug Products</w:t>
      </w:r>
    </w:p>
    <w:p>
      <w:pPr>
        <w:spacing w:after="0" w:line="98" w:lineRule="exact"/>
        <w:rPr>
          <w:sz w:val="20"/>
          <w:szCs w:val="20"/>
          <w:color w:val="auto"/>
        </w:rPr>
      </w:pPr>
    </w:p>
    <w:p>
      <w:pPr>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46"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50" w:lineRule="exact"/>
        <w:rPr>
          <w:sz w:val="20"/>
          <w:szCs w:val="20"/>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as demonstrated in clinical trials compared to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the drug candidate as well as competitive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drug candidate is approved;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physician acceptance of FDA-approved therapies for target indications;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use of our drug candidates, such as boxed warnings or contraindications in labeling, or a REMS, if any, which may not be required of alternative treatments and competitor products;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our drug candidates over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and the availability of coverage and adequate reimbursement by third-party payors, including government authorities;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the approved drug candidate for use as a combination therapy;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convenience and ease of administration;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therapies and of physicians to prescribe these therapies;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sales and marketing efforts;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relating to our drug products or drug candidates or similar approved products or product candidates in development by third parties;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other new therapies for the same indications.</w:t>
      </w:r>
    </w:p>
    <w:p>
      <w:pPr>
        <w:spacing w:after="0" w:line="19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Times New Roman" w:cs="Times New Roman" w:eastAsia="Times New Roman" w:hAnsi="Times New Roman"/>
          <w:sz w:val="16"/>
          <w:szCs w:val="16"/>
          <w:color w:val="212529"/>
        </w:rPr>
        <w:t>results</w:t>
      </w:r>
      <w:r>
        <w:rPr>
          <w:rFonts w:ascii="Times New Roman" w:cs="Times New Roman" w:eastAsia="Times New Roman" w:hAnsi="Times New Roman"/>
          <w:sz w:val="16"/>
          <w:szCs w:val="16"/>
          <w:color w:val="auto"/>
        </w:rPr>
        <w:t xml:space="preserve"> could be negatively impacted.</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4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Times New Roman" w:cs="Times New Roman" w:eastAsia="Times New Roman" w:hAnsi="Times New Roman"/>
          <w:sz w:val="16"/>
          <w:szCs w:val="16"/>
          <w:color w:val="212529"/>
        </w:rPr>
        <w:t>.</w:t>
      </w:r>
    </w:p>
    <w:p>
      <w:pPr>
        <w:spacing w:after="0" w:line="15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212529"/>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Times New Roman" w:cs="Times New Roman" w:eastAsia="Times New Roman" w:hAnsi="Times New Roman"/>
          <w:sz w:val="16"/>
          <w:szCs w:val="16"/>
          <w:color w:val="000000"/>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1" w:name="page362"/>
    <w:bookmarkEnd w:id="361"/>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the market opportunity for any drug candidate that we develop is smaller than we believe, our revenue may be adversely affected and our business may suffer.</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Certain of our drug candidates (currently ATH-1105) are being developed as treatments for various CNS and PNS disorder indications, and lasofoxifene is being developed as a treatment for breast cancer.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 relevant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product liability lawsuits are brought against us, we may incur substantial liabilities and may be required to limit commercialization of our drug candidates.</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71" w:lineRule="exact"/>
        <w:rPr>
          <w:sz w:val="20"/>
          <w:szCs w:val="20"/>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our drug candidates or drug products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by regulators;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the related litigation;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time and our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clinical trial participants or patients;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drug product recalls, withdrawals or labeling, marketing or promotional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exhaustion of any available insurance and our capital resources;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drug candidate;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our share price.</w:t>
      </w:r>
    </w:p>
    <w:p>
      <w:pPr>
        <w:spacing w:after="0" w:line="230"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Times New Roman" w:cs="Times New Roman" w:eastAsia="Times New Roman" w:hAnsi="Times New Roman"/>
          <w:sz w:val="16"/>
          <w:szCs w:val="16"/>
          <w:color w:val="212529"/>
        </w:rPr>
        <w:t>collaborators</w:t>
      </w:r>
      <w:r>
        <w:rPr>
          <w:rFonts w:ascii="Times New Roman" w:cs="Times New Roman" w:eastAsia="Times New Roman" w:hAnsi="Times New Roman"/>
          <w:sz w:val="16"/>
          <w:szCs w:val="16"/>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2" w:name="page363"/>
    <w:bookmarkEnd w:id="362"/>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any future corporate collaborators entitle us to indemnification against losses, such indemnification may not be available or adequate should any claim arise.</w:t>
      </w:r>
    </w:p>
    <w:p>
      <w:pPr>
        <w:spacing w:after="0" w:line="218"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Patients with cancer and other diseases targeted by lasofoxifene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lasofoxifene or our product candidates. Such events could subject us to costly litigation, require us to pay substantial amounts of money to injured patients, delay, negatively impact or end the opportunity to receive or maintain regulatory approval to market lasofoxifene or our product candidates, or require us or our strategic partners to suspend or abandon commercialization efforts. Even in circumstances in which we do not believe that an adverse event is related to lasofoxifene or our product candidates, the investigation into the circumstance may be time-consuming or inconclusive, and may result in reputational harm. These investigations may interrupt our sales efforts, delay our regulatory approval process in other countries, or impact and limit the type of regulatory approvals lasofoxifene or our product candidates receive or maintain. As a result of these factors, a product liability claim, even if successfully defended, could have a material adverse effect on our business, financial condition or results of operations.</w:t>
      </w:r>
    </w:p>
    <w:p>
      <w:pPr>
        <w:spacing w:after="0" w:line="258"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59"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167"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75" w:lineRule="exact"/>
        <w:rPr>
          <w:sz w:val="20"/>
          <w:szCs w:val="20"/>
          <w:color w:val="auto"/>
        </w:rPr>
      </w:pPr>
    </w:p>
    <w:p>
      <w:pPr>
        <w:ind w:left="1020" w:hanging="516"/>
        <w:spacing w:after="0"/>
        <w:tabs>
          <w:tab w:leader="none" w:pos="102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benefit under its health plan;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3" w:name="page364"/>
    <w:bookmarkEnd w:id="363"/>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effective and medically necessary;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for the specific patient;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experimental nor investigational.</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Times New Roman" w:cs="Times New Roman" w:eastAsia="Times New Roman" w:hAnsi="Times New Roman"/>
          <w:sz w:val="16"/>
          <w:szCs w:val="16"/>
          <w:color w:val="212529"/>
        </w:rPr>
        <w:t>prices</w:t>
      </w:r>
      <w:r>
        <w:rPr>
          <w:rFonts w:ascii="Times New Roman" w:cs="Times New Roman" w:eastAsia="Times New Roman" w:hAnsi="Times New Roman"/>
          <w:sz w:val="16"/>
          <w:szCs w:val="16"/>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Times New Roman" w:cs="Times New Roman" w:eastAsia="Times New Roman" w:hAnsi="Times New Roman"/>
          <w:sz w:val="16"/>
          <w:szCs w:val="16"/>
          <w:color w:val="212529"/>
        </w:rPr>
        <w:t>.</w:t>
      </w:r>
    </w:p>
    <w:p>
      <w:pPr>
        <w:spacing w:after="0" w:line="16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212529"/>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Times New Roman" w:cs="Times New Roman" w:eastAsia="Times New Roman" w:hAnsi="Times New Roman"/>
          <w:sz w:val="16"/>
          <w:szCs w:val="16"/>
          <w:color w:val="000000"/>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4" w:name="page365"/>
    <w:bookmarkEnd w:id="364"/>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marketing our drug candidates internationally may materially adversely affect our business.</w:t>
      </w:r>
    </w:p>
    <w:p>
      <w:pPr>
        <w:spacing w:after="0" w:line="104" w:lineRule="exact"/>
        <w:rPr>
          <w:sz w:val="20"/>
          <w:szCs w:val="20"/>
          <w:color w:val="auto"/>
        </w:rPr>
      </w:pPr>
    </w:p>
    <w:p>
      <w:pPr>
        <w:ind w:right="20" w:firstLine="510"/>
        <w:spacing w:after="0" w:line="276" w:lineRule="auto"/>
        <w:rPr>
          <w:sz w:val="20"/>
          <w:szCs w:val="20"/>
          <w:color w:val="auto"/>
        </w:rPr>
      </w:pPr>
      <w:r>
        <w:rPr>
          <w:rFonts w:ascii="Times New Roman" w:cs="Times New Roman" w:eastAsia="Times New Roman" w:hAnsi="Times New Roman"/>
          <w:sz w:val="16"/>
          <w:szCs w:val="16"/>
          <w:color w:val="auto"/>
        </w:rPr>
        <w:t xml:space="preserve">We plan to eventually seek regulatory approval of our drug candidates outside of the United States and, accordingly, we </w:t>
      </w:r>
      <w:r>
        <w:rPr>
          <w:rFonts w:ascii="Times New Roman" w:cs="Times New Roman" w:eastAsia="Times New Roman" w:hAnsi="Times New Roman"/>
          <w:sz w:val="16"/>
          <w:szCs w:val="16"/>
          <w:color w:val="212529"/>
        </w:rPr>
        <w:t>expect</w:t>
      </w:r>
      <w:r>
        <w:rPr>
          <w:rFonts w:ascii="Times New Roman" w:cs="Times New Roman" w:eastAsia="Times New Roman" w:hAnsi="Times New Roman"/>
          <w:sz w:val="16"/>
          <w:szCs w:val="16"/>
          <w:color w:val="auto"/>
        </w:rPr>
        <w:t xml:space="preserve"> that we will be subject to additional risks related to operating in foreign countries if we obtain the necessary approvals, including:</w:t>
      </w:r>
    </w:p>
    <w:p>
      <w:pPr>
        <w:spacing w:after="0" w:line="50" w:lineRule="exact"/>
        <w:rPr>
          <w:sz w:val="20"/>
          <w:szCs w:val="20"/>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authorities may disagree with the design, implementation or results of our clinical trials or our interpretation of data from nonclinical studies or clinical trials;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policies or regulations of foreign regulatory authorities may significantly change in a manner rendering our clinical data insufficient for approval;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health epidemics on our ability to produce our drug candidates and conduct clinical trials in foreign countries;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U.S. or non-U.S. tariffs, trade barriers, price and exchange controls and other regulatory requirements, including any changes that nations may impose as a result of political tensions;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legal requirements applicable to privacy, data protection, information security and other matters;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taxes, including withholding of payroll taxes;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staffing and managing foreign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 payor reimbursement regimes and government payors in foreign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of 1977 or comparable foreign regulations;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xml:space="preserve">These and other risks associated with international operations may materially adversely affect our ability to attain or maintain </w:t>
      </w:r>
      <w:r>
        <w:rPr>
          <w:rFonts w:ascii="Times New Roman" w:cs="Times New Roman" w:eastAsia="Times New Roman" w:hAnsi="Times New Roman"/>
          <w:sz w:val="16"/>
          <w:szCs w:val="16"/>
          <w:color w:val="212529"/>
        </w:rPr>
        <w:t>profitable</w:t>
      </w:r>
      <w:r>
        <w:rPr>
          <w:rFonts w:ascii="Times New Roman" w:cs="Times New Roman" w:eastAsia="Times New Roman" w:hAnsi="Times New Roman"/>
          <w:sz w:val="16"/>
          <w:szCs w:val="16"/>
          <w:color w:val="auto"/>
        </w:rPr>
        <w:t xml:space="preserve">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5" w:name="page366"/>
    <w:bookmarkEnd w:id="365"/>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that are important to our business. We may also seek to protect our proprietary position by acquiring or in-licensing relevant issued patents or pending applications from third parties.</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61"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161"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cannot be certain that the claims in our pending patent applications or those of any current or future licensors will be considered patentable by the United States Patent and Trademark Office(“USPTO”), courts in the United States or by the patent offices and courts in foreign countries, nor can we be certain that the claims in our owned or in-licensed patents will not be found invalid or unenforceable if challenged.</w:t>
      </w:r>
    </w:p>
    <w:p>
      <w:pPr>
        <w:spacing w:after="0" w:line="157"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50" w:lineRule="exact"/>
        <w:rPr>
          <w:sz w:val="20"/>
          <w:szCs w:val="20"/>
          <w:color w:val="auto"/>
        </w:rPr>
      </w:pPr>
    </w:p>
    <w:p>
      <w:pPr>
        <w:jc w:val="both"/>
        <w:ind w:left="1020" w:right="20" w:hanging="516"/>
        <w:spacing w:after="0" w:line="261"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may not result in any patents being issued;</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and patent applications may be challenged, invalidated, modified, revoked, circumvented, found to be unenforceable or otherwise may not provide any competitive advantage;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patent laws in the United States or in other countries may limit the ability to obtain, defend or enforce patents, or may apply retroactively to affect the term or scope of patents;</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pacing w:after="0" w:line="62"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6" w:name="page367"/>
    <w:bookmarkEnd w:id="366"/>
    <w:p>
      <w:pPr>
        <w:spacing w:after="0" w:line="44"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16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4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review(“PGR”), and inter partes review(“IPR”),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16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157"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commercialize current or future drug candidates. Further, these proceedings could have a material adverse effect on our business, results of operations and financial condition.</w:t>
      </w:r>
    </w:p>
    <w:p>
      <w:pPr>
        <w:spacing w:after="0" w:line="194"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develop products that are similar to our drug candidates but that are not covered by the claims of the patents that we own or license;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current or future licensors or collaborators might not have been the first to make the inventions covered by the issued patents or patent application that we own or license;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any current or future licensors or collaborators might not have been the first to file patent applications covering certain of our or their inventions;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the pending patent applications we own or license will not lead to issued patents;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own or license may be held invalid or unenforceable, as a result of legal challenges by our competitors;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not to file a patent application in order to maintain certain trade secrets or know-how, and a third party may subsequently file a patent application covering such intellectual property.</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Should any of these events occur, it could significantly harm our business, results of operations and prospects.</w:t>
      </w:r>
    </w:p>
    <w:p>
      <w:pPr>
        <w:spacing w:after="0" w:line="28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6"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6"/>
          <w:szCs w:val="16"/>
          <w:color w:val="auto"/>
        </w:rPr>
        <w:t>claims to compositions, materials, formulations, methods of manufacture or methods for treatment related to the use or manufacture of our drug candidates.</w:t>
      </w:r>
    </w:p>
    <w:p>
      <w:pPr>
        <w:spacing w:after="0" w:line="19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70" w:lineRule="exact"/>
        <w:rPr>
          <w:sz w:val="20"/>
          <w:szCs w:val="20"/>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costly litigation that may cause negative publicity;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divert the time and attention of our technical personnel and management;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development delays;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us from commercializing any of our drug candidates until the asserted patent expires or is held finally invalid or not infringed in a court of law;</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develop non-infringing technology, which may not be possible on a cost-effective basis;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us to significant liability to third parties; or</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5"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17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69" w:name="page370"/>
    <w:bookmarkEnd w:id="36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funds or otherwise have a material adverse effect on our business, results of operations, financial condition and prospects.</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drug candidates through acquisitions and in-licenses.</w:t>
      </w:r>
    </w:p>
    <w:p>
      <w:pPr>
        <w:spacing w:after="0" w:line="104" w:lineRule="exact"/>
        <w:rPr>
          <w:sz w:val="20"/>
          <w:szCs w:val="20"/>
          <w:color w:val="auto"/>
        </w:rPr>
      </w:pPr>
    </w:p>
    <w:p>
      <w:pPr>
        <w:jc w:val="both"/>
        <w:ind w:right="20" w:firstLine="510"/>
        <w:spacing w:after="0" w:line="250" w:lineRule="auto"/>
        <w:rPr>
          <w:sz w:val="20"/>
          <w:szCs w:val="20"/>
          <w:color w:val="auto"/>
        </w:rPr>
      </w:pPr>
      <w:r>
        <w:rPr>
          <w:rFonts w:ascii="Times New Roman" w:cs="Times New Roman" w:eastAsia="Times New Roman" w:hAnsi="Times New Roman"/>
          <w:sz w:val="16"/>
          <w:szCs w:val="16"/>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258"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0" w:name="page371"/>
    <w:bookmarkEnd w:id="370"/>
    <w:p>
      <w:pPr>
        <w:spacing w:after="0" w:line="8"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spacing w:after="0" w:line="1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7"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1"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litigation or legal proceedings may lead to unfavorable publicity that harms our reputation and causes the market price of our common stock 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decline.</w:t>
      </w:r>
    </w:p>
    <w:p>
      <w:pPr>
        <w:spacing w:after="0" w:line="83"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1" w:name="page372"/>
    <w:bookmarkEnd w:id="371"/>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16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Changes in U.S. patent law, or laws in other countries, could diminish the value of patents in general, thereby impairing our ability to protect our drug candidates.</w:t>
      </w:r>
    </w:p>
    <w:p>
      <w:pPr>
        <w:spacing w:after="0" w:line="104"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6"/>
          <w:szCs w:val="16"/>
          <w:color w:val="auto"/>
        </w:rPr>
        <w:t>patents. In addition, Congress or other foreign legislative bodies may pass patent reform legislation that is unfavorable to us.</w:t>
      </w:r>
    </w:p>
    <w:p>
      <w:pPr>
        <w:spacing w:after="0" w:line="194" w:lineRule="exact"/>
        <w:rPr>
          <w:sz w:val="20"/>
          <w:szCs w:val="20"/>
          <w:color w:val="auto"/>
        </w:rPr>
      </w:pPr>
    </w:p>
    <w:p>
      <w:pPr>
        <w:jc w:val="both"/>
        <w:ind w:firstLine="510"/>
        <w:spacing w:after="0" w:line="267" w:lineRule="auto"/>
        <w:rPr>
          <w:sz w:val="20"/>
          <w:szCs w:val="20"/>
          <w:color w:val="auto"/>
        </w:rPr>
      </w:pPr>
      <w:r>
        <w:rPr>
          <w:rFonts w:ascii="Times New Roman" w:cs="Times New Roman" w:eastAsia="Times New Roman" w:hAnsi="Times New Roman"/>
          <w:sz w:val="15"/>
          <w:szCs w:val="15"/>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competitive position on our drug candidates for an adequate amount of time.</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for our drug candidates, our business may be materially harmed.</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3" w:name="page374"/>
    <w:bookmarkEnd w:id="373"/>
    <w:p>
      <w:pPr>
        <w:jc w:val="both"/>
        <w:spacing w:after="0" w:line="251" w:lineRule="auto"/>
        <w:rPr>
          <w:sz w:val="20"/>
          <w:szCs w:val="20"/>
          <w:color w:val="auto"/>
        </w:rPr>
      </w:pPr>
      <w:r>
        <w:rPr>
          <w:rFonts w:ascii="Times New Roman" w:cs="Times New Roman" w:eastAsia="Times New Roman" w:hAnsi="Times New Roman"/>
          <w:sz w:val="16"/>
          <w:szCs w:val="16"/>
          <w:color w:val="auto"/>
        </w:rPr>
        <w:t>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will not be able to protect our intellectual property rights throughout the world.</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61"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4" w:name="page375"/>
    <w:bookmarkEnd w:id="374"/>
    <w:p>
      <w:pPr>
        <w:spacing w:after="0" w:line="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6"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5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6"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16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5" w:name="page376"/>
    <w:bookmarkEnd w:id="375"/>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and other confidential information, then our ability to obtain patent protection or to protect our trade secret information may be jeopardized.</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or our employees have wrongfully used or disclosed alleged confidential information or trade secrets of third parties.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64" w:lineRule="exact"/>
        <w:rPr>
          <w:sz w:val="20"/>
          <w:szCs w:val="20"/>
          <w:color w:val="auto"/>
        </w:rPr>
      </w:pPr>
    </w:p>
    <w:p>
      <w:pPr>
        <w:jc w:val="both"/>
        <w:ind w:right="20" w:firstLine="510"/>
        <w:spacing w:after="0" w:line="279" w:lineRule="auto"/>
        <w:rPr>
          <w:sz w:val="20"/>
          <w:szCs w:val="20"/>
          <w:color w:val="auto"/>
        </w:rPr>
      </w:pPr>
      <w:r>
        <w:rPr>
          <w:rFonts w:ascii="Times New Roman" w:cs="Times New Roman" w:eastAsia="Times New Roman" w:hAnsi="Times New Roman"/>
          <w:sz w:val="15"/>
          <w:szCs w:val="15"/>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35"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46"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Our rights to develop and commercialize our drug candidates may be subject, in part, to the terms and conditions of licenses granted to us by others.</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16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6" w:name="page377"/>
    <w:bookmarkEnd w:id="376"/>
    <w:p>
      <w:pPr>
        <w:spacing w:after="0" w:line="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145"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161" w:lineRule="exact"/>
        <w:rPr>
          <w:sz w:val="20"/>
          <w:szCs w:val="20"/>
          <w:color w:val="auto"/>
        </w:rPr>
      </w:pPr>
    </w:p>
    <w:p>
      <w:pPr>
        <w:jc w:val="both"/>
        <w:ind w:right="20" w:firstLine="510"/>
        <w:spacing w:after="0" w:line="251" w:lineRule="auto"/>
        <w:rPr>
          <w:sz w:val="20"/>
          <w:szCs w:val="20"/>
          <w:color w:val="auto"/>
        </w:rPr>
      </w:pPr>
      <w:r>
        <w:rPr>
          <w:rFonts w:ascii="Times New Roman" w:cs="Times New Roman" w:eastAsia="Times New Roman" w:hAnsi="Times New Roman"/>
          <w:sz w:val="16"/>
          <w:szCs w:val="16"/>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25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Disputes may arise between us and our current or future licensors regarding intellectual property and other rights subject to a license agreement, including:</w:t>
      </w:r>
    </w:p>
    <w:p>
      <w:pPr>
        <w:spacing w:after="0" w:line="100" w:lineRule="exact"/>
        <w:rPr>
          <w:sz w:val="20"/>
          <w:szCs w:val="20"/>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our drug candidates infringe on intellectual property of the licensor that is not subject to the licensing agreement;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sublicense to third parties;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under the license agreement and what activities satisfy those diligence obligations;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transfer or assign the license;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our licensors and us and our partners;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w:t>
      </w:r>
    </w:p>
    <w:p>
      <w:pPr>
        <w:spacing w:after="0" w:line="194"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16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In spite of our best efforts, our licensors might conclude that we have materially breached our license agreements and might therefore terminate the license agreements, thereby removing our ability to develop and commercialize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7" w:name="page378"/>
    <w:bookmarkEnd w:id="377"/>
    <w:p>
      <w:pPr>
        <w:spacing w:after="0" w:line="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patent protection and patent prosecution for some of our drug candidates may be dependent on third parties.</w:t>
      </w:r>
    </w:p>
    <w:p>
      <w:pPr>
        <w:spacing w:after="0" w:line="10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54"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59"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Pursuant to the Bayh-Dole Act of 1980(“the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6"/>
          <w:szCs w:val="16"/>
          <w:color w:val="auto"/>
        </w:rPr>
        <w:t>to successfully develop and commercialize our drug products and have a material adverse effect on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Cybersecurity</w:t>
      </w:r>
    </w:p>
    <w:p>
      <w:pPr>
        <w:spacing w:after="0" w:line="98"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9"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As discussed in the section titled “Part 1, Item 1.C—Cybersecurity” in our Annual Report on Form 10-K filed with the SEC on February 27, 2025,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168"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64"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67" w:lineRule="exact"/>
        <w:rPr>
          <w:sz w:val="20"/>
          <w:szCs w:val="20"/>
          <w:color w:val="auto"/>
        </w:rPr>
      </w:pPr>
    </w:p>
    <w:p>
      <w:pPr>
        <w:jc w:val="both"/>
        <w:ind w:firstLine="510"/>
        <w:spacing w:after="0" w:line="310" w:lineRule="auto"/>
        <w:rPr>
          <w:sz w:val="20"/>
          <w:szCs w:val="20"/>
          <w:color w:val="auto"/>
        </w:rPr>
      </w:pPr>
      <w:r>
        <w:rPr>
          <w:rFonts w:ascii="Times New Roman" w:cs="Times New Roman" w:eastAsia="Times New Roman" w:hAnsi="Times New Roman"/>
          <w:sz w:val="15"/>
          <w:szCs w:val="15"/>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79" w:name="page380"/>
    <w:bookmarkEnd w:id="379"/>
    <w:p>
      <w:pPr>
        <w:spacing w:after="0" w:line="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165" w:lineRule="exact"/>
        <w:rPr>
          <w:sz w:val="20"/>
          <w:szCs w:val="20"/>
          <w:color w:val="auto"/>
        </w:rPr>
      </w:pPr>
    </w:p>
    <w:p>
      <w:pPr>
        <w:jc w:val="both"/>
        <w:ind w:firstLine="510"/>
        <w:spacing w:after="0" w:line="248" w:lineRule="auto"/>
        <w:rPr>
          <w:sz w:val="20"/>
          <w:szCs w:val="20"/>
          <w:color w:val="auto"/>
        </w:rPr>
      </w:pPr>
      <w:r>
        <w:rPr>
          <w:rFonts w:ascii="Times New Roman" w:cs="Times New Roman" w:eastAsia="Times New Roman" w:hAnsi="Times New Roman"/>
          <w:sz w:val="16"/>
          <w:szCs w:val="16"/>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176"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Data collection is governed by restrictive regulations governing the use, processing and cross-border transfer of personal information.</w:t>
      </w:r>
    </w:p>
    <w:p>
      <w:pPr>
        <w:spacing w:after="0" w:line="104"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Area(“EEA”), is subject to the EU General Data Protection Regulation(“GDPR”).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0" w:name="page381"/>
    <w:bookmarkEnd w:id="380"/>
    <w:p>
      <w:pPr>
        <w:jc w:val="both"/>
        <w:spacing w:after="0" w:line="251" w:lineRule="auto"/>
        <w:rPr>
          <w:sz w:val="20"/>
          <w:szCs w:val="20"/>
          <w:color w:val="auto"/>
        </w:rPr>
      </w:pPr>
      <w:r>
        <w:rPr>
          <w:rFonts w:ascii="Times New Roman" w:cs="Times New Roman" w:eastAsia="Times New Roman" w:hAnsi="Times New Roman"/>
          <w:sz w:val="16"/>
          <w:szCs w:val="16"/>
          <w:color w:val="auto"/>
        </w:rPr>
        <w:t>result of legal proceedings in the EU. For example, in 2020, the Court of Justice for the EU invalidated the EU-U.S. Privacy Shield and imposed additional obligations in connection with the use of standard contractual clauses approved by the EU Commission. The United Kingdom(“UK”), also made amendments to its data protection regime on June 19, 2025, in the UK Data (Use and Access) Act(“DUAA”) which may impact the European Commission’s decision that the UK provides an adequate level of data protection and that generally permits personal data transfers from the EEA to the UK. This decision must be renewed in 2025. The European Commission has proposed to renew the United Kingdom’s adequacy decision after assessing the DUAA, but additional procedural steps remain, creating some uncertainty regarding such decision.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167" w:lineRule="exact"/>
        <w:rPr>
          <w:sz w:val="20"/>
          <w:szCs w:val="20"/>
          <w:color w:val="auto"/>
        </w:rPr>
      </w:pPr>
    </w:p>
    <w:p>
      <w:pPr>
        <w:jc w:val="both"/>
        <w:ind w:firstLine="510"/>
        <w:spacing w:after="0" w:line="251" w:lineRule="auto"/>
        <w:rPr>
          <w:sz w:val="20"/>
          <w:szCs w:val="20"/>
          <w:color w:val="auto"/>
        </w:rPr>
      </w:pPr>
      <w:r>
        <w:rPr>
          <w:rFonts w:ascii="Times New Roman" w:cs="Times New Roman" w:eastAsia="Times New Roman" w:hAnsi="Times New Roman"/>
          <w:sz w:val="16"/>
          <w:szCs w:val="16"/>
          <w:color w:val="auto"/>
        </w:rPr>
        <w:t>Further, the exit of the UK from the EU has created uncertainty regarding data protection regulation in the UK. 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16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168"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5"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81" w:name="page382"/>
    <w:bookmarkEnd w:id="381"/>
    <w:p>
      <w:pPr>
        <w:spacing w:after="0" w:line="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161" w:lineRule="exact"/>
        <w:rPr>
          <w:sz w:val="20"/>
          <w:szCs w:val="20"/>
          <w:color w:val="auto"/>
        </w:rPr>
      </w:pPr>
    </w:p>
    <w:p>
      <w:pPr>
        <w:jc w:val="both"/>
        <w:ind w:firstLine="510"/>
        <w:spacing w:after="0" w:line="250" w:lineRule="auto"/>
        <w:rPr>
          <w:sz w:val="20"/>
          <w:szCs w:val="20"/>
          <w:color w:val="auto"/>
        </w:rPr>
      </w:pPr>
      <w:r>
        <w:rPr>
          <w:rFonts w:ascii="Times New Roman" w:cs="Times New Roman" w:eastAsia="Times New Roman" w:hAnsi="Times New Roman"/>
          <w:sz w:val="16"/>
          <w:szCs w:val="16"/>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reverse stock split to regain compliance with the Nasdaq Capital Market Minimum Bid Requirement may not result in a lasting proportional increase in the per share price of our common stock and may decrease the liquidity of our common stock. Nasdaq Listing Rule 5450(a)(1) requires listed securities to maintain the Minimum Bid Requirement, and Nasdaq Listing Rule 5810(c)(3)(A) provides that a failure to meet the Minimum Bid Requirement exists if the deficiency continues for a period of 30 consecutive business days. On October 16, 2024, we received written notice from the Listing Qualifications Department of Nasdaq notifying us that, based on the closing bid price of our common stock for the previous 30 consecutive business days, we did not comply with the Minimum Bid Requirement for continued listing on The Nasdaq Global Market, and that we had until April 14, 2025 to regain such compliance. On April 15, 2025, we received a letter from Nasdaq approving the transfer of the listing of the Company’s common stock from the Nasdaq Global Select Market to the Nasdaq Capital Market, granting an additional 180-day grace period, or until October 13, 2025, to regain compliance with the Minimum Bid Requirement. To regain compliance, our Board of Directors and stockholders approved a 1-for-10 reverse stock split. Although we have regained compliance with the Nasdaq’s listing standards, the long-term effect of the reverse stock split, if any, on the market price for our common stock cannot be accurately predicted. Since the effective date of the reverse stock split on September 17, 2025, the trading price of our common stock increased. From time to time it has traded below the proportionately-adjusted closing price on September 17, 2025. Because some investors may view a reverse stock split negatively, any such decrease may be the result, at least in part, of the reverse stock split. Further, the liquidity of the shares of our common stock may be affected adversely by the reverse stock split given the reduced number of shares that are outstanding following the reverse stock split.</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We do not know whether an active market for our common stock will be sustained, and, as a result, it may be difficult for you to sell your shares of our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w:t>
      </w:r>
    </w:p>
    <w:p>
      <w:pPr>
        <w:spacing w:after="0" w:line="83"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6"/>
          <w:szCs w:val="16"/>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2" w:name="page383"/>
    <w:bookmarkEnd w:id="382"/>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has been and may continue to be volatile, which could result in substantial losses for investors.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market price of our common stock may be volatile. As a result, you may not be able to sell your common stock at or above the price that you paid for such shares.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Some of the factors that may cause the market price of our common stock to fluctuate include:</w:t>
      </w:r>
    </w:p>
    <w:p>
      <w:pPr>
        <w:spacing w:after="0" w:line="83" w:lineRule="exact"/>
        <w:rPr>
          <w:sz w:val="20"/>
          <w:szCs w:val="20"/>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nonclinical studies and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existing or new competitive products or technologies;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trials for our current drug candidates and any future drug candidates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drug candidates;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nonclinical studies, clinical trials or regulatory approvals of drug candidates of our competitors, or announcements about new research programs or drug candidates of our competitors;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reactions to other companies’ drug development results, including product failures or negative responses from regulatory authorities;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press coverage;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commencement of any litigation and/or governmental investigations;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drug candidates that we may develop;</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develop additional drug candidates or drug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estimates as to financial results, development timelines or recommendations by securities analysts;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 including, but not limited to, under our ATM offering;</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or other stockholders;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with the banking system;</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health epidemics on our business;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or indirect impacts on our business, our suppliers and other third parties and our clinical sites as a result of geopolitical events, including the Russia-Ukraine war;</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regulations and customs, tariffs or trade barriers, or the perception that any such changes could occur;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8"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Future sales, or the perception of future sales, of a substantial amount of our common stock could depress the trading price of our common stock.</w:t>
      </w:r>
    </w:p>
    <w:p>
      <w:pPr>
        <w:spacing w:after="0" w:line="198"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5"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For example, in connection with our December 2025 private placement and our in-license of lasofoxifene, we entered into registration rights agreements with various parties that require us to prepare and file resale registration statements upon request, which when filed and declared effective by the SEC will permit the resale by such stockholders of approximately 5.4 million shares of our common stock as well as approximately 58.6 million shares of common stock issuable upon the exercise of prefunded warrants and warrants. We have in the past and may again in the future issue shares of our common stock to strategic partners in connection with license agreements, as we did in December 2025 in connection with our in-license of lasofoxifene.</w:t>
      </w:r>
    </w:p>
    <w:p>
      <w:pPr>
        <w:spacing w:after="0" w:line="162"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We also register the offer and sale of all shares of common stock that we may issue under our equity incentive plans. Once we register the offer and sale of shares for the holders of registration rights and option holders, they can be freely sold in the public market upon issuance, subject to any related lock-up agreements or applicable securities laws. Our equity incentive plan also includes an evergreen provision, pursuant to which the share reserve used to make equity grants under such plan automatically increases on the first day of each calendar year unless our board of directors takes action to prevent the increase prior to such date. We believe this evergreen provision is an important feature of our equity incentive plan as it enables us to hire and retain key contributors to our business. As we look to expand the size of our organization to advance the development of our product candidates, including ATH-1105 and lasofoxifene, our existing share reserve and evergreen provision under our current equity incentive plans may be insufficient to support our growth plans and we expect that we may need to consider amendments to such equity incentive plans or adoption of new equity incentive plans to provide additional flexibility for our hiring and retention plans. Any increase to the share reserves for our equity incentive plans in the future would further dilute existing stockholders.</w:t>
      </w:r>
    </w:p>
    <w:p>
      <w:pPr>
        <w:spacing w:after="0" w:line="151"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executive officers and directors may enter into Rule 10b5-1 trading plans in the future. Under a Rule 10b5-1 trading plan, a broker executes trades pursuant to parameters established by the employee, director, or officer when entering into the plan, without further direction from the employee, officer, or director.</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additional issuances pursuant to our “at-the-market” equity offering sales agreement with Cantor, could result in substantial dilution to our existing stockholders and could cause our stock price to decline.</w:t>
      </w:r>
    </w:p>
    <w:p>
      <w:pPr>
        <w:spacing w:after="0" w:line="247"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and certain of our directors and executive officers have previously been, and may in the future be, named as defendants in lawsuits that could result in substantial costs and divert management’s attention.</w:t>
      </w:r>
    </w:p>
    <w:p>
      <w:pPr>
        <w:spacing w:after="0" w:line="46"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4" w:name="page385"/>
    <w:bookmarkEnd w:id="384"/>
    <w:p>
      <w:pPr>
        <w:jc w:val="both"/>
        <w:spacing w:after="0" w:line="261" w:lineRule="auto"/>
        <w:rPr>
          <w:sz w:val="20"/>
          <w:szCs w:val="20"/>
          <w:color w:val="auto"/>
        </w:rPr>
      </w:pPr>
      <w:r>
        <w:rPr>
          <w:rFonts w:ascii="Times New Roman" w:cs="Times New Roman" w:eastAsia="Times New Roman" w:hAnsi="Times New Roman"/>
          <w:sz w:val="16"/>
          <w:szCs w:val="16"/>
          <w:color w:val="auto"/>
        </w:rPr>
        <w:t>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spacing w:after="0" w:line="2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Actions by activist stockholders have in the past been, and may in the future be, disruptive and could cause uncertainty about the strategic direction of our business.</w:t>
      </w:r>
    </w:p>
    <w:p>
      <w:pPr>
        <w:spacing w:after="0" w:line="115" w:lineRule="exact"/>
        <w:rPr>
          <w:sz w:val="20"/>
          <w:szCs w:val="20"/>
          <w:color w:val="auto"/>
        </w:rPr>
      </w:pPr>
    </w:p>
    <w:p>
      <w:pPr>
        <w:jc w:val="both"/>
        <w:ind w:right="20" w:firstLine="510"/>
        <w:spacing w:after="0" w:line="254" w:lineRule="auto"/>
        <w:rPr>
          <w:sz w:val="20"/>
          <w:szCs w:val="20"/>
          <w:color w:val="auto"/>
        </w:rPr>
      </w:pPr>
      <w:r>
        <w:rPr>
          <w:rFonts w:ascii="Times New Roman" w:cs="Times New Roman" w:eastAsia="Times New Roman" w:hAnsi="Times New Roman"/>
          <w:sz w:val="16"/>
          <w:szCs w:val="16"/>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We strive to maintain constructive communications with our stockholders and welcome their views and opinions with the goal of enhancing value for all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However, a proxy contest or other activist behaviors could have an adverse effect on us because:</w:t>
      </w:r>
    </w:p>
    <w:p>
      <w:pPr>
        <w:spacing w:after="0" w:line="83" w:lineRule="exact"/>
        <w:rPr>
          <w:sz w:val="20"/>
          <w:szCs w:val="20"/>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5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66"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activist stockholders may interfere with any efforts that we undertake in the future to raise capital;</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45"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35"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385" w:name="page386"/>
    <w:bookmarkEnd w:id="385"/>
    <w:p>
      <w:pPr>
        <w:spacing w:after="0" w:line="8"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47"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directors, executive officers and significant stockholders collectively own a substantial percentage of our common stock, which could limit your ability to affect the outcome of key transactions, including a change of control.</w:t>
      </w:r>
    </w:p>
    <w:p>
      <w:pPr>
        <w:spacing w:after="0" w:line="46"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directors, executive officers, significant holders of our outstanding common stock and their respective affiliates collectively beneficially own a substantial amount of our outstanding common stock as of September 30, 2025, and we expect them to continue owning a substantial amount of our outstanding common stock following the issuance of the shares of common stock and prefunded warrants in connection with our December 2025 announced business development transactions and private placement.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56"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 “smaller reporting company” and a “non-accelerated filer”, and the reduced disclosure requirements available to us may make our common stock less attractive to investors.</w:t>
      </w:r>
    </w:p>
    <w:p>
      <w:pPr>
        <w:spacing w:after="0" w:line="46" w:lineRule="exact"/>
        <w:rPr>
          <w:sz w:val="20"/>
          <w:szCs w:val="20"/>
          <w:color w:val="auto"/>
        </w:rPr>
      </w:pPr>
    </w:p>
    <w:p>
      <w:pPr>
        <w:jc w:val="both"/>
        <w:ind w:firstLine="510"/>
        <w:spacing w:after="0" w:line="268"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or the JOBS Act, as well as a “smaller reporting company” and a “non-accelerated filer.” For so long as we remain an emerging growth company or smaller reporting company, we are permitted and plan to rely on exemptions from certain disclosure requirements that are applicable to other public companies that are not emerging growth companies or smaller reporting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We will lose our status as an emerging growth company on December 31, 2025; however,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(the “Sarbanes-Oxley Act”).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43"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46" w:lineRule="exact"/>
        <w:rPr>
          <w:sz w:val="20"/>
          <w:szCs w:val="20"/>
          <w:color w:val="auto"/>
        </w:rPr>
      </w:pPr>
    </w:p>
    <w:p>
      <w:pPr>
        <w:jc w:val="both"/>
        <w:ind w:right="20" w:firstLine="510"/>
        <w:spacing w:after="0" w:line="252" w:lineRule="auto"/>
        <w:rPr>
          <w:sz w:val="20"/>
          <w:szCs w:val="20"/>
          <w:color w:val="auto"/>
        </w:rPr>
      </w:pPr>
      <w:r>
        <w:rPr>
          <w:rFonts w:ascii="Times New Roman" w:cs="Times New Roman" w:eastAsia="Times New Roman" w:hAnsi="Times New Roman"/>
          <w:sz w:val="16"/>
          <w:szCs w:val="16"/>
          <w:color w:val="auto"/>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165" w:lineRule="exact"/>
        <w:rPr>
          <w:sz w:val="20"/>
          <w:szCs w:val="20"/>
          <w:color w:val="auto"/>
        </w:rPr>
      </w:pPr>
    </w:p>
    <w:p>
      <w:pPr>
        <w:jc w:val="both"/>
        <w:ind w:right="20" w:firstLine="510"/>
        <w:spacing w:after="0" w:line="310" w:lineRule="auto"/>
        <w:rPr>
          <w:sz w:val="20"/>
          <w:szCs w:val="20"/>
          <w:color w:val="auto"/>
        </w:rPr>
      </w:pPr>
      <w:r>
        <w:rPr>
          <w:rFonts w:ascii="Times New Roman" w:cs="Times New Roman" w:eastAsia="Times New Roman" w:hAnsi="Times New Roman"/>
          <w:sz w:val="15"/>
          <w:szCs w:val="15"/>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6" w:name="page387"/>
    <w:bookmarkEnd w:id="386"/>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2"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52" w:lineRule="exact"/>
        <w:rPr>
          <w:sz w:val="20"/>
          <w:szCs w:val="20"/>
          <w:color w:val="auto"/>
        </w:rPr>
      </w:pPr>
    </w:p>
    <w:p>
      <w:pPr>
        <w:jc w:val="both"/>
        <w:ind w:right="20"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46"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66" w:lineRule="exact"/>
        <w:rPr>
          <w:sz w:val="20"/>
          <w:szCs w:val="20"/>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board of directors to issue up to 100,000,000 shares of preferred stock, with any rights, preferences and privileges as they may designate;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the authorized number of directors may be changed only by resolution of the board of directors;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all vacancies, including newly-created directorships, may, except as otherwise required by law, be filled by the affirmative vote of a majority of directors then in office, even if less than a quorum;</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 the board of directors into three classes;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 director may only be removed from the board of directors by the stockholders for cause;</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any action to be taken by our stockholders must be effected at a duly called annual or special meeting of stockholders and may not be taken by written consent;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special meetings of our stockholders may be called only by the chairman of the board, our chief executive officer or by the board of directors; and</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45"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6"/>
          <w:szCs w:val="16"/>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7" w:name="page388"/>
    <w:bookmarkEnd w:id="387"/>
    <w:p>
      <w:pPr>
        <w:spacing w:after="0" w:line="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47" w:lineRule="exact"/>
        <w:rPr>
          <w:sz w:val="20"/>
          <w:szCs w:val="20"/>
          <w:color w:val="auto"/>
        </w:rPr>
      </w:pPr>
    </w:p>
    <w:p>
      <w:pPr>
        <w:jc w:val="both"/>
        <w:ind w:right="20" w:firstLine="51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59" w:lineRule="exact"/>
        <w:rPr>
          <w:sz w:val="20"/>
          <w:szCs w:val="20"/>
          <w:color w:val="auto"/>
        </w:rPr>
      </w:pPr>
    </w:p>
    <w:p>
      <w:pPr>
        <w:jc w:val="both"/>
        <w:ind w:firstLine="510"/>
        <w:spacing w:after="0" w:line="252" w:lineRule="auto"/>
        <w:rPr>
          <w:sz w:val="20"/>
          <w:szCs w:val="20"/>
          <w:color w:val="auto"/>
        </w:rPr>
      </w:pPr>
      <w:r>
        <w:rPr>
          <w:rFonts w:ascii="Times New Roman" w:cs="Times New Roman" w:eastAsia="Times New Roman" w:hAnsi="Times New Roman"/>
          <w:sz w:val="16"/>
          <w:szCs w:val="16"/>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65"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6"/>
          <w:szCs w:val="16"/>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62"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The loss of any of our key personnel could significantly harm our business, results of operations and competitive position.</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We expect to hire a significant number of such employees in the near term as we pursue the clinical development of lasofoxifene, and as we continue to develop ATH-1105. The loss of one or more of these key employees, or our inability to hire additional key personnel when needed, could have a material adverse effect on our business and prospects.</w:t>
      </w:r>
    </w:p>
    <w:p>
      <w:pPr>
        <w:spacing w:after="0" w:line="161"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8" w:name="page389"/>
    <w:bookmarkEnd w:id="388"/>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212529"/>
        </w:rPr>
        <w:t>Our advisors and consultants are classified as independent contractors, and we can face consequences if it is determined that they are misclassified as such.</w:t>
      </w:r>
    </w:p>
    <w:p>
      <w:pPr>
        <w:spacing w:after="0" w:line="104"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Times New Roman" w:cs="Times New Roman" w:eastAsia="Times New Roman" w:hAnsi="Times New Roman"/>
          <w:sz w:val="16"/>
          <w:szCs w:val="16"/>
          <w:color w:val="000000"/>
        </w:rPr>
        <w:t>divergent</w:t>
      </w:r>
      <w:r>
        <w:rPr>
          <w:rFonts w:ascii="Times New Roman" w:cs="Times New Roman" w:eastAsia="Times New Roman" w:hAnsi="Times New Roman"/>
          <w:sz w:val="16"/>
          <w:szCs w:val="16"/>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212529"/>
        </w:rPr>
        <w:t xml:space="preserve">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If </w:t>
      </w:r>
      <w:r>
        <w:rPr>
          <w:rFonts w:ascii="Times New Roman" w:cs="Times New Roman" w:eastAsia="Times New Roman" w:hAnsi="Times New Roman"/>
          <w:sz w:val="16"/>
          <w:szCs w:val="16"/>
          <w:b w:val="1"/>
          <w:bCs w:val="1"/>
          <w:i w:val="1"/>
          <w:iCs w:val="1"/>
          <w:color w:val="212529"/>
        </w:rPr>
        <w:t>securities</w:t>
      </w:r>
      <w:r>
        <w:rPr>
          <w:rFonts w:ascii="Times New Roman" w:cs="Times New Roman" w:eastAsia="Times New Roman" w:hAnsi="Times New Roman"/>
          <w:sz w:val="16"/>
          <w:szCs w:val="16"/>
          <w:b w:val="1"/>
          <w:bCs w:val="1"/>
          <w:i w:val="1"/>
          <w:iCs w:val="1"/>
          <w:color w:val="auto"/>
        </w:rPr>
        <w:t xml:space="preserve"> analysts do not publish research or reports about our business or if they publish negative evaluations of our stock, the price of our stock could decline.</w:t>
      </w:r>
    </w:p>
    <w:p>
      <w:pPr>
        <w:spacing w:after="0" w:line="10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2" w:lineRule="exact"/>
        <w:rPr>
          <w:sz w:val="20"/>
          <w:szCs w:val="20"/>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6" w:lineRule="exact"/>
        <w:rPr>
          <w:sz w:val="20"/>
          <w:szCs w:val="20"/>
          <w:color w:val="auto"/>
        </w:rPr>
      </w:pPr>
    </w:p>
    <w:p>
      <w:pPr>
        <w:jc w:val="both"/>
        <w:ind w:firstLine="510"/>
        <w:spacing w:after="0" w:line="249"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9" w:name="page390"/>
    <w:bookmarkEnd w:id="389"/>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maintain effective internal controls, our business, financial position and results of operations could be adversely affected.</w:t>
      </w:r>
    </w:p>
    <w:p>
      <w:pPr>
        <w:spacing w:after="0" w:line="104" w:lineRule="exact"/>
        <w:rPr>
          <w:sz w:val="20"/>
          <w:szCs w:val="20"/>
          <w:color w:val="auto"/>
        </w:rPr>
      </w:pPr>
    </w:p>
    <w:p>
      <w:pPr>
        <w:jc w:val="both"/>
        <w:ind w:right="20" w:firstLine="510"/>
        <w:spacing w:after="0" w:line="276" w:lineRule="auto"/>
        <w:rPr>
          <w:sz w:val="20"/>
          <w:szCs w:val="20"/>
          <w:color w:val="auto"/>
        </w:rPr>
      </w:pPr>
      <w:r>
        <w:rPr>
          <w:rFonts w:ascii="Times New Roman" w:cs="Times New Roman" w:eastAsia="Times New Roman" w:hAnsi="Times New Roman"/>
          <w:sz w:val="16"/>
          <w:szCs w:val="16"/>
          <w:color w:val="auto"/>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p>
    <w:p>
      <w:pPr>
        <w:spacing w:after="0" w:line="145"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61" w:lineRule="exact"/>
        <w:rPr>
          <w:sz w:val="20"/>
          <w:szCs w:val="20"/>
          <w:color w:val="auto"/>
        </w:rPr>
      </w:pPr>
    </w:p>
    <w:p>
      <w:pPr>
        <w:jc w:val="both"/>
        <w:ind w:right="20" w:firstLine="510"/>
        <w:spacing w:after="0" w:line="256"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The potential effects of health epidemics could adversely impact our business, including our nonclinical studies and clinical trials.</w:t>
      </w:r>
    </w:p>
    <w:p>
      <w:pPr>
        <w:spacing w:after="0" w:line="104" w:lineRule="exact"/>
        <w:rPr>
          <w:sz w:val="20"/>
          <w:szCs w:val="20"/>
          <w:color w:val="auto"/>
        </w:rPr>
      </w:pPr>
    </w:p>
    <w:p>
      <w:pPr>
        <w:jc w:val="both"/>
        <w:ind w:firstLine="510"/>
        <w:spacing w:after="0" w:line="276" w:lineRule="auto"/>
        <w:rPr>
          <w:sz w:val="20"/>
          <w:szCs w:val="20"/>
          <w:color w:val="auto"/>
        </w:rPr>
      </w:pPr>
      <w:r>
        <w:rPr>
          <w:rFonts w:ascii="Times New Roman" w:cs="Times New Roman" w:eastAsia="Times New Roman" w:hAnsi="Times New Roman"/>
          <w:sz w:val="16"/>
          <w:szCs w:val="16"/>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50" w:lineRule="exact"/>
        <w:rPr>
          <w:sz w:val="20"/>
          <w:szCs w:val="20"/>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enrolling and retaining patients in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interpreting data from our clinical trials due to the possible effects of such diseases on cognition of the subjects enrolled in our clinical trials;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clinical site initiation, including difficulties in recruiting clinical site investigators and clinical site staff;</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healthcare resources away from the conduct of clinical trials, including the diversion of hospitals serving as our clinical trial sites and hospital staff supporting the conduct of our clinical trials;</w:t>
      </w:r>
    </w:p>
    <w:p>
      <w:pPr>
        <w:spacing w:after="0" w:line="49" w:lineRule="exact"/>
        <w:rPr>
          <w:rFonts w:ascii="Times New Roman" w:cs="Times New Roman" w:eastAsia="Times New Roman" w:hAnsi="Times New Roman"/>
          <w:sz w:val="16"/>
          <w:szCs w:val="16"/>
          <w:color w:val="auto"/>
        </w:rPr>
      </w:pPr>
    </w:p>
    <w:p>
      <w:pPr>
        <w:jc w:val="both"/>
        <w:ind w:left="1020" w:right="20" w:hanging="516"/>
        <w:spacing w:after="0" w:line="261"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in the operations of the FDA or other regulatory authorities, which may impact review and approval timelines;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of, or delays in receiving, supplies of our drug candidates from our contract manufacturing organizations due to staffing shortages, production slowdowns or stoppages and disruptions in delivery systems;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in nonclinical studies due to restricted or limited operations at our laboratory facility;</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difficulties or delays arising in our existing operations and company culture as a result of some or all of our employees working remotely;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 or delays to our sourced discovery and clinical activities; and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90" w:name="page391"/>
    <w:bookmarkEnd w:id="390"/>
    <w:p>
      <w:pPr>
        <w:ind w:left="1020" w:hanging="516"/>
        <w:spacing w:after="0"/>
        <w:tabs>
          <w:tab w:leader="none" w:pos="102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clinical site procedures and requirements as well as regulatory requirements for conducting clinical trials during the pandemic.</w:t>
      </w:r>
    </w:p>
    <w:p>
      <w:pPr>
        <w:spacing w:after="0" w:line="19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6"/>
          <w:szCs w:val="16"/>
          <w:color w:val="auto"/>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spacing w:after="0" w:line="161" w:lineRule="exact"/>
        <w:rPr>
          <w:sz w:val="20"/>
          <w:szCs w:val="20"/>
          <w:color w:val="auto"/>
        </w:rPr>
      </w:pPr>
    </w:p>
    <w:p>
      <w:pPr>
        <w:jc w:val="both"/>
        <w:ind w:firstLine="510"/>
        <w:spacing w:after="0" w:line="270" w:lineRule="auto"/>
        <w:rPr>
          <w:sz w:val="20"/>
          <w:szCs w:val="20"/>
          <w:color w:val="auto"/>
        </w:rPr>
      </w:pPr>
      <w:r>
        <w:rPr>
          <w:rFonts w:ascii="Times New Roman" w:cs="Times New Roman" w:eastAsia="Times New Roman" w:hAnsi="Times New Roman"/>
          <w:sz w:val="15"/>
          <w:szCs w:val="15"/>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504190</wp:posOffset>
            </wp:positionV>
            <wp:extent cx="7174865" cy="40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391" w:name="page392"/>
    <w:bookmarkEnd w:id="3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1."/>
      <w:numFmt w:val="decimal"/>
      <w:start w:val="1"/>
    </w:lvl>
    <w:lvl w:ilvl="1">
      <w:lvlJc w:val="left"/>
      <w:lvlText w:val="%2."/>
      <w:numFmt w:val="decimal"/>
      <w:start w:val="2"/>
    </w:lvl>
  </w:abstractNum>
  <w:abstractNum w:abstractNumId="2">
    <w:nsid w:val="4427069A"/>
    <w:multiLevelType w:val="hybridMultilevel"/>
    <w:lvl w:ilvl="0">
      <w:lvlJc w:val="left"/>
      <w:lvlText w:val="(%1)"/>
      <w:numFmt w:val="decimal"/>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decimal"/>
      <w:start w:val="2"/>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1"/>
      <w:numFmt w:val="decimal"/>
      <w:start w:val="104"/>
    </w:lvl>
  </w:abstractNum>
  <w:abstractNum w:abstractNumId="16">
    <w:nsid w:val="2A31B62D"/>
    <w:multiLevelType w:val="hybridMultilevel"/>
    <w:lvl w:ilvl="0">
      <w:lvlJc w:val="left"/>
      <w:lvlText w:val="%1."/>
      <w:numFmt w:val="decimal"/>
      <w:start w:val="1"/>
    </w:lvl>
  </w:abstractNum>
  <w:abstractNum w:abstractNumId="17">
    <w:nsid w:val="1849C29B"/>
    <w:multiLevelType w:val="hybridMultilevel"/>
    <w:lvl w:ilvl="0">
      <w:lvlJc w:val="left"/>
      <w:lvlText w:val="%1."/>
      <w:numFmt w:val="decimal"/>
      <w:start w:val="2"/>
    </w:lvl>
  </w:abstractNum>
  <w:abstractNum w:abstractNumId="18">
    <w:nsid w:val="7DFF9D0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9">
    <w:nsid w:val="754342"/>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0">
    <w:nsid w:val="69E7F3E5"/>
    <w:multiLevelType w:val="hybridMultilevel"/>
    <w:lvl w:ilvl="0">
      <w:lvlJc w:val="left"/>
      <w:lvlText w:val="%1"/>
      <w:numFmt w:val="decimal"/>
      <w:start w:val="1"/>
    </w:lvl>
    <w:lvl w:ilvl="1">
      <w:lvlJc w:val="left"/>
      <w:lvlText w:val="(%2)"/>
      <w:numFmt w:val="lowerLetter"/>
      <w:start w:val="3"/>
    </w:lvl>
  </w:abstractNum>
  <w:abstractNum w:abstractNumId="21">
    <w:nsid w:val="2A6DE806"/>
    <w:multiLevelType w:val="hybridMultilevel"/>
    <w:lvl w:ilvl="0">
      <w:lvlJc w:val="left"/>
      <w:lvlText w:val="%1."/>
      <w:numFmt w:val="decimal"/>
      <w:start w:val="5"/>
    </w:lvl>
    <w:lvl w:ilvl="1">
      <w:lvlJc w:val="left"/>
      <w:lvlText w:val="(%2)"/>
      <w:numFmt w:val="lowerLetter"/>
      <w:start w:val="1"/>
    </w:lvl>
  </w:abstractNum>
  <w:abstractNum w:abstractNumId="22">
    <w:nsid w:val="1816F8C4"/>
    <w:multiLevelType w:val="hybridMultilevel"/>
    <w:lvl w:ilvl="0">
      <w:lvlJc w:val="left"/>
      <w:lvlText w:val="%1"/>
      <w:numFmt w:val="decimal"/>
      <w:start w:val="1"/>
    </w:lvl>
    <w:lvl w:ilvl="1">
      <w:lvlJc w:val="left"/>
      <w:lvlText w:val="(%2)"/>
      <w:numFmt w:val="lowerLetter"/>
      <w:start w:val="3"/>
    </w:lvl>
  </w:abstractNum>
  <w:abstractNum w:abstractNumId="23">
    <w:nsid w:val="37DF2233"/>
    <w:multiLevelType w:val="hybridMultilevel"/>
    <w:lvl w:ilvl="0">
      <w:lvlJc w:val="left"/>
      <w:lvlText w:val="%1."/>
      <w:numFmt w:val="decimal"/>
      <w:start w:val="6"/>
    </w:lvl>
    <w:lvl w:ilvl="1">
      <w:lvlJc w:val="left"/>
      <w:lvlText w:val="%2"/>
      <w:numFmt w:val="lowerLetter"/>
      <w:start w:val="1"/>
    </w:lvl>
  </w:abstractNum>
  <w:abstractNum w:abstractNumId="24">
    <w:nsid w:val="7AB49DAF"/>
    <w:multiLevelType w:val="hybridMultilevel"/>
    <w:lvl w:ilvl="0">
      <w:lvlJc w:val="left"/>
      <w:lvlText w:val="%1."/>
      <w:numFmt w:val="decimal"/>
      <w:start w:val="7"/>
    </w:lvl>
  </w:abstractNum>
  <w:abstractNum w:abstractNumId="25">
    <w:nsid w:val="759F82CD"/>
    <w:multiLevelType w:val="hybridMultilevel"/>
    <w:lvl w:ilvl="0">
      <w:lvlJc w:val="left"/>
      <w:lvlText w:val="%1."/>
      <w:numFmt w:val="decimal"/>
      <w:start w:val="9"/>
    </w:lvl>
    <w:lvl w:ilvl="1">
      <w:lvlJc w:val="left"/>
      <w:lvlText w:val="(%2)"/>
      <w:numFmt w:val="lowerLetter"/>
      <w:start w:val="1"/>
    </w:lvl>
  </w:abstractNum>
  <w:abstractNum w:abstractNumId="26">
    <w:nsid w:val="61E74EA3"/>
    <w:multiLevelType w:val="hybridMultilevel"/>
    <w:lvl w:ilvl="0">
      <w:lvlJc w:val="left"/>
      <w:lvlText w:val="(%1)"/>
      <w:numFmt w:val="lowerLetter"/>
      <w:start w:val="3"/>
    </w:lvl>
  </w:abstractNum>
  <w:abstractNum w:abstractNumId="27">
    <w:nsid w:val="597B4D84"/>
    <w:multiLevelType w:val="hybridMultilevel"/>
    <w:lvl w:ilvl="0">
      <w:lvlJc w:val="left"/>
      <w:lvlText w:val="(%1)"/>
      <w:numFmt w:val="lowerLetter"/>
      <w:start w:val="5"/>
    </w:lvl>
  </w:abstractNum>
  <w:abstractNum w:abstractNumId="28">
    <w:nsid w:val="F819E7F"/>
    <w:multiLevelType w:val="hybridMultilevel"/>
    <w:lvl w:ilvl="0">
      <w:lvlJc w:val="left"/>
      <w:lvlText w:val="%1"/>
      <w:numFmt w:val="decimal"/>
      <w:start w:val="1"/>
    </w:lvl>
    <w:lvl w:ilvl="1">
      <w:lvlJc w:val="left"/>
      <w:lvlText w:val="(%2)"/>
      <w:numFmt w:val="lowerLetter"/>
      <w:start w:val="8"/>
    </w:lvl>
  </w:abstractNum>
  <w:abstractNum w:abstractNumId="29">
    <w:nsid w:val="57C7D42D"/>
    <w:multiLevelType w:val="hybridMultilevel"/>
    <w:lvl w:ilvl="0">
      <w:lvlJc w:val="left"/>
      <w:lvlText w:val="%1."/>
      <w:numFmt w:val="decimal"/>
      <w:start w:val="10"/>
    </w:lvl>
    <w:lvl w:ilvl="1">
      <w:lvlJc w:val="left"/>
      <w:lvlText w:val="%2"/>
      <w:numFmt w:val="lowerLetter"/>
      <w:start w:val="1"/>
    </w:lvl>
  </w:abstractNum>
  <w:abstractNum w:abstractNumId="30">
    <w:nsid w:val="312167AD"/>
    <w:multiLevelType w:val="hybridMultilevel"/>
    <w:lvl w:ilvl="0">
      <w:lvlJc w:val="left"/>
      <w:lvlText w:val="%1."/>
      <w:numFmt w:val="decimal"/>
      <w:start w:val="11"/>
    </w:lvl>
    <w:lvl w:ilvl="1">
      <w:lvlJc w:val="left"/>
      <w:lvlText w:val="(%2)"/>
      <w:numFmt w:val="lowerLetter"/>
      <w:start w:val="1"/>
    </w:lvl>
  </w:abstractNum>
  <w:abstractNum w:abstractNumId="31">
    <w:nsid w:val="631B64D4"/>
    <w:multiLevelType w:val="hybridMultilevel"/>
    <w:lvl w:ilvl="0">
      <w:lvlJc w:val="left"/>
      <w:lvlText w:val="(%1)"/>
      <w:numFmt w:val="lowerLetter"/>
      <w:start w:val="2"/>
    </w:lvl>
  </w:abstractNum>
  <w:abstractNum w:abstractNumId="32">
    <w:nsid w:val="78B5E776"/>
    <w:multiLevelType w:val="hybridMultilevel"/>
    <w:lvl w:ilvl="0">
      <w:lvlJc w:val="left"/>
      <w:lvlText w:val="(%1)"/>
      <w:numFmt w:val="lowerLetter"/>
      <w:start w:val="1"/>
    </w:lvl>
  </w:abstractNum>
  <w:abstractNum w:abstractNumId="33">
    <w:nsid w:val="75486E47"/>
    <w:multiLevelType w:val="hybridMultilevel"/>
    <w:lvl w:ilvl="0">
      <w:lvlJc w:val="left"/>
      <w:lvlText w:val="(%1)"/>
      <w:numFmt w:val="lowerLetter"/>
      <w:start w:val="2"/>
    </w:lvl>
  </w:abstractNum>
  <w:abstractNum w:abstractNumId="34">
    <w:nsid w:val="6E534CDE"/>
    <w:multiLevelType w:val="hybridMultilevel"/>
    <w:lvl w:ilvl="0">
      <w:lvlJc w:val="left"/>
      <w:lvlText w:val="(%1)"/>
      <w:numFmt w:val="lowerLetter"/>
      <w:start w:val="7"/>
    </w:lvl>
    <w:lvl w:ilvl="1">
      <w:lvlJc w:val="left"/>
      <w:lvlText w:val="(%2)"/>
      <w:numFmt w:val="lowerLetter"/>
      <w:start w:val="8"/>
    </w:lvl>
  </w:abstractNum>
  <w:abstractNum w:abstractNumId="35">
    <w:nsid w:val="1A0DDE32"/>
    <w:multiLevelType w:val="hybridMultilevel"/>
    <w:lvl w:ilvl="0">
      <w:lvlJc w:val="left"/>
      <w:lvlText w:val="(%1)"/>
      <w:numFmt w:val="decimal"/>
      <w:start w:val="1"/>
    </w:lvl>
    <w:lvl w:ilvl="1">
      <w:lvlJc w:val="left"/>
      <w:lvlText w:val="☐"/>
      <w:numFmt w:val="bullet"/>
      <w:start w:val="1"/>
    </w:lvl>
  </w:abstractNum>
  <w:abstractNum w:abstractNumId="36">
    <w:nsid w:val="65968C1C"/>
    <w:multiLevelType w:val="hybridMultilevel"/>
    <w:lvl w:ilvl="0">
      <w:lvlJc w:val="left"/>
      <w:lvlText w:val="%1."/>
      <w:numFmt w:val="decimal"/>
      <w:start w:val="1"/>
    </w:lvl>
  </w:abstractNum>
  <w:abstractNum w:abstractNumId="37">
    <w:nsid w:val="46263DEC"/>
    <w:multiLevelType w:val="hybridMultilevel"/>
    <w:lvl w:ilvl="0">
      <w:lvlJc w:val="left"/>
      <w:lvlText w:val="(%1)"/>
      <w:numFmt w:val="lowerLetter"/>
      <w:start w:val="9"/>
    </w:lvl>
    <w:lvl w:ilvl="1">
      <w:lvlJc w:val="left"/>
      <w:lvlText w:val="(%2)"/>
      <w:numFmt w:val="lowerLetter"/>
      <w:start w:val="24"/>
    </w:lvl>
  </w:abstractNum>
  <w:abstractNum w:abstractNumId="38">
    <w:nsid w:val="260D8C4A"/>
    <w:multiLevelType w:val="hybridMultilevel"/>
    <w:lvl w:ilvl="0">
      <w:lvlJc w:val="left"/>
      <w:lvlText w:val="%1."/>
      <w:numFmt w:val="decimal"/>
      <w:start w:val="2"/>
    </w:lvl>
  </w:abstractNum>
  <w:abstractNum w:abstractNumId="39">
    <w:nsid w:val="73D4D3C4"/>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40">
    <w:nsid w:val="746F2E30"/>
    <w:multiLevelType w:val="hybridMultilevel"/>
    <w:lvl w:ilvl="0">
      <w:lvlJc w:val="left"/>
      <w:lvlText w:val="%1"/>
      <w:numFmt w:val="decimal"/>
      <w:start w:val="1"/>
    </w:lvl>
    <w:lvl w:ilvl="1">
      <w:lvlJc w:val="left"/>
      <w:lvlText w:val="(%2)"/>
      <w:numFmt w:val="lowerLetter"/>
      <w:start w:val="3"/>
    </w:lvl>
  </w:abstractNum>
  <w:abstractNum w:abstractNumId="41">
    <w:nsid w:val="6FDE8AF6"/>
    <w:multiLevelType w:val="hybridMultilevel"/>
    <w:lvl w:ilvl="0">
      <w:lvlJc w:val="left"/>
      <w:lvlText w:val="%1."/>
      <w:numFmt w:val="decimal"/>
      <w:start w:val="5"/>
    </w:lvl>
    <w:lvl w:ilvl="1">
      <w:lvlJc w:val="left"/>
      <w:lvlText w:val="(%2)"/>
      <w:numFmt w:val="lowerLetter"/>
      <w:start w:val="1"/>
    </w:lvl>
  </w:abstractNum>
  <w:abstractNum w:abstractNumId="42">
    <w:nsid w:val="3FC32E20"/>
    <w:multiLevelType w:val="hybridMultilevel"/>
    <w:lvl w:ilvl="0">
      <w:lvlJc w:val="left"/>
      <w:lvlText w:val="(%1)"/>
      <w:numFmt w:val="lowerLetter"/>
      <w:start w:val="2"/>
    </w:lvl>
  </w:abstractNum>
  <w:abstractNum w:abstractNumId="43">
    <w:nsid w:val="49C0E823"/>
    <w:multiLevelType w:val="hybridMultilevel"/>
    <w:lvl w:ilvl="0">
      <w:lvlJc w:val="left"/>
      <w:lvlText w:val="%1"/>
      <w:numFmt w:val="decimal"/>
      <w:start w:val="1"/>
    </w:lvl>
    <w:lvl w:ilvl="1">
      <w:lvlJc w:val="left"/>
      <w:lvlText w:val="(%2)"/>
      <w:numFmt w:val="lowerLetter"/>
      <w:start w:val="5"/>
    </w:lvl>
  </w:abstractNum>
  <w:abstractNum w:abstractNumId="44">
    <w:nsid w:val="14D53685"/>
    <w:multiLevelType w:val="hybridMultilevel"/>
    <w:lvl w:ilvl="0">
      <w:lvlJc w:val="left"/>
      <w:lvlText w:val="%1."/>
      <w:numFmt w:val="decimal"/>
      <w:start w:val="6"/>
    </w:lvl>
    <w:lvl w:ilvl="1">
      <w:lvlJc w:val="left"/>
      <w:lvlText w:val="%2"/>
      <w:numFmt w:val="lowerLetter"/>
      <w:start w:val="1"/>
    </w:lvl>
  </w:abstractNum>
  <w:abstractNum w:abstractNumId="45">
    <w:nsid w:val="230F856C"/>
    <w:multiLevelType w:val="hybridMultilevel"/>
    <w:lvl w:ilvl="0">
      <w:lvlJc w:val="left"/>
      <w:lvlText w:val="%1."/>
      <w:numFmt w:val="decimal"/>
      <w:start w:val="9"/>
    </w:lvl>
    <w:lvl w:ilvl="1">
      <w:lvlJc w:val="left"/>
      <w:lvlText w:val="(%2)"/>
      <w:numFmt w:val="lowerLetter"/>
      <w:start w:val="1"/>
    </w:lvl>
  </w:abstractNum>
  <w:abstractNum w:abstractNumId="46">
    <w:nsid w:val="6EAA85FB"/>
    <w:multiLevelType w:val="hybridMultilevel"/>
    <w:lvl w:ilvl="0">
      <w:lvlJc w:val="left"/>
      <w:lvlText w:val="(%1)"/>
      <w:numFmt w:val="lowerLetter"/>
      <w:start w:val="3"/>
    </w:lvl>
  </w:abstractNum>
  <w:abstractNum w:abstractNumId="47">
    <w:nsid w:val="3F06ECB2"/>
    <w:multiLevelType w:val="hybridMultilevel"/>
    <w:lvl w:ilvl="0">
      <w:lvlJc w:val="left"/>
      <w:lvlText w:val="(%1)"/>
      <w:numFmt w:val="lowerLetter"/>
      <w:start w:val="4"/>
    </w:lvl>
  </w:abstractNum>
  <w:abstractNum w:abstractNumId="48">
    <w:nsid w:val="3B594807"/>
    <w:multiLevelType w:val="hybridMultilevel"/>
    <w:lvl w:ilvl="0">
      <w:lvlJc w:val="left"/>
      <w:lvlText w:val="(%1)"/>
      <w:numFmt w:val="lowerLetter"/>
      <w:start w:val="5"/>
    </w:lvl>
  </w:abstractNum>
  <w:abstractNum w:abstractNumId="49">
    <w:nsid w:val="6CAA2304"/>
    <w:multiLevelType w:val="hybridMultilevel"/>
    <w:lvl w:ilvl="0">
      <w:lvlJc w:val="left"/>
      <w:lvlText w:val="%1"/>
      <w:numFmt w:val="decimal"/>
      <w:start w:val="1"/>
    </w:lvl>
    <w:lvl w:ilvl="1">
      <w:lvlJc w:val="left"/>
      <w:lvlText w:val="(%2)"/>
      <w:numFmt w:val="lowerLetter"/>
      <w:start w:val="8"/>
    </w:lvl>
  </w:abstractNum>
  <w:abstractNum w:abstractNumId="50">
    <w:nsid w:val="3F7C2FF4"/>
    <w:multiLevelType w:val="hybridMultilevel"/>
    <w:lvl w:ilvl="0">
      <w:lvlJc w:val="left"/>
      <w:lvlText w:val="%1."/>
      <w:numFmt w:val="decimal"/>
      <w:start w:val="10"/>
    </w:lvl>
    <w:lvl w:ilvl="1">
      <w:lvlJc w:val="left"/>
      <w:lvlText w:val="%2"/>
      <w:numFmt w:val="lowerLetter"/>
      <w:start w:val="1"/>
    </w:lvl>
  </w:abstractNum>
  <w:abstractNum w:abstractNumId="51">
    <w:nsid w:val="25413BEC"/>
    <w:multiLevelType w:val="hybridMultilevel"/>
    <w:lvl w:ilvl="0">
      <w:lvlJc w:val="left"/>
      <w:lvlText w:val="%1."/>
      <w:numFmt w:val="decimal"/>
      <w:start w:val="11"/>
    </w:lvl>
    <w:lvl w:ilvl="1">
      <w:lvlJc w:val="left"/>
      <w:lvlText w:val="(%2)"/>
      <w:numFmt w:val="lowerLetter"/>
      <w:start w:val="1"/>
    </w:lvl>
  </w:abstractNum>
  <w:abstractNum w:abstractNumId="52">
    <w:nsid w:val="17180B0B"/>
    <w:multiLevelType w:val="hybridMultilevel"/>
    <w:lvl w:ilvl="0">
      <w:lvlJc w:val="left"/>
      <w:lvlText w:val="(%1)"/>
      <w:numFmt w:val="lowerLetter"/>
      <w:start w:val="2"/>
    </w:lvl>
  </w:abstractNum>
  <w:abstractNum w:abstractNumId="53">
    <w:nsid w:val="579328B9"/>
    <w:multiLevelType w:val="hybridMultilevel"/>
    <w:lvl w:ilvl="0">
      <w:lvlJc w:val="left"/>
      <w:lvlText w:val="(%1)"/>
      <w:numFmt w:val="lowerLetter"/>
      <w:start w:val="1"/>
    </w:lvl>
  </w:abstractNum>
  <w:abstractNum w:abstractNumId="54">
    <w:nsid w:val="5D205E20"/>
    <w:multiLevelType w:val="hybridMultilevel"/>
    <w:lvl w:ilvl="0">
      <w:lvlJc w:val="left"/>
      <w:lvlText w:val="(%1)"/>
      <w:numFmt w:val="lowerLetter"/>
      <w:start w:val="3"/>
    </w:lvl>
  </w:abstractNum>
  <w:abstractNum w:abstractNumId="55">
    <w:nsid w:val="11CCA8BA"/>
    <w:multiLevelType w:val="hybridMultilevel"/>
    <w:lvl w:ilvl="0">
      <w:lvlJc w:val="left"/>
      <w:lvlText w:val="(%1)"/>
      <w:numFmt w:val="lowerLetter"/>
      <w:start w:val="7"/>
    </w:lvl>
    <w:lvl w:ilvl="1">
      <w:lvlJc w:val="left"/>
      <w:lvlText w:val="(%2)"/>
      <w:numFmt w:val="lowerLetter"/>
      <w:start w:val="8"/>
    </w:lvl>
  </w:abstractNum>
  <w:abstractNum w:abstractNumId="56">
    <w:nsid w:val="4D32AB86"/>
    <w:multiLevelType w:val="hybridMultilevel"/>
    <w:lvl w:ilvl="0">
      <w:lvlJc w:val="left"/>
      <w:lvlText w:val="(%1)"/>
      <w:numFmt w:val="decimal"/>
      <w:start w:val="1"/>
    </w:lvl>
    <w:lvl w:ilvl="1">
      <w:lvlJc w:val="left"/>
      <w:lvlText w:val="☐"/>
      <w:numFmt w:val="bullet"/>
      <w:start w:val="1"/>
    </w:lvl>
  </w:abstractNum>
  <w:abstractNum w:abstractNumId="57">
    <w:nsid w:val="3F07ACC3"/>
    <w:multiLevelType w:val="hybridMultilevel"/>
    <w:lvl w:ilvl="0">
      <w:lvlJc w:val="left"/>
      <w:lvlText w:val="(%1)"/>
      <w:numFmt w:val="decimal"/>
      <w:start w:val="3"/>
    </w:lvl>
    <w:lvl w:ilvl="1">
      <w:lvlJc w:val="left"/>
      <w:lvlText w:val="☐"/>
      <w:numFmt w:val="bullet"/>
      <w:start w:val="1"/>
    </w:lvl>
  </w:abstractNum>
  <w:abstractNum w:abstractNumId="58">
    <w:nsid w:val="6B47F63E"/>
    <w:multiLevelType w:val="hybridMultilevel"/>
    <w:lvl w:ilvl="0">
      <w:lvlJc w:val="left"/>
      <w:lvlText w:val="(%1)"/>
      <w:numFmt w:val="decimal"/>
      <w:start w:val="6"/>
    </w:lvl>
  </w:abstractNum>
  <w:abstractNum w:abstractNumId="59">
    <w:nsid w:val="5CB44A05"/>
    <w:multiLevelType w:val="hybridMultilevel"/>
    <w:lvl w:ilvl="0">
      <w:lvlJc w:val="left"/>
      <w:lvlText w:val="%1."/>
      <w:numFmt w:val="decimal"/>
      <w:start w:val="1"/>
    </w:lvl>
  </w:abstractNum>
  <w:abstractNum w:abstractNumId="60">
    <w:nsid w:val="16CF80F1"/>
    <w:multiLevelType w:val="hybridMultilevel"/>
    <w:lvl w:ilvl="0">
      <w:lvlJc w:val="left"/>
      <w:lvlText w:val="%1."/>
      <w:numFmt w:val="decimal"/>
      <w:start w:val="2"/>
    </w:lvl>
  </w:abstractNum>
  <w:abstractNum w:abstractNumId="61">
    <w:nsid w:val="1C695DEC"/>
    <w:multiLevelType w:val="hybridMultilevel"/>
    <w:lvl w:ilvl="0">
      <w:lvlJc w:val="left"/>
      <w:lvlText w:val="%1."/>
      <w:numFmt w:val="decimal"/>
      <w:start w:val="3"/>
    </w:lvl>
  </w:abstractNum>
  <w:abstractNum w:abstractNumId="62">
    <w:nsid w:val="3FCFAED9"/>
    <w:multiLevelType w:val="hybridMultilevel"/>
    <w:lvl w:ilvl="0">
      <w:lvlJc w:val="left"/>
      <w:lvlText w:val="%1."/>
      <w:numFmt w:val="decimal"/>
      <w:start w:val="4"/>
    </w:lvl>
    <w:lvl w:ilvl="1">
      <w:lvlJc w:val="left"/>
      <w:lvlText w:val="(%2)"/>
      <w:numFmt w:val="lowerLetter"/>
      <w:start w:val="1"/>
    </w:lvl>
  </w:abstractNum>
  <w:abstractNum w:abstractNumId="63">
    <w:nsid w:val="F856867"/>
    <w:multiLevelType w:val="hybridMultilevel"/>
    <w:lvl w:ilvl="0">
      <w:lvlJc w:val="left"/>
      <w:lvlText w:val="%1"/>
      <w:numFmt w:val="decimal"/>
      <w:start w:val="1"/>
    </w:lvl>
    <w:lvl w:ilvl="1">
      <w:lvlJc w:val="left"/>
      <w:lvlText w:val="(%2)"/>
      <w:numFmt w:val="lowerLetter"/>
      <w:start w:val="3"/>
    </w:lvl>
  </w:abstractNum>
  <w:abstractNum w:abstractNumId="64">
    <w:nsid w:val="11B1CC33"/>
    <w:multiLevelType w:val="hybridMultilevel"/>
    <w:lvl w:ilvl="0">
      <w:lvlJc w:val="left"/>
      <w:lvlText w:val="%1."/>
      <w:numFmt w:val="decimal"/>
      <w:start w:val="5"/>
    </w:lvl>
    <w:lvl w:ilvl="1">
      <w:lvlJc w:val="left"/>
      <w:lvlText w:val="(%2)"/>
      <w:numFmt w:val="lowerLetter"/>
      <w:start w:val="1"/>
    </w:lvl>
  </w:abstractNum>
  <w:abstractNum w:abstractNumId="65">
    <w:nsid w:val="2E22FBB7"/>
    <w:multiLevelType w:val="hybridMultilevel"/>
    <w:lvl w:ilvl="0">
      <w:lvlJc w:val="left"/>
      <w:lvlText w:val="%1"/>
      <w:numFmt w:val="decimal"/>
      <w:start w:val="1"/>
    </w:lvl>
    <w:lvl w:ilvl="1">
      <w:lvlJc w:val="left"/>
      <w:lvlText w:val="(%2)"/>
      <w:numFmt w:val="lowerLetter"/>
      <w:start w:val="3"/>
    </w:lvl>
  </w:abstractNum>
  <w:abstractNum w:abstractNumId="66">
    <w:nsid w:val="29934699"/>
    <w:multiLevelType w:val="hybridMultilevel"/>
    <w:lvl w:ilvl="0">
      <w:lvlJc w:val="left"/>
      <w:lvlText w:val="%1."/>
      <w:numFmt w:val="decimal"/>
      <w:start w:val="6"/>
    </w:lvl>
    <w:lvl w:ilvl="1">
      <w:lvlJc w:val="left"/>
      <w:lvlText w:val="%2"/>
      <w:numFmt w:val="lowerLetter"/>
      <w:start w:val="1"/>
    </w:lvl>
  </w:abstractNum>
  <w:abstractNum w:abstractNumId="67">
    <w:nsid w:val="77485850"/>
    <w:multiLevelType w:val="hybridMultilevel"/>
    <w:lvl w:ilvl="0">
      <w:lvlJc w:val="left"/>
      <w:lvlText w:val="%1."/>
      <w:numFmt w:val="decimal"/>
      <w:start w:val="7"/>
    </w:lvl>
  </w:abstractNum>
  <w:abstractNum w:abstractNumId="68">
    <w:nsid w:val="744939A3"/>
    <w:multiLevelType w:val="hybridMultilevel"/>
    <w:lvl w:ilvl="0">
      <w:lvlJc w:val="left"/>
      <w:lvlText w:val="%1."/>
      <w:numFmt w:val="decimal"/>
      <w:start w:val="9"/>
    </w:lvl>
    <w:lvl w:ilvl="1">
      <w:lvlJc w:val="left"/>
      <w:lvlText w:val="(%2)"/>
      <w:numFmt w:val="lowerLetter"/>
      <w:start w:val="1"/>
    </w:lvl>
  </w:abstractNum>
  <w:abstractNum w:abstractNumId="69">
    <w:nsid w:val="4FA0D2E3"/>
    <w:multiLevelType w:val="hybridMultilevel"/>
    <w:lvl w:ilvl="0">
      <w:lvlJc w:val="left"/>
      <w:lvlText w:val="(%1)"/>
      <w:numFmt w:val="lowerLetter"/>
      <w:start w:val="3"/>
    </w:lvl>
  </w:abstractNum>
  <w:abstractNum w:abstractNumId="70">
    <w:nsid w:val="6B1D2C14"/>
    <w:multiLevelType w:val="hybridMultilevel"/>
    <w:lvl w:ilvl="0">
      <w:lvlJc w:val="left"/>
      <w:lvlText w:val="(%1)"/>
      <w:numFmt w:val="lowerLetter"/>
      <w:start w:val="5"/>
    </w:lvl>
  </w:abstractNum>
  <w:abstractNum w:abstractNumId="71">
    <w:nsid w:val="68B867D3"/>
    <w:multiLevelType w:val="hybridMultilevel"/>
    <w:lvl w:ilvl="0">
      <w:lvlJc w:val="left"/>
      <w:lvlText w:val="%1"/>
      <w:numFmt w:val="decimal"/>
      <w:start w:val="1"/>
    </w:lvl>
    <w:lvl w:ilvl="1">
      <w:lvlJc w:val="left"/>
      <w:lvlText w:val="(%2)"/>
      <w:numFmt w:val="lowerRoman"/>
      <w:start w:val="1"/>
    </w:lvl>
  </w:abstractNum>
  <w:abstractNum w:abstractNumId="72">
    <w:nsid w:val="3F7F5DD9"/>
    <w:multiLevelType w:val="hybridMultilevel"/>
    <w:lvl w:ilvl="0">
      <w:lvlJc w:val="left"/>
      <w:lvlText w:val="%1."/>
      <w:numFmt w:val="decimal"/>
      <w:start w:val="10"/>
    </w:lvl>
    <w:lvl w:ilvl="1">
      <w:lvlJc w:val="left"/>
      <w:lvlText w:val="%2"/>
      <w:numFmt w:val="lowerRoman"/>
      <w:start w:val="1"/>
    </w:lvl>
  </w:abstractNum>
  <w:abstractNum w:abstractNumId="73">
    <w:nsid w:val="2AE05A34"/>
    <w:multiLevelType w:val="hybridMultilevel"/>
    <w:lvl w:ilvl="0">
      <w:lvlJc w:val="left"/>
      <w:lvlText w:val="%1."/>
      <w:numFmt w:val="decimal"/>
      <w:start w:val="11"/>
    </w:lvl>
    <w:lvl w:ilvl="1">
      <w:lvlJc w:val="left"/>
      <w:lvlText w:val="(%2)"/>
      <w:numFmt w:val="lowerLetter"/>
      <w:start w:val="1"/>
    </w:lvl>
  </w:abstractNum>
  <w:abstractNum w:abstractNumId="74">
    <w:nsid w:val="32794FF7"/>
    <w:multiLevelType w:val="hybridMultilevel"/>
    <w:lvl w:ilvl="0">
      <w:lvlJc w:val="left"/>
      <w:lvlText w:val="(%1)"/>
      <w:numFmt w:val="lowerLetter"/>
      <w:start w:val="2"/>
    </w:lvl>
  </w:abstractNum>
  <w:abstractNum w:abstractNumId="75">
    <w:nsid w:val="5454945E"/>
    <w:multiLevelType w:val="hybridMultilevel"/>
    <w:lvl w:ilvl="0">
      <w:lvlJc w:val="left"/>
      <w:lvlText w:val="(%1)"/>
      <w:numFmt w:val="lowerLetter"/>
      <w:start w:val="1"/>
    </w:lvl>
  </w:abstractNum>
  <w:abstractNum w:abstractNumId="76">
    <w:nsid w:val="4DEFDFA0"/>
    <w:multiLevelType w:val="hybridMultilevel"/>
    <w:lvl w:ilvl="0">
      <w:lvlJc w:val="left"/>
      <w:lvlText w:val="(%1)"/>
      <w:numFmt w:val="lowerLetter"/>
      <w:start w:val="2"/>
    </w:lvl>
  </w:abstractNum>
  <w:abstractNum w:abstractNumId="77">
    <w:nsid w:val="2123D5F2"/>
    <w:multiLevelType w:val="hybridMultilevel"/>
    <w:lvl w:ilvl="0">
      <w:lvlJc w:val="left"/>
      <w:lvlText w:val="(%1)"/>
      <w:numFmt w:val="lowerLetter"/>
      <w:start w:val="5"/>
    </w:lvl>
    <w:lvl w:ilvl="1">
      <w:lvlJc w:val="left"/>
      <w:lvlText w:val="(%2)"/>
      <w:numFmt w:val="lowerLetter"/>
      <w:start w:val="8"/>
    </w:lvl>
  </w:abstractNum>
  <w:abstractNum w:abstractNumId="78">
    <w:nsid w:val="135B8110"/>
    <w:multiLevelType w:val="hybridMultilevel"/>
    <w:lvl w:ilvl="0">
      <w:lvlJc w:val="left"/>
      <w:lvlText w:val="(%1)"/>
      <w:numFmt w:val="decimal"/>
      <w:start w:val="1"/>
    </w:lvl>
    <w:lvl w:ilvl="1">
      <w:lvlJc w:val="left"/>
      <w:lvlText w:val="☐"/>
      <w:numFmt w:val="bullet"/>
      <w:start w:val="1"/>
    </w:lvl>
  </w:abstractNum>
  <w:abstractNum w:abstractNumId="79">
    <w:nsid w:val="94927A8"/>
    <w:multiLevelType w:val="hybridMultilevel"/>
    <w:lvl w:ilvl="0">
      <w:lvlJc w:val="left"/>
      <w:lvlText w:val="(%1)"/>
      <w:numFmt w:val="decimal"/>
      <w:start w:val="4"/>
    </w:lvl>
  </w:abstractNum>
  <w:abstractNum w:abstractNumId="80">
    <w:nsid w:val="DCDF8F6"/>
    <w:multiLevelType w:val="hybridMultilevel"/>
    <w:lvl w:ilvl="0">
      <w:lvlJc w:val="left"/>
      <w:lvlText w:val="%1."/>
      <w:numFmt w:val="decimal"/>
      <w:start w:val="1"/>
    </w:lvl>
  </w:abstractNum>
  <w:abstractNum w:abstractNumId="81">
    <w:nsid w:val="52D7B105"/>
    <w:multiLevelType w:val="hybridMultilevel"/>
    <w:lvl w:ilvl="0">
      <w:lvlJc w:val="left"/>
      <w:lvlText w:val="%1."/>
      <w:numFmt w:val="decimal"/>
      <w:start w:val="2"/>
    </w:lvl>
  </w:abstractNum>
  <w:abstractNum w:abstractNumId="82">
    <w:nsid w:val="2E8A6394"/>
    <w:multiLevelType w:val="hybridMultilevel"/>
    <w:lvl w:ilvl="0">
      <w:lvlJc w:val="left"/>
      <w:lvlText w:val="%1"/>
      <w:numFmt w:val="decimal"/>
      <w:start w:val="1"/>
    </w:lvl>
    <w:lvl w:ilvl="1">
      <w:lvlJc w:val="left"/>
      <w:lvlText w:val="(%2)"/>
      <w:numFmt w:val="lowerLetter"/>
      <w:start w:val="1"/>
    </w:lvl>
  </w:abstractNum>
  <w:abstractNum w:abstractNumId="83">
    <w:nsid w:val="24E60401"/>
    <w:multiLevelType w:val="hybridMultilevel"/>
    <w:lvl w:ilvl="0">
      <w:lvlJc w:val="left"/>
      <w:lvlText w:val="%1."/>
      <w:numFmt w:val="decimal"/>
      <w:start w:val="5"/>
    </w:lvl>
    <w:lvl w:ilvl="1">
      <w:lvlJc w:val="left"/>
      <w:lvlText w:val="(%2)"/>
      <w:numFmt w:val="lowerLetter"/>
      <w:start w:val="1"/>
    </w:lvl>
  </w:abstractNum>
  <w:abstractNum w:abstractNumId="84">
    <w:nsid w:val="2A6AD9BE"/>
    <w:multiLevelType w:val="hybridMultilevel"/>
    <w:lvl w:ilvl="0">
      <w:lvlJc w:val="left"/>
      <w:lvlText w:val="%1"/>
      <w:numFmt w:val="decimal"/>
      <w:start w:val="1"/>
    </w:lvl>
    <w:lvl w:ilvl="1">
      <w:lvlJc w:val="left"/>
      <w:lvlText w:val="(%2)"/>
      <w:numFmt w:val="lowerLetter"/>
      <w:start w:val="4"/>
    </w:lvl>
  </w:abstractNum>
  <w:abstractNum w:abstractNumId="85">
    <w:nsid w:val="BAAC1B4"/>
    <w:multiLevelType w:val="hybridMultilevel"/>
    <w:lvl w:ilvl="0">
      <w:lvlJc w:val="left"/>
      <w:lvlText w:val="%1."/>
      <w:numFmt w:val="decimal"/>
      <w:start w:val="6"/>
    </w:lvl>
    <w:lvl w:ilvl="1">
      <w:lvlJc w:val="left"/>
      <w:lvlText w:val="(%2)"/>
      <w:numFmt w:val="lowerLetter"/>
      <w:start w:val="1"/>
    </w:lvl>
  </w:abstractNum>
  <w:abstractNum w:abstractNumId="86">
    <w:nsid w:val="36B2ACBC"/>
    <w:multiLevelType w:val="hybridMultilevel"/>
    <w:lvl w:ilvl="0">
      <w:lvlJc w:val="left"/>
      <w:lvlText w:val="%1"/>
      <w:numFmt w:val="decimal"/>
      <w:start w:val="1"/>
    </w:lvl>
    <w:lvl w:ilvl="1">
      <w:lvlJc w:val="left"/>
      <w:lvlText w:val="(%2)"/>
      <w:numFmt w:val="lowerLetter"/>
      <w:start w:val="3"/>
    </w:lvl>
  </w:abstractNum>
  <w:abstractNum w:abstractNumId="87">
    <w:nsid w:val="779D8544"/>
    <w:multiLevelType w:val="hybridMultilevel"/>
    <w:lvl w:ilvl="0">
      <w:lvlJc w:val="left"/>
      <w:lvlText w:val="%1."/>
      <w:numFmt w:val="decimal"/>
      <w:start w:val="7"/>
    </w:lvl>
    <w:lvl w:ilvl="1">
      <w:lvlJc w:val="left"/>
      <w:lvlText w:val="%2"/>
      <w:numFmt w:val="lowerLetter"/>
      <w:start w:val="1"/>
    </w:lvl>
  </w:abstractNum>
  <w:abstractNum w:abstractNumId="88">
    <w:nsid w:val="4AB26E78"/>
    <w:multiLevelType w:val="hybridMultilevel"/>
    <w:lvl w:ilvl="0">
      <w:lvlJc w:val="left"/>
      <w:lvlText w:val="%1."/>
      <w:numFmt w:val="decimal"/>
      <w:start w:val="9"/>
    </w:lvl>
    <w:lvl w:ilvl="1">
      <w:lvlJc w:val="left"/>
      <w:lvlText w:val="(%2)"/>
      <w:numFmt w:val="lowerLetter"/>
      <w:start w:val="1"/>
    </w:lvl>
  </w:abstractNum>
  <w:abstractNum w:abstractNumId="89">
    <w:nsid w:val="21FAA2FA"/>
    <w:multiLevelType w:val="hybridMultilevel"/>
    <w:lvl w:ilvl="0">
      <w:lvlJc w:val="left"/>
      <w:lvlText w:val="%1"/>
      <w:numFmt w:val="lowerLetter"/>
      <w:start w:val="1"/>
    </w:lvl>
    <w:lvl w:ilvl="1">
      <w:lvlJc w:val="left"/>
      <w:lvlText w:val="(%2)"/>
      <w:numFmt w:val="lowerLetter"/>
      <w:start w:val="2"/>
    </w:lvl>
  </w:abstractNum>
  <w:abstractNum w:abstractNumId="90">
    <w:nsid w:val="5451CF49"/>
    <w:multiLevelType w:val="hybridMultilevel"/>
    <w:lvl w:ilvl="0">
      <w:lvlJc w:val="left"/>
      <w:lvlText w:val="(%1)"/>
      <w:numFmt w:val="lowerLetter"/>
      <w:start w:val="3"/>
    </w:lvl>
    <w:lvl w:ilvl="1">
      <w:lvlJc w:val="left"/>
      <w:lvlText w:val="%2"/>
      <w:numFmt w:val="lowerLetter"/>
      <w:start w:val="1"/>
    </w:lvl>
  </w:abstractNum>
  <w:abstractNum w:abstractNumId="91">
    <w:nsid w:val="6181EF69"/>
    <w:multiLevelType w:val="hybridMultilevel"/>
    <w:lvl w:ilvl="0">
      <w:lvlJc w:val="left"/>
      <w:lvlText w:val="(%1)"/>
      <w:numFmt w:val="lowerLetter"/>
      <w:start w:val="4"/>
    </w:lvl>
  </w:abstractNum>
  <w:abstractNum w:abstractNumId="92">
    <w:nsid w:val="3E6400E6"/>
    <w:multiLevelType w:val="hybridMultilevel"/>
    <w:lvl w:ilvl="0">
      <w:lvlJc w:val="left"/>
      <w:lvlText w:val="(%1)"/>
      <w:numFmt w:val="lowerLetter"/>
      <w:start w:val="5"/>
    </w:lvl>
  </w:abstractNum>
  <w:abstractNum w:abstractNumId="93">
    <w:nsid w:val="14217E23"/>
    <w:multiLevelType w:val="hybridMultilevel"/>
    <w:lvl w:ilvl="0">
      <w:lvlJc w:val="left"/>
      <w:lvlText w:val="%1."/>
      <w:numFmt w:val="decimal"/>
      <w:start w:val="11"/>
    </w:lvl>
  </w:abstractNum>
  <w:abstractNum w:abstractNumId="94">
    <w:nsid w:val="710757D0"/>
    <w:multiLevelType w:val="hybridMultilevel"/>
    <w:lvl w:ilvl="0">
      <w:lvlJc w:val="left"/>
      <w:lvlText w:val="%1."/>
      <w:numFmt w:val="decimal"/>
      <w:start w:val="12"/>
    </w:lvl>
    <w:lvl w:ilvl="1">
      <w:lvlJc w:val="left"/>
      <w:lvlText w:val="(%2)"/>
      <w:numFmt w:val="lowerLetter"/>
      <w:start w:val="1"/>
    </w:lvl>
  </w:abstractNum>
  <w:abstractNum w:abstractNumId="95">
    <w:nsid w:val="5015CD1A"/>
    <w:multiLevelType w:val="hybridMultilevel"/>
    <w:lvl w:ilvl="0">
      <w:lvlJc w:val="left"/>
      <w:lvlText w:val="%1"/>
      <w:numFmt w:val="decimal"/>
      <w:start w:val="1"/>
    </w:lvl>
    <w:lvl w:ilvl="1">
      <w:lvlJc w:val="left"/>
      <w:lvlText w:val="(%2)"/>
      <w:numFmt w:val="lowerLetter"/>
      <w:start w:val="2"/>
    </w:lvl>
  </w:abstractNum>
  <w:abstractNum w:abstractNumId="96">
    <w:nsid w:val="424479DA"/>
    <w:multiLevelType w:val="hybridMultilevel"/>
    <w:lvl w:ilvl="0">
      <w:lvlJc w:val="left"/>
      <w:lvlText w:val="%1."/>
      <w:numFmt w:val="decimal"/>
      <w:start w:val="13"/>
    </w:lvl>
    <w:lvl w:ilvl="1">
      <w:lvlJc w:val="left"/>
      <w:lvlText w:val="%2"/>
      <w:numFmt w:val="lowerLetter"/>
      <w:start w:val="1"/>
    </w:lvl>
  </w:abstractNum>
  <w:abstractNum w:abstractNumId="97">
    <w:nsid w:val="1A9A9E69"/>
    <w:multiLevelType w:val="hybridMultilevel"/>
    <w:lvl w:ilvl="0">
      <w:lvlJc w:val="left"/>
      <w:lvlText w:val="%1."/>
      <w:numFmt w:val="decimal"/>
      <w:start w:val="14"/>
    </w:lvl>
    <w:lvl w:ilvl="1">
      <w:lvlJc w:val="left"/>
      <w:lvlText w:val="(%2)"/>
      <w:numFmt w:val="lowerLetter"/>
      <w:start w:val="1"/>
    </w:lvl>
  </w:abstractNum>
  <w:abstractNum w:abstractNumId="98">
    <w:nsid w:val="475E256A"/>
    <w:multiLevelType w:val="hybridMultilevel"/>
    <w:lvl w:ilvl="0">
      <w:lvlJc w:val="left"/>
      <w:lvlText w:val="(%1)"/>
      <w:numFmt w:val="lowerLetter"/>
      <w:start w:val="3"/>
    </w:lvl>
  </w:abstractNum>
  <w:abstractNum w:abstractNumId="99">
    <w:nsid w:val="368DB37E"/>
    <w:multiLevelType w:val="hybridMultilevel"/>
    <w:lvl w:ilvl="0">
      <w:lvlJc w:val="left"/>
      <w:lvlText w:val="(%1)"/>
      <w:numFmt w:val="lowerLetter"/>
      <w:start w:val="7"/>
    </w:lvl>
    <w:lvl w:ilvl="1">
      <w:lvlJc w:val="left"/>
      <w:lvlText w:val="(%2)"/>
      <w:numFmt w:val="lowerLetter"/>
      <w:start w:val="8"/>
    </w:lvl>
  </w:abstractNum>
  <w:abstractNum w:abstractNumId="100">
    <w:nsid w:val="6A3B714C"/>
    <w:multiLevelType w:val="hybridMultilevel"/>
    <w:lvl w:ilvl="0">
      <w:lvlJc w:val="left"/>
      <w:lvlText w:val="(%1)"/>
      <w:numFmt w:val="decimal"/>
      <w:start w:val="1"/>
    </w:lvl>
    <w:lvl w:ilvl="1">
      <w:lvlJc w:val="left"/>
      <w:lvlText w:val="☐"/>
      <w:numFmt w:val="bullet"/>
      <w:start w:val="1"/>
    </w:lvl>
  </w:abstractNum>
  <w:abstractNum w:abstractNumId="101">
    <w:nsid w:val="327B517E"/>
    <w:multiLevelType w:val="hybridMultilevel"/>
    <w:lvl w:ilvl="0">
      <w:lvlJc w:val="left"/>
      <w:lvlText w:val="(%1)"/>
      <w:numFmt w:val="decimal"/>
      <w:start w:val="1"/>
    </w:lvl>
  </w:abstractNum>
  <w:abstractNum w:abstractNumId="102">
    <w:nsid w:val="1F461B51"/>
    <w:multiLevelType w:val="hybridMultilevel"/>
    <w:lvl w:ilvl="0">
      <w:lvlJc w:val="left"/>
      <w:lvlText w:val="%1."/>
      <w:numFmt w:val="upperLetter"/>
      <w:start w:val="1"/>
    </w:lvl>
  </w:abstractNum>
  <w:abstractNum w:abstractNumId="103">
    <w:nsid w:val="29BACF25"/>
    <w:multiLevelType w:val="hybridMultilevel"/>
    <w:lvl w:ilvl="0">
      <w:lvlJc w:val="left"/>
      <w:lvlText w:val="%1."/>
      <w:numFmt w:val="decimal"/>
      <w:start w:val="1"/>
    </w:lvl>
  </w:abstractNum>
  <w:abstractNum w:abstractNumId="104">
    <w:nsid w:val="5D5BABB3"/>
    <w:multiLevelType w:val="hybridMultilevel"/>
    <w:lvl w:ilvl="0">
      <w:lvlJc w:val="left"/>
      <w:lvlText w:val="(%1)"/>
      <w:numFmt w:val="lowerLetter"/>
      <w:start w:val="1"/>
    </w:lvl>
  </w:abstractNum>
  <w:abstractNum w:abstractNumId="105">
    <w:nsid w:val="51BF6B48"/>
    <w:multiLevelType w:val="hybridMultilevel"/>
    <w:lvl w:ilvl="0">
      <w:lvlJc w:val="left"/>
      <w:lvlText w:val="%1"/>
      <w:numFmt w:val="decimal"/>
      <w:start w:val="1"/>
    </w:lvl>
    <w:lvl w:ilvl="1">
      <w:lvlJc w:val="left"/>
      <w:lvlText w:val="(%2)"/>
      <w:numFmt w:val="lowerLetter"/>
      <w:start w:val="3"/>
    </w:lvl>
  </w:abstractNum>
  <w:abstractNum w:abstractNumId="106">
    <w:nsid w:val="7E0F6384"/>
    <w:multiLevelType w:val="hybridMultilevel"/>
    <w:lvl w:ilvl="0">
      <w:lvlJc w:val="left"/>
      <w:lvlText w:val="%1."/>
      <w:numFmt w:val="decimal"/>
      <w:start w:val="2"/>
    </w:lvl>
    <w:lvl w:ilvl="1">
      <w:lvlJc w:val="left"/>
      <w:lvlText w:val="(%2)"/>
      <w:numFmt w:val="lowerLetter"/>
      <w:start w:val="1"/>
    </w:lvl>
  </w:abstractNum>
  <w:abstractNum w:abstractNumId="107">
    <w:nsid w:val="2B4B8B53"/>
    <w:multiLevelType w:val="hybridMultilevel"/>
    <w:lvl w:ilvl="0">
      <w:lvlJc w:val="left"/>
      <w:lvlText w:val="(%1)"/>
      <w:numFmt w:val="lowerLetter"/>
      <w:start w:val="2"/>
    </w:lvl>
  </w:abstractNum>
  <w:abstractNum w:abstractNumId="108">
    <w:nsid w:val="72E3413A"/>
    <w:multiLevelType w:val="hybridMultilevel"/>
    <w:lvl w:ilvl="0">
      <w:lvlJc w:val="left"/>
      <w:lvlText w:val="(%1)"/>
      <w:numFmt w:val="lowerLetter"/>
      <w:start w:val="3"/>
    </w:lvl>
  </w:abstractNum>
  <w:abstractNum w:abstractNumId="109">
    <w:nsid w:val="116AE494"/>
    <w:multiLevelType w:val="hybridMultilevel"/>
    <w:lvl w:ilvl="0">
      <w:lvlJc w:val="left"/>
      <w:lvlText w:val="(%1)"/>
      <w:numFmt w:val="lowerLetter"/>
      <w:start w:val="5"/>
    </w:lvl>
  </w:abstractNum>
  <w:abstractNum w:abstractNumId="110">
    <w:nsid w:val="3494B2FB"/>
    <w:multiLevelType w:val="hybridMultilevel"/>
    <w:lvl w:ilvl="0">
      <w:lvlJc w:val="left"/>
      <w:lvlText w:val="%1"/>
      <w:numFmt w:val="decimal"/>
      <w:start w:val="1"/>
    </w:lvl>
    <w:lvl w:ilvl="1">
      <w:lvlJc w:val="left"/>
      <w:lvlText w:val="(%2)"/>
      <w:numFmt w:val="lowerLetter"/>
      <w:start w:val="7"/>
    </w:lvl>
  </w:abstractNum>
  <w:abstractNum w:abstractNumId="111">
    <w:nsid w:val="B13A31"/>
    <w:multiLevelType w:val="hybridMultilevel"/>
    <w:lvl w:ilvl="0">
      <w:lvlJc w:val="left"/>
      <w:lvlText w:val="%1."/>
      <w:numFmt w:val="decimal"/>
      <w:start w:val="3"/>
    </w:lvl>
    <w:lvl w:ilvl="1">
      <w:lvlJc w:val="left"/>
      <w:lvlText w:val="%2"/>
      <w:numFmt w:val="lowerLetter"/>
      <w:start w:val="1"/>
    </w:lvl>
  </w:abstractNum>
  <w:abstractNum w:abstractNumId="112">
    <w:nsid w:val="64429599"/>
    <w:multiLevelType w:val="hybridMultilevel"/>
    <w:lvl w:ilvl="0">
      <w:lvlJc w:val="left"/>
      <w:lvlText w:val="(%1)"/>
      <w:numFmt w:val="lowerLetter"/>
      <w:start w:val="1"/>
    </w:lvl>
  </w:abstractNum>
  <w:abstractNum w:abstractNumId="113">
    <w:nsid w:val="631F1690"/>
    <w:multiLevelType w:val="hybridMultilevel"/>
    <w:lvl w:ilvl="0">
      <w:lvlJc w:val="left"/>
      <w:lvlText w:val="(%1)"/>
      <w:numFmt w:val="lowerLetter"/>
      <w:start w:val="3"/>
    </w:lvl>
  </w:abstractNum>
  <w:abstractNum w:abstractNumId="114">
    <w:nsid w:val="25973E32"/>
    <w:multiLevelType w:val="hybridMultilevel"/>
    <w:lvl w:ilvl="0">
      <w:lvlJc w:val="left"/>
      <w:lvlText w:val="(%1)"/>
      <w:numFmt w:val="lowerLetter"/>
      <w:start w:val="6"/>
    </w:lvl>
  </w:abstractNum>
  <w:abstractNum w:abstractNumId="115">
    <w:nsid w:val="EAD6F57"/>
    <w:multiLevelType w:val="hybridMultilevel"/>
    <w:lvl w:ilvl="0">
      <w:lvlJc w:val="left"/>
      <w:lvlText w:val="%1"/>
      <w:numFmt w:val="decimal"/>
      <w:start w:val="1"/>
    </w:lvl>
    <w:lvl w:ilvl="1">
      <w:lvlJc w:val="left"/>
      <w:lvlText w:val="(%2)"/>
      <w:numFmt w:val="lowerLetter"/>
      <w:start w:val="10"/>
    </w:lvl>
  </w:abstractNum>
  <w:abstractNum w:abstractNumId="116">
    <w:nsid w:val="6EC9D844"/>
    <w:multiLevelType w:val="hybridMultilevel"/>
    <w:lvl w:ilvl="0">
      <w:lvlJc w:val="left"/>
      <w:lvlText w:val="%1."/>
      <w:numFmt w:val="decimal"/>
      <w:start w:val="4"/>
    </w:lvl>
    <w:lvl w:ilvl="1">
      <w:lvlJc w:val="left"/>
      <w:lvlText w:val="(%2)"/>
      <w:numFmt w:val="lowerLetter"/>
      <w:start w:val="1"/>
    </w:lvl>
  </w:abstractNum>
  <w:abstractNum w:abstractNumId="117">
    <w:nsid w:val="5C49EAEE"/>
    <w:multiLevelType w:val="hybridMultilevel"/>
    <w:lvl w:ilvl="0">
      <w:lvlJc w:val="left"/>
      <w:lvlText w:val="%1."/>
      <w:numFmt w:val="decimal"/>
      <w:start w:val="5"/>
    </w:lvl>
  </w:abstractNum>
  <w:abstractNum w:abstractNumId="118">
    <w:nsid w:val="64AF49B"/>
    <w:multiLevelType w:val="hybridMultilevel"/>
    <w:lvl w:ilvl="0">
      <w:lvlJc w:val="left"/>
      <w:lvlText w:val="%1."/>
      <w:numFmt w:val="decimal"/>
      <w:start w:val="6"/>
    </w:lvl>
    <w:lvl w:ilvl="1">
      <w:lvlJc w:val="left"/>
      <w:lvlText w:val="(%2)"/>
      <w:numFmt w:val="lowerLetter"/>
      <w:start w:val="1"/>
    </w:lvl>
  </w:abstractNum>
  <w:abstractNum w:abstractNumId="119">
    <w:nsid w:val="397C46BC"/>
    <w:multiLevelType w:val="hybridMultilevel"/>
    <w:lvl w:ilvl="0">
      <w:lvlJc w:val="left"/>
      <w:lvlText w:val="(%1)"/>
      <w:numFmt w:val="lowerLetter"/>
      <w:start w:val="2"/>
    </w:lvl>
  </w:abstractNum>
  <w:abstractNum w:abstractNumId="120">
    <w:nsid w:val="7E448DE9"/>
    <w:multiLevelType w:val="hybridMultilevel"/>
    <w:lvl w:ilvl="0">
      <w:lvlJc w:val="left"/>
      <w:lvlText w:val="%1"/>
      <w:numFmt w:val="decimal"/>
      <w:start w:val="1"/>
    </w:lvl>
    <w:lvl w:ilvl="1">
      <w:lvlJc w:val="left"/>
      <w:lvlText w:val="(%2)"/>
      <w:numFmt w:val="lowerLetter"/>
      <w:start w:val="4"/>
    </w:lvl>
  </w:abstractNum>
  <w:abstractNum w:abstractNumId="121">
    <w:nsid w:val="5A9CC3E5"/>
    <w:multiLevelType w:val="hybridMultilevel"/>
    <w:lvl w:ilvl="0">
      <w:lvlJc w:val="left"/>
      <w:lvlText w:val="%1."/>
      <w:numFmt w:val="decimal"/>
      <w:start w:val="7"/>
    </w:lvl>
    <w:lvl w:ilvl="1">
      <w:lvlJc w:val="left"/>
      <w:lvlText w:val="%2"/>
      <w:numFmt w:val="lowerLetter"/>
      <w:start w:val="1"/>
    </w:lvl>
  </w:abstractNum>
  <w:abstractNum w:abstractNumId="122">
    <w:nsid w:val="1AFE3625"/>
    <w:multiLevelType w:val="hybridMultilevel"/>
    <w:lvl w:ilvl="0">
      <w:lvlJc w:val="left"/>
      <w:lvlText w:val="%1."/>
      <w:numFmt w:val="decimal"/>
      <w:start w:val="8"/>
    </w:lvl>
  </w:abstractNum>
  <w:abstractNum w:abstractNumId="123">
    <w:nsid w:val="3CA88ECF"/>
    <w:multiLevelType w:val="hybridMultilevel"/>
    <w:lvl w:ilvl="0">
      <w:lvlJc w:val="left"/>
      <w:lvlText w:val="%1."/>
      <w:numFmt w:val="decimal"/>
      <w:start w:val="9"/>
    </w:lvl>
  </w:abstractNum>
  <w:abstractNum w:abstractNumId="124">
    <w:nsid w:val="6EBE4208"/>
    <w:multiLevelType w:val="hybridMultilevel"/>
    <w:lvl w:ilvl="0">
      <w:lvlJc w:val="left"/>
      <w:lvlText w:val="%1."/>
      <w:numFmt w:val="decimal"/>
      <w:start w:val="10"/>
    </w:lvl>
    <w:lvl w:ilvl="1">
      <w:lvlJc w:val="left"/>
      <w:lvlText w:val="(%2)"/>
      <w:numFmt w:val="lowerLetter"/>
      <w:start w:val="1"/>
    </w:lvl>
  </w:abstractNum>
  <w:abstractNum w:abstractNumId="125">
    <w:nsid w:val="C058DF5"/>
    <w:multiLevelType w:val="hybridMultilevel"/>
    <w:lvl w:ilvl="0">
      <w:lvlJc w:val="left"/>
      <w:lvlText w:val="%1."/>
      <w:numFmt w:val="lowerRoman"/>
      <w:start w:val="2"/>
    </w:lvl>
  </w:abstractNum>
  <w:abstractNum w:abstractNumId="126">
    <w:nsid w:val="CBE5BE9"/>
    <w:multiLevelType w:val="hybridMultilevel"/>
    <w:lvl w:ilvl="0">
      <w:lvlJc w:val="left"/>
      <w:lvlText w:val="(%1)"/>
      <w:numFmt w:val="lowerLetter"/>
      <w:start w:val="2"/>
    </w:lvl>
  </w:abstractNum>
  <w:abstractNum w:abstractNumId="127">
    <w:nsid w:val="3102BBE2"/>
    <w:multiLevelType w:val="hybridMultilevel"/>
    <w:lvl w:ilvl="0">
      <w:lvlJc w:val="left"/>
      <w:lvlText w:val="(%1)"/>
      <w:numFmt w:val="lowerLetter"/>
      <w:start w:val="10"/>
    </w:lvl>
  </w:abstractNum>
  <w:abstractNum w:abstractNumId="128">
    <w:nsid w:val="26A02C5E"/>
    <w:multiLevelType w:val="hybridMultilevel"/>
    <w:lvl w:ilvl="0">
      <w:lvlJc w:val="left"/>
      <w:lvlText w:val="•"/>
      <w:numFmt w:val="bullet"/>
      <w:start w:val="1"/>
    </w:lvl>
  </w:abstractNum>
  <w:abstractNum w:abstractNumId="129">
    <w:nsid w:val="541C8153"/>
    <w:multiLevelType w:val="hybridMultilevel"/>
    <w:lvl w:ilvl="0">
      <w:lvlJc w:val="left"/>
      <w:lvlText w:val="%1."/>
      <w:numFmt w:val="decimal"/>
      <w:start w:val="1"/>
    </w:lvl>
    <w:lvl w:ilvl="1">
      <w:lvlJc w:val="left"/>
      <w:lvlText w:val="(%2)"/>
      <w:numFmt w:val="lowerLetter"/>
      <w:start w:val="1"/>
    </w:lvl>
  </w:abstractNum>
  <w:abstractNum w:abstractNumId="130">
    <w:nsid w:val="67906F60"/>
    <w:multiLevelType w:val="hybridMultilevel"/>
    <w:lvl w:ilvl="0">
      <w:lvlJc w:val="left"/>
      <w:lvlText w:val="%1."/>
      <w:numFmt w:val="decimal"/>
      <w:start w:val="3"/>
    </w:lvl>
    <w:lvl w:ilvl="1">
      <w:lvlJc w:val="left"/>
      <w:lvlText w:val="(%2)"/>
      <w:numFmt w:val="lowerLetter"/>
      <w:start w:val="1"/>
    </w:lvl>
  </w:abstractNum>
  <w:abstractNum w:abstractNumId="131">
    <w:nsid w:val="10DB9DAA"/>
    <w:multiLevelType w:val="hybridMultilevel"/>
    <w:lvl w:ilvl="0">
      <w:lvlJc w:val="left"/>
      <w:lvlText w:val="(%1)"/>
      <w:numFmt w:val="lowerLetter"/>
      <w:start w:val="3"/>
    </w:lvl>
  </w:abstractNum>
  <w:abstractNum w:abstractNumId="132">
    <w:nsid w:val="697D2D2"/>
    <w:multiLevelType w:val="hybridMultilevel"/>
    <w:lvl w:ilvl="0">
      <w:lvlJc w:val="left"/>
      <w:lvlText w:val="%1."/>
      <w:numFmt w:val="upperLetter"/>
      <w:start w:val="1"/>
    </w:lvl>
  </w:abstractNum>
  <w:abstractNum w:abstractNumId="133">
    <w:nsid w:val="6D68AB2"/>
    <w:multiLevelType w:val="hybridMultilevel"/>
    <w:lvl w:ilvl="0">
      <w:lvlJc w:val="left"/>
      <w:lvlText w:val="%1."/>
      <w:numFmt w:val="decimal"/>
      <w:start w:val="1"/>
    </w:lvl>
  </w:abstractNum>
  <w:abstractNum w:abstractNumId="134">
    <w:nsid w:val="3A966CD0"/>
    <w:multiLevelType w:val="hybridMultilevel"/>
    <w:lvl w:ilvl="0">
      <w:lvlJc w:val="left"/>
      <w:lvlText w:val="(%1)"/>
      <w:numFmt w:val="lowerLetter"/>
      <w:start w:val="1"/>
    </w:lvl>
  </w:abstractNum>
  <w:abstractNum w:abstractNumId="135">
    <w:nsid w:val="63F37E85"/>
    <w:multiLevelType w:val="hybridMultilevel"/>
    <w:lvl w:ilvl="0">
      <w:lvlJc w:val="left"/>
      <w:lvlText w:val="%1"/>
      <w:numFmt w:val="decimal"/>
      <w:start w:val="1"/>
    </w:lvl>
    <w:lvl w:ilvl="1">
      <w:lvlJc w:val="left"/>
      <w:lvlText w:val="(%2)"/>
      <w:numFmt w:val="lowerLetter"/>
      <w:start w:val="5"/>
    </w:lvl>
  </w:abstractNum>
  <w:abstractNum w:abstractNumId="136">
    <w:nsid w:val="5895F5FA"/>
    <w:multiLevelType w:val="hybridMultilevel"/>
    <w:lvl w:ilvl="0">
      <w:lvlJc w:val="left"/>
      <w:lvlText w:val="%1."/>
      <w:numFmt w:val="decimal"/>
      <w:start w:val="2"/>
    </w:lvl>
    <w:lvl w:ilvl="1">
      <w:lvlJc w:val="left"/>
      <w:lvlText w:val="(%2)"/>
      <w:numFmt w:val="lowerLetter"/>
      <w:start w:val="1"/>
    </w:lvl>
  </w:abstractNum>
  <w:abstractNum w:abstractNumId="137">
    <w:nsid w:val="38A5D054"/>
    <w:multiLevelType w:val="hybridMultilevel"/>
    <w:lvl w:ilvl="0">
      <w:lvlJc w:val="left"/>
      <w:lvlText w:val="(%1)"/>
      <w:numFmt w:val="lowerLetter"/>
      <w:start w:val="2"/>
    </w:lvl>
  </w:abstractNum>
  <w:abstractNum w:abstractNumId="138">
    <w:nsid w:val="F3F09D8"/>
    <w:multiLevelType w:val="hybridMultilevel"/>
    <w:lvl w:ilvl="0">
      <w:lvlJc w:val="left"/>
      <w:lvlText w:val="(%1)"/>
      <w:numFmt w:val="lowerLetter"/>
      <w:start w:val="4"/>
    </w:lvl>
  </w:abstractNum>
  <w:abstractNum w:abstractNumId="139">
    <w:nsid w:val="4B793735"/>
    <w:multiLevelType w:val="hybridMultilevel"/>
    <w:lvl w:ilvl="0">
      <w:lvlJc w:val="left"/>
      <w:lvlText w:val="(%1)"/>
      <w:numFmt w:val="decimal"/>
      <w:start w:val="2"/>
    </w:lvl>
    <w:lvl w:ilvl="1">
      <w:lvlJc w:val="left"/>
      <w:lvlText w:val="(%2)"/>
      <w:numFmt w:val="lowerLetter"/>
      <w:start w:val="6"/>
    </w:lvl>
  </w:abstractNum>
  <w:abstractNum w:abstractNumId="140">
    <w:nsid w:val="4A10B4E8"/>
    <w:multiLevelType w:val="hybridMultilevel"/>
    <w:lvl w:ilvl="0">
      <w:lvlJc w:val="left"/>
      <w:lvlText w:val="%1"/>
      <w:numFmt w:val="decimal"/>
      <w:start w:val="1"/>
    </w:lvl>
    <w:lvl w:ilvl="1">
      <w:lvlJc w:val="left"/>
      <w:lvlText w:val="(%2)"/>
      <w:numFmt w:val="lowerLetter"/>
      <w:start w:val="7"/>
    </w:lvl>
  </w:abstractNum>
  <w:abstractNum w:abstractNumId="141">
    <w:nsid w:val="43D3BCD4"/>
    <w:multiLevelType w:val="hybridMultilevel"/>
    <w:lvl w:ilvl="0">
      <w:lvlJc w:val="left"/>
      <w:lvlText w:val="%1."/>
      <w:numFmt w:val="decimal"/>
      <w:start w:val="3"/>
    </w:lvl>
    <w:lvl w:ilvl="1">
      <w:lvlJc w:val="left"/>
      <w:lvlText w:val="%2"/>
      <w:numFmt w:val="lowerLetter"/>
      <w:start w:val="1"/>
    </w:lvl>
  </w:abstractNum>
  <w:abstractNum w:abstractNumId="142">
    <w:nsid w:val="4C2A7166"/>
    <w:multiLevelType w:val="hybridMultilevel"/>
    <w:lvl w:ilvl="0">
      <w:lvlJc w:val="left"/>
      <w:lvlText w:val="%1"/>
      <w:numFmt w:val="decimal"/>
      <w:start w:val="1"/>
    </w:lvl>
    <w:lvl w:ilvl="1">
      <w:lvlJc w:val="left"/>
      <w:lvlText w:val="(%2)"/>
      <w:numFmt w:val="lowerLetter"/>
      <w:start w:val="1"/>
    </w:lvl>
  </w:abstractNum>
  <w:abstractNum w:abstractNumId="143">
    <w:nsid w:val="2E534A82"/>
    <w:multiLevelType w:val="hybridMultilevel"/>
    <w:lvl w:ilvl="0">
      <w:lvlJc w:val="left"/>
      <w:lvlText w:val="(%1)"/>
      <w:numFmt w:val="decimal"/>
      <w:start w:val="3"/>
    </w:lvl>
    <w:lvl w:ilvl="1">
      <w:lvlJc w:val="left"/>
      <w:lvlText w:val="(%2)"/>
      <w:numFmt w:val="lowerLetter"/>
      <w:start w:val="4"/>
    </w:lvl>
  </w:abstractNum>
  <w:abstractNum w:abstractNumId="144">
    <w:nsid w:val="26F2D364"/>
    <w:multiLevelType w:val="hybridMultilevel"/>
    <w:lvl w:ilvl="0">
      <w:lvlJc w:val="left"/>
      <w:lvlText w:val="(%1)"/>
      <w:numFmt w:val="lowerLetter"/>
      <w:start w:val="5"/>
    </w:lvl>
  </w:abstractNum>
  <w:abstractNum w:abstractNumId="145">
    <w:nsid w:val="71C1AF98"/>
    <w:multiLevelType w:val="hybridMultilevel"/>
    <w:lvl w:ilvl="0">
      <w:lvlJc w:val="left"/>
      <w:lvlText w:val="(%1)"/>
      <w:numFmt w:val="lowerLetter"/>
      <w:start w:val="7"/>
    </w:lvl>
  </w:abstractNum>
  <w:abstractNum w:abstractNumId="146">
    <w:nsid w:val="3D00B9D9"/>
    <w:multiLevelType w:val="hybridMultilevel"/>
    <w:lvl w:ilvl="0">
      <w:lvlJc w:val="left"/>
      <w:lvlText w:val="%1."/>
      <w:numFmt w:val="decimal"/>
      <w:start w:val="4"/>
    </w:lvl>
    <w:lvl w:ilvl="1">
      <w:lvlJc w:val="left"/>
      <w:lvlText w:val="(%2)"/>
      <w:numFmt w:val="lowerLetter"/>
      <w:start w:val="1"/>
    </w:lvl>
  </w:abstractNum>
  <w:abstractNum w:abstractNumId="147">
    <w:nsid w:val="15BCABA8"/>
    <w:multiLevelType w:val="hybridMultilevel"/>
    <w:lvl w:ilvl="0">
      <w:lvlJc w:val="left"/>
      <w:lvlText w:val="%1."/>
      <w:numFmt w:val="decimal"/>
      <w:start w:val="6"/>
    </w:lvl>
    <w:lvl w:ilvl="1">
      <w:lvlJc w:val="left"/>
      <w:lvlText w:val="(%2)"/>
      <w:numFmt w:val="lowerLetter"/>
      <w:start w:val="1"/>
    </w:lvl>
  </w:abstractNum>
  <w:abstractNum w:abstractNumId="148">
    <w:nsid w:val="4E0B9A87"/>
    <w:multiLevelType w:val="hybridMultilevel"/>
    <w:lvl w:ilvl="0">
      <w:lvlJc w:val="left"/>
      <w:lvlText w:val="(%1)"/>
      <w:numFmt w:val="lowerLetter"/>
      <w:start w:val="2"/>
    </w:lvl>
  </w:abstractNum>
  <w:abstractNum w:abstractNumId="149">
    <w:nsid w:val="434BAE75"/>
    <w:multiLevelType w:val="hybridMultilevel"/>
    <w:lvl w:ilvl="0">
      <w:lvlJc w:val="left"/>
      <w:lvlText w:val="(%1)"/>
      <w:numFmt w:val="lowerLetter"/>
      <w:start w:val="3"/>
    </w:lvl>
  </w:abstractNum>
  <w:abstractNum w:abstractNumId="150">
    <w:nsid w:val="4F38F265"/>
    <w:multiLevelType w:val="hybridMultilevel"/>
    <w:lvl w:ilvl="0">
      <w:lvlJc w:val="left"/>
      <w:lvlText w:val="%1"/>
      <w:numFmt w:val="decimal"/>
      <w:start w:val="1"/>
    </w:lvl>
    <w:lvl w:ilvl="1">
      <w:lvlJc w:val="left"/>
      <w:lvlText w:val="(%2)"/>
      <w:numFmt w:val="lowerLetter"/>
      <w:start w:val="5"/>
    </w:lvl>
  </w:abstractNum>
  <w:abstractNum w:abstractNumId="151">
    <w:nsid w:val="4C502870"/>
    <w:multiLevelType w:val="hybridMultilevel"/>
    <w:lvl w:ilvl="0">
      <w:lvlJc w:val="left"/>
      <w:lvlText w:val="%1."/>
      <w:numFmt w:val="decimal"/>
      <w:start w:val="7"/>
    </w:lvl>
    <w:lvl w:ilvl="1">
      <w:lvlJc w:val="left"/>
      <w:lvlText w:val="%2"/>
      <w:numFmt w:val="lowerLetter"/>
      <w:start w:val="1"/>
    </w:lvl>
  </w:abstractNum>
  <w:abstractNum w:abstractNumId="152">
    <w:nsid w:val="1DE8725A"/>
    <w:multiLevelType w:val="hybridMultilevel"/>
    <w:lvl w:ilvl="0">
      <w:lvlJc w:val="left"/>
      <w:lvlText w:val="%1."/>
      <w:numFmt w:val="decimal"/>
      <w:start w:val="8"/>
    </w:lvl>
  </w:abstractNum>
  <w:abstractNum w:abstractNumId="153">
    <w:nsid w:val="6A37288A"/>
    <w:multiLevelType w:val="hybridMultilevel"/>
    <w:lvl w:ilvl="0">
      <w:lvlJc w:val="left"/>
      <w:lvlText w:val="%1."/>
      <w:numFmt w:val="decimal"/>
      <w:start w:val="9"/>
    </w:lvl>
  </w:abstractNum>
  <w:abstractNum w:abstractNumId="154">
    <w:nsid w:val="8F8B73F"/>
    <w:multiLevelType w:val="hybridMultilevel"/>
    <w:lvl w:ilvl="0">
      <w:lvlJc w:val="left"/>
      <w:lvlText w:val="%1."/>
      <w:numFmt w:val="decimal"/>
      <w:start w:val="10"/>
    </w:lvl>
    <w:lvl w:ilvl="1">
      <w:lvlJc w:val="left"/>
      <w:lvlText w:val="(%2)"/>
      <w:numFmt w:val="lowerLetter"/>
      <w:start w:val="1"/>
    </w:lvl>
  </w:abstractNum>
  <w:abstractNum w:abstractNumId="155">
    <w:nsid w:val="CA6B462"/>
    <w:multiLevelType w:val="hybridMultilevel"/>
    <w:lvl w:ilvl="0">
      <w:lvlJc w:val="left"/>
      <w:lvlText w:val="%1."/>
      <w:numFmt w:val="lowerRoman"/>
      <w:start w:val="2"/>
    </w:lvl>
  </w:abstractNum>
  <w:abstractNum w:abstractNumId="156">
    <w:nsid w:val="763CB680"/>
    <w:multiLevelType w:val="hybridMultilevel"/>
    <w:lvl w:ilvl="0">
      <w:lvlJc w:val="left"/>
      <w:lvlText w:val="(%1)"/>
      <w:numFmt w:val="lowerLetter"/>
      <w:start w:val="2"/>
    </w:lvl>
  </w:abstractNum>
  <w:abstractNum w:abstractNumId="157">
    <w:nsid w:val="15B71329"/>
    <w:multiLevelType w:val="hybridMultilevel"/>
    <w:lvl w:ilvl="0">
      <w:lvlJc w:val="left"/>
      <w:lvlText w:val="(%1)"/>
      <w:numFmt w:val="lowerLetter"/>
      <w:start w:val="5"/>
    </w:lvl>
  </w:abstractNum>
  <w:abstractNum w:abstractNumId="158">
    <w:nsid w:val="3DA97044"/>
    <w:multiLevelType w:val="hybridMultilevel"/>
    <w:lvl w:ilvl="0">
      <w:lvlJc w:val="left"/>
      <w:lvlText w:val="(%1)"/>
      <w:numFmt w:val="lowerLetter"/>
      <w:start w:val="13"/>
    </w:lvl>
  </w:abstractNum>
  <w:abstractNum w:abstractNumId="159">
    <w:nsid w:val="1CDCE2DE"/>
    <w:multiLevelType w:val="hybridMultilevel"/>
    <w:lvl w:ilvl="0">
      <w:lvlJc w:val="left"/>
      <w:lvlText w:val="•"/>
      <w:numFmt w:val="bullet"/>
      <w:start w:val="1"/>
    </w:lvl>
  </w:abstractNum>
  <w:abstractNum w:abstractNumId="160">
    <w:nsid w:val="69D3947C"/>
    <w:multiLevelType w:val="hybridMultilevel"/>
    <w:lvl w:ilvl="0">
      <w:lvlJc w:val="left"/>
      <w:lvlText w:val="%1."/>
      <w:numFmt w:val="decimal"/>
      <w:start w:val="1"/>
    </w:lvl>
    <w:lvl w:ilvl="1">
      <w:lvlJc w:val="left"/>
      <w:lvlText w:val="(%2)"/>
      <w:numFmt w:val="lowerLetter"/>
      <w:start w:val="1"/>
    </w:lvl>
  </w:abstractNum>
  <w:abstractNum w:abstractNumId="161">
    <w:nsid w:val="2539DFA5"/>
    <w:multiLevelType w:val="hybridMultilevel"/>
    <w:lvl w:ilvl="0">
      <w:lvlJc w:val="left"/>
      <w:lvlText w:val="%1."/>
      <w:numFmt w:val="decimal"/>
      <w:start w:val="3"/>
    </w:lvl>
    <w:lvl w:ilvl="1">
      <w:lvlJc w:val="left"/>
      <w:lvlText w:val="(%2)"/>
      <w:numFmt w:val="lowerLetter"/>
      <w:start w:val="1"/>
    </w:lvl>
  </w:abstractNum>
  <w:abstractNum w:abstractNumId="162">
    <w:nsid w:val="2DB88089"/>
    <w:multiLevelType w:val="hybridMultilevel"/>
    <w:lvl w:ilvl="0">
      <w:lvlJc w:val="left"/>
      <w:lvlText w:val="(%1)"/>
      <w:numFmt w:val="lowerLetter"/>
      <w:start w:val="3"/>
    </w:lvl>
  </w:abstractNum>
  <w:abstractNum w:abstractNumId="163">
    <w:nsid w:val="706B674E"/>
    <w:multiLevelType w:val="hybridMultilevel"/>
    <w:lvl w:ilvl="0">
      <w:lvlJc w:val="left"/>
      <w:lvlText w:val="%1."/>
      <w:numFmt w:val="decimal"/>
      <w:start w:val="2"/>
    </w:lvl>
  </w:abstractNum>
  <w:abstractNum w:abstractNumId="164">
    <w:nsid w:val="2C106A57"/>
    <w:multiLevelType w:val="hybridMultilevel"/>
    <w:lvl w:ilvl="0">
      <w:lvlJc w:val="left"/>
      <w:lvlText w:val="%1."/>
      <w:numFmt w:val="decimal"/>
      <w:start w:val="3"/>
    </w:lvl>
  </w:abstractNum>
  <w:abstractNum w:abstractNumId="165">
    <w:nsid w:val="684EED59"/>
    <w:multiLevelType w:val="hybridMultilevel"/>
    <w:lvl w:ilvl="0">
      <w:lvlJc w:val="left"/>
      <w:lvlText w:val="(%1)"/>
      <w:numFmt w:val="lowerLetter"/>
      <w:start w:val="1"/>
    </w:lvl>
  </w:abstractNum>
  <w:abstractNum w:abstractNumId="166">
    <w:nsid w:val="545EE5D3"/>
    <w:multiLevelType w:val="hybridMultilevel"/>
    <w:lvl w:ilvl="0">
      <w:lvlJc w:val="left"/>
      <w:lvlText w:val="(%1)"/>
      <w:numFmt w:val="lowerLetter"/>
      <w:start w:val="2"/>
    </w:lvl>
  </w:abstractNum>
  <w:abstractNum w:abstractNumId="167">
    <w:nsid w:val="4A66051"/>
    <w:multiLevelType w:val="hybridMultilevel"/>
    <w:lvl w:ilvl="0">
      <w:lvlJc w:val="left"/>
      <w:lvlText w:val="(%1)"/>
      <w:numFmt w:val="lowerRoman"/>
      <w:start w:val="1"/>
    </w:lvl>
  </w:abstractNum>
  <w:abstractNum w:abstractNumId="168">
    <w:nsid w:val="20F4BDAD"/>
    <w:multiLevelType w:val="hybridMultilevel"/>
    <w:lvl w:ilvl="0">
      <w:lvlJc w:val="left"/>
      <w:lvlText w:val="%1."/>
      <w:numFmt w:val="decimal"/>
      <w:start w:val="4"/>
    </w:lvl>
  </w:abstractNum>
  <w:abstractNum w:abstractNumId="169">
    <w:nsid w:val="639DEFAC"/>
    <w:multiLevelType w:val="hybridMultilevel"/>
    <w:lvl w:ilvl="0">
      <w:lvlJc w:val="left"/>
      <w:lvlText w:val="%1."/>
      <w:numFmt w:val="decimal"/>
      <w:start w:val="5"/>
    </w:lvl>
  </w:abstractNum>
  <w:abstractNum w:abstractNumId="170">
    <w:nsid w:val="501F9786"/>
    <w:multiLevelType w:val="hybridMultilevel"/>
    <w:lvl w:ilvl="0">
      <w:lvlJc w:val="left"/>
      <w:lvlText w:val="(%1)"/>
      <w:numFmt w:val="lowerLetter"/>
      <w:start w:val="1"/>
    </w:lvl>
  </w:abstractNum>
  <w:abstractNum w:abstractNumId="171">
    <w:nsid w:val="6B057295"/>
    <w:multiLevelType w:val="hybridMultilevel"/>
    <w:lvl w:ilvl="0">
      <w:lvlJc w:val="left"/>
      <w:lvlText w:val="(%1)"/>
      <w:numFmt w:val="lowerLetter"/>
      <w:start w:val="1"/>
    </w:lvl>
  </w:abstractNum>
  <w:abstractNum w:abstractNumId="172">
    <w:nsid w:val="2771AC80"/>
    <w:multiLevelType w:val="hybridMultilevel"/>
    <w:lvl w:ilvl="0">
      <w:lvlJc w:val="left"/>
      <w:lvlText w:val="(%1)"/>
      <w:numFmt w:val="lowerLetter"/>
      <w:start w:val="35"/>
    </w:lvl>
    <w:lvl w:ilvl="1">
      <w:lvlJc w:val="left"/>
      <w:lvlText w:val="(%2)"/>
      <w:numFmt w:val="lowerLetter"/>
      <w:start w:val="2"/>
    </w:lvl>
  </w:abstractNum>
  <w:abstractNum w:abstractNumId="173">
    <w:nsid w:val="1C4A08EC"/>
    <w:multiLevelType w:val="hybridMultilevel"/>
    <w:lvl w:ilvl="0">
      <w:lvlJc w:val="left"/>
      <w:lvlText w:val="(%1)"/>
      <w:numFmt w:val="lowerLetter"/>
      <w:start w:val="1"/>
    </w:lvl>
  </w:abstractNum>
  <w:abstractNum w:abstractNumId="174">
    <w:nsid w:val="1958BD17"/>
    <w:multiLevelType w:val="hybridMultilevel"/>
    <w:lvl w:ilvl="0">
      <w:lvlJc w:val="left"/>
      <w:lvlText w:val="(%1)"/>
      <w:numFmt w:val="lowerLetter"/>
      <w:start w:val="2"/>
    </w:lvl>
  </w:abstractNum>
  <w:abstractNum w:abstractNumId="175">
    <w:nsid w:val="4E647FE4"/>
    <w:multiLevelType w:val="hybridMultilevel"/>
    <w:lvl w:ilvl="0">
      <w:lvlJc w:val="left"/>
      <w:lvlText w:val="(%1)"/>
      <w:numFmt w:val="lowerLetter"/>
      <w:start w:val="1"/>
    </w:lvl>
  </w:abstractNum>
  <w:abstractNum w:abstractNumId="176">
    <w:nsid w:val="E0BB885"/>
    <w:multiLevelType w:val="hybridMultilevel"/>
    <w:lvl w:ilvl="0">
      <w:lvlJc w:val="left"/>
      <w:lvlText w:val="(%1)"/>
      <w:numFmt w:val="lowerLetter"/>
      <w:start w:val="5"/>
    </w:lvl>
  </w:abstractNum>
  <w:abstractNum w:abstractNumId="177">
    <w:nsid w:val="565976F1"/>
    <w:multiLevelType w:val="hybridMultilevel"/>
    <w:lvl w:ilvl="0">
      <w:lvlJc w:val="left"/>
      <w:lvlText w:val="%1."/>
      <w:numFmt w:val="decimal"/>
      <w:start w:val="6"/>
    </w:lvl>
  </w:abstractNum>
  <w:abstractNum w:abstractNumId="178">
    <w:nsid w:val="64212B8C"/>
    <w:multiLevelType w:val="hybridMultilevel"/>
    <w:lvl w:ilvl="0">
      <w:lvlJc w:val="left"/>
      <w:lvlText w:val="(%1)"/>
      <w:numFmt w:val="lowerLetter"/>
      <w:start w:val="1"/>
    </w:lvl>
  </w:abstractNum>
  <w:abstractNum w:abstractNumId="179">
    <w:nsid w:val="5C17530C"/>
    <w:multiLevelType w:val="hybridMultilevel"/>
    <w:lvl w:ilvl="0">
      <w:lvlJc w:val="left"/>
      <w:lvlText w:val="(%1)"/>
      <w:numFmt w:val="lowerLetter"/>
      <w:start w:val="9"/>
    </w:lvl>
  </w:abstractNum>
  <w:abstractNum w:abstractNumId="180">
    <w:nsid w:val="19A52566"/>
    <w:multiLevelType w:val="hybridMultilevel"/>
    <w:lvl w:ilvl="0">
      <w:lvlJc w:val="left"/>
      <w:lvlText w:val="(%1)"/>
      <w:numFmt w:val="lowerLetter"/>
      <w:start w:val="1"/>
    </w:lvl>
  </w:abstractNum>
  <w:abstractNum w:abstractNumId="181">
    <w:nsid w:val="335A1DF1"/>
    <w:multiLevelType w:val="hybridMultilevel"/>
    <w:lvl w:ilvl="0">
      <w:lvlJc w:val="left"/>
      <w:lvlText w:val="%1"/>
      <w:numFmt w:val="decimal"/>
      <w:start w:val="1"/>
    </w:lvl>
    <w:lvl w:ilvl="1">
      <w:lvlJc w:val="left"/>
      <w:lvlText w:val="(%2)"/>
      <w:numFmt w:val="lowerLetter"/>
      <w:start w:val="2"/>
    </w:lvl>
  </w:abstractNum>
  <w:abstractNum w:abstractNumId="182">
    <w:nsid w:val="28677B7C"/>
    <w:multiLevelType w:val="hybridMultilevel"/>
    <w:lvl w:ilvl="0">
      <w:lvlJc w:val="left"/>
      <w:lvlText w:val="%1."/>
      <w:numFmt w:val="decimal"/>
      <w:start w:val="7"/>
    </w:lvl>
    <w:lvl w:ilvl="1">
      <w:lvlJc w:val="left"/>
      <w:lvlText w:val="%2"/>
      <w:numFmt w:val="lowerLetter"/>
      <w:start w:val="1"/>
    </w:lvl>
  </w:abstractNum>
  <w:abstractNum w:abstractNumId="183">
    <w:nsid w:val="378D97C0"/>
    <w:multiLevelType w:val="hybridMultilevel"/>
    <w:lvl w:ilvl="0">
      <w:lvlJc w:val="left"/>
      <w:lvlText w:val="(%1)"/>
      <w:numFmt w:val="lowerRoman"/>
      <w:start w:val="1"/>
    </w:lvl>
  </w:abstractNum>
  <w:abstractNum w:abstractNumId="184">
    <w:nsid w:val="1D91467C"/>
    <w:multiLevelType w:val="hybridMultilevel"/>
    <w:lvl w:ilvl="0">
      <w:lvlJc w:val="left"/>
      <w:lvlText w:val="(%1)"/>
      <w:numFmt w:val="lowerRoman"/>
      <w:start w:val="4"/>
    </w:lvl>
  </w:abstractNum>
  <w:abstractNum w:abstractNumId="185">
    <w:nsid w:val="316032BB"/>
    <w:multiLevelType w:val="hybridMultilevel"/>
    <w:lvl w:ilvl="0">
      <w:lvlJc w:val="left"/>
      <w:lvlText w:val="%1."/>
      <w:numFmt w:val="decimal"/>
      <w:start w:val="8"/>
    </w:lvl>
  </w:abstractNum>
  <w:abstractNum w:abstractNumId="186">
    <w:nsid w:val="44344C22"/>
    <w:multiLevelType w:val="hybridMultilevel"/>
    <w:lvl w:ilvl="0">
      <w:lvlJc w:val="left"/>
      <w:lvlText w:val="(%1)"/>
      <w:numFmt w:val="lowerLetter"/>
      <w:start w:val="2"/>
    </w:lvl>
  </w:abstractNum>
  <w:abstractNum w:abstractNumId="187">
    <w:nsid w:val="13CDFCFC"/>
    <w:multiLevelType w:val="hybridMultilevel"/>
    <w:lvl w:ilvl="0">
      <w:lvlJc w:val="left"/>
      <w:lvlText w:val="(%1)"/>
      <w:numFmt w:val="lowerLetter"/>
      <w:start w:val="1"/>
    </w:lvl>
  </w:abstractNum>
  <w:abstractNum w:abstractNumId="188">
    <w:nsid w:val="471745E4"/>
    <w:multiLevelType w:val="hybridMultilevel"/>
    <w:lvl w:ilvl="0">
      <w:lvlJc w:val="left"/>
      <w:lvlText w:val="(%1)"/>
      <w:numFmt w:val="lowerRoman"/>
      <w:start w:val="1"/>
    </w:lvl>
  </w:abstractNum>
  <w:abstractNum w:abstractNumId="189">
    <w:nsid w:val="1DDBC66"/>
    <w:multiLevelType w:val="hybridMultilevel"/>
    <w:lvl w:ilvl="0">
      <w:lvlJc w:val="left"/>
      <w:lvlText w:val="(%1)"/>
      <w:numFmt w:val="lowerRoman"/>
      <w:start w:val="4"/>
    </w:lvl>
  </w:abstractNum>
  <w:abstractNum w:abstractNumId="190">
    <w:nsid w:val="30AADFDA"/>
    <w:multiLevelType w:val="hybridMultilevel"/>
    <w:lvl w:ilvl="0">
      <w:lvlJc w:val="left"/>
      <w:lvlText w:val="(%1)"/>
      <w:numFmt w:val="lowerRoman"/>
      <w:start w:val="1"/>
    </w:lvl>
  </w:abstractNum>
  <w:abstractNum w:abstractNumId="191">
    <w:nsid w:val="30EADA61"/>
    <w:multiLevelType w:val="hybridMultilevel"/>
    <w:lvl w:ilvl="0">
      <w:lvlJc w:val="left"/>
      <w:lvlText w:val="(%1)"/>
      <w:numFmt w:val="lowerLetter"/>
      <w:start w:val="1"/>
    </w:lvl>
  </w:abstractNum>
  <w:abstractNum w:abstractNumId="192">
    <w:nsid w:val="27179C0B"/>
    <w:multiLevelType w:val="hybridMultilevel"/>
    <w:lvl w:ilvl="0">
      <w:lvlJc w:val="left"/>
      <w:lvlText w:val="(%1)"/>
      <w:numFmt w:val="lowerLetter"/>
      <w:start w:val="1"/>
    </w:lvl>
  </w:abstractNum>
  <w:abstractNum w:abstractNumId="193">
    <w:nsid w:val="5E636063"/>
    <w:multiLevelType w:val="hybridMultilevel"/>
    <w:lvl w:ilvl="0">
      <w:lvlJc w:val="left"/>
      <w:lvlText w:val="(%1)"/>
      <w:numFmt w:val="lowerLetter"/>
      <w:start w:val="2"/>
    </w:lvl>
  </w:abstractNum>
  <w:abstractNum w:abstractNumId="194">
    <w:nsid w:val="215641AF"/>
    <w:multiLevelType w:val="hybridMultilevel"/>
    <w:lvl w:ilvl="0">
      <w:lvlJc w:val="left"/>
      <w:lvlText w:val="%1."/>
      <w:numFmt w:val="decimal"/>
      <w:start w:val="2"/>
    </w:lvl>
  </w:abstractNum>
  <w:abstractNum w:abstractNumId="195">
    <w:nsid w:val="53280662"/>
    <w:multiLevelType w:val="hybridMultilevel"/>
    <w:lvl w:ilvl="0">
      <w:lvlJc w:val="left"/>
      <w:lvlText w:val="%1."/>
      <w:numFmt w:val="decimal"/>
      <w:start w:val="3"/>
    </w:lvl>
  </w:abstractNum>
  <w:abstractNum w:abstractNumId="196">
    <w:nsid w:val="46B24DBC"/>
    <w:multiLevelType w:val="hybridMultilevel"/>
    <w:lvl w:ilvl="0">
      <w:lvlJc w:val="left"/>
      <w:lvlText w:val="(%1)"/>
      <w:numFmt w:val="lowerLetter"/>
      <w:start w:val="1"/>
    </w:lvl>
  </w:abstractNum>
  <w:abstractNum w:abstractNumId="197">
    <w:nsid w:val="75B52783"/>
    <w:multiLevelType w:val="hybridMultilevel"/>
    <w:lvl w:ilvl="0">
      <w:lvlJc w:val="left"/>
      <w:lvlText w:val="(%1)"/>
      <w:numFmt w:val="lowerLetter"/>
      <w:start w:val="2"/>
    </w:lvl>
  </w:abstractNum>
  <w:abstractNum w:abstractNumId="198">
    <w:nsid w:val="57CE66B4"/>
    <w:multiLevelType w:val="hybridMultilevel"/>
    <w:lvl w:ilvl="0">
      <w:lvlJc w:val="left"/>
      <w:lvlText w:val="(%1)"/>
      <w:numFmt w:val="lowerRoman"/>
      <w:start w:val="1"/>
    </w:lvl>
  </w:abstractNum>
  <w:abstractNum w:abstractNumId="199">
    <w:nsid w:val="67A70B69"/>
    <w:multiLevelType w:val="hybridMultilevel"/>
    <w:lvl w:ilvl="0">
      <w:lvlJc w:val="left"/>
      <w:lvlText w:val="(%1)"/>
      <w:numFmt w:val="upperLetter"/>
      <w:start w:val="2"/>
    </w:lvl>
  </w:abstractNum>
  <w:abstractNum w:abstractNumId="200">
    <w:nsid w:val="5953172F"/>
    <w:multiLevelType w:val="hybridMultilevel"/>
    <w:lvl w:ilvl="0">
      <w:lvlJc w:val="left"/>
      <w:lvlText w:val="%1."/>
      <w:numFmt w:val="decimal"/>
      <w:start w:val="4"/>
    </w:lvl>
  </w:abstractNum>
  <w:abstractNum w:abstractNumId="201">
    <w:nsid w:val="27EDFE3A"/>
    <w:multiLevelType w:val="hybridMultilevel"/>
    <w:lvl w:ilvl="0">
      <w:lvlJc w:val="left"/>
      <w:lvlText w:val="%1."/>
      <w:numFmt w:val="decimal"/>
      <w:start w:val="5"/>
    </w:lvl>
  </w:abstractNum>
  <w:abstractNum w:abstractNumId="202">
    <w:nsid w:val="52AC7DFF"/>
    <w:multiLevelType w:val="hybridMultilevel"/>
    <w:lvl w:ilvl="0">
      <w:lvlJc w:val="left"/>
      <w:lvlText w:val="(%1)"/>
      <w:numFmt w:val="lowerRoman"/>
      <w:start w:val="2"/>
    </w:lvl>
  </w:abstractNum>
  <w:abstractNum w:abstractNumId="203">
    <w:nsid w:val="C4C3AF"/>
    <w:multiLevelType w:val="hybridMultilevel"/>
    <w:lvl w:ilvl="0">
      <w:lvlJc w:val="left"/>
      <w:lvlText w:val="(%1)"/>
      <w:numFmt w:val="lowerLetter"/>
      <w:start w:val="1"/>
    </w:lvl>
  </w:abstractNum>
  <w:abstractNum w:abstractNumId="204">
    <w:nsid w:val="44380727"/>
    <w:multiLevelType w:val="hybridMultilevel"/>
    <w:lvl w:ilvl="0">
      <w:lvlJc w:val="left"/>
      <w:lvlText w:val="(%1)"/>
      <w:numFmt w:val="lowerLetter"/>
      <w:start w:val="1"/>
    </w:lvl>
  </w:abstractNum>
  <w:abstractNum w:abstractNumId="205">
    <w:nsid w:val="6C053B16"/>
    <w:multiLevelType w:val="hybridMultilevel"/>
    <w:lvl w:ilvl="0">
      <w:lvlJc w:val="left"/>
      <w:lvlText w:val="(%1)"/>
      <w:numFmt w:val="lowerLetter"/>
      <w:start w:val="1"/>
    </w:lvl>
  </w:abstractNum>
  <w:abstractNum w:abstractNumId="206">
    <w:nsid w:val="4F294393"/>
    <w:multiLevelType w:val="hybridMultilevel"/>
    <w:lvl w:ilvl="0">
      <w:lvlJc w:val="left"/>
      <w:lvlText w:val="(%1)"/>
      <w:numFmt w:val="lowerLetter"/>
      <w:start w:val="1"/>
    </w:lvl>
  </w:abstractNum>
  <w:abstractNum w:abstractNumId="207">
    <w:nsid w:val="5243BFAC"/>
    <w:multiLevelType w:val="hybridMultilevel"/>
    <w:lvl w:ilvl="0">
      <w:lvlJc w:val="left"/>
      <w:lvlText w:val="%1."/>
      <w:numFmt w:val="decimal"/>
      <w:start w:val="6"/>
    </w:lvl>
  </w:abstractNum>
  <w:abstractNum w:abstractNumId="208">
    <w:nsid w:val="425EB207"/>
    <w:multiLevelType w:val="hybridMultilevel"/>
    <w:lvl w:ilvl="0">
      <w:lvlJc w:val="left"/>
      <w:lvlText w:val="(%1)"/>
      <w:numFmt w:val="lowerLetter"/>
      <w:start w:val="1"/>
    </w:lvl>
  </w:abstractNum>
  <w:abstractNum w:abstractNumId="209">
    <w:nsid w:val="334A6F1F"/>
    <w:multiLevelType w:val="hybridMultilevel"/>
    <w:lvl w:ilvl="0">
      <w:lvlJc w:val="left"/>
      <w:lvlText w:val="(%1)"/>
      <w:numFmt w:val="lowerLetter"/>
      <w:start w:val="2"/>
    </w:lvl>
  </w:abstractNum>
  <w:abstractNum w:abstractNumId="210">
    <w:nsid w:val="2E5B12B8"/>
    <w:multiLevelType w:val="hybridMultilevel"/>
    <w:lvl w:ilvl="0">
      <w:lvlJc w:val="left"/>
      <w:lvlText w:val="(%1)"/>
      <w:numFmt w:val="lowerLetter"/>
      <w:start w:val="12"/>
    </w:lvl>
  </w:abstractNum>
  <w:abstractNum w:abstractNumId="211">
    <w:nsid w:val="5C03D76D"/>
    <w:multiLevelType w:val="hybridMultilevel"/>
    <w:lvl w:ilvl="0">
      <w:lvlJc w:val="left"/>
      <w:lvlText w:val="%1"/>
      <w:numFmt w:val="decimal"/>
      <w:start w:val="1"/>
    </w:lvl>
    <w:lvl w:ilvl="1">
      <w:lvlJc w:val="left"/>
      <w:lvlText w:val="(%2)"/>
      <w:numFmt w:val="lowerLetter"/>
      <w:start w:val="1"/>
    </w:lvl>
  </w:abstractNum>
  <w:abstractNum w:abstractNumId="212">
    <w:nsid w:val="66A48D11"/>
    <w:multiLevelType w:val="hybridMultilevel"/>
    <w:lvl w:ilvl="0">
      <w:lvlJc w:val="left"/>
      <w:lvlText w:val="%1."/>
      <w:numFmt w:val="decimal"/>
      <w:start w:val="7"/>
    </w:lvl>
    <w:lvl w:ilvl="1">
      <w:lvlJc w:val="left"/>
      <w:lvlText w:val="%2"/>
      <w:numFmt w:val="lowerLetter"/>
      <w:start w:val="1"/>
    </w:lvl>
  </w:abstractNum>
  <w:abstractNum w:abstractNumId="213">
    <w:nsid w:val="56C28E34"/>
    <w:multiLevelType w:val="hybridMultilevel"/>
    <w:lvl w:ilvl="0">
      <w:lvlJc w:val="left"/>
      <w:lvlText w:val="(%1)"/>
      <w:numFmt w:val="lowerRoman"/>
      <w:start w:val="1"/>
    </w:lvl>
  </w:abstractNum>
  <w:abstractNum w:abstractNumId="214">
    <w:nsid w:val="13916F2D"/>
    <w:multiLevelType w:val="hybridMultilevel"/>
    <w:lvl w:ilvl="0">
      <w:lvlJc w:val="left"/>
      <w:lvlText w:val="(%1)"/>
      <w:numFmt w:val="lowerRoman"/>
      <w:start w:val="4"/>
    </w:lvl>
  </w:abstractNum>
  <w:abstractNum w:abstractNumId="215">
    <w:nsid w:val="435D38D"/>
    <w:multiLevelType w:val="hybridMultilevel"/>
    <w:lvl w:ilvl="0">
      <w:lvlJc w:val="left"/>
      <w:lvlText w:val="%1."/>
      <w:numFmt w:val="decimal"/>
      <w:start w:val="8"/>
    </w:lvl>
  </w:abstractNum>
  <w:abstractNum w:abstractNumId="216">
    <w:nsid w:val="822C0EF"/>
    <w:multiLevelType w:val="hybridMultilevel"/>
    <w:lvl w:ilvl="0">
      <w:lvlJc w:val="left"/>
      <w:lvlText w:val="(%1)"/>
      <w:numFmt w:val="lowerLetter"/>
      <w:start w:val="2"/>
    </w:lvl>
  </w:abstractNum>
  <w:abstractNum w:abstractNumId="217">
    <w:nsid w:val="57C5BB4F"/>
    <w:multiLevelType w:val="hybridMultilevel"/>
    <w:lvl w:ilvl="0">
      <w:lvlJc w:val="left"/>
      <w:lvlText w:val="(%1)"/>
      <w:numFmt w:val="lowerLetter"/>
      <w:start w:val="1"/>
    </w:lvl>
  </w:abstractNum>
  <w:abstractNum w:abstractNumId="218">
    <w:nsid w:val="1803D089"/>
    <w:multiLevelType w:val="hybridMultilevel"/>
    <w:lvl w:ilvl="0">
      <w:lvlJc w:val="left"/>
      <w:lvlText w:val="(%1)"/>
      <w:numFmt w:val="lowerRoman"/>
      <w:start w:val="1"/>
    </w:lvl>
  </w:abstractNum>
  <w:abstractNum w:abstractNumId="219">
    <w:nsid w:val="4F3A06D4"/>
    <w:multiLevelType w:val="hybridMultilevel"/>
    <w:lvl w:ilvl="0">
      <w:lvlJc w:val="left"/>
      <w:lvlText w:val="(%1)"/>
      <w:numFmt w:val="lowerRoman"/>
      <w:start w:val="4"/>
    </w:lvl>
  </w:abstractNum>
  <w:abstractNum w:abstractNumId="220">
    <w:nsid w:val="59A377B6"/>
    <w:multiLevelType w:val="hybridMultilevel"/>
    <w:lvl w:ilvl="0">
      <w:lvlJc w:val="left"/>
      <w:lvlText w:val="(%1)"/>
      <w:numFmt w:val="lowerLetter"/>
      <w:start w:val="1"/>
    </w:lvl>
  </w:abstractNum>
  <w:abstractNum w:abstractNumId="221">
    <w:nsid w:val="48AEB063"/>
    <w:multiLevelType w:val="hybridMultilevel"/>
    <w:lvl w:ilvl="0">
      <w:lvlJc w:val="left"/>
      <w:lvlText w:val="&amp;"/>
      <w:numFmt w:val="bullet"/>
      <w:start w:val="1"/>
    </w:lvl>
  </w:abstractNum>
  <w:abstractNum w:abstractNumId="222">
    <w:nsid w:val="24E135"/>
    <w:multiLevelType w:val="hybridMultilevel"/>
    <w:lvl w:ilvl="0">
      <w:lvlJc w:val="left"/>
      <w:lvlText w:val="•"/>
      <w:numFmt w:val="bullet"/>
      <w:start w:val="1"/>
    </w:lvl>
  </w:abstractNum>
  <w:abstractNum w:abstractNumId="223">
    <w:nsid w:val="BB13C1"/>
    <w:multiLevelType w:val="hybridMultilevel"/>
    <w:lvl w:ilvl="0">
      <w:lvlJc w:val="left"/>
      <w:lvlText w:val="•"/>
      <w:numFmt w:val="bullet"/>
      <w:start w:val="1"/>
    </w:lvl>
  </w:abstractNum>
  <w:abstractNum w:abstractNumId="224">
    <w:nsid w:val="271210C7"/>
    <w:multiLevelType w:val="hybridMultilevel"/>
    <w:lvl w:ilvl="0">
      <w:lvlJc w:val="left"/>
      <w:lvlText w:val="•"/>
      <w:numFmt w:val="bullet"/>
      <w:start w:val="1"/>
    </w:lvl>
  </w:abstractNum>
  <w:abstractNum w:abstractNumId="225">
    <w:nsid w:val="217B22E4"/>
    <w:multiLevelType w:val="hybridMultilevel"/>
    <w:lvl w:ilvl="0">
      <w:lvlJc w:val="left"/>
      <w:lvlText w:val="•"/>
      <w:numFmt w:val="bullet"/>
      <w:start w:val="1"/>
    </w:lvl>
  </w:abstractNum>
  <w:abstractNum w:abstractNumId="226">
    <w:nsid w:val="53E31A24"/>
    <w:multiLevelType w:val="hybridMultilevel"/>
    <w:lvl w:ilvl="0">
      <w:lvlJc w:val="left"/>
      <w:lvlText w:val="•"/>
      <w:numFmt w:val="bullet"/>
      <w:start w:val="1"/>
    </w:lvl>
  </w:abstractNum>
  <w:abstractNum w:abstractNumId="227">
    <w:nsid w:val="6DC45E83"/>
    <w:multiLevelType w:val="hybridMultilevel"/>
    <w:lvl w:ilvl="0">
      <w:lvlJc w:val="left"/>
      <w:lvlText w:val="•"/>
      <w:numFmt w:val="bullet"/>
      <w:start w:val="1"/>
    </w:lvl>
  </w:abstractNum>
  <w:abstractNum w:abstractNumId="228">
    <w:nsid w:val="17304A67"/>
    <w:multiLevelType w:val="hybridMultilevel"/>
    <w:lvl w:ilvl="0">
      <w:lvlJc w:val="left"/>
      <w:lvlText w:val="•"/>
      <w:numFmt w:val="bullet"/>
      <w:start w:val="1"/>
    </w:lvl>
  </w:abstractNum>
  <w:abstractNum w:abstractNumId="229">
    <w:nsid w:val="2BB180D8"/>
    <w:multiLevelType w:val="hybridMultilevel"/>
    <w:lvl w:ilvl="0">
      <w:lvlJc w:val="left"/>
      <w:lvlText w:val="•"/>
      <w:numFmt w:val="bullet"/>
      <w:start w:val="1"/>
    </w:lvl>
  </w:abstractNum>
  <w:abstractNum w:abstractNumId="230">
    <w:nsid w:val="556B69ED"/>
    <w:multiLevelType w:val="hybridMultilevel"/>
    <w:lvl w:ilvl="0">
      <w:lvlJc w:val="left"/>
      <w:lvlText w:val="•"/>
      <w:numFmt w:val="bullet"/>
      <w:start w:val="1"/>
    </w:lvl>
  </w:abstractNum>
  <w:abstractNum w:abstractNumId="231">
    <w:nsid w:val="70836196"/>
    <w:multiLevelType w:val="hybridMultilevel"/>
    <w:lvl w:ilvl="0">
      <w:lvlJc w:val="left"/>
      <w:lvlText w:val="•"/>
      <w:numFmt w:val="bullet"/>
      <w:start w:val="1"/>
    </w:lvl>
  </w:abstractNum>
  <w:abstractNum w:abstractNumId="232">
    <w:nsid w:val="539F7F12"/>
    <w:multiLevelType w:val="hybridMultilevel"/>
    <w:lvl w:ilvl="0">
      <w:lvlJc w:val="left"/>
      <w:lvlText w:val="•"/>
      <w:numFmt w:val="bullet"/>
      <w:start w:val="1"/>
    </w:lvl>
  </w:abstractNum>
  <w:abstractNum w:abstractNumId="233">
    <w:nsid w:val="2817E7EC"/>
    <w:multiLevelType w:val="hybridMultilevel"/>
    <w:lvl w:ilvl="0">
      <w:lvlJc w:val="left"/>
      <w:lvlText w:val="•"/>
      <w:numFmt w:val="bullet"/>
      <w:start w:val="1"/>
    </w:lvl>
  </w:abstractNum>
  <w:abstractNum w:abstractNumId="234">
    <w:nsid w:val="71482545"/>
    <w:multiLevelType w:val="hybridMultilevel"/>
    <w:lvl w:ilvl="0">
      <w:lvlJc w:val="left"/>
      <w:lvlText w:val="•"/>
      <w:numFmt w:val="bullet"/>
      <w:start w:val="1"/>
    </w:lvl>
  </w:abstractNum>
  <w:abstractNum w:abstractNumId="235">
    <w:nsid w:val="17D78639"/>
    <w:multiLevelType w:val="hybridMultilevel"/>
    <w:lvl w:ilvl="0">
      <w:lvlJc w:val="left"/>
      <w:lvlText w:val="•"/>
      <w:numFmt w:val="bullet"/>
      <w:start w:val="1"/>
    </w:lvl>
  </w:abstractNum>
  <w:abstractNum w:abstractNumId="236">
    <w:nsid w:val="141D2302"/>
    <w:multiLevelType w:val="hybridMultilevel"/>
    <w:lvl w:ilvl="0">
      <w:lvlJc w:val="left"/>
      <w:lvlText w:val="•"/>
      <w:numFmt w:val="bullet"/>
      <w:start w:val="1"/>
    </w:lvl>
  </w:abstractNum>
  <w:abstractNum w:abstractNumId="237">
    <w:nsid w:val="407168D8"/>
    <w:multiLevelType w:val="hybridMultilevel"/>
    <w:lvl w:ilvl="0">
      <w:lvlJc w:val="left"/>
      <w:lvlText w:val="•"/>
      <w:numFmt w:val="bullet"/>
      <w:start w:val="1"/>
    </w:lvl>
  </w:abstractNum>
  <w:abstractNum w:abstractNumId="238">
    <w:nsid w:val="6A1B45E5"/>
    <w:multiLevelType w:val="hybridMultilevel"/>
    <w:lvl w:ilvl="0">
      <w:lvlJc w:val="left"/>
      <w:lvlText w:val="•"/>
      <w:numFmt w:val="bullet"/>
      <w:start w:val="1"/>
    </w:lvl>
  </w:abstractNum>
  <w:abstractNum w:abstractNumId="239">
    <w:nsid w:val="567BD50A"/>
    <w:multiLevelType w:val="hybridMultilevel"/>
    <w:lvl w:ilvl="0">
      <w:lvlJc w:val="left"/>
      <w:lvlText w:val="•"/>
      <w:numFmt w:val="bullet"/>
      <w:start w:val="1"/>
    </w:lvl>
  </w:abstractNum>
  <w:abstractNum w:abstractNumId="240">
    <w:nsid w:val="73BBD7F8"/>
    <w:multiLevelType w:val="hybridMultilevel"/>
    <w:lvl w:ilvl="0">
      <w:lvlJc w:val="left"/>
      <w:lvlText w:val="•"/>
      <w:numFmt w:val="bullet"/>
      <w:start w:val="1"/>
    </w:lvl>
  </w:abstractNum>
  <w:abstractNum w:abstractNumId="241">
    <w:nsid w:val="1876589D"/>
    <w:multiLevelType w:val="hybridMultilevel"/>
    <w:lvl w:ilvl="0">
      <w:lvlJc w:val="left"/>
      <w:lvlText w:val="•"/>
      <w:numFmt w:val="bullet"/>
      <w:start w:val="1"/>
    </w:lvl>
  </w:abstractNum>
  <w:abstractNum w:abstractNumId="242">
    <w:nsid w:val="327FAC77"/>
    <w:multiLevelType w:val="hybridMultilevel"/>
    <w:lvl w:ilvl="0">
      <w:lvlJc w:val="left"/>
      <w:lvlText w:val="•"/>
      <w:numFmt w:val="bullet"/>
      <w:start w:val="1"/>
    </w:lvl>
  </w:abstractNum>
  <w:abstractNum w:abstractNumId="243">
    <w:nsid w:val="5A606509"/>
    <w:multiLevelType w:val="hybridMultilevel"/>
    <w:lvl w:ilvl="0">
      <w:lvlJc w:val="left"/>
      <w:lvlText w:val="•"/>
      <w:numFmt w:val="bullet"/>
      <w:start w:val="1"/>
    </w:lvl>
  </w:abstractNum>
  <w:abstractNum w:abstractNumId="244">
    <w:nsid w:val="6F38E6D1"/>
    <w:multiLevelType w:val="hybridMultilevel"/>
    <w:lvl w:ilvl="0">
      <w:lvlJc w:val="left"/>
      <w:lvlText w:val="•"/>
      <w:numFmt w:val="bullet"/>
      <w:start w:val="1"/>
    </w:lvl>
  </w:abstractNum>
  <w:abstractNum w:abstractNumId="245">
    <w:nsid w:val="46111BA5"/>
    <w:multiLevelType w:val="hybridMultilevel"/>
    <w:lvl w:ilvl="0">
      <w:lvlJc w:val="left"/>
      <w:lvlText w:val="•"/>
      <w:numFmt w:val="bullet"/>
      <w:start w:val="1"/>
    </w:lvl>
  </w:abstractNum>
  <w:abstractNum w:abstractNumId="246">
    <w:nsid w:val="5E963896"/>
    <w:multiLevelType w:val="hybridMultilevel"/>
    <w:lvl w:ilvl="0">
      <w:lvlJc w:val="left"/>
      <w:lvlText w:val="•"/>
      <w:numFmt w:val="bullet"/>
      <w:start w:val="1"/>
    </w:lvl>
  </w:abstractNum>
  <w:abstractNum w:abstractNumId="247">
    <w:nsid w:val="775BA7C1"/>
    <w:multiLevelType w:val="hybridMultilevel"/>
    <w:lvl w:ilvl="0">
      <w:lvlJc w:val="left"/>
      <w:lvlText w:val="•"/>
      <w:numFmt w:val="bullet"/>
      <w:start w:val="1"/>
    </w:lvl>
  </w:abstractNum>
  <w:abstractNum w:abstractNumId="248">
    <w:nsid w:val="1DD6D6F4"/>
    <w:multiLevelType w:val="hybridMultilevel"/>
    <w:lvl w:ilvl="0">
      <w:lvlJc w:val="left"/>
      <w:lvlText w:val="•"/>
      <w:numFmt w:val="bullet"/>
      <w:start w:val="1"/>
    </w:lvl>
  </w:abstractNum>
  <w:abstractNum w:abstractNumId="249">
    <w:nsid w:val="769A091F"/>
    <w:multiLevelType w:val="hybridMultilevel"/>
    <w:lvl w:ilvl="0">
      <w:lvlJc w:val="left"/>
      <w:lvlText w:val="•"/>
      <w:numFmt w:val="bullet"/>
      <w:start w:val="1"/>
    </w:lvl>
  </w:abstractNum>
  <w:abstractNum w:abstractNumId="250">
    <w:nsid w:val="4695AE95"/>
    <w:multiLevelType w:val="hybridMultilevel"/>
    <w:lvl w:ilvl="0">
      <w:lvlJc w:val="left"/>
      <w:lvlText w:val="•"/>
      <w:numFmt w:val="bullet"/>
      <w:start w:val="1"/>
    </w:lvl>
  </w:abstractNum>
  <w:abstractNum w:abstractNumId="251">
    <w:nsid w:val="777A4EAA"/>
    <w:multiLevelType w:val="hybridMultilevel"/>
    <w:lvl w:ilvl="0">
      <w:lvlJc w:val="left"/>
      <w:lvlText w:val="•"/>
      <w:numFmt w:val="bullet"/>
      <w:start w:val="1"/>
    </w:lvl>
  </w:abstractNum>
  <w:abstractNum w:abstractNumId="252">
    <w:nsid w:val="3F48B982"/>
    <w:multiLevelType w:val="hybridMultilevel"/>
    <w:lvl w:ilvl="0">
      <w:lvlJc w:val="left"/>
      <w:lvlText w:val="•"/>
      <w:numFmt w:val="bullet"/>
      <w:start w:val="1"/>
    </w:lvl>
  </w:abstractNum>
  <w:abstractNum w:abstractNumId="253">
    <w:nsid w:val="46BA8FCA"/>
    <w:multiLevelType w:val="hybridMultilevel"/>
    <w:lvl w:ilvl="0">
      <w:lvlJc w:val="left"/>
      <w:lvlText w:val="•"/>
      <w:numFmt w:val="bullet"/>
      <w:start w:val="1"/>
    </w:lvl>
  </w:abstractNum>
  <w:abstractNum w:abstractNumId="254">
    <w:nsid w:val="7835626C"/>
    <w:multiLevelType w:val="hybridMultilevel"/>
    <w:lvl w:ilvl="0">
      <w:lvlJc w:val="left"/>
      <w:lvlText w:val="•"/>
      <w:numFmt w:val="bullet"/>
      <w:start w:val="1"/>
    </w:lvl>
  </w:abstractNum>
  <w:abstractNum w:abstractNumId="255">
    <w:nsid w:val="665ACA49"/>
    <w:multiLevelType w:val="hybridMultilevel"/>
    <w:lvl w:ilvl="0">
      <w:lvlJc w:val="left"/>
      <w:lvlText w:val="•"/>
      <w:numFmt w:val="bullet"/>
      <w:start w:val="1"/>
    </w:lvl>
  </w:abstractNum>
  <w:abstractNum w:abstractNumId="256">
    <w:nsid w:val="6835B2AE"/>
    <w:multiLevelType w:val="hybridMultilevel"/>
    <w:lvl w:ilvl="0">
      <w:lvlJc w:val="left"/>
      <w:lvlText w:val="•"/>
      <w:numFmt w:val="bullet"/>
      <w:start w:val="1"/>
    </w:lvl>
  </w:abstractNum>
  <w:abstractNum w:abstractNumId="257">
    <w:nsid w:val="4C187C90"/>
    <w:multiLevelType w:val="hybridMultilevel"/>
    <w:lvl w:ilvl="0">
      <w:lvlJc w:val="left"/>
      <w:lvlText w:val="•"/>
      <w:numFmt w:val="bullet"/>
      <w:start w:val="1"/>
    </w:lvl>
  </w:abstractNum>
  <w:abstractNum w:abstractNumId="258">
    <w:nsid w:val="541F28CD"/>
    <w:multiLevelType w:val="hybridMultilevel"/>
    <w:lvl w:ilvl="0">
      <w:lvlJc w:val="left"/>
      <w:lvlText w:val="•"/>
      <w:numFmt w:val="bullet"/>
      <w:start w:val="1"/>
    </w:lvl>
  </w:abstractNum>
  <w:abstractNum w:abstractNumId="259">
    <w:nsid w:val="7F65FD16"/>
    <w:multiLevelType w:val="hybridMultilevel"/>
    <w:lvl w:ilvl="0">
      <w:lvlJc w:val="left"/>
      <w:lvlText w:val="•"/>
      <w:numFmt w:val="bullet"/>
      <w:start w:val="1"/>
    </w:lvl>
  </w:abstractNum>
  <w:abstractNum w:abstractNumId="260">
    <w:nsid w:val="77C9FD68"/>
    <w:multiLevelType w:val="hybridMultilevel"/>
    <w:lvl w:ilvl="0">
      <w:lvlJc w:val="left"/>
      <w:lvlText w:val="•"/>
      <w:numFmt w:val="bullet"/>
      <w:start w:val="1"/>
    </w:lvl>
  </w:abstractNum>
  <w:abstractNum w:abstractNumId="261">
    <w:nsid w:val="298A92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2025-12-18T07:34:17Z</dcterms:created>
  <dcterms:modified xsi:type="dcterms:W3CDTF">2025-12-18T07:34:17Z</dcterms:modified>
</cp:coreProperties>
</file>