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center"/>
        <w:rPr/>
      </w:pPr>
      <w:bookmarkStart w:id="0" w:name="atha-20240331.htm"/>
      <w:bookmarkStart w:id="1" w:name="ksatha20240331"/>
      <w:bookmarkEnd w:id="0"/>
      <w:bookmarkEnd w:id="1"/>
      <w:r>
        <w:rPr/>
        <w:t> </w:t>
      </w:r>
    </w:p>
    <w:p>
      <w:pPr>
        <w:pStyle w:val="TextBody"/>
        <w:bidi w:val="0"/>
        <w:jc w:val="center"/>
        <w:rPr>
          <w:rFonts w:ascii="Arial" w:hAnsi="Arial"/>
          <w:b/>
          <w:color w:val="000000"/>
          <w:sz w:val="32"/>
        </w:rPr>
      </w:pPr>
      <w:r>
        <w:rPr>
          <w:rFonts w:ascii="Arial" w:hAnsi="Arial"/>
          <w:b/>
          <w:color w:val="000000"/>
          <w:sz w:val="32"/>
        </w:rPr>
        <w:t>UNITED STATES</w:t>
      </w:r>
    </w:p>
    <w:p>
      <w:pPr>
        <w:pStyle w:val="TextBody"/>
        <w:bidi w:val="0"/>
        <w:jc w:val="center"/>
        <w:rPr>
          <w:rFonts w:ascii="Arial" w:hAnsi="Arial"/>
          <w:b/>
          <w:color w:val="000000"/>
          <w:sz w:val="32"/>
        </w:rPr>
      </w:pPr>
      <w:r>
        <w:rPr>
          <w:rFonts w:ascii="Arial" w:hAnsi="Arial"/>
          <w:b/>
          <w:color w:val="000000"/>
          <w:sz w:val="32"/>
        </w:rPr>
        <w:t>SECURITIES AND EXCHANGE COMMISSION</w:t>
      </w:r>
    </w:p>
    <w:p>
      <w:pPr>
        <w:pStyle w:val="TextBody"/>
        <w:bidi w:val="0"/>
        <w:jc w:val="center"/>
        <w:rPr>
          <w:rFonts w:ascii="Arial" w:hAnsi="Arial"/>
          <w:b/>
          <w:color w:val="000000"/>
          <w:sz w:val="20"/>
        </w:rPr>
      </w:pPr>
      <w:r>
        <w:rPr>
          <w:rFonts w:ascii="Arial" w:hAnsi="Arial"/>
          <w:b/>
          <w:color w:val="000000"/>
          <w:sz w:val="20"/>
        </w:rPr>
        <w:t>Washington, DC 20549</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32"/>
        </w:rPr>
        <w:t>FORM 10-Q</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2"/>
              </w:rPr>
            </w:pPr>
            <w:r>
              <w:rPr>
                <w:rFonts w:ascii="Arial" w:hAnsi="Arial"/>
                <w:b/>
                <w:color w:val="000000"/>
                <w:sz w:val="22"/>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For the quarterly period ended</w:t>
      </w:r>
      <w:r>
        <w:rPr>
          <w:rFonts w:ascii="Times New Roman" w:hAnsi="Times New Roman"/>
          <w:color w:val="000000"/>
          <w:sz w:val="20"/>
        </w:rPr>
        <w:t xml:space="preserve"> </w:t>
      </w:r>
      <w:r>
        <w:rPr>
          <w:rFonts w:ascii="Arial" w:hAnsi="Arial"/>
          <w:b/>
          <w:color w:val="000000"/>
          <w:sz w:val="20"/>
        </w:rPr>
        <w:t>March 31, 2024</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2"/>
              </w:rPr>
            </w:pPr>
            <w:r>
              <w:rPr>
                <w:rFonts w:ascii="Arial" w:hAnsi="Arial"/>
                <w:b/>
                <w:color w:val="000000"/>
                <w:sz w:val="22"/>
              </w:rPr>
              <w:t>TRANSITION REPORT PURSUANT TO SECTION 13 OR 15(d) OF THE SECURITIES EXCHANGE ACT OF 1934</w:t>
            </w:r>
          </w:p>
        </w:tc>
      </w:tr>
    </w:tbl>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For the transition period from ____ to ____</w:t>
      </w:r>
    </w:p>
    <w:p>
      <w:pPr>
        <w:pStyle w:val="TextBody"/>
        <w:bidi w:val="0"/>
        <w:spacing w:before="60" w:after="283"/>
        <w:jc w:val="center"/>
        <w:rPr>
          <w:rFonts w:ascii="Times New Roman" w:hAnsi="Times New Roman"/>
          <w:sz w:val="20"/>
        </w:rPr>
      </w:pPr>
      <w:r>
        <w:rPr>
          <w:rFonts w:ascii="Arial" w:hAnsi="Arial"/>
          <w:b/>
          <w:color w:val="000000"/>
          <w:sz w:val="20"/>
        </w:rPr>
        <w:t>Commission File Number: 001-39503</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sz w:val="20"/>
        </w:rPr>
      </w:pPr>
      <w:r>
        <w:rPr>
          <w:rFonts w:ascii="Arial" w:hAnsi="Arial"/>
          <w:b/>
          <w:color w:val="000000"/>
          <w:sz w:val="40"/>
        </w:rPr>
        <w:t>Athira Pharma,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097" w:type="dxa"/>
        <w:jc w:val="left"/>
        <w:tblInd w:w="0" w:type="dxa"/>
        <w:tblLayout w:type="fixed"/>
        <w:tblCellMar>
          <w:top w:w="28" w:type="dxa"/>
          <w:left w:w="28" w:type="dxa"/>
          <w:bottom w:w="28" w:type="dxa"/>
          <w:right w:w="28" w:type="dxa"/>
        </w:tblCellMar>
      </w:tblPr>
      <w:tblGrid>
        <w:gridCol w:w="2521"/>
        <w:gridCol w:w="1576"/>
      </w:tblGrid>
      <w:tr>
        <w:trPr/>
        <w:tc>
          <w:tcPr>
            <w:tcW w:w="252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252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Delaware</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45-3368487</w:t>
            </w:r>
          </w:p>
        </w:tc>
      </w:tr>
      <w:tr>
        <w:trPr/>
        <w:tc>
          <w:tcPr>
            <w:tcW w:w="252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(State or other jurisdiction of</w:t>
              <w:br/>
              <w:t>incorporation or organization)</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(I.R.S. Employer</w:t>
              <w:br/>
              <w:t>Identification No.)</w:t>
            </w:r>
          </w:p>
        </w:tc>
      </w:tr>
    </w:tbl>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18706 North Creek Parkway, Suite 104</w:t>
      </w:r>
    </w:p>
    <w:p>
      <w:pPr>
        <w:pStyle w:val="TextBody"/>
        <w:bidi w:val="0"/>
        <w:jc w:val="center"/>
        <w:rPr>
          <w:rFonts w:ascii="Times New Roman" w:hAnsi="Times New Roman"/>
          <w:sz w:val="20"/>
        </w:rPr>
      </w:pPr>
      <w:r>
        <w:rPr>
          <w:rFonts w:ascii="Arial" w:hAnsi="Arial"/>
          <w:b/>
          <w:color w:val="000000"/>
          <w:sz w:val="20"/>
        </w:rPr>
        <w:t>Bothell, Washington</w:t>
      </w:r>
      <w:r>
        <w:rPr>
          <w:rFonts w:ascii="Times New Roman" w:hAnsi="Times New Roman"/>
          <w:color w:val="000000"/>
          <w:sz w:val="20"/>
        </w:rPr>
        <w:t xml:space="preserve"> </w:t>
      </w:r>
      <w:r>
        <w:rPr>
          <w:rFonts w:ascii="Arial" w:hAnsi="Arial"/>
          <w:b/>
          <w:color w:val="000000"/>
          <w:sz w:val="20"/>
        </w:rPr>
        <w:t>98011</w:t>
      </w:r>
    </w:p>
    <w:p>
      <w:pPr>
        <w:pStyle w:val="TextBody"/>
        <w:bidi w:val="0"/>
        <w:jc w:val="center"/>
        <w:rPr>
          <w:rFonts w:ascii="Arial" w:hAnsi="Arial"/>
          <w:b/>
          <w:color w:val="000000"/>
          <w:sz w:val="16"/>
        </w:rPr>
      </w:pPr>
      <w:r>
        <w:rPr>
          <w:rFonts w:ascii="Arial" w:hAnsi="Arial"/>
          <w:b/>
          <w:color w:val="000000"/>
          <w:sz w:val="16"/>
        </w:rPr>
        <w:t>(Address of principal executive offices)</w:t>
      </w:r>
    </w:p>
    <w:p>
      <w:pPr>
        <w:pStyle w:val="TextBody"/>
        <w:bidi w:val="0"/>
        <w:jc w:val="center"/>
        <w:rPr>
          <w:rFonts w:ascii="Times New Roman" w:hAnsi="Times New Roman"/>
          <w:sz w:val="20"/>
        </w:rPr>
      </w:pPr>
      <w:r>
        <w:rPr>
          <w:rFonts w:ascii="Arial" w:hAnsi="Arial"/>
          <w:b/>
          <w:color w:val="000000"/>
          <w:sz w:val="20"/>
        </w:rPr>
        <w:t>(425) 620-8501</w:t>
      </w:r>
      <w:r>
        <w:rPr>
          <w:rFonts w:ascii="Times New Roman" w:hAnsi="Times New Roman"/>
          <w:color w:val="000000"/>
          <w:sz w:val="20"/>
        </w:rPr>
        <w:t xml:space="preserve"> </w:t>
      </w:r>
    </w:p>
    <w:p>
      <w:pPr>
        <w:pStyle w:val="TextBody"/>
        <w:bidi w:val="0"/>
        <w:jc w:val="center"/>
        <w:rPr>
          <w:rFonts w:ascii="Arial" w:hAnsi="Arial"/>
          <w:b/>
          <w:color w:val="000000"/>
          <w:sz w:val="16"/>
        </w:rPr>
      </w:pPr>
      <w:r>
        <w:rPr>
          <w:rFonts w:ascii="Arial" w:hAnsi="Arial"/>
          <w:b/>
          <w:color w:val="000000"/>
          <w:sz w:val="16"/>
        </w:rPr>
        <w:t>(Registrant’s telephone number, including area code)</w:t>
      </w:r>
    </w:p>
    <w:p>
      <w:pPr>
        <w:pStyle w:val="TextBody"/>
        <w:pBdr>
          <w:bottom w:val="single" w:sz="4" w:space="1" w:color="000000"/>
        </w:pBdr>
        <w:bidi w:val="0"/>
        <w:jc w:val="center"/>
        <w:rPr/>
      </w:pPr>
      <w:r>
        <w:rPr/>
        <w:t> </w:t>
      </w:r>
    </w:p>
    <w:p>
      <w:pPr>
        <w:pStyle w:val="TextBody"/>
        <w:bidi w:val="0"/>
        <w:spacing w:before="120" w:after="283"/>
        <w:jc w:val="center"/>
        <w:rPr>
          <w:rFonts w:ascii="Arial" w:hAnsi="Arial"/>
          <w:color w:val="000000"/>
          <w:sz w:val="20"/>
        </w:rPr>
      </w:pPr>
      <w:r>
        <w:rPr>
          <w:rFonts w:ascii="Arial" w:hAnsi="Arial"/>
          <w:color w:val="000000"/>
          <w:sz w:val="20"/>
        </w:rPr>
        <w:t>Securities registered pursuant to Section 12(b) of the Act:</w:t>
      </w:r>
    </w:p>
    <w:p>
      <w:pPr>
        <w:pStyle w:val="TextBody"/>
        <w:bidi w:val="0"/>
        <w:jc w:val="left"/>
        <w:rPr/>
      </w:pPr>
      <w:r>
        <w:rPr/>
        <w:t> </w:t>
      </w:r>
    </w:p>
    <w:tbl>
      <w:tblPr>
        <w:tblW w:w="9243" w:type="dxa"/>
        <w:jc w:val="left"/>
        <w:tblInd w:w="0" w:type="dxa"/>
        <w:tblLayout w:type="fixed"/>
        <w:tblCellMar>
          <w:top w:w="28" w:type="dxa"/>
          <w:left w:w="28" w:type="dxa"/>
          <w:bottom w:w="28" w:type="dxa"/>
          <w:right w:w="28" w:type="dxa"/>
        </w:tblCellMar>
      </w:tblPr>
      <w:tblGrid>
        <w:gridCol w:w="4006"/>
        <w:gridCol w:w="1576"/>
        <w:gridCol w:w="3661"/>
      </w:tblGrid>
      <w:tr>
        <w:trPr/>
        <w:tc>
          <w:tcPr>
            <w:tcW w:w="400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400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Trading Symbol(s)</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registered</w:t>
            </w:r>
          </w:p>
        </w:tc>
      </w:tr>
      <w:tr>
        <w:trPr/>
        <w:tc>
          <w:tcPr>
            <w:tcW w:w="400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Common Stock, $0.0001 par value per share</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ATHA</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The Nasdaq Stock Market LLC</w:t>
            </w:r>
          </w:p>
        </w:tc>
      </w:tr>
      <w:tr>
        <w:trPr/>
        <w:tc>
          <w:tcPr>
            <w:tcW w:w="400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(The Nasdaq Global Select Market)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20"/>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Arial" w:hAnsi="Arial"/>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20"/>
        </w:rPr>
        <w:t xml:space="preserve">No </w:t>
      </w:r>
      <w:r>
        <w:rPr>
          <w:rFonts w:ascii="Times New Roman" w:hAnsi="Times New Roman"/>
          <w:color w:val="000000"/>
          <w:sz w:val="20"/>
        </w:rPr>
        <w:t>☐</w:t>
      </w:r>
    </w:p>
    <w:p>
      <w:pPr>
        <w:pStyle w:val="TextBody"/>
        <w:bidi w:val="0"/>
        <w:spacing w:before="120" w:after="283"/>
        <w:jc w:val="left"/>
        <w:rPr>
          <w:rFonts w:ascii="Arial" w:hAnsi="Arial"/>
          <w:color w:val="000000"/>
          <w:sz w:val="20"/>
        </w:rPr>
      </w:pPr>
      <w:r>
        <w:rPr>
          <w:rFonts w:ascii="Arial" w:hAnsi="Arial"/>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539" w:type="dxa"/>
        <w:jc w:val="left"/>
        <w:tblInd w:w="0" w:type="dxa"/>
        <w:tblLayout w:type="fixed"/>
        <w:tblCellMar>
          <w:top w:w="28" w:type="dxa"/>
          <w:left w:w="28" w:type="dxa"/>
          <w:bottom w:w="28" w:type="dxa"/>
          <w:right w:w="28" w:type="dxa"/>
        </w:tblCellMar>
      </w:tblPr>
      <w:tblGrid>
        <w:gridCol w:w="2431"/>
        <w:gridCol w:w="316"/>
        <w:gridCol w:w="2431"/>
        <w:gridCol w:w="361"/>
      </w:tblGrid>
      <w:tr>
        <w:trPr/>
        <w:tc>
          <w:tcPr>
            <w:tcW w:w="24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Arial" w:hAnsi="Arial"/>
          <w:color w:val="000000"/>
          <w:sz w:val="20"/>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Arial" w:hAnsi="Arial"/>
          <w:color w:val="000000"/>
          <w:sz w:val="20"/>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Arial" w:hAnsi="Arial"/>
          <w:color w:val="000000"/>
          <w:sz w:val="18"/>
        </w:rPr>
        <w:t>As of May 10, 2024, there were 38,328,652</w:t>
      </w:r>
      <w:r>
        <w:rPr>
          <w:rFonts w:ascii="Times New Roman" w:hAnsi="Times New Roman"/>
          <w:color w:val="000000"/>
          <w:sz w:val="20"/>
        </w:rPr>
        <w:t xml:space="preserve"> </w:t>
      </w:r>
      <w:r>
        <w:rPr>
          <w:rFonts w:ascii="Arial" w:hAnsi="Arial"/>
          <w:color w:val="000000"/>
          <w:sz w:val="18"/>
        </w:rPr>
        <w:t>shares of registrant’s common stock, $0.0001 par value per share, outstanding.</w:t>
      </w:r>
    </w:p>
    <w:p>
      <w:pPr>
        <w:pStyle w:val="TextBody"/>
        <w:pBdr>
          <w:bottom w:val="doub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Table of Contents</w:t>
      </w:r>
    </w:p>
    <w:p>
      <w:pPr>
        <w:pStyle w:val="TextBody"/>
        <w:bidi w:val="0"/>
        <w:jc w:val="left"/>
        <w:rPr/>
      </w:pPr>
      <w:r>
        <w:rPr/>
        <w:t> </w:t>
      </w:r>
    </w:p>
    <w:tbl>
      <w:tblPr>
        <w:tblW w:w="9273" w:type="dxa"/>
        <w:jc w:val="left"/>
        <w:tblInd w:w="0" w:type="dxa"/>
        <w:tblLayout w:type="fixed"/>
        <w:tblCellMar>
          <w:top w:w="28" w:type="dxa"/>
          <w:left w:w="28" w:type="dxa"/>
          <w:bottom w:w="28" w:type="dxa"/>
          <w:right w:w="28" w:type="dxa"/>
        </w:tblCellMar>
      </w:tblPr>
      <w:tblGrid>
        <w:gridCol w:w="886"/>
        <w:gridCol w:w="7846"/>
        <w:gridCol w:w="541"/>
      </w:tblGrid>
      <w:tr>
        <w:trPr/>
        <w:tc>
          <w:tcPr>
            <w:tcW w:w="886"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Page</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Arial" w:hAnsi="Arial"/>
                  <w:color w:val="0000FF"/>
                  <w:sz w:val="20"/>
                  <w:u w:val="single"/>
                </w:rPr>
                <w:t>FINANCIAL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_unaudited">
              <w:r>
                <w:rPr>
                  <w:rStyle w:val="InternetLink"/>
                  <w:rFonts w:ascii="Arial" w:hAnsi="Arial"/>
                  <w:color w:val="0000FF"/>
                  <w:sz w:val="20"/>
                  <w:u w:val="single"/>
                </w:rPr>
                <w:t>Financial Statements (Unaudited)</w:t>
              </w:r>
            </w:hyperlink>
          </w:p>
        </w:tc>
        <w:tc>
          <w:tcPr>
            <w:tcW w:w="54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5</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Arial" w:hAnsi="Arial"/>
                  <w:color w:val="0000FF"/>
                  <w:sz w:val="20"/>
                  <w:u w:val="single"/>
                </w:rPr>
                <w:t>Condensed Consolidated Balance Sheets</w:t>
              </w:r>
            </w:hyperlink>
          </w:p>
        </w:tc>
        <w:tc>
          <w:tcPr>
            <w:tcW w:w="54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5</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Arial" w:hAnsi="Arial"/>
                  <w:color w:val="0000FF"/>
                  <w:sz w:val="20"/>
                  <w:u w:val="single"/>
                </w:rPr>
                <w:t>Condensed Consolidated Statements of Operations and Comprehensive Loss</w:t>
              </w:r>
            </w:hyperlink>
          </w:p>
        </w:tc>
        <w:tc>
          <w:tcPr>
            <w:tcW w:w="54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6</w:t>
            </w:r>
          </w:p>
        </w:tc>
      </w:tr>
      <w:tr>
        <w:trPr/>
        <w:tc>
          <w:tcPr>
            <w:tcW w:w="886" w:type="dxa"/>
            <w:tcBorders/>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equity">
              <w:r>
                <w:rPr>
                  <w:rStyle w:val="InternetLink"/>
                  <w:rFonts w:ascii="Arial" w:hAnsi="Arial"/>
                  <w:color w:val="0000FF"/>
                  <w:sz w:val="20"/>
                  <w:u w:val="single"/>
                </w:rPr>
                <w:t>Condensed Consolidated Statements of Stockholders’ Equity</w:t>
              </w:r>
            </w:hyperlink>
          </w:p>
        </w:tc>
        <w:tc>
          <w:tcPr>
            <w:tcW w:w="54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7</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Arial" w:hAnsi="Arial"/>
                  <w:color w:val="0000FF"/>
                  <w:sz w:val="20"/>
                  <w:u w:val="single"/>
                </w:rPr>
                <w:t>Condensed Consolidated Statements of Cash Flows</w:t>
              </w:r>
            </w:hyperlink>
          </w:p>
        </w:tc>
        <w:tc>
          <w:tcPr>
            <w:tcW w:w="54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8</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notes_to_unaudited_condensed_consolidate">
              <w:r>
                <w:rPr>
                  <w:rStyle w:val="InternetLink"/>
                  <w:rFonts w:ascii="Arial" w:hAnsi="Arial"/>
                  <w:color w:val="0000FF"/>
                  <w:sz w:val="20"/>
                  <w:u w:val="single"/>
                </w:rPr>
                <w:t>Notes to Unaudited Condensed Consolidated Financial Statements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Arial" w:hAnsi="Arial"/>
                  <w:color w:val="0000FF"/>
                  <w:sz w:val="20"/>
                  <w:u w:val="single"/>
                </w:rPr>
                <w:t>Management’s Discussion and Analysis of Financial Condition and Results of Operations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
              <w:r>
                <w:rPr>
                  <w:rStyle w:val="InternetLink"/>
                  <w:rFonts w:ascii="Arial" w:hAnsi="Arial"/>
                  <w:color w:val="0000FF"/>
                  <w:sz w:val="20"/>
                  <w:u w:val="single"/>
                </w:rPr>
                <w:t>Quantitative and Qualitative Disclosures About Market Risk</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Arial" w:hAnsi="Arial"/>
                  <w:color w:val="0000FF"/>
                  <w:sz w:val="20"/>
                  <w:u w:val="single"/>
                </w:rPr>
                <w:t>Controls and Procedures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II.</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Arial" w:hAnsi="Arial"/>
                  <w:color w:val="0000FF"/>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FF"/>
                  <w:sz w:val="20"/>
                  <w:u w:val="single"/>
                </w:rPr>
                <w:t>Legal Proceedings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1A.</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FF"/>
                  <w:sz w:val="20"/>
                  <w:u w:val="single"/>
                </w:rPr>
                <w:t>Risk Factors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Arial" w:hAnsi="Arial"/>
                  <w:color w:val="0000FF"/>
                  <w:sz w:val="20"/>
                  <w:u w:val="single"/>
                </w:rPr>
                <w:t>Unregistered Sales of Equity Securities and Use of Proceeds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Arial" w:hAnsi="Arial"/>
                  <w:color w:val="0000FF"/>
                  <w:sz w:val="20"/>
                  <w:u w:val="single"/>
                </w:rPr>
                <w:t>Defaults Upon Senior Securities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Arial" w:hAnsi="Arial"/>
                  <w:color w:val="0000FF"/>
                  <w:sz w:val="20"/>
                  <w:u w:val="single"/>
                </w:rPr>
                <w:t>Mine Safety Disclosures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5.</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Arial" w:hAnsi="Arial"/>
                  <w:color w:val="0000FF"/>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6.</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000FF"/>
                  <w:sz w:val="20"/>
                  <w:u w:val="single"/>
                </w:rPr>
                <w:t>Exhibits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w:t>
            </w:r>
          </w:p>
        </w:tc>
      </w:tr>
      <w:tr>
        <w:trPr/>
        <w:tc>
          <w:tcPr>
            <w:tcW w:w="8732"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u w:val="single"/>
                </w:rPr>
                <w:t>Signatures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w:t>
            </w:r>
          </w:p>
        </w:tc>
      </w:tr>
    </w:tbl>
    <w:p>
      <w:pPr>
        <w:pStyle w:val="TextBody"/>
        <w:bidi w:val="0"/>
        <w:jc w:val="left"/>
        <w:rPr/>
      </w:pPr>
      <w:r>
        <w:rPr/>
        <w:t> </w:t>
      </w:r>
    </w:p>
    <w:p>
      <w:pPr>
        <w:pStyle w:val="TextBody"/>
        <w:bidi w:val="0"/>
        <w:jc w:val="both"/>
        <w:rPr>
          <w:rFonts w:ascii="Arial" w:hAnsi="Arial"/>
          <w:i/>
          <w:color w:val="000000"/>
          <w:sz w:val="20"/>
        </w:rPr>
      </w:pPr>
      <w:r>
        <w:rPr>
          <w:rFonts w:ascii="Arial" w:hAnsi="Arial"/>
          <w:i/>
          <w:color w:val="000000"/>
          <w:sz w:val="20"/>
        </w:rPr>
        <w:t>This report includes our trademarks and registered trademarks, including Athira, Athira Pharma, the Athira logo, and other trademarks or service marks of Athira. Each other trademark, trade name or service mark appearing in this report belongs to its holder.</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color w:val="000000"/>
          <w:sz w:val="20"/>
        </w:rPr>
      </w:pPr>
      <w:r>
        <w:rPr>
          <w:rFonts w:ascii="Arial" w:hAnsi="Arial"/>
          <w:b/>
          <w:color w:val="000000"/>
          <w:sz w:val="20"/>
        </w:rPr>
        <w:t>SUMMARY RISK FACTORS</w:t>
      </w:r>
    </w:p>
    <w:p>
      <w:pPr>
        <w:pStyle w:val="TextBody"/>
        <w:bidi w:val="0"/>
        <w:jc w:val="both"/>
        <w:rPr/>
      </w:pPr>
      <w:r>
        <w:rPr/>
        <w:t> </w:t>
      </w:r>
    </w:p>
    <w:p>
      <w:pPr>
        <w:pStyle w:val="TextBody"/>
        <w:bidi w:val="0"/>
        <w:spacing w:before="80" w:after="283"/>
        <w:jc w:val="both"/>
        <w:rPr>
          <w:rFonts w:ascii="Times New Roman" w:hAnsi="Times New Roman"/>
          <w:sz w:val="20"/>
        </w:rPr>
      </w:pPr>
      <w:r>
        <w:rPr>
          <w:rFonts w:ascii="Arial" w:hAnsi="Arial"/>
          <w:color w:val="000000"/>
          <w:sz w:val="20"/>
        </w:rPr>
        <w:t>Our business is subject to numerous risks and uncertainties, including those highlighted in the section of this report captioned “Risk Factors.” The following is a summary of the principal risks we face: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We are a late clinical-stage biopharmaceutical company with a limited operating history.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generate revenue and achieve profitability depends significantly on our ability to achieve a number of objectives.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development of fosgonimeton may never lead to a marketable product.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approach to targeting neurotrophic factors through the use of small molecules is based on a novel therapeutic approach, which exposes us to unforeseen risks. We have limited data from our Phase 1a/1b and Phase 2 clinical trials to date, and we cannot be certain that future trials will yield data in support of the safety, efficacy and tolerability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have concentrated our research and development efforts on the treatment of central and peripheral nervous system degenerative disorders, a field that has seen very limited success in product development.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An independent special committee of our board of directors engaged in a review of papers co-authored by our former chief executive officer in connection with her doctoral research at Washington State University, or WSU. The special committee’s findings included that (1) our former chief executive officer altered images in her 2011 doctoral dissertation and at least four research papers that she co-authored while a graduate student at WSU, and published from 2011 to 2014, (2) that we cited challenged research papers in certain communications and applications, and (3) that WSU’s dihexa patent, exclusively licensed to us, incorporated certain of these altered images.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are and may in the future be subject to claims, lawsuits, arbitration proceedings, government investigations and other legal, regulatory and administrative proceedings and face potential liability and expenses related thereto, which could have a material adverse effect on our business, operating results and financial condition.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Clinical development involves a lengthy and expensive process with an uncertain outcome, and results of early, smaller-scale preclinical studies and clinical trials with a single or few clinical trial sites may not be predictive of eventual safety or effectiveness in large-scale potentially pivotal clinical trials across multiple clinical trial sites. We may encounter substantial delays in clinical trials, or may not be able to conduct or complete clinical trials on the expected timelines, if at all.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success depends on our ability to protect our intellectual property and our proprietary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If the scope of any patent protection we obtain is not sufficiently broad, or if we lose any of our patent protection, our ability to prevent our competitors from commercializing similar or identical product candidates would be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face significant competition, and if our competitors develop and market technologies or products more rapidly than we do or that are more effective, safer, or less expensive than the drug candidates we develop, our commercial opportunities will be negatively impacted.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may expend our limited resources to pursue a particular drug candidate or indication and fail to capitalize on drug candidates or indications that may be more profitable or for which there is a greater likelihood of success.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loss of any of our key personnel could significantly harm our business, results of operations and competitive position.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have incurred significant losses since our inception and anticipate that we will continue to incur significant losses for the foreseeable future.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We will require substantial additional funding to finance our operations, complete the development and commercialization of fosgonimeton, and develop and commercialize other and future drug candidates. If we are unable to raise this funding when needed, we may be forced to delay, reduce, or eliminate our drug product development programs or other operations. </w:t>
      </w:r>
    </w:p>
    <w:p>
      <w:pPr>
        <w:pStyle w:val="TextBody"/>
        <w:bidi w:val="0"/>
        <w:spacing w:before="240" w:after="283"/>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regulatory approval processes of the U.S. Food and Drug Administration, or FDA, and other comparable foreign regulatory authorities are lengthy, time consuming and inherently unpredictable. If we are not able to obtain, or if there are delays in obtaining, required regulatory approvals for our drug candidates, we will not be able to commercialize, or will be delayed in commercializing, our drug candidates, and our ability to generate revenue will be materially impaired.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rely on third parties to conduct our nonclinical studies and clinical trials. If these third parties do not properly and successfully carry out their contractual duties or meet expected deadlines, we may not be able to obtain regulatory approval of or commercialize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Even if approved, our drug candidates may not achieve adequate market acceptance among physicians, patients, healthcare payors and others in the medical community necessary for commercial success.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have never commercialized a drug candidate before and may lack the necessary expertise, personnel and resources to successfully commercialize any drug products on our own or together with suitable collaborators.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If we experience delays or difficulties in the enrollment or retention of patients in clinical trials, our regulatory submissions or receipt of necessary marketing approvals could be delayed or prevented.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Intellectual property discovered or developed through government funded programs may be subject to federal regulations such as “march-in” rights, certain reporting requirements and a manufacturing preference for U.S.-based companies. Compliance with such regulations may limit our exclusive rights and limit our ability to contract with non-U.S. manufacturers, which could adversely affect our ability to successfully develop and commercialize our drug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market price of our common stock has been and may continue to be volatile, which could result in substantial losses for investors.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and certain of our directors and executive officers have been, and may in the future be, named as defendants in lawsuits that could result in substantial costs and divert management’s attention.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Actions by activist stockholders have in the past been, and may in the future be, disruptive and could cause uncertainty about the strategic direction of our business.</w:t>
      </w:r>
    </w:p>
    <w:p>
      <w:pPr>
        <w:pStyle w:val="TextBody"/>
        <w:bidi w:val="0"/>
        <w:spacing w:before="280" w:after="283"/>
        <w:jc w:val="both"/>
        <w:rPr>
          <w:rFonts w:ascii="Times New Roman" w:hAnsi="Times New Roman"/>
          <w:sz w:val="20"/>
        </w:rPr>
      </w:pPr>
      <w:r>
        <w:rPr>
          <w:rFonts w:ascii="Arial" w:hAnsi="Arial"/>
          <w:color w:val="000000"/>
          <w:sz w:val="20"/>
        </w:rPr>
        <w:t>Our Risk Factors are not guarantees that no such conditions exist as of the date of this report and should not be interpreted as an affirmative statement that such risks or conditions have not materialized, in whole or in part.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2" w:name="part_ifinancial_information"/>
      <w:bookmarkEnd w:id="2"/>
      <w:r>
        <w:rPr>
          <w:rFonts w:ascii="Arial" w:hAnsi="Arial"/>
          <w:b/>
          <w:color w:val="000000"/>
          <w:sz w:val="20"/>
        </w:rPr>
        <w:t>PART I—FINANCIAL INFORMATION</w:t>
      </w:r>
    </w:p>
    <w:p>
      <w:pPr>
        <w:pStyle w:val="TextBody"/>
        <w:bidi w:val="0"/>
        <w:spacing w:before="360" w:after="283"/>
        <w:jc w:val="left"/>
        <w:rPr>
          <w:rFonts w:ascii="Arial" w:hAnsi="Arial"/>
          <w:b/>
          <w:color w:val="000000"/>
          <w:sz w:val="20"/>
        </w:rPr>
      </w:pPr>
      <w:bookmarkStart w:id="3" w:name="item_1_financial_statements_unaudited"/>
      <w:bookmarkEnd w:id="3"/>
      <w:r>
        <w:rPr>
          <w:rFonts w:ascii="Arial" w:hAnsi="Arial"/>
          <w:b/>
          <w:color w:val="000000"/>
          <w:sz w:val="20"/>
        </w:rPr>
        <w:t>Item 1. Financial Statements (Unaudited)</w:t>
      </w:r>
    </w:p>
    <w:p>
      <w:pPr>
        <w:pStyle w:val="TextBody"/>
        <w:bidi w:val="0"/>
        <w:spacing w:before="360" w:after="283"/>
        <w:jc w:val="center"/>
        <w:rPr>
          <w:rFonts w:ascii="Arial" w:hAnsi="Arial"/>
          <w:b/>
          <w:color w:val="000000"/>
          <w:sz w:val="20"/>
        </w:rPr>
      </w:pPr>
      <w:r>
        <w:rPr>
          <w:rFonts w:ascii="Arial" w:hAnsi="Arial"/>
          <w:b/>
          <w:color w:val="000000"/>
          <w:sz w:val="20"/>
        </w:rPr>
        <w:t>Athira Pharma, Inc.</w:t>
      </w:r>
    </w:p>
    <w:p>
      <w:pPr>
        <w:pStyle w:val="TextBody"/>
        <w:bidi w:val="0"/>
        <w:jc w:val="center"/>
        <w:rPr>
          <w:rFonts w:ascii="Arial" w:hAnsi="Arial"/>
          <w:b/>
          <w:color w:val="000000"/>
          <w:sz w:val="20"/>
        </w:rPr>
      </w:pPr>
      <w:bookmarkStart w:id="4" w:name="condensed_consolidated_balance_sheets"/>
      <w:bookmarkEnd w:id="4"/>
      <w:r>
        <w:rPr>
          <w:rFonts w:ascii="Arial" w:hAnsi="Arial"/>
          <w:b/>
          <w:color w:val="000000"/>
          <w:sz w:val="20"/>
        </w:rPr>
        <w:t>Condensed Consolidated Balance Sheets</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jc w:val="left"/>
        <w:rPr/>
      </w:pPr>
      <w:r>
        <w:rPr/>
        <w:t> </w:t>
      </w:r>
    </w:p>
    <w:tbl>
      <w:tblPr>
        <w:tblW w:w="9042" w:type="dxa"/>
        <w:jc w:val="left"/>
        <w:tblInd w:w="0" w:type="dxa"/>
        <w:tblLayout w:type="fixed"/>
        <w:tblCellMar>
          <w:top w:w="28" w:type="dxa"/>
          <w:left w:w="28" w:type="dxa"/>
          <w:bottom w:w="28" w:type="dxa"/>
          <w:right w:w="28" w:type="dxa"/>
        </w:tblCellMar>
      </w:tblPr>
      <w:tblGrid>
        <w:gridCol w:w="5366"/>
        <w:gridCol w:w="146"/>
        <w:gridCol w:w="211"/>
        <w:gridCol w:w="856"/>
        <w:gridCol w:w="166"/>
        <w:gridCol w:w="146"/>
        <w:gridCol w:w="273"/>
        <w:gridCol w:w="1107"/>
        <w:gridCol w:w="771"/>
      </w:tblGrid>
      <w:tr>
        <w:trPr/>
        <w:tc>
          <w:tcPr>
            <w:tcW w:w="5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53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16"/>
              </w:rPr>
            </w:pPr>
            <w:r>
              <w:rPr>
                <w:rFonts w:ascii="Helvetica LT Pro;sans-serif" w:hAnsi="Helvetica LT Pro;sans-serif"/>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16"/>
              </w:rPr>
            </w:pPr>
            <w:r>
              <w:rPr>
                <w:rFonts w:ascii="Helvetica LT Pro;sans-serif" w:hAnsi="Helvetica LT Pro;sans-serif"/>
                <w:b/>
                <w:color w:val="000000"/>
                <w:sz w:val="16"/>
              </w:rPr>
              <w:t>December 31,</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7"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(unaudited)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80" w:type="dxa"/>
            <w:gridSpan w:val="2"/>
            <w:tcBorders/>
            <w:shd w:fill="FFFFFF" w:val="clear"/>
            <w:vAlign w:val="center"/>
          </w:tcPr>
          <w:p>
            <w:pPr>
              <w:pStyle w:val="TableContents"/>
              <w:bidi w:val="0"/>
              <w:spacing w:before="0" w:after="283"/>
              <w:jc w:val="center"/>
              <w:rPr/>
            </w:pPr>
            <w:r>
              <w:rPr/>
              <w:t> </w:t>
            </w:r>
          </w:p>
        </w:tc>
        <w:tc>
          <w:tcPr>
            <w:tcW w:w="771" w:type="dxa"/>
            <w:tcBorders/>
            <w:shd w:fill="FFFFFF" w:val="clear"/>
            <w:vAlign w:val="center"/>
          </w:tcPr>
          <w:p>
            <w:pPr>
              <w:pStyle w:val="TableContents"/>
              <w:bidi w:val="0"/>
              <w:spacing w:before="0" w:after="283"/>
              <w:jc w:val="center"/>
              <w:rPr/>
            </w:pPr>
            <w:r>
              <w:rPr/>
              <w:t> </w:t>
            </w:r>
          </w:p>
        </w:tc>
      </w:tr>
      <w:tr>
        <w:trPr/>
        <w:tc>
          <w:tcPr>
            <w:tcW w:w="536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6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0" w:type="dxa"/>
            <w:gridSpan w:val="2"/>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r>
      <w:tr>
        <w:trPr/>
        <w:tc>
          <w:tcPr>
            <w:tcW w:w="53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ind w:left="0" w:right="0" w:firstLine="280"/>
              <w:jc w:val="right"/>
              <w:rPr/>
            </w:pPr>
            <w:r>
              <w:rPr/>
              <w:t> </w:t>
            </w:r>
          </w:p>
        </w:tc>
      </w:tr>
      <w:tr>
        <w:trPr/>
        <w:tc>
          <w:tcPr>
            <w:tcW w:w="536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77,821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90,584</w:t>
            </w:r>
          </w:p>
        </w:tc>
        <w:tc>
          <w:tcPr>
            <w:tcW w:w="771" w:type="dxa"/>
            <w:tcBorders/>
            <w:shd w:fill="CFF0FC" w:val="clear"/>
            <w:vAlign w:val="center"/>
          </w:tcPr>
          <w:p>
            <w:pPr>
              <w:pStyle w:val="TableContents"/>
              <w:bidi w:val="0"/>
              <w:spacing w:before="0" w:after="283"/>
              <w:ind w:left="0" w:right="0" w:firstLine="280"/>
              <w:jc w:val="left"/>
              <w:rPr/>
            </w:pPr>
            <w:r>
              <w:rPr/>
              <w:t> </w:t>
            </w:r>
          </w:p>
        </w:tc>
      </w:tr>
      <w:tr>
        <w:trPr/>
        <w:tc>
          <w:tcPr>
            <w:tcW w:w="536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44,267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56,835</w:t>
            </w:r>
          </w:p>
        </w:tc>
        <w:tc>
          <w:tcPr>
            <w:tcW w:w="771" w:type="dxa"/>
            <w:tcBorders/>
            <w:shd w:fill="FFFFFF" w:val="clear"/>
            <w:vAlign w:val="center"/>
          </w:tcPr>
          <w:p>
            <w:pPr>
              <w:pStyle w:val="TableContents"/>
              <w:bidi w:val="0"/>
              <w:spacing w:before="0" w:after="283"/>
              <w:ind w:left="0" w:right="0" w:firstLine="280"/>
              <w:jc w:val="left"/>
              <w:rPr/>
            </w:pPr>
            <w:r>
              <w:rPr/>
              <w:t> </w:t>
            </w:r>
          </w:p>
        </w:tc>
      </w:tr>
      <w:tr>
        <w:trPr/>
        <w:tc>
          <w:tcPr>
            <w:tcW w:w="536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4,920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11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5,682</w:t>
            </w:r>
          </w:p>
        </w:tc>
        <w:tc>
          <w:tcPr>
            <w:tcW w:w="771" w:type="dxa"/>
            <w:tcBorders/>
            <w:shd w:fill="CFF0FC" w:val="clear"/>
            <w:vAlign w:val="center"/>
          </w:tcPr>
          <w:p>
            <w:pPr>
              <w:pStyle w:val="TableContents"/>
              <w:bidi w:val="0"/>
              <w:spacing w:before="0" w:after="283"/>
              <w:ind w:left="0" w:right="0" w:firstLine="280"/>
              <w:jc w:val="left"/>
              <w:rPr/>
            </w:pPr>
            <w:r>
              <w:rPr/>
              <w:t> </w:t>
            </w:r>
          </w:p>
        </w:tc>
      </w:tr>
      <w:tr>
        <w:trPr/>
        <w:tc>
          <w:tcPr>
            <w:tcW w:w="536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Insurance recovery receivable related to legal</w:t>
              <w:br/>
              <w:t>   settlement (Note 7)</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1,628</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366"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128,636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11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154,729</w:t>
            </w:r>
          </w:p>
        </w:tc>
        <w:tc>
          <w:tcPr>
            <w:tcW w:w="771" w:type="dxa"/>
            <w:tcBorders/>
            <w:shd w:fill="CFF0FC" w:val="clear"/>
            <w:vAlign w:val="center"/>
          </w:tcPr>
          <w:p>
            <w:pPr>
              <w:pStyle w:val="TableContents"/>
              <w:bidi w:val="0"/>
              <w:spacing w:before="0" w:after="283"/>
              <w:jc w:val="left"/>
              <w:rPr/>
            </w:pPr>
            <w:r>
              <w:rPr/>
              <w:t> </w:t>
            </w:r>
          </w:p>
        </w:tc>
      </w:tr>
      <w:tr>
        <w:trPr/>
        <w:tc>
          <w:tcPr>
            <w:tcW w:w="53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631</w:t>
            </w:r>
          </w:p>
        </w:tc>
        <w:tc>
          <w:tcPr>
            <w:tcW w:w="771" w:type="dxa"/>
            <w:tcBorders/>
            <w:shd w:fill="FFFFFF" w:val="clear"/>
            <w:vAlign w:val="center"/>
          </w:tcPr>
          <w:p>
            <w:pPr>
              <w:pStyle w:val="TableContents"/>
              <w:bidi w:val="0"/>
              <w:spacing w:before="0" w:after="283"/>
              <w:jc w:val="left"/>
              <w:rPr/>
            </w:pPr>
            <w:r>
              <w:rPr/>
              <w:t> </w:t>
            </w:r>
          </w:p>
        </w:tc>
      </w:tr>
      <w:tr>
        <w:trPr/>
        <w:tc>
          <w:tcPr>
            <w:tcW w:w="53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11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3,388</w:t>
            </w:r>
          </w:p>
        </w:tc>
        <w:tc>
          <w:tcPr>
            <w:tcW w:w="771" w:type="dxa"/>
            <w:tcBorders/>
            <w:shd w:fill="CFF0FC" w:val="clear"/>
            <w:vAlign w:val="center"/>
          </w:tcPr>
          <w:p>
            <w:pPr>
              <w:pStyle w:val="TableContents"/>
              <w:bidi w:val="0"/>
              <w:spacing w:before="0" w:after="283"/>
              <w:jc w:val="left"/>
              <w:rPr/>
            </w:pPr>
            <w:r>
              <w:rPr/>
              <w:t> </w:t>
            </w:r>
          </w:p>
        </w:tc>
      </w:tr>
      <w:tr>
        <w:trPr/>
        <w:tc>
          <w:tcPr>
            <w:tcW w:w="53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right-of-use asset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1,049</w:t>
            </w:r>
          </w:p>
        </w:tc>
        <w:tc>
          <w:tcPr>
            <w:tcW w:w="771" w:type="dxa"/>
            <w:tcBorders/>
            <w:shd w:fill="FFFFFF" w:val="clear"/>
            <w:vAlign w:val="center"/>
          </w:tcPr>
          <w:p>
            <w:pPr>
              <w:pStyle w:val="TableContents"/>
              <w:bidi w:val="0"/>
              <w:spacing w:before="0" w:after="283"/>
              <w:jc w:val="left"/>
              <w:rPr/>
            </w:pPr>
            <w:r>
              <w:rPr/>
              <w:t> </w:t>
            </w:r>
          </w:p>
        </w:tc>
      </w:tr>
      <w:tr>
        <w:trPr/>
        <w:tc>
          <w:tcPr>
            <w:tcW w:w="53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long-term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448</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366"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133,458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160,245</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6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06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0" w:type="dxa"/>
            <w:gridSpan w:val="2"/>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r>
      <w:tr>
        <w:trPr/>
        <w:tc>
          <w:tcPr>
            <w:tcW w:w="53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ind w:left="0" w:right="0" w:firstLine="280"/>
              <w:jc w:val="right"/>
              <w:rPr/>
            </w:pPr>
            <w:r>
              <w:rPr/>
              <w:t> </w:t>
            </w:r>
          </w:p>
        </w:tc>
      </w:tr>
      <w:tr>
        <w:trPr/>
        <w:tc>
          <w:tcPr>
            <w:tcW w:w="536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129</w:t>
            </w:r>
          </w:p>
        </w:tc>
        <w:tc>
          <w:tcPr>
            <w:tcW w:w="771" w:type="dxa"/>
            <w:tcBorders/>
            <w:shd w:fill="CFF0FC" w:val="clear"/>
            <w:vAlign w:val="center"/>
          </w:tcPr>
          <w:p>
            <w:pPr>
              <w:pStyle w:val="TableContents"/>
              <w:bidi w:val="0"/>
              <w:spacing w:before="0" w:after="283"/>
              <w:ind w:left="0" w:right="0" w:firstLine="280"/>
              <w:jc w:val="left"/>
              <w:rPr/>
            </w:pPr>
            <w:r>
              <w:rPr/>
              <w:t> </w:t>
            </w:r>
          </w:p>
        </w:tc>
      </w:tr>
      <w:tr>
        <w:trPr/>
        <w:tc>
          <w:tcPr>
            <w:tcW w:w="536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Accrued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14,537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18,343</w:t>
            </w:r>
          </w:p>
        </w:tc>
        <w:tc>
          <w:tcPr>
            <w:tcW w:w="771" w:type="dxa"/>
            <w:tcBorders/>
            <w:shd w:fill="FFFFFF" w:val="clear"/>
            <w:vAlign w:val="center"/>
          </w:tcPr>
          <w:p>
            <w:pPr>
              <w:pStyle w:val="TableContents"/>
              <w:bidi w:val="0"/>
              <w:spacing w:before="0" w:after="283"/>
              <w:ind w:left="0" w:right="0" w:firstLine="280"/>
              <w:jc w:val="left"/>
              <w:rPr/>
            </w:pPr>
            <w:r>
              <w:rPr/>
              <w:t> </w:t>
            </w:r>
          </w:p>
        </w:tc>
      </w:tr>
      <w:tr>
        <w:trPr/>
        <w:tc>
          <w:tcPr>
            <w:tcW w:w="536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Accrued legal settlement (Note 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11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10,000</w:t>
            </w:r>
          </w:p>
        </w:tc>
        <w:tc>
          <w:tcPr>
            <w:tcW w:w="771" w:type="dxa"/>
            <w:tcBorders/>
            <w:shd w:fill="CFF0FC" w:val="clear"/>
            <w:vAlign w:val="center"/>
          </w:tcPr>
          <w:p>
            <w:pPr>
              <w:pStyle w:val="TableContents"/>
              <w:bidi w:val="0"/>
              <w:spacing w:before="0" w:after="283"/>
              <w:ind w:left="0" w:right="0" w:firstLine="280"/>
              <w:jc w:val="left"/>
              <w:rPr/>
            </w:pPr>
            <w:r>
              <w:rPr/>
              <w:t> </w:t>
            </w:r>
          </w:p>
        </w:tc>
      </w:tr>
      <w:tr>
        <w:trPr/>
        <w:tc>
          <w:tcPr>
            <w:tcW w:w="536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Current operating lease liability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368</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366"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25,598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11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28,840</w:t>
            </w:r>
          </w:p>
        </w:tc>
        <w:tc>
          <w:tcPr>
            <w:tcW w:w="771" w:type="dxa"/>
            <w:tcBorders/>
            <w:shd w:fill="CFF0FC" w:val="clear"/>
            <w:vAlign w:val="center"/>
          </w:tcPr>
          <w:p>
            <w:pPr>
              <w:pStyle w:val="TableContents"/>
              <w:bidi w:val="0"/>
              <w:spacing w:before="0" w:after="283"/>
              <w:jc w:val="left"/>
              <w:rPr/>
            </w:pPr>
            <w:r>
              <w:rPr/>
              <w:t> </w:t>
            </w:r>
          </w:p>
        </w:tc>
      </w:tr>
      <w:tr>
        <w:trPr/>
        <w:tc>
          <w:tcPr>
            <w:tcW w:w="53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liability, less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1,217</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366"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30,057</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ind w:left="0" w:right="0" w:firstLine="280"/>
              <w:jc w:val="right"/>
              <w:rPr/>
            </w:pPr>
            <w:r>
              <w:rPr/>
              <w:t> </w:t>
            </w:r>
          </w:p>
        </w:tc>
      </w:tr>
      <w:tr>
        <w:trPr/>
        <w:tc>
          <w:tcPr>
            <w:tcW w:w="5366" w:type="dxa"/>
            <w:tcBorders/>
            <w:shd w:fill="CFF0FC" w:val="clear"/>
            <w:vAlign w:val="center"/>
          </w:tcPr>
          <w:p>
            <w:pPr>
              <w:pStyle w:val="TableContents"/>
              <w:bidi w:val="0"/>
              <w:spacing w:before="0" w:after="283"/>
              <w:ind w:left="280" w:right="0" w:firstLine="280"/>
              <w:jc w:val="left"/>
              <w:rPr>
                <w:rFonts w:ascii="Times New Roman" w:hAnsi="Times New Roman"/>
                <w:sz w:val="20"/>
              </w:rPr>
            </w:pPr>
            <w:r>
              <w:rPr>
                <w:rFonts w:ascii="Arial" w:hAnsi="Arial"/>
                <w:color w:val="000000"/>
                <w:sz w:val="20"/>
              </w:rPr>
              <w:t>Common stock, $0.0001</w:t>
            </w:r>
            <w:r>
              <w:rPr>
                <w:rFonts w:ascii="Times New Roman" w:hAnsi="Times New Roman"/>
                <w:color w:val="000000"/>
                <w:sz w:val="20"/>
              </w:rPr>
              <w:t> </w:t>
            </w:r>
            <w:r>
              <w:rPr>
                <w:rFonts w:ascii="Arial" w:hAnsi="Arial"/>
                <w:color w:val="000000"/>
                <w:sz w:val="20"/>
              </w:rPr>
              <w:t>par value; 900,000,000</w:t>
            </w:r>
            <w:r>
              <w:rPr>
                <w:rFonts w:ascii="Times New Roman" w:hAnsi="Times New Roman"/>
                <w:color w:val="000000"/>
                <w:sz w:val="20"/>
              </w:rPr>
              <w:t> </w:t>
            </w:r>
            <w:r>
              <w:rPr>
                <w:rFonts w:ascii="Arial" w:hAnsi="Arial"/>
                <w:color w:val="000000"/>
                <w:sz w:val="20"/>
              </w:rPr>
              <w:t xml:space="preserve">shares </w:t>
              <w:br/>
              <w:t xml:space="preserve">   authorized at March 31, 2024 and December 31, 2023, </w:t>
              <w:br/>
              <w:t>   respectively; 38,326,652</w:t>
            </w:r>
            <w:r>
              <w:rPr>
                <w:rFonts w:ascii="Times New Roman" w:hAnsi="Times New Roman"/>
                <w:color w:val="000000"/>
                <w:sz w:val="20"/>
              </w:rPr>
              <w:t> </w:t>
            </w:r>
            <w:r>
              <w:rPr>
                <w:rFonts w:ascii="Arial" w:hAnsi="Arial"/>
                <w:color w:val="000000"/>
                <w:sz w:val="20"/>
              </w:rPr>
              <w:t>and 38,172,603</w:t>
            </w:r>
            <w:r>
              <w:rPr>
                <w:rFonts w:ascii="Times New Roman" w:hAnsi="Times New Roman"/>
                <w:color w:val="000000"/>
                <w:sz w:val="20"/>
              </w:rPr>
              <w:t> </w:t>
            </w:r>
            <w:r>
              <w:rPr>
                <w:rFonts w:ascii="Arial" w:hAnsi="Arial"/>
                <w:color w:val="000000"/>
                <w:sz w:val="20"/>
              </w:rPr>
              <w:t>shares issued</w:t>
              <w:br/>
              <w:t>   and outstanding at March 31, 2024 and December 31,</w:t>
              <w:br/>
              <w:t>   2023,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11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771" w:type="dxa"/>
            <w:tcBorders/>
            <w:shd w:fill="CFF0FC" w:val="clear"/>
            <w:vAlign w:val="center"/>
          </w:tcPr>
          <w:p>
            <w:pPr>
              <w:pStyle w:val="TableContents"/>
              <w:bidi w:val="0"/>
              <w:spacing w:before="0" w:after="283"/>
              <w:ind w:left="0" w:right="0" w:firstLine="280"/>
              <w:jc w:val="left"/>
              <w:rPr/>
            </w:pPr>
            <w:r>
              <w:rPr/>
              <w:t> </w:t>
            </w:r>
          </w:p>
        </w:tc>
      </w:tr>
      <w:tr>
        <w:trPr/>
        <w:tc>
          <w:tcPr>
            <w:tcW w:w="536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442,418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439,739</w:t>
            </w:r>
          </w:p>
        </w:tc>
        <w:tc>
          <w:tcPr>
            <w:tcW w:w="771" w:type="dxa"/>
            <w:tcBorders/>
            <w:shd w:fill="FFFFFF" w:val="clear"/>
            <w:vAlign w:val="center"/>
          </w:tcPr>
          <w:p>
            <w:pPr>
              <w:pStyle w:val="TableContents"/>
              <w:bidi w:val="0"/>
              <w:spacing w:before="0" w:after="283"/>
              <w:ind w:left="0" w:right="0" w:firstLine="280"/>
              <w:jc w:val="left"/>
              <w:rPr/>
            </w:pPr>
            <w:r>
              <w:rPr/>
              <w:t> </w:t>
            </w:r>
          </w:p>
        </w:tc>
      </w:tr>
      <w:tr>
        <w:trPr/>
        <w:tc>
          <w:tcPr>
            <w:tcW w:w="536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Accumulated other comprehensive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(137</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11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(349</w:t>
            </w:r>
          </w:p>
        </w:tc>
        <w:tc>
          <w:tcPr>
            <w:tcW w:w="77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36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(335,543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(309,206</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5366"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106,742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130,188</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366"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133,458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160,245</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Arial" w:hAnsi="Arial"/>
          <w:i/>
          <w:color w:val="000000"/>
          <w:sz w:val="20"/>
        </w:rPr>
      </w:pPr>
      <w:r>
        <w:rPr>
          <w:rFonts w:ascii="Arial" w:hAnsi="Arial"/>
          <w:i/>
          <w:color w:val="000000"/>
          <w:sz w:val="20"/>
        </w:rPr>
        <w:t>The accompanying notes are an integral part of these unaudited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Athira Pharma, Inc.</w:t>
      </w:r>
    </w:p>
    <w:p>
      <w:pPr>
        <w:pStyle w:val="TextBody"/>
        <w:bidi w:val="0"/>
        <w:jc w:val="center"/>
        <w:rPr>
          <w:rFonts w:ascii="Times New Roman" w:hAnsi="Times New Roman"/>
          <w:sz w:val="20"/>
        </w:rPr>
      </w:pPr>
      <w:bookmarkStart w:id="5" w:name="condensed_consolidated_statements_operat"/>
      <w:bookmarkEnd w:id="5"/>
      <w:r>
        <w:rPr>
          <w:rFonts w:ascii="Arial" w:hAnsi="Arial"/>
          <w:b/>
          <w:color w:val="000000"/>
          <w:sz w:val="20"/>
        </w:rPr>
        <w:t>Condensed Consolidated Statements of</w:t>
      </w:r>
      <w:r>
        <w:rPr>
          <w:rFonts w:ascii="Times New Roman" w:hAnsi="Times New Roman"/>
          <w:color w:val="000000"/>
          <w:sz w:val="20"/>
        </w:rPr>
        <w:t xml:space="preserve"> </w:t>
      </w:r>
      <w:r>
        <w:rPr>
          <w:rFonts w:ascii="Arial" w:hAnsi="Arial"/>
          <w:b/>
          <w:color w:val="000000"/>
          <w:sz w:val="20"/>
        </w:rPr>
        <w:t>Operations and Comprehensive Loss</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8879" w:type="dxa"/>
        <w:jc w:val="left"/>
        <w:tblInd w:w="0" w:type="dxa"/>
        <w:tblLayout w:type="fixed"/>
        <w:tblCellMar>
          <w:top w:w="28" w:type="dxa"/>
          <w:left w:w="28" w:type="dxa"/>
          <w:bottom w:w="28" w:type="dxa"/>
          <w:right w:w="28" w:type="dxa"/>
        </w:tblCellMar>
      </w:tblPr>
      <w:tblGrid>
        <w:gridCol w:w="5116"/>
        <w:gridCol w:w="146"/>
        <w:gridCol w:w="211"/>
        <w:gridCol w:w="1066"/>
        <w:gridCol w:w="166"/>
        <w:gridCol w:w="146"/>
        <w:gridCol w:w="211"/>
        <w:gridCol w:w="1066"/>
        <w:gridCol w:w="751"/>
      </w:tblGrid>
      <w:tr>
        <w:trPr/>
        <w:tc>
          <w:tcPr>
            <w:tcW w:w="5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51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2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7" w:type="dxa"/>
            <w:gridSpan w:val="2"/>
            <w:tcBorders/>
            <w:shd w:fill="CFF0FC" w:val="clear"/>
            <w:vAlign w:val="center"/>
          </w:tcPr>
          <w:p>
            <w:pPr>
              <w:pStyle w:val="TableContents"/>
              <w:bidi w:val="0"/>
              <w:spacing w:before="0" w:after="283"/>
              <w:jc w:val="right"/>
              <w:rPr/>
            </w:pPr>
            <w:r>
              <w:rPr/>
              <w:t> </w:t>
            </w:r>
          </w:p>
        </w:tc>
        <w:tc>
          <w:tcPr>
            <w:tcW w:w="751" w:type="dxa"/>
            <w:tcBorders/>
            <w:shd w:fill="CFF0FC" w:val="clear"/>
            <w:vAlign w:val="center"/>
          </w:tcPr>
          <w:p>
            <w:pPr>
              <w:pStyle w:val="TableContents"/>
              <w:bidi w:val="0"/>
              <w:spacing w:before="0" w:after="283"/>
              <w:ind w:left="0" w:right="0" w:firstLine="280"/>
              <w:jc w:val="right"/>
              <w:rPr/>
            </w:pPr>
            <w:r>
              <w:rPr/>
              <w:t> </w:t>
            </w:r>
          </w:p>
        </w:tc>
      </w:tr>
      <w:tr>
        <w:trPr/>
        <w:tc>
          <w:tcPr>
            <w:tcW w:w="511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21,236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21,293</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511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8,477</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116"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29,770</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(27,687</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(29,770</w:t>
            </w:r>
          </w:p>
        </w:tc>
        <w:tc>
          <w:tcPr>
            <w:tcW w:w="7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1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Grant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157</w:t>
            </w:r>
          </w:p>
        </w:tc>
        <w:tc>
          <w:tcPr>
            <w:tcW w:w="751" w:type="dxa"/>
            <w:tcBorders/>
            <w:shd w:fill="FFFFFF" w:val="clear"/>
            <w:vAlign w:val="center"/>
          </w:tcPr>
          <w:p>
            <w:pPr>
              <w:pStyle w:val="TableContents"/>
              <w:bidi w:val="0"/>
              <w:spacing w:before="0" w:after="283"/>
              <w:jc w:val="left"/>
              <w:rPr/>
            </w:pPr>
            <w:r>
              <w:rPr/>
              <w:t> </w:t>
            </w:r>
          </w:p>
        </w:tc>
      </w:tr>
      <w:tr>
        <w:trPr/>
        <w:tc>
          <w:tcPr>
            <w:tcW w:w="511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1,793</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(27,820</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1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Unrealized gain on available-for-sale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927</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Comprehensive loss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(26,893</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1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attributable to common</w:t>
              <w:br/>
              <w:t>   stockholders,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(0.73</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1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shares used in computing</w:t>
              <w:br/>
              <w:t>   net loss per share attributable to common</w:t>
              <w:br/>
              <w:t>   stockholders,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38,321,573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37,923,402</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Arial" w:hAnsi="Arial"/>
          <w:i/>
          <w:color w:val="000000"/>
          <w:sz w:val="20"/>
        </w:rPr>
      </w:pPr>
      <w:r>
        <w:rPr>
          <w:rFonts w:ascii="Arial" w:hAnsi="Arial"/>
          <w:i/>
          <w:color w:val="000000"/>
          <w:sz w:val="20"/>
        </w:rPr>
        <w:t>The accompanying notes are an integral part of these unaudited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Athira Pharma, Inc.</w:t>
      </w:r>
    </w:p>
    <w:p>
      <w:pPr>
        <w:pStyle w:val="TextBody"/>
        <w:bidi w:val="0"/>
        <w:jc w:val="center"/>
        <w:rPr>
          <w:rFonts w:ascii="Arial" w:hAnsi="Arial"/>
          <w:b/>
          <w:color w:val="000000"/>
          <w:sz w:val="20"/>
        </w:rPr>
      </w:pPr>
      <w:bookmarkStart w:id="6" w:name="condensed_consolidated_statements_equity"/>
      <w:bookmarkEnd w:id="6"/>
      <w:r>
        <w:rPr>
          <w:rFonts w:ascii="Arial" w:hAnsi="Arial"/>
          <w:b/>
          <w:color w:val="000000"/>
          <w:sz w:val="20"/>
        </w:rPr>
        <w:t>Condensed Consolidated Statements of Stockholders’ Equity</w:t>
      </w:r>
    </w:p>
    <w:p>
      <w:pPr>
        <w:pStyle w:val="TextBody"/>
        <w:bidi w:val="0"/>
        <w:jc w:val="center"/>
        <w:rPr>
          <w:rFonts w:ascii="Arial" w:hAnsi="Arial"/>
          <w:b/>
          <w:color w:val="000000"/>
          <w:sz w:val="20"/>
        </w:rPr>
      </w:pPr>
      <w:r>
        <w:rPr>
          <w:rFonts w:ascii="Arial" w:hAnsi="Arial"/>
          <w:b/>
          <w:color w:val="000000"/>
          <w:sz w:val="20"/>
        </w:rPr>
        <w:t>For the Three Months Ended March 31, 2024 and 2023</w:t>
      </w:r>
    </w:p>
    <w:p>
      <w:pPr>
        <w:pStyle w:val="TextBody"/>
        <w:bidi w:val="0"/>
        <w:jc w:val="center"/>
        <w:rPr>
          <w:rFonts w:ascii="Arial" w:hAnsi="Arial"/>
          <w:b/>
          <w:color w:val="000000"/>
          <w:sz w:val="20"/>
        </w:rPr>
      </w:pPr>
      <w:r>
        <w:rPr>
          <w:rFonts w:ascii="Arial" w:hAnsi="Arial"/>
          <w:b/>
          <w:color w:val="000000"/>
          <w:sz w:val="20"/>
        </w:rPr>
        <w:t>(in thousands, except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10371" w:type="dxa"/>
        <w:jc w:val="left"/>
        <w:tblInd w:w="0" w:type="dxa"/>
        <w:tblLayout w:type="fixed"/>
        <w:tblCellMar>
          <w:top w:w="28" w:type="dxa"/>
          <w:left w:w="28" w:type="dxa"/>
          <w:bottom w:w="28" w:type="dxa"/>
          <w:right w:w="28" w:type="dxa"/>
        </w:tblCellMar>
      </w:tblPr>
      <w:tblGrid>
        <w:gridCol w:w="1746"/>
        <w:gridCol w:w="146"/>
        <w:gridCol w:w="146"/>
        <w:gridCol w:w="1036"/>
        <w:gridCol w:w="146"/>
        <w:gridCol w:w="146"/>
        <w:gridCol w:w="284"/>
        <w:gridCol w:w="467"/>
        <w:gridCol w:w="146"/>
        <w:gridCol w:w="146"/>
        <w:gridCol w:w="211"/>
        <w:gridCol w:w="781"/>
        <w:gridCol w:w="146"/>
        <w:gridCol w:w="146"/>
        <w:gridCol w:w="337"/>
        <w:gridCol w:w="1014"/>
        <w:gridCol w:w="166"/>
        <w:gridCol w:w="146"/>
        <w:gridCol w:w="231"/>
        <w:gridCol w:w="925"/>
        <w:gridCol w:w="166"/>
        <w:gridCol w:w="146"/>
        <w:gridCol w:w="245"/>
        <w:gridCol w:w="911"/>
        <w:gridCol w:w="391"/>
      </w:tblGrid>
      <w:tr>
        <w:trPr/>
        <w:tc>
          <w:tcPr>
            <w:tcW w:w="1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1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Stockholders’</w:t>
            </w:r>
          </w:p>
        </w:tc>
        <w:tc>
          <w:tcPr>
            <w:tcW w:w="391" w:type="dxa"/>
            <w:tcBorders/>
            <w:shd w:fill="FFFFFF" w:val="clear"/>
            <w:vAlign w:val="center"/>
          </w:tcPr>
          <w:p>
            <w:pPr>
              <w:pStyle w:val="TableContents"/>
              <w:bidi w:val="0"/>
              <w:spacing w:before="0" w:after="283"/>
              <w:jc w:val="center"/>
              <w:rPr/>
            </w:pPr>
            <w:r>
              <w:rPr/>
              <w:t> </w:t>
            </w:r>
          </w:p>
        </w:tc>
      </w:tr>
      <w:tr>
        <w:trPr/>
        <w:tc>
          <w:tcPr>
            <w:tcW w:w="1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6"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Balance as of January 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37,877,387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428,623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(1,956</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(191,534</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235,137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74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Issuance of common stock upon exercise of</w:t>
              <w:br/>
              <w:t>   common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73,213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7"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74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2,782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2,782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74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Unrealized gain on available-for-sale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7"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927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74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(27,820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(27,820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746"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Balance as of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37,950,600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431,504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(219,354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211,125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1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1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Stockholders’</w:t>
            </w:r>
          </w:p>
        </w:tc>
        <w:tc>
          <w:tcPr>
            <w:tcW w:w="391" w:type="dxa"/>
            <w:tcBorders/>
            <w:shd w:fill="FFFFFF" w:val="clear"/>
            <w:vAlign w:val="center"/>
          </w:tcPr>
          <w:p>
            <w:pPr>
              <w:pStyle w:val="TableContents"/>
              <w:bidi w:val="0"/>
              <w:spacing w:before="0" w:after="283"/>
              <w:jc w:val="center"/>
              <w:rPr/>
            </w:pPr>
            <w:r>
              <w:rPr/>
              <w:t> </w:t>
            </w:r>
          </w:p>
        </w:tc>
      </w:tr>
      <w:tr>
        <w:trPr/>
        <w:tc>
          <w:tcPr>
            <w:tcW w:w="1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6"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Balance as of January 1,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38,172,603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439,739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(349</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(309,206</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130,188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74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Issuance of common stock upon vesting of</w:t>
              <w:br/>
              <w:t>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154,049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7"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74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2,679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2,679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74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Unrealized gain on available-for-sale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7"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212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74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(26,337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(26,337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746"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Balance as of March 31,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38,326,652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442,418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(335,543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106,742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Arial" w:hAnsi="Arial"/>
          <w:i/>
          <w:color w:val="000000"/>
          <w:sz w:val="20"/>
        </w:rPr>
      </w:pPr>
      <w:r>
        <w:rPr>
          <w:rFonts w:ascii="Arial" w:hAnsi="Arial"/>
          <w:i/>
          <w:color w:val="000000"/>
          <w:sz w:val="20"/>
        </w:rPr>
        <w:t>The accompanying notes are an integral part of these unaudited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Athira Pharma, Inc.</w:t>
      </w:r>
    </w:p>
    <w:p>
      <w:pPr>
        <w:pStyle w:val="TextBody"/>
        <w:bidi w:val="0"/>
        <w:jc w:val="center"/>
        <w:rPr>
          <w:rFonts w:ascii="Arial" w:hAnsi="Arial"/>
          <w:b/>
          <w:color w:val="000000"/>
          <w:sz w:val="20"/>
        </w:rPr>
      </w:pPr>
      <w:bookmarkStart w:id="7" w:name="condensed_consolidated_statements_cash_f"/>
      <w:bookmarkEnd w:id="7"/>
      <w:r>
        <w:rPr>
          <w:rFonts w:ascii="Arial" w:hAnsi="Arial"/>
          <w:b/>
          <w:color w:val="000000"/>
          <w:sz w:val="20"/>
        </w:rPr>
        <w:t>Condensed Consolidated Statements of Cash Flows</w:t>
      </w:r>
    </w:p>
    <w:p>
      <w:pPr>
        <w:pStyle w:val="TextBody"/>
        <w:bidi w:val="0"/>
        <w:jc w:val="center"/>
        <w:rPr>
          <w:rFonts w:ascii="Times New Roman" w:hAnsi="Times New Roman"/>
          <w:sz w:val="20"/>
        </w:rPr>
      </w:pPr>
      <w:r>
        <w:rPr>
          <w:rFonts w:ascii="Arial" w:hAnsi="Arial"/>
          <w:b/>
          <w:color w:val="000000"/>
          <w:sz w:val="20"/>
        </w:rPr>
        <w:t>(in thousands)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28"/>
        <w:gridCol w:w="146"/>
        <w:gridCol w:w="230"/>
        <w:gridCol w:w="823"/>
        <w:gridCol w:w="181"/>
        <w:gridCol w:w="159"/>
        <w:gridCol w:w="230"/>
        <w:gridCol w:w="873"/>
        <w:gridCol w:w="1335"/>
      </w:tblGrid>
      <w:tr>
        <w:trPr/>
        <w:tc>
          <w:tcPr>
            <w:tcW w:w="6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622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1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2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28"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activities</w:t>
            </w:r>
          </w:p>
        </w:tc>
        <w:tc>
          <w:tcPr>
            <w:tcW w:w="146" w:type="dxa"/>
            <w:tcBorders/>
            <w:shd w:fill="CFF0FC" w:val="clear"/>
            <w:vAlign w:val="center"/>
          </w:tcPr>
          <w:p>
            <w:pPr>
              <w:pStyle w:val="TableContents"/>
              <w:bidi w:val="0"/>
              <w:spacing w:before="0" w:after="283"/>
              <w:jc w:val="left"/>
              <w:rPr/>
            </w:pPr>
            <w:r>
              <w:rPr/>
              <w:t> </w:t>
            </w:r>
          </w:p>
        </w:tc>
        <w:tc>
          <w:tcPr>
            <w:tcW w:w="1053" w:type="dxa"/>
            <w:gridSpan w:val="2"/>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1103" w:type="dxa"/>
            <w:gridSpan w:val="2"/>
            <w:tcBorders/>
            <w:shd w:fill="CFF0FC" w:val="clear"/>
            <w:vAlign w:val="center"/>
          </w:tcPr>
          <w:p>
            <w:pPr>
              <w:pStyle w:val="TableContents"/>
              <w:bidi w:val="0"/>
              <w:spacing w:before="0" w:after="283"/>
              <w:jc w:val="right"/>
              <w:rPr/>
            </w:pPr>
            <w:r>
              <w:rPr/>
              <w:t> </w:t>
            </w:r>
          </w:p>
        </w:tc>
        <w:tc>
          <w:tcPr>
            <w:tcW w:w="1335" w:type="dxa"/>
            <w:tcBorders/>
            <w:shd w:fill="CFF0FC" w:val="clear"/>
            <w:vAlign w:val="center"/>
          </w:tcPr>
          <w:p>
            <w:pPr>
              <w:pStyle w:val="TableContents"/>
              <w:bidi w:val="0"/>
              <w:spacing w:before="0" w:after="283"/>
              <w:ind w:left="0" w:right="0" w:firstLine="280"/>
              <w:jc w:val="right"/>
              <w:rPr/>
            </w:pPr>
            <w:r>
              <w:rPr/>
              <w:t> </w:t>
            </w:r>
          </w:p>
        </w:tc>
      </w:tr>
      <w:tr>
        <w:trPr/>
        <w:tc>
          <w:tcPr>
            <w:tcW w:w="6228"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(26,337</w:t>
            </w:r>
          </w:p>
        </w:tc>
        <w:tc>
          <w:tcPr>
            <w:tcW w:w="1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9"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(27,820</w:t>
            </w:r>
          </w:p>
        </w:tc>
        <w:tc>
          <w:tcPr>
            <w:tcW w:w="1335" w:type="dxa"/>
            <w:tcBorders/>
            <w:shd w:fill="FFFFFF" w:val="cle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228"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053" w:type="dxa"/>
            <w:gridSpan w:val="2"/>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1103" w:type="dxa"/>
            <w:gridSpan w:val="2"/>
            <w:tcBorders/>
            <w:shd w:fill="CFF0FC" w:val="clear"/>
            <w:vAlign w:val="center"/>
          </w:tcPr>
          <w:p>
            <w:pPr>
              <w:pStyle w:val="TableContents"/>
              <w:bidi w:val="0"/>
              <w:spacing w:before="0" w:after="283"/>
              <w:jc w:val="right"/>
              <w:rPr/>
            </w:pPr>
            <w:r>
              <w:rPr/>
              <w:t> </w:t>
            </w:r>
          </w:p>
        </w:tc>
        <w:tc>
          <w:tcPr>
            <w:tcW w:w="1335" w:type="dxa"/>
            <w:tcBorders/>
            <w:shd w:fill="CFF0FC" w:val="clear"/>
            <w:vAlign w:val="center"/>
          </w:tcPr>
          <w:p>
            <w:pPr>
              <w:pStyle w:val="TableContents"/>
              <w:bidi w:val="0"/>
              <w:spacing w:before="0" w:after="283"/>
              <w:ind w:left="0" w:right="0" w:firstLine="560"/>
              <w:jc w:val="right"/>
              <w:rPr/>
            </w:pPr>
            <w:r>
              <w:rPr/>
              <w:t> </w:t>
            </w:r>
          </w:p>
        </w:tc>
      </w:tr>
      <w:tr>
        <w:trPr/>
        <w:tc>
          <w:tcPr>
            <w:tcW w:w="6228"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2,679</w:t>
            </w:r>
          </w:p>
        </w:tc>
        <w:tc>
          <w:tcPr>
            <w:tcW w:w="181"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2,782</w:t>
            </w:r>
          </w:p>
        </w:tc>
        <w:tc>
          <w:tcPr>
            <w:tcW w:w="1335" w:type="dxa"/>
            <w:tcBorders/>
            <w:shd w:fill="FFFFFF" w:val="clear"/>
            <w:vAlign w:val="center"/>
          </w:tcPr>
          <w:p>
            <w:pPr>
              <w:pStyle w:val="TableContents"/>
              <w:bidi w:val="0"/>
              <w:spacing w:before="0" w:after="283"/>
              <w:ind w:left="0" w:right="0" w:firstLine="560"/>
              <w:jc w:val="left"/>
              <w:rPr/>
            </w:pPr>
            <w:r>
              <w:rPr/>
              <w:t> </w:t>
            </w:r>
          </w:p>
        </w:tc>
      </w:tr>
      <w:tr>
        <w:trPr/>
        <w:tc>
          <w:tcPr>
            <w:tcW w:w="6228"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Depreciation expense</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242</w:t>
            </w:r>
          </w:p>
        </w:tc>
        <w:tc>
          <w:tcPr>
            <w:tcW w:w="181"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236</w:t>
            </w:r>
          </w:p>
        </w:tc>
        <w:tc>
          <w:tcPr>
            <w:tcW w:w="1335" w:type="dxa"/>
            <w:tcBorders/>
            <w:shd w:fill="CFF0FC" w:val="clear"/>
            <w:vAlign w:val="center"/>
          </w:tcPr>
          <w:p>
            <w:pPr>
              <w:pStyle w:val="TableContents"/>
              <w:bidi w:val="0"/>
              <w:spacing w:before="0" w:after="283"/>
              <w:ind w:left="0" w:right="0" w:firstLine="560"/>
              <w:jc w:val="left"/>
              <w:rPr/>
            </w:pPr>
            <w:r>
              <w:rPr/>
              <w:t> </w:t>
            </w:r>
          </w:p>
        </w:tc>
      </w:tr>
      <w:tr>
        <w:trPr/>
        <w:tc>
          <w:tcPr>
            <w:tcW w:w="6228"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Non-cash lease expense</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181"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51</w:t>
            </w:r>
          </w:p>
        </w:tc>
        <w:tc>
          <w:tcPr>
            <w:tcW w:w="1335" w:type="dxa"/>
            <w:tcBorders/>
            <w:shd w:fill="FFFFFF" w:val="clear"/>
            <w:vAlign w:val="center"/>
          </w:tcPr>
          <w:p>
            <w:pPr>
              <w:pStyle w:val="TableContents"/>
              <w:bidi w:val="0"/>
              <w:spacing w:before="0" w:after="283"/>
              <w:ind w:left="0" w:right="0" w:firstLine="560"/>
              <w:jc w:val="left"/>
              <w:rPr/>
            </w:pPr>
            <w:r>
              <w:rPr/>
              <w:t> </w:t>
            </w:r>
          </w:p>
        </w:tc>
      </w:tr>
      <w:tr>
        <w:trPr/>
        <w:tc>
          <w:tcPr>
            <w:tcW w:w="6228"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Amortization of premiums and accretion of discounts on</w:t>
              <w:br/>
              <w:t>   available-for-sale securities, net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(266</w:t>
            </w:r>
          </w:p>
        </w:tc>
        <w:tc>
          <w:tcPr>
            <w:tcW w:w="1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9"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(331</w:t>
            </w:r>
          </w:p>
        </w:tc>
        <w:tc>
          <w:tcPr>
            <w:tcW w:w="1335" w:type="dxa"/>
            <w:tcBorders/>
            <w:shd w:fill="CFF0FC" w:val="cle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228"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Loss on disposal of equipment</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81"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color w:val="000000"/>
              </w:rPr>
            </w:pPr>
            <w:r>
              <w:rPr>
                <w:color w:val="000000"/>
              </w:rPr>
              <w:t>—</w:t>
            </w:r>
          </w:p>
        </w:tc>
        <w:tc>
          <w:tcPr>
            <w:tcW w:w="1335" w:type="dxa"/>
            <w:tcBorders/>
            <w:shd w:fill="FFFFFF" w:val="clear"/>
            <w:vAlign w:val="center"/>
          </w:tcPr>
          <w:p>
            <w:pPr>
              <w:pStyle w:val="TableContents"/>
              <w:bidi w:val="0"/>
              <w:spacing w:before="0" w:after="283"/>
              <w:ind w:left="0" w:right="0" w:firstLine="560"/>
              <w:jc w:val="left"/>
              <w:rPr/>
            </w:pPr>
            <w:r>
              <w:rPr/>
              <w:t> </w:t>
            </w:r>
          </w:p>
        </w:tc>
      </w:tr>
      <w:tr>
        <w:trPr/>
        <w:tc>
          <w:tcPr>
            <w:tcW w:w="6228"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1053" w:type="dxa"/>
            <w:gridSpan w:val="2"/>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1103" w:type="dxa"/>
            <w:gridSpan w:val="2"/>
            <w:tcBorders/>
            <w:shd w:fill="CFF0FC" w:val="clear"/>
            <w:vAlign w:val="center"/>
          </w:tcPr>
          <w:p>
            <w:pPr>
              <w:pStyle w:val="TableContents"/>
              <w:bidi w:val="0"/>
              <w:spacing w:before="0" w:after="283"/>
              <w:jc w:val="right"/>
              <w:rPr/>
            </w:pPr>
            <w:r>
              <w:rPr/>
              <w:t> </w:t>
            </w:r>
          </w:p>
        </w:tc>
        <w:tc>
          <w:tcPr>
            <w:tcW w:w="1335" w:type="dxa"/>
            <w:tcBorders/>
            <w:shd w:fill="CFF0FC" w:val="clear"/>
            <w:vAlign w:val="center"/>
          </w:tcPr>
          <w:p>
            <w:pPr>
              <w:pStyle w:val="TableContents"/>
              <w:bidi w:val="0"/>
              <w:spacing w:before="0" w:after="283"/>
              <w:ind w:left="0" w:right="0" w:firstLine="840"/>
              <w:jc w:val="right"/>
              <w:rPr/>
            </w:pPr>
            <w:r>
              <w:rPr/>
              <w:t> </w:t>
            </w:r>
          </w:p>
        </w:tc>
      </w:tr>
      <w:tr>
        <w:trPr/>
        <w:tc>
          <w:tcPr>
            <w:tcW w:w="6228" w:type="dxa"/>
            <w:tcBorders/>
            <w:shd w:fill="FFFFFF" w:val="clear"/>
            <w:vAlign w:val="center"/>
          </w:tcPr>
          <w:p>
            <w:pPr>
              <w:pStyle w:val="TableContents"/>
              <w:bidi w:val="0"/>
              <w:spacing w:before="0" w:after="283"/>
              <w:ind w:left="840" w:right="0" w:firstLine="840"/>
              <w:jc w:val="left"/>
              <w:rPr>
                <w:rFonts w:ascii="Arial" w:hAnsi="Arial"/>
                <w:color w:val="000000"/>
                <w:sz w:val="20"/>
              </w:rPr>
            </w:pPr>
            <w:r>
              <w:rPr>
                <w:rFonts w:ascii="Arial" w:hAnsi="Arial"/>
                <w:color w:val="000000"/>
                <w:sz w:val="20"/>
              </w:rPr>
              <w:t>Unbilled grant receivable</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color w:val="000000"/>
              </w:rPr>
            </w:pPr>
            <w:r>
              <w:rPr>
                <w:color w:val="000000"/>
              </w:rPr>
              <w:t>—</w:t>
            </w:r>
          </w:p>
        </w:tc>
        <w:tc>
          <w:tcPr>
            <w:tcW w:w="181"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1,227</w:t>
            </w:r>
          </w:p>
        </w:tc>
        <w:tc>
          <w:tcPr>
            <w:tcW w:w="1335" w:type="dxa"/>
            <w:tcBorders/>
            <w:shd w:fill="FFFFFF" w:val="clear"/>
            <w:vAlign w:val="center"/>
          </w:tcPr>
          <w:p>
            <w:pPr>
              <w:pStyle w:val="TableContents"/>
              <w:bidi w:val="0"/>
              <w:spacing w:before="0" w:after="283"/>
              <w:ind w:left="0" w:right="0" w:firstLine="840"/>
              <w:jc w:val="left"/>
              <w:rPr/>
            </w:pPr>
            <w:r>
              <w:rPr/>
              <w:t> </w:t>
            </w:r>
          </w:p>
        </w:tc>
      </w:tr>
      <w:tr>
        <w:trPr/>
        <w:tc>
          <w:tcPr>
            <w:tcW w:w="6228" w:type="dxa"/>
            <w:tcBorders/>
            <w:shd w:fill="CFF0FC" w:val="clear"/>
            <w:vAlign w:val="center"/>
          </w:tcPr>
          <w:p>
            <w:pPr>
              <w:pStyle w:val="TableContents"/>
              <w:bidi w:val="0"/>
              <w:spacing w:before="0" w:after="283"/>
              <w:ind w:left="840" w:right="0" w:firstLine="840"/>
              <w:jc w:val="left"/>
              <w:rPr>
                <w:rFonts w:ascii="Arial" w:hAnsi="Arial"/>
                <w:color w:val="000000"/>
                <w:sz w:val="20"/>
              </w:rPr>
            </w:pPr>
            <w:r>
              <w:rPr>
                <w:rFonts w:ascii="Arial" w:hAnsi="Arial"/>
                <w:color w:val="000000"/>
                <w:sz w:val="20"/>
              </w:rPr>
              <w:t>Prepaid expenses and other current and long-term assets, net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1,155</w:t>
            </w:r>
          </w:p>
        </w:tc>
        <w:tc>
          <w:tcPr>
            <w:tcW w:w="181"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(970</w:t>
            </w:r>
          </w:p>
        </w:tc>
        <w:tc>
          <w:tcPr>
            <w:tcW w:w="1335" w:type="dxa"/>
            <w:tcBorders/>
            <w:shd w:fill="CFF0FC" w:val="cle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w:t>
            </w:r>
          </w:p>
        </w:tc>
      </w:tr>
      <w:tr>
        <w:trPr/>
        <w:tc>
          <w:tcPr>
            <w:tcW w:w="6228" w:type="dxa"/>
            <w:tcBorders/>
            <w:shd w:fill="FFFFFF" w:val="clear"/>
            <w:vAlign w:val="center"/>
          </w:tcPr>
          <w:p>
            <w:pPr>
              <w:pStyle w:val="TableContents"/>
              <w:bidi w:val="0"/>
              <w:spacing w:before="0" w:after="283"/>
              <w:ind w:left="840" w:right="0" w:firstLine="840"/>
              <w:jc w:val="left"/>
              <w:rPr>
                <w:rFonts w:ascii="Arial" w:hAnsi="Arial"/>
                <w:color w:val="000000"/>
                <w:sz w:val="20"/>
              </w:rPr>
            </w:pPr>
            <w:r>
              <w:rPr>
                <w:rFonts w:ascii="Arial" w:hAnsi="Arial"/>
                <w:color w:val="000000"/>
                <w:sz w:val="20"/>
              </w:rPr>
              <w:t>Accounts payable and accrued liabilities</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(3,254</w:t>
            </w:r>
          </w:p>
        </w:tc>
        <w:tc>
          <w:tcPr>
            <w:tcW w:w="1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9"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(1,292</w:t>
            </w:r>
          </w:p>
        </w:tc>
        <w:tc>
          <w:tcPr>
            <w:tcW w:w="1335" w:type="dxa"/>
            <w:tcBorders/>
            <w:shd w:fill="FFFFFF" w:val="cle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w:t>
            </w:r>
          </w:p>
        </w:tc>
      </w:tr>
      <w:tr>
        <w:trPr/>
        <w:tc>
          <w:tcPr>
            <w:tcW w:w="6228" w:type="dxa"/>
            <w:tcBorders/>
            <w:shd w:fill="CFF0FC" w:val="clear"/>
            <w:vAlign w:val="center"/>
          </w:tcPr>
          <w:p>
            <w:pPr>
              <w:pStyle w:val="TableContents"/>
              <w:bidi w:val="0"/>
              <w:spacing w:before="0" w:after="283"/>
              <w:ind w:left="840" w:right="0" w:firstLine="840"/>
              <w:jc w:val="left"/>
              <w:rPr>
                <w:rFonts w:ascii="Arial" w:hAnsi="Arial"/>
                <w:color w:val="000000"/>
                <w:sz w:val="20"/>
              </w:rPr>
            </w:pPr>
            <w:r>
              <w:rPr>
                <w:rFonts w:ascii="Arial" w:hAnsi="Arial"/>
                <w:color w:val="000000"/>
                <w:sz w:val="20"/>
              </w:rPr>
              <w:t>Operating lease liability</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w:t>
            </w:r>
          </w:p>
        </w:tc>
        <w:tc>
          <w:tcPr>
            <w:tcW w:w="133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120"/>
              <w:jc w:val="left"/>
              <w:rPr>
                <w:rFonts w:ascii="Arial" w:hAnsi="Arial"/>
                <w:color w:val="000000"/>
                <w:sz w:val="20"/>
              </w:rPr>
            </w:pPr>
            <w:r>
              <w:rPr>
                <w:rFonts w:ascii="Arial" w:hAnsi="Arial"/>
                <w:color w:val="000000"/>
                <w:sz w:val="20"/>
              </w:rPr>
              <w:t>)</w:t>
            </w:r>
          </w:p>
        </w:tc>
      </w:tr>
      <w:tr>
        <w:trPr/>
        <w:tc>
          <w:tcPr>
            <w:tcW w:w="6228" w:type="dxa"/>
            <w:tcBorders/>
            <w:shd w:fill="FFFFFF" w:val="clear"/>
            <w:vAlign w:val="center"/>
          </w:tcPr>
          <w:p>
            <w:pPr>
              <w:pStyle w:val="TableContents"/>
              <w:bidi w:val="0"/>
              <w:spacing w:before="0" w:after="283"/>
              <w:ind w:left="1120" w:right="0" w:firstLine="1120"/>
              <w:jc w:val="left"/>
              <w:rPr>
                <w:rFonts w:ascii="Arial" w:hAnsi="Arial"/>
                <w:color w:val="000000"/>
                <w:sz w:val="20"/>
              </w:rPr>
            </w:pPr>
            <w:r>
              <w:rPr>
                <w:rFonts w:ascii="Arial" w:hAnsi="Arial"/>
                <w:color w:val="000000"/>
                <w:sz w:val="20"/>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(25,804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(26,194</w:t>
            </w:r>
          </w:p>
        </w:tc>
        <w:tc>
          <w:tcPr>
            <w:tcW w:w="1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228"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1053" w:type="dxa"/>
            <w:gridSpan w:val="2"/>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1103" w:type="dxa"/>
            <w:gridSpan w:val="2"/>
            <w:tcBorders/>
            <w:shd w:fill="CFF0FC" w:val="clear"/>
            <w:vAlign w:val="center"/>
          </w:tcPr>
          <w:p>
            <w:pPr>
              <w:pStyle w:val="TableContents"/>
              <w:bidi w:val="0"/>
              <w:spacing w:before="0" w:after="283"/>
              <w:jc w:val="right"/>
              <w:rPr/>
            </w:pPr>
            <w:r>
              <w:rPr/>
              <w:t> </w:t>
            </w:r>
          </w:p>
        </w:tc>
        <w:tc>
          <w:tcPr>
            <w:tcW w:w="1335" w:type="dxa"/>
            <w:tcBorders/>
            <w:shd w:fill="CFF0FC" w:val="clear"/>
            <w:vAlign w:val="center"/>
          </w:tcPr>
          <w:p>
            <w:pPr>
              <w:pStyle w:val="TableContents"/>
              <w:bidi w:val="0"/>
              <w:spacing w:before="0" w:after="283"/>
              <w:ind w:left="0" w:right="0" w:firstLine="280"/>
              <w:jc w:val="right"/>
              <w:rPr/>
            </w:pPr>
            <w:r>
              <w:rPr/>
              <w:t> </w:t>
            </w:r>
          </w:p>
        </w:tc>
      </w:tr>
      <w:tr>
        <w:trPr/>
        <w:tc>
          <w:tcPr>
            <w:tcW w:w="6228"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Purchases of available-for-sale securities</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(5,911</w:t>
            </w:r>
          </w:p>
        </w:tc>
        <w:tc>
          <w:tcPr>
            <w:tcW w:w="1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9"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(9,712</w:t>
            </w:r>
          </w:p>
        </w:tc>
        <w:tc>
          <w:tcPr>
            <w:tcW w:w="1335"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228"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Maturities of available-for-sale securities</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18,957</w:t>
            </w:r>
          </w:p>
        </w:tc>
        <w:tc>
          <w:tcPr>
            <w:tcW w:w="181"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45,475</w:t>
            </w:r>
          </w:p>
        </w:tc>
        <w:tc>
          <w:tcPr>
            <w:tcW w:w="1335" w:type="dxa"/>
            <w:tcBorders/>
            <w:shd w:fill="CFF0FC" w:val="clear"/>
            <w:vAlign w:val="center"/>
          </w:tcPr>
          <w:p>
            <w:pPr>
              <w:pStyle w:val="TableContents"/>
              <w:bidi w:val="0"/>
              <w:spacing w:before="0" w:after="283"/>
              <w:ind w:left="0" w:right="0" w:firstLine="280"/>
              <w:jc w:val="left"/>
              <w:rPr/>
            </w:pPr>
            <w:r>
              <w:rPr/>
              <w:t> </w:t>
            </w:r>
          </w:p>
        </w:tc>
      </w:tr>
      <w:tr>
        <w:trPr/>
        <w:tc>
          <w:tcPr>
            <w:tcW w:w="6228"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Purchases of property and equipment</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w:t>
            </w:r>
          </w:p>
        </w:tc>
        <w:tc>
          <w:tcPr>
            <w:tcW w:w="133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120"/>
              <w:jc w:val="left"/>
              <w:rPr>
                <w:rFonts w:ascii="Arial" w:hAnsi="Arial"/>
                <w:color w:val="000000"/>
                <w:sz w:val="20"/>
              </w:rPr>
            </w:pPr>
            <w:r>
              <w:rPr>
                <w:rFonts w:ascii="Arial" w:hAnsi="Arial"/>
                <w:color w:val="000000"/>
                <w:sz w:val="20"/>
              </w:rPr>
              <w:t>)</w:t>
            </w:r>
          </w:p>
        </w:tc>
      </w:tr>
      <w:tr>
        <w:trPr/>
        <w:tc>
          <w:tcPr>
            <w:tcW w:w="6228" w:type="dxa"/>
            <w:tcBorders/>
            <w:shd w:fill="CFF0FC" w:val="clear"/>
            <w:vAlign w:val="center"/>
          </w:tcPr>
          <w:p>
            <w:pPr>
              <w:pStyle w:val="TableContents"/>
              <w:bidi w:val="0"/>
              <w:spacing w:before="0" w:after="283"/>
              <w:ind w:left="1120" w:right="0" w:firstLine="1120"/>
              <w:jc w:val="left"/>
              <w:rPr>
                <w:rFonts w:ascii="Arial" w:hAnsi="Arial"/>
                <w:color w:val="000000"/>
                <w:sz w:val="20"/>
              </w:rPr>
            </w:pPr>
            <w:r>
              <w:rPr>
                <w:rFonts w:ascii="Arial" w:hAnsi="Arial"/>
                <w:color w:val="000000"/>
                <w:sz w:val="20"/>
              </w:rPr>
              <w:t>Net cash provided by investing activities</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13,041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35,522</w:t>
            </w:r>
          </w:p>
        </w:tc>
        <w:tc>
          <w:tcPr>
            <w:tcW w:w="1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28"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1053" w:type="dxa"/>
            <w:gridSpan w:val="2"/>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1103" w:type="dxa"/>
            <w:gridSpan w:val="2"/>
            <w:tcBorders/>
            <w:shd w:fill="FFFFFF" w:val="clear"/>
            <w:vAlign w:val="center"/>
          </w:tcPr>
          <w:p>
            <w:pPr>
              <w:pStyle w:val="TableContents"/>
              <w:bidi w:val="0"/>
              <w:spacing w:before="0" w:after="283"/>
              <w:jc w:val="right"/>
              <w:rPr/>
            </w:pPr>
            <w:r>
              <w:rPr/>
              <w:t> </w:t>
            </w:r>
          </w:p>
        </w:tc>
        <w:tc>
          <w:tcPr>
            <w:tcW w:w="1335" w:type="dxa"/>
            <w:tcBorders/>
            <w:shd w:fill="FFFFFF" w:val="clear"/>
            <w:vAlign w:val="center"/>
          </w:tcPr>
          <w:p>
            <w:pPr>
              <w:pStyle w:val="TableContents"/>
              <w:bidi w:val="0"/>
              <w:spacing w:before="0" w:after="283"/>
              <w:ind w:left="0" w:right="0" w:firstLine="280"/>
              <w:jc w:val="right"/>
              <w:rPr/>
            </w:pPr>
            <w:r>
              <w:rPr/>
              <w:t> </w:t>
            </w:r>
          </w:p>
        </w:tc>
      </w:tr>
      <w:tr>
        <w:trPr/>
        <w:tc>
          <w:tcPr>
            <w:tcW w:w="6228"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Proceeds from exercise of common stock options and issuance</w:t>
              <w:br/>
              <w:t>   of common stock under employee stock purchase plan</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w:t>
            </w:r>
          </w:p>
        </w:tc>
        <w:tc>
          <w:tcPr>
            <w:tcW w:w="133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120"/>
              <w:jc w:val="left"/>
              <w:rPr/>
            </w:pPr>
            <w:r>
              <w:rPr/>
              <w:t> </w:t>
            </w:r>
          </w:p>
        </w:tc>
      </w:tr>
      <w:tr>
        <w:trPr/>
        <w:tc>
          <w:tcPr>
            <w:tcW w:w="6228" w:type="dxa"/>
            <w:tcBorders/>
            <w:shd w:fill="FFFFFF" w:val="clear"/>
            <w:vAlign w:val="center"/>
          </w:tcPr>
          <w:p>
            <w:pPr>
              <w:pStyle w:val="TableContents"/>
              <w:bidi w:val="0"/>
              <w:spacing w:before="0" w:after="283"/>
              <w:ind w:left="1120" w:right="0" w:firstLine="1120"/>
              <w:jc w:val="left"/>
              <w:rPr>
                <w:rFonts w:ascii="Arial" w:hAnsi="Arial"/>
                <w:color w:val="000000"/>
                <w:sz w:val="20"/>
              </w:rPr>
            </w:pPr>
            <w:r>
              <w:rPr>
                <w:rFonts w:ascii="Arial" w:hAnsi="Arial"/>
                <w:color w:val="000000"/>
                <w:sz w:val="20"/>
              </w:rPr>
              <w:t>Net cash provided by financing activities</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w:t>
            </w:r>
          </w:p>
        </w:tc>
        <w:tc>
          <w:tcPr>
            <w:tcW w:w="1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2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(decrease) increase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(12,763</w:t>
            </w:r>
          </w:p>
        </w:tc>
        <w:tc>
          <w:tcPr>
            <w:tcW w:w="1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9"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9,427</w:t>
            </w:r>
          </w:p>
        </w:tc>
        <w:tc>
          <w:tcPr>
            <w:tcW w:w="1335" w:type="dxa"/>
            <w:tcBorders/>
            <w:shd w:fill="CFF0FC" w:val="clear"/>
            <w:vAlign w:val="center"/>
          </w:tcPr>
          <w:p>
            <w:pPr>
              <w:pStyle w:val="TableContents"/>
              <w:bidi w:val="0"/>
              <w:spacing w:before="0" w:after="283"/>
              <w:jc w:val="left"/>
              <w:rPr/>
            </w:pPr>
            <w:r>
              <w:rPr/>
              <w:t> </w:t>
            </w:r>
          </w:p>
        </w:tc>
      </w:tr>
      <w:tr>
        <w:trPr/>
        <w:tc>
          <w:tcPr>
            <w:tcW w:w="622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cash equivalents and restricted cash, beginning of period</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91,215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96,386</w:t>
            </w:r>
          </w:p>
        </w:tc>
        <w:tc>
          <w:tcPr>
            <w:tcW w:w="1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2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cash equivalents and restricted cash, end of period</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78,452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105,813</w:t>
            </w:r>
          </w:p>
        </w:tc>
        <w:tc>
          <w:tcPr>
            <w:tcW w:w="1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Arial" w:hAnsi="Arial"/>
          <w:i/>
          <w:color w:val="000000"/>
          <w:sz w:val="20"/>
        </w:rPr>
      </w:pPr>
      <w:r>
        <w:rPr>
          <w:rFonts w:ascii="Arial" w:hAnsi="Arial"/>
          <w:i/>
          <w:color w:val="000000"/>
          <w:sz w:val="20"/>
        </w:rPr>
        <w:t>The accompanying notes are an integral part of these unaudited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ATHIRA PHARMA, INC.</w:t>
      </w:r>
    </w:p>
    <w:p>
      <w:pPr>
        <w:pStyle w:val="TextBody"/>
        <w:bidi w:val="0"/>
        <w:jc w:val="center"/>
        <w:rPr>
          <w:rFonts w:ascii="Arial" w:hAnsi="Arial"/>
          <w:b/>
          <w:color w:val="000000"/>
          <w:sz w:val="20"/>
        </w:rPr>
      </w:pPr>
      <w:bookmarkStart w:id="8" w:name="notes_to_unaudited_condensed_consolidate"/>
      <w:bookmarkEnd w:id="8"/>
      <w:r>
        <w:rPr>
          <w:rFonts w:ascii="Arial" w:hAnsi="Arial"/>
          <w:b/>
          <w:color w:val="000000"/>
          <w:sz w:val="20"/>
        </w:rPr>
        <w:t>Notes to Unaudited Condensed Consolidated Financial Statements</w:t>
      </w:r>
    </w:p>
    <w:p>
      <w:pPr>
        <w:pStyle w:val="TextBody"/>
        <w:bidi w:val="0"/>
        <w:spacing w:before="240" w:after="283"/>
        <w:jc w:val="both"/>
        <w:rPr>
          <w:rFonts w:ascii="Arial" w:hAnsi="Arial"/>
          <w:b/>
          <w:color w:val="000000"/>
          <w:sz w:val="20"/>
        </w:rPr>
      </w:pPr>
      <w:r>
        <w:rPr>
          <w:rFonts w:ascii="Arial" w:hAnsi="Arial"/>
          <w:b/>
          <w:color w:val="000000"/>
          <w:sz w:val="20"/>
        </w:rPr>
        <w:t>1. Description of Business</w:t>
      </w:r>
    </w:p>
    <w:p>
      <w:pPr>
        <w:pStyle w:val="TextBody"/>
        <w:bidi w:val="0"/>
        <w:spacing w:before="280" w:after="283"/>
        <w:jc w:val="both"/>
        <w:rPr>
          <w:rFonts w:ascii="Arial" w:hAnsi="Arial"/>
          <w:b/>
          <w:i/>
          <w:color w:val="000000"/>
          <w:sz w:val="20"/>
        </w:rPr>
      </w:pPr>
      <w:r>
        <w:rPr>
          <w:rFonts w:ascii="Arial" w:hAnsi="Arial"/>
          <w:b/>
          <w:i/>
          <w:color w:val="000000"/>
          <w:sz w:val="20"/>
        </w:rPr>
        <w:t>Organization</w:t>
      </w:r>
    </w:p>
    <w:p>
      <w:pPr>
        <w:pStyle w:val="TextBody"/>
        <w:bidi w:val="0"/>
        <w:spacing w:before="280" w:after="283"/>
        <w:jc w:val="both"/>
        <w:rPr>
          <w:rFonts w:ascii="Times New Roman" w:hAnsi="Times New Roman"/>
          <w:sz w:val="20"/>
        </w:rPr>
      </w:pPr>
      <w:r>
        <w:rPr>
          <w:rFonts w:ascii="Arial" w:hAnsi="Arial"/>
          <w:color w:val="000000"/>
          <w:sz w:val="20"/>
        </w:rPr>
        <w:t>Athira Pharma, Inc. (the “Company”) was incorporated as M3 Biotechnology, Inc. in the state of Washington on March 31, 2011</w:t>
      </w:r>
      <w:r>
        <w:rPr>
          <w:rFonts w:ascii="Times New Roman" w:hAnsi="Times New Roman"/>
          <w:color w:val="000000"/>
          <w:sz w:val="20"/>
        </w:rPr>
        <w:t xml:space="preserve"> </w:t>
      </w:r>
      <w:r>
        <w:rPr>
          <w:rFonts w:ascii="Arial" w:hAnsi="Arial"/>
          <w:color w:val="000000"/>
          <w:sz w:val="20"/>
        </w:rPr>
        <w:t>and reincorporated in the state of Delaware on October 27, 2015. In April 2019, the Company changed its name to Athira Pharma, Inc. The Company currently has office and laboratory space in Bothell, Washington. The Company is a late clinical-stage biopharmaceutical company focused on developing small molecules to restore neuronal health and slow neurodegeneration.</w:t>
      </w:r>
    </w:p>
    <w:p>
      <w:pPr>
        <w:pStyle w:val="TextBody"/>
        <w:bidi w:val="0"/>
        <w:spacing w:before="280" w:after="283"/>
        <w:jc w:val="both"/>
        <w:rPr>
          <w:rFonts w:ascii="Arial" w:hAnsi="Arial"/>
          <w:b/>
          <w:i/>
          <w:color w:val="000000"/>
          <w:sz w:val="20"/>
        </w:rPr>
      </w:pPr>
      <w:r>
        <w:rPr>
          <w:rFonts w:ascii="Arial" w:hAnsi="Arial"/>
          <w:b/>
          <w:i/>
          <w:color w:val="000000"/>
          <w:sz w:val="20"/>
        </w:rPr>
        <w:t>Liquidity and Capital Resources</w:t>
      </w:r>
    </w:p>
    <w:p>
      <w:pPr>
        <w:pStyle w:val="TextBody"/>
        <w:bidi w:val="0"/>
        <w:spacing w:before="280" w:after="283"/>
        <w:jc w:val="both"/>
        <w:rPr>
          <w:rFonts w:ascii="Times New Roman" w:hAnsi="Times New Roman"/>
          <w:sz w:val="20"/>
        </w:rPr>
      </w:pPr>
      <w:r>
        <w:rPr>
          <w:rFonts w:ascii="Arial" w:hAnsi="Arial"/>
          <w:color w:val="000000"/>
          <w:sz w:val="20"/>
        </w:rPr>
        <w:t>Since the Company’s inception, it has funded its operations primarily with proceeds from the sale and issuance of common stock, convertible preferred stock, common stock warrants, and convertible notes, and to a lesser extent from grant income and stock option exercises. From the Company’s inception through March 31, 2024, it has raised aggregate net cash proceeds of $407.4</w:t>
      </w:r>
      <w:r>
        <w:rPr>
          <w:rFonts w:ascii="Times New Roman" w:hAnsi="Times New Roman"/>
          <w:color w:val="000000"/>
          <w:sz w:val="20"/>
        </w:rPr>
        <w:t xml:space="preserve"> </w:t>
      </w:r>
      <w:r>
        <w:rPr>
          <w:rFonts w:ascii="Arial" w:hAnsi="Arial"/>
          <w:color w:val="000000"/>
          <w:sz w:val="20"/>
        </w:rPr>
        <w:t>million primarily from the issuance of its common stock (excluding option exercises), convertible preferred stock, common stock warrants, and convertible notes.</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Arial" w:hAnsi="Arial"/>
          <w:color w:val="000000"/>
          <w:sz w:val="20"/>
        </w:rPr>
        <w:t>As of March 31, 2024, the Company had cash, cash equivalents and investments of $122.1</w:t>
      </w:r>
      <w:r>
        <w:rPr>
          <w:rFonts w:ascii="Times New Roman" w:hAnsi="Times New Roman"/>
          <w:color w:val="000000"/>
          <w:sz w:val="20"/>
        </w:rPr>
        <w:t xml:space="preserve"> </w:t>
      </w:r>
      <w:r>
        <w:rPr>
          <w:rFonts w:ascii="Arial" w:hAnsi="Arial"/>
          <w:color w:val="000000"/>
          <w:sz w:val="20"/>
        </w:rPr>
        <w:t>million. The Company’s loss for the quarter ended March 31, 2024 was $26.3</w:t>
      </w:r>
      <w:r>
        <w:rPr>
          <w:rFonts w:ascii="Times New Roman" w:hAnsi="Times New Roman"/>
          <w:color w:val="000000"/>
          <w:sz w:val="20"/>
        </w:rPr>
        <w:t xml:space="preserve"> </w:t>
      </w:r>
      <w:r>
        <w:rPr>
          <w:rFonts w:ascii="Arial" w:hAnsi="Arial"/>
          <w:color w:val="000000"/>
          <w:sz w:val="20"/>
        </w:rPr>
        <w:t>million and cash used in operations for the three months ended March 31, 2024 was $25.8</w:t>
      </w:r>
      <w:r>
        <w:rPr>
          <w:rFonts w:ascii="Times New Roman" w:hAnsi="Times New Roman"/>
          <w:color w:val="000000"/>
          <w:sz w:val="20"/>
        </w:rPr>
        <w:t xml:space="preserve"> </w:t>
      </w:r>
      <w:r>
        <w:rPr>
          <w:rFonts w:ascii="Arial" w:hAnsi="Arial"/>
          <w:color w:val="000000"/>
          <w:sz w:val="20"/>
        </w:rPr>
        <w:t>million. Since the Company’s inception, it has devoted substantially all of its resources to its research and development efforts such as small molecule compound discovery, nonclinical studies and clinical trials, as well as manufacturing activities, establishing and maintaining the Company’s intellectual property portfolio, hiring personnel, raising capital, and providing general and administrative support for these operations.</w:t>
      </w:r>
    </w:p>
    <w:p>
      <w:pPr>
        <w:pStyle w:val="TextBody"/>
        <w:bidi w:val="0"/>
        <w:spacing w:before="280" w:after="283"/>
        <w:jc w:val="both"/>
        <w:rPr>
          <w:rFonts w:ascii="Times New Roman" w:hAnsi="Times New Roman"/>
          <w:sz w:val="20"/>
        </w:rPr>
      </w:pPr>
      <w:r>
        <w:rPr>
          <w:rFonts w:ascii="Arial" w:hAnsi="Arial"/>
          <w:color w:val="000000"/>
          <w:sz w:val="20"/>
        </w:rPr>
        <w:t>Based upon the Company’s current operating plan, it estimates that its $122.1</w:t>
      </w:r>
      <w:r>
        <w:rPr>
          <w:rFonts w:ascii="Times New Roman" w:hAnsi="Times New Roman"/>
          <w:color w:val="000000"/>
          <w:sz w:val="20"/>
        </w:rPr>
        <w:t xml:space="preserve"> </w:t>
      </w:r>
      <w:r>
        <w:rPr>
          <w:rFonts w:ascii="Arial" w:hAnsi="Arial"/>
          <w:color w:val="000000"/>
          <w:sz w:val="20"/>
        </w:rPr>
        <w:t>million of cash, cash equivalents and investments at March 31, 2024</w:t>
      </w:r>
      <w:r>
        <w:rPr>
          <w:rFonts w:ascii="Times New Roman" w:hAnsi="Times New Roman"/>
          <w:color w:val="000000"/>
          <w:sz w:val="20"/>
        </w:rPr>
        <w:t xml:space="preserve"> </w:t>
      </w:r>
      <w:r>
        <w:rPr>
          <w:rFonts w:ascii="Arial" w:hAnsi="Arial"/>
          <w:color w:val="000000"/>
          <w:sz w:val="20"/>
        </w:rPr>
        <w:t>will be sufficient to fund its operating expenses and capital expenditure requirements through at least the 12 months following the date of this report. Historically, the Company has incurred net losses from continuing operations and negative operating cash flows. The Company has not yet established an ongoing source of revenue sufficient to cover its operating costs; therefore, the Company will need to continue to raise additional capital to accomplish its operating plan. The Company has a sales agreement in place with Cantor Fitzgerald &amp; Co., or Cantor Fitzgerald, and BTIG, LLC, or BTIG, for an “at the market” equity offering facility through which it may offer and sell shares of its common stock equaling an aggregate amount up to $75.0</w:t>
      </w:r>
      <w:r>
        <w:rPr>
          <w:rFonts w:ascii="Times New Roman" w:hAnsi="Times New Roman"/>
          <w:color w:val="000000"/>
          <w:sz w:val="20"/>
        </w:rPr>
        <w:t xml:space="preserve"> </w:t>
      </w:r>
      <w:r>
        <w:rPr>
          <w:rFonts w:ascii="Arial" w:hAnsi="Arial"/>
          <w:color w:val="000000"/>
          <w:sz w:val="20"/>
        </w:rPr>
        <w:t>million. The Company has not sold any securities pursuant to this ATM offering. Should it be determined to be strategically advantageous, the Company could pursue public and private offerings of its equity securities similar to those the Company has previously completed, debt financings, or other strategic transactions, which could include income from collaboration, licensing or similar arrangements with third parties, or receiving research contributions, or grants. Should it be necessary to manage operating expenses, the Company could also reduce its projected cash requirements by delaying or terminating clinical trials, reducing selected research and development efforts, or implementing other restructuring activities.</w:t>
      </w:r>
    </w:p>
    <w:p>
      <w:pPr>
        <w:pStyle w:val="TextBody"/>
        <w:bidi w:val="0"/>
        <w:jc w:val="both"/>
        <w:rPr/>
      </w:pPr>
      <w:r>
        <w:rPr/>
        <w:t> </w:t>
      </w:r>
    </w:p>
    <w:p>
      <w:pPr>
        <w:pStyle w:val="TextBody"/>
        <w:bidi w:val="0"/>
        <w:spacing w:before="80" w:after="283"/>
        <w:jc w:val="both"/>
        <w:rPr>
          <w:rFonts w:ascii="Arial" w:hAnsi="Arial"/>
          <w:b/>
          <w:color w:val="000000"/>
          <w:sz w:val="20"/>
        </w:rPr>
      </w:pPr>
      <w:r>
        <w:rPr>
          <w:rFonts w:ascii="Arial" w:hAnsi="Arial"/>
          <w:b/>
          <w:color w:val="000000"/>
          <w:sz w:val="20"/>
        </w:rPr>
        <w:t>2. Significant Accounting Policies</w:t>
      </w:r>
    </w:p>
    <w:p>
      <w:pPr>
        <w:pStyle w:val="TextBody"/>
        <w:bidi w:val="0"/>
        <w:spacing w:before="280" w:after="283"/>
        <w:jc w:val="both"/>
        <w:rPr>
          <w:rFonts w:ascii="Arial" w:hAnsi="Arial"/>
          <w:b/>
          <w:i/>
          <w:color w:val="000000"/>
          <w:sz w:val="20"/>
        </w:rPr>
      </w:pPr>
      <w:r>
        <w:rPr>
          <w:rFonts w:ascii="Arial" w:hAnsi="Arial"/>
          <w:b/>
          <w:i/>
          <w:color w:val="000000"/>
          <w:sz w:val="20"/>
        </w:rPr>
        <w:t>Basis of Presentation</w:t>
      </w:r>
    </w:p>
    <w:p>
      <w:pPr>
        <w:pStyle w:val="TextBody"/>
        <w:bidi w:val="0"/>
        <w:spacing w:before="280" w:after="283"/>
        <w:jc w:val="both"/>
        <w:rPr>
          <w:rFonts w:ascii="Arial" w:hAnsi="Arial"/>
          <w:color w:val="000000"/>
          <w:sz w:val="20"/>
        </w:rPr>
      </w:pPr>
      <w:r>
        <w:rPr>
          <w:rFonts w:ascii="Arial" w:hAnsi="Arial"/>
          <w:color w:val="000000"/>
          <w:sz w:val="20"/>
        </w:rPr>
        <w:t>The unaudited condensed consolidated financial statements have been prepared in conformity with U.S. generally accepted accounting principles (“U.S. GAAP”). The unaudited condensed consolidated financial statements include the operations of Athira Pharma, Inc., and its wholly owned Australian subsidiary. All intercompany balances and transactions have been eliminated upon consolidation.</w:t>
      </w:r>
    </w:p>
    <w:p>
      <w:pPr>
        <w:pStyle w:val="TextBody"/>
        <w:bidi w:val="0"/>
        <w:spacing w:before="280" w:after="283"/>
        <w:jc w:val="both"/>
        <w:rPr>
          <w:rFonts w:ascii="Arial" w:hAnsi="Arial"/>
          <w:b/>
          <w:i/>
          <w:color w:val="000000"/>
          <w:sz w:val="20"/>
        </w:rPr>
      </w:pPr>
      <w:r>
        <w:rPr>
          <w:rFonts w:ascii="Arial" w:hAnsi="Arial"/>
          <w:b/>
          <w:i/>
          <w:color w:val="000000"/>
          <w:sz w:val="20"/>
        </w:rPr>
        <w:t>Unaudited Interim Condensed Consolidated Financial Statements</w:t>
      </w:r>
    </w:p>
    <w:p>
      <w:pPr>
        <w:pStyle w:val="TextBody"/>
        <w:bidi w:val="0"/>
        <w:spacing w:before="280" w:after="283"/>
        <w:jc w:val="both"/>
        <w:rPr>
          <w:rFonts w:ascii="Times New Roman" w:hAnsi="Times New Roman"/>
          <w:sz w:val="20"/>
        </w:rPr>
      </w:pPr>
      <w:r>
        <w:rPr>
          <w:rFonts w:ascii="Arial" w:hAnsi="Arial"/>
          <w:color w:val="000000"/>
          <w:sz w:val="20"/>
        </w:rPr>
        <w:t>The accompanying condensed consolidated balance sheet as of March 31, 2024, and condensed consolidated statements of operations and comprehensive loss, cash flows, and stockholders’ equity for the three months ended March 31, 2024 and 2023, are unaudited. The balance sheet as of December 31, 2023 was derived from the audited consolidated financial statements as of and for the year ended December 31, 2023. The unaudited interim condensed consolidated financial statements have been prepared on a basis consistent with the audited annual financial statements as of and for the year ended December 31, 2023, and, in the opinion of management, reflect all adjustments, consisting</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Arial" w:hAnsi="Arial"/>
          <w:color w:val="000000"/>
          <w:sz w:val="20"/>
        </w:rPr>
        <w:t>solely of normal recurring adjustments, necessary for the fair presentation of the Company’s financial position as of March 31, 2024, and the unaudited condensed consolidated results of its operations and its cash flows for the three months ended March 31, 2024 and 2023. The financial data and other information disclosed in these notes related to the three months ended March 31, 2024 and 2023 are also unaudited. The unaudited condensed consolidated results of operations for the three months ended March 31, 2024 are not necessarily indicative of the results to be expected for the full year ending December 31, 2024 or any other period. These unaudited interim condensed consolidated financial statements should be read in conjunction with the Company’s audited consolidated financial statements as of and for the year ended December 31, 2023</w:t>
      </w:r>
      <w:r>
        <w:rPr>
          <w:rFonts w:ascii="Times New Roman" w:hAnsi="Times New Roman"/>
          <w:color w:val="000000"/>
          <w:sz w:val="20"/>
        </w:rPr>
        <w:t xml:space="preserve"> </w:t>
      </w:r>
      <w:r>
        <w:rPr>
          <w:rFonts w:ascii="Arial" w:hAnsi="Arial"/>
          <w:color w:val="000000"/>
          <w:sz w:val="20"/>
        </w:rPr>
        <w:t>included in its Annual Report on Form 10-K filed with the Securities and Exchange Commission, or SEC, on February 22, 2024.</w:t>
      </w:r>
    </w:p>
    <w:p>
      <w:pPr>
        <w:pStyle w:val="TextBody"/>
        <w:bidi w:val="0"/>
        <w:spacing w:before="280" w:after="283"/>
        <w:jc w:val="both"/>
        <w:rPr>
          <w:rFonts w:ascii="Arial" w:hAnsi="Arial"/>
          <w:b/>
          <w:i/>
          <w:color w:val="000000"/>
          <w:sz w:val="20"/>
        </w:rPr>
      </w:pPr>
      <w:r>
        <w:rPr>
          <w:rFonts w:ascii="Arial" w:hAnsi="Arial"/>
          <w:b/>
          <w:i/>
          <w:color w:val="000000"/>
          <w:sz w:val="20"/>
        </w:rPr>
        <w:t>Fair Value Measurements</w:t>
      </w:r>
    </w:p>
    <w:p>
      <w:pPr>
        <w:pStyle w:val="TextBody"/>
        <w:bidi w:val="0"/>
        <w:spacing w:before="280" w:after="283"/>
        <w:jc w:val="both"/>
        <w:rPr>
          <w:rFonts w:ascii="Arial" w:hAnsi="Arial"/>
          <w:color w:val="000000"/>
          <w:sz w:val="20"/>
        </w:rPr>
      </w:pPr>
      <w:r>
        <w:rPr>
          <w:rFonts w:ascii="Arial" w:hAnsi="Arial"/>
          <w:color w:val="000000"/>
          <w:sz w:val="20"/>
        </w:rPr>
        <w:t>The carrying amounts of certain financial instruments, including cash, cash equivalents, restricted cash, investments, accounts payable and accrued expenses approximate their fair values due to the short-term nature of those amounts.</w:t>
      </w:r>
    </w:p>
    <w:p>
      <w:pPr>
        <w:pStyle w:val="TextBody"/>
        <w:bidi w:val="0"/>
        <w:spacing w:before="280" w:after="283"/>
        <w:jc w:val="both"/>
        <w:rPr>
          <w:rFonts w:ascii="Arial" w:hAnsi="Arial"/>
          <w:b/>
          <w:i/>
          <w:color w:val="000000"/>
          <w:sz w:val="20"/>
        </w:rPr>
      </w:pPr>
      <w:r>
        <w:rPr>
          <w:rFonts w:ascii="Arial" w:hAnsi="Arial"/>
          <w:b/>
          <w:i/>
          <w:color w:val="000000"/>
          <w:sz w:val="20"/>
        </w:rPr>
        <w:t>Restricted Cash</w:t>
      </w:r>
    </w:p>
    <w:p>
      <w:pPr>
        <w:pStyle w:val="TextBody"/>
        <w:bidi w:val="0"/>
        <w:spacing w:before="280" w:after="280"/>
        <w:jc w:val="both"/>
        <w:rPr>
          <w:rFonts w:ascii="Arial" w:hAnsi="Arial"/>
          <w:color w:val="000000"/>
          <w:sz w:val="20"/>
        </w:rPr>
      </w:pPr>
      <w:r>
        <w:rPr>
          <w:rFonts w:ascii="Arial" w:hAnsi="Arial"/>
          <w:color w:val="000000"/>
          <w:sz w:val="20"/>
        </w:rPr>
        <w:t>Restricted cash consists of collateral pledged in connection with the Company's corporate credit cards. The table below reconciles the balances of cash and cash equivalents and restricted cash reported on the unaudited condensed consolidated balance sheets to the balances of cash, cash equivalents and restricted cash reported on the unaudited condensed consolidated statements of cash flows.</w:t>
      </w:r>
    </w:p>
    <w:tbl>
      <w:tblPr>
        <w:tblW w:w="6587" w:type="dxa"/>
        <w:jc w:val="left"/>
        <w:tblInd w:w="0" w:type="dxa"/>
        <w:tblLayout w:type="fixed"/>
        <w:tblCellMar>
          <w:top w:w="28" w:type="dxa"/>
          <w:left w:w="28" w:type="dxa"/>
          <w:bottom w:w="28" w:type="dxa"/>
          <w:right w:w="28" w:type="dxa"/>
        </w:tblCellMar>
      </w:tblPr>
      <w:tblGrid>
        <w:gridCol w:w="3886"/>
        <w:gridCol w:w="146"/>
        <w:gridCol w:w="211"/>
        <w:gridCol w:w="691"/>
        <w:gridCol w:w="146"/>
        <w:gridCol w:w="146"/>
        <w:gridCol w:w="273"/>
        <w:gridCol w:w="897"/>
        <w:gridCol w:w="1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77,821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90,584</w:t>
            </w:r>
          </w:p>
        </w:tc>
        <w:tc>
          <w:tcPr>
            <w:tcW w:w="191" w:type="dxa"/>
            <w:tcBorders/>
            <w:shd w:fill="CFF0FC" w:val="clear"/>
            <w:vAlign w:val="center"/>
          </w:tcPr>
          <w:p>
            <w:pPr>
              <w:pStyle w:val="TableContents"/>
              <w:bidi w:val="0"/>
              <w:spacing w:before="0" w:after="283"/>
              <w:jc w:val="left"/>
              <w:rPr/>
            </w:pPr>
            <w:r>
              <w:rPr/>
              <w:t> </w:t>
            </w:r>
          </w:p>
        </w:tc>
      </w:tr>
      <w:tr>
        <w:trPr/>
        <w:tc>
          <w:tcPr>
            <w:tcW w:w="38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78,452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91,215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80" w:after="283"/>
        <w:jc w:val="both"/>
        <w:rPr>
          <w:rFonts w:ascii="Arial" w:hAnsi="Arial"/>
          <w:b/>
          <w:i/>
          <w:color w:val="000000"/>
          <w:sz w:val="20"/>
        </w:rPr>
      </w:pPr>
      <w:r>
        <w:rPr>
          <w:rFonts w:ascii="Arial" w:hAnsi="Arial"/>
          <w:b/>
          <w:i/>
          <w:color w:val="000000"/>
          <w:sz w:val="20"/>
        </w:rPr>
        <w:t>Short-term Investments</w:t>
      </w:r>
    </w:p>
    <w:p>
      <w:pPr>
        <w:pStyle w:val="TextBody"/>
        <w:bidi w:val="0"/>
        <w:spacing w:before="280" w:after="283"/>
        <w:jc w:val="both"/>
        <w:rPr>
          <w:rFonts w:ascii="Times New Roman" w:hAnsi="Times New Roman"/>
          <w:sz w:val="20"/>
        </w:rPr>
      </w:pPr>
      <w:r>
        <w:rPr>
          <w:rFonts w:ascii="Arial" w:hAnsi="Arial"/>
          <w:color w:val="000000"/>
          <w:sz w:val="20"/>
        </w:rPr>
        <w:t>The Company generally invests its excess cash in investment grade short- to intermediate-term fixed income securities. Such investments are included in cash and cash equivalents, and short-term investments on the unaudited condensed consolidated balance sheets, classified as available-for-sale, and reported at fair value with unrealized gains and losses included in accumulated other comprehensive loss. Amortization and accretion are included in other income, net. Realized gains and losses on the sale of these securities are recognized in other income, net.</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The Company periodically evaluates whether declines in fair values of its investments below their book value are due to expected credit losses, as well as the Company's ability and intent to hold the investment until a forecasted recovery occurs. Expected credit losses are recorded as an allowance through other income, net.</w:t>
      </w:r>
    </w:p>
    <w:p>
      <w:pPr>
        <w:pStyle w:val="TextBody"/>
        <w:bidi w:val="0"/>
        <w:spacing w:before="280" w:after="283"/>
        <w:jc w:val="both"/>
        <w:rPr>
          <w:rFonts w:ascii="Arial" w:hAnsi="Arial"/>
          <w:b/>
          <w:i/>
          <w:color w:val="000000"/>
          <w:sz w:val="20"/>
        </w:rPr>
      </w:pPr>
      <w:r>
        <w:rPr>
          <w:rFonts w:ascii="Arial" w:hAnsi="Arial"/>
          <w:b/>
          <w:i/>
          <w:color w:val="000000"/>
          <w:sz w:val="20"/>
        </w:rPr>
        <w:t>Use of Estimates</w:t>
      </w:r>
    </w:p>
    <w:p>
      <w:pPr>
        <w:pStyle w:val="TextBody"/>
        <w:bidi w:val="0"/>
        <w:spacing w:before="280" w:after="283"/>
        <w:jc w:val="both"/>
        <w:rPr>
          <w:rFonts w:ascii="Arial" w:hAnsi="Arial"/>
          <w:color w:val="000000"/>
          <w:sz w:val="20"/>
        </w:rPr>
      </w:pPr>
      <w:r>
        <w:rPr>
          <w:rFonts w:ascii="Arial" w:hAnsi="Arial"/>
          <w:color w:val="000000"/>
          <w:sz w:val="20"/>
        </w:rPr>
        <w:t>The 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expenses during the reporting period. Estimates include those used for fair value of assets and liabilities, accrued liabilities, valuation allowance for deferred tax assets, and stock-based compensation. Management evaluates related assumptions on an ongoing basis using historical experience and other factors and adjusts those estimates and assumptions when facts and circumstances dictate. Actual results could differ from those estimates.</w:t>
      </w:r>
    </w:p>
    <w:p>
      <w:pPr>
        <w:pStyle w:val="TextBody"/>
        <w:bidi w:val="0"/>
        <w:spacing w:before="280" w:after="283"/>
        <w:jc w:val="both"/>
        <w:rPr>
          <w:rFonts w:ascii="Arial" w:hAnsi="Arial"/>
          <w:b/>
          <w:i/>
          <w:color w:val="000000"/>
          <w:sz w:val="20"/>
        </w:rPr>
      </w:pPr>
      <w:r>
        <w:rPr>
          <w:rFonts w:ascii="Arial" w:hAnsi="Arial"/>
          <w:b/>
          <w:i/>
          <w:color w:val="000000"/>
          <w:sz w:val="20"/>
        </w:rPr>
        <w:t>Research and Development Expenses</w:t>
      </w:r>
    </w:p>
    <w:p>
      <w:pPr>
        <w:pStyle w:val="TextBody"/>
        <w:bidi w:val="0"/>
        <w:spacing w:before="280" w:after="283"/>
        <w:jc w:val="both"/>
        <w:rPr>
          <w:rFonts w:ascii="Arial" w:hAnsi="Arial"/>
          <w:color w:val="000000"/>
          <w:sz w:val="20"/>
        </w:rPr>
      </w:pPr>
      <w:r>
        <w:rPr>
          <w:rFonts w:ascii="Arial" w:hAnsi="Arial"/>
          <w:color w:val="000000"/>
          <w:sz w:val="20"/>
        </w:rPr>
        <w:t>Research and development expenses consist primarily of direct and indirect costs incurred for research activities, including development of the pipeline from the Company’s drug discovery efforts and the development of its drug candidates. Direct costs include laboratory materials and supplies, contracted research and manufacturing, clinical trial costs, consulting fees, and other expenses incurred to sustain the Company’s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pStyle w:val="TextBody"/>
        <w:bidi w:val="0"/>
        <w:spacing w:before="24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color w:val="000000"/>
          <w:sz w:val="20"/>
        </w:rPr>
      </w:pPr>
      <w:r>
        <w:rPr>
          <w:rFonts w:ascii="Arial" w:hAnsi="Arial"/>
          <w:color w:val="000000"/>
          <w:sz w:val="20"/>
        </w:rPr>
        <w:t>Research and development costs are expensed as incurred. In-licensing fees and other costs to acquire technologies used in research and development that have not yet received regulatory approval and that are not expected to have an alternative future use are expensed when incurred. Non-refundable advance payments for goods and services that will be used over time for research and development are capitalized and recognized as goods are delivered or as the related services are performed. The Company estimates the period over which such services will be performed and the level of effort to be expended in each period. If actual timing of performance or the level of effort varies from the estimate, the Company adjusts the amounts recorded accordingly. The Company has not experienced any material differences between accrued or prepaid costs and actual costs since inception.</w:t>
      </w:r>
    </w:p>
    <w:p>
      <w:pPr>
        <w:pStyle w:val="TextBody"/>
        <w:bidi w:val="0"/>
        <w:spacing w:before="280" w:after="283"/>
        <w:jc w:val="both"/>
        <w:rPr>
          <w:rFonts w:ascii="Arial" w:hAnsi="Arial"/>
          <w:b/>
          <w:i/>
          <w:color w:val="000000"/>
          <w:sz w:val="20"/>
        </w:rPr>
      </w:pPr>
      <w:r>
        <w:rPr>
          <w:rFonts w:ascii="Arial" w:hAnsi="Arial"/>
          <w:b/>
          <w:i/>
          <w:color w:val="000000"/>
          <w:sz w:val="20"/>
        </w:rPr>
        <w:t>General and Administrative Expenses</w:t>
      </w:r>
    </w:p>
    <w:p>
      <w:pPr>
        <w:pStyle w:val="TextBody"/>
        <w:bidi w:val="0"/>
        <w:spacing w:before="280" w:after="283"/>
        <w:jc w:val="both"/>
        <w:rPr>
          <w:rFonts w:ascii="Arial" w:hAnsi="Arial"/>
          <w:color w:val="000000"/>
          <w:sz w:val="20"/>
        </w:rPr>
      </w:pPr>
      <w:r>
        <w:rPr>
          <w:rFonts w:ascii="Arial" w:hAnsi="Arial"/>
          <w:color w:val="000000"/>
          <w:sz w:val="20"/>
        </w:rPr>
        <w:t>General and administrative expenses consist primarily of personnel-related costs, consisting of employee salaries, related benefits, and stock-based compensation expense for employees in the executive, legal, finance and accounting, human resources, and other administrative functions. General and administrative expenses also include third-party costs such as legal costs, insurance costs, accounting, auditing and tax related fees, consulting fees and facilities and other expenses not otherwise included as research and development expenses. General and administrative costs are expensed as incurred.</w:t>
      </w:r>
    </w:p>
    <w:p>
      <w:pPr>
        <w:pStyle w:val="TextBody"/>
        <w:bidi w:val="0"/>
        <w:spacing w:before="280" w:after="283"/>
        <w:jc w:val="both"/>
        <w:rPr>
          <w:rFonts w:ascii="Arial" w:hAnsi="Arial"/>
          <w:b/>
          <w:i/>
          <w:color w:val="000000"/>
          <w:sz w:val="20"/>
        </w:rPr>
      </w:pPr>
      <w:r>
        <w:rPr>
          <w:rFonts w:ascii="Arial" w:hAnsi="Arial"/>
          <w:b/>
          <w:i/>
          <w:color w:val="000000"/>
          <w:sz w:val="20"/>
        </w:rPr>
        <w:t>Leases</w:t>
      </w:r>
    </w:p>
    <w:p>
      <w:pPr>
        <w:pStyle w:val="TextBody"/>
        <w:bidi w:val="0"/>
        <w:spacing w:before="280" w:after="283"/>
        <w:jc w:val="both"/>
        <w:rPr>
          <w:rFonts w:ascii="Times New Roman" w:hAnsi="Times New Roman"/>
          <w:sz w:val="20"/>
        </w:rPr>
      </w:pPr>
      <w:r>
        <w:rPr>
          <w:rFonts w:ascii="Arial" w:hAnsi="Arial"/>
          <w:color w:val="000000"/>
          <w:sz w:val="20"/>
        </w:rPr>
        <w:t xml:space="preserve">The Company adopted Accounting Standards Codification (“ASC”) </w:t>
      </w:r>
      <w:r>
        <w:rPr>
          <w:rFonts w:ascii="Arial" w:hAnsi="Arial"/>
          <w:i/>
          <w:color w:val="000000"/>
          <w:sz w:val="20"/>
        </w:rPr>
        <w:t>Topic 842 - Leases</w:t>
      </w:r>
      <w:r>
        <w:rPr>
          <w:rFonts w:ascii="Times New Roman" w:hAnsi="Times New Roman"/>
          <w:color w:val="000000"/>
          <w:sz w:val="20"/>
        </w:rPr>
        <w:t xml:space="preserve"> </w:t>
      </w:r>
      <w:r>
        <w:rPr>
          <w:rFonts w:ascii="Arial" w:hAnsi="Arial"/>
          <w:color w:val="000000"/>
          <w:sz w:val="20"/>
        </w:rPr>
        <w:t>effective January 1, 2020. The Company determines if an arrangement contains a lease at inception. The Company performed an evaluation of contracts in accordance with ASC 842 and has determined it has an operating lease agreement for the laboratory and office facilities that the Company occupies. Operating lease right-of-use (“ROU”) assets and operating lease liabilities are recognized at the date the underlying asset becomes available for the Company’s use. Operating lease liabilities are based on the present value of the future minimum lease payments over the lease term. ROU assets are measured at the amount of the lease liability, adjusted for any initial direct costs incurred and any lease payments made at or before the lease commencement date, less lease incentives received. As the Company’s leases generally do not provide an implicit interest rate, the present value of the future minimum lease payments is determined using the Company’s incremental borrowing rate. This rate is an estimate of the collateralized borrowing rate the Company would incur on its future lease payments over a similar term and is based on the information available to the Company at the lease commencement date.</w:t>
      </w:r>
    </w:p>
    <w:p>
      <w:pPr>
        <w:pStyle w:val="TextBody"/>
        <w:bidi w:val="0"/>
        <w:spacing w:before="240" w:after="283"/>
        <w:jc w:val="both"/>
        <w:rPr>
          <w:rFonts w:ascii="Arial" w:hAnsi="Arial"/>
          <w:color w:val="000000"/>
          <w:sz w:val="20"/>
        </w:rPr>
      </w:pPr>
      <w:r>
        <w:rPr>
          <w:rFonts w:ascii="Arial" w:hAnsi="Arial"/>
          <w:color w:val="000000"/>
          <w:sz w:val="20"/>
        </w:rPr>
        <w:t>The Company’s leases contain options to extend the leases; lease terms are adjusted for these options only when it is reasonably certain the Company will exercise these options. The Company’s lease agreements do not contain residual value guarantees or covenants.</w:t>
      </w:r>
    </w:p>
    <w:p>
      <w:pPr>
        <w:pStyle w:val="TextBody"/>
        <w:bidi w:val="0"/>
        <w:spacing w:before="240" w:after="283"/>
        <w:jc w:val="both"/>
        <w:rPr>
          <w:rFonts w:ascii="Times New Roman" w:hAnsi="Times New Roman"/>
          <w:sz w:val="20"/>
        </w:rPr>
      </w:pPr>
      <w:r>
        <w:rPr>
          <w:rFonts w:ascii="Arial" w:hAnsi="Arial"/>
          <w:color w:val="000000"/>
          <w:sz w:val="20"/>
        </w:rPr>
        <w:t>The Company has made a policy election regarding its real estate leases not to separate non-lease components from lease components, to the extent they are fixed. Non-lease components that are not fixed are expensed as incurred as variable lease expense. The Company’s leases include variable non-lease components, such as common-area maintenance costs. The Company has elected not to record on the balance sheet a lease that has a lease term of 12 months or less and does not contain a purchase option that the Company is reasonably certain to exercise. The Company accounts for leases with initial terms of 12 months or less as operating expenses on a straight-line basis over the lease term.</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Lease expense is recognized within operating expenses on a straight-line basis over the terms of the leases. Incentives granted under the Company’s facilities lease, including rent holidays, are recognized as adjustments to lease expense on a straight-line basis over the term of the lease.</w:t>
      </w:r>
    </w:p>
    <w:p>
      <w:pPr>
        <w:pStyle w:val="TextBody"/>
        <w:bidi w:val="0"/>
        <w:spacing w:before="280" w:after="283"/>
        <w:jc w:val="both"/>
        <w:rPr>
          <w:rFonts w:ascii="Arial" w:hAnsi="Arial"/>
          <w:b/>
          <w:i/>
          <w:color w:val="000000"/>
          <w:sz w:val="20"/>
        </w:rPr>
      </w:pPr>
      <w:r>
        <w:rPr>
          <w:rFonts w:ascii="Arial" w:hAnsi="Arial"/>
          <w:b/>
          <w:i/>
          <w:color w:val="000000"/>
          <w:sz w:val="20"/>
        </w:rPr>
        <w:t>Stock-based Compensation</w:t>
      </w:r>
    </w:p>
    <w:p>
      <w:pPr>
        <w:pStyle w:val="TextBody"/>
        <w:bidi w:val="0"/>
        <w:spacing w:before="280" w:after="283"/>
        <w:jc w:val="both"/>
        <w:rPr>
          <w:rFonts w:ascii="Arial" w:hAnsi="Arial"/>
          <w:color w:val="000000"/>
          <w:sz w:val="20"/>
        </w:rPr>
      </w:pPr>
      <w:r>
        <w:rPr>
          <w:rFonts w:ascii="Arial" w:hAnsi="Arial"/>
          <w:color w:val="000000"/>
          <w:sz w:val="20"/>
        </w:rPr>
        <w:t>The Company measures compensation expense for all stock-based payments to employees, officers and directors based on the estimated fair value of the award at the grant date. For stock options, the Company estimates the grant date fair value of each option award using the Black-Scholes option-pricing model. The grant date fair value of restricted stock units is based upon the fair market value of the Company’s common stock based on its closing price as reported on the date of grant on the Nasdaq Global Select Market. Compensation expense is recognized over the requisite service period on a straight-line basis. Forfeitures are recognized as they occur.</w:t>
      </w:r>
    </w:p>
    <w:p>
      <w:pPr>
        <w:pStyle w:val="TextBody"/>
        <w:bidi w:val="0"/>
        <w:spacing w:before="240" w:after="283"/>
        <w:jc w:val="both"/>
        <w:rPr>
          <w:rFonts w:ascii="Arial" w:hAnsi="Arial"/>
          <w:color w:val="000000"/>
          <w:sz w:val="20"/>
        </w:rPr>
      </w:pPr>
      <w:r>
        <w:rPr>
          <w:rFonts w:ascii="Arial" w:hAnsi="Arial"/>
          <w:color w:val="000000"/>
          <w:sz w:val="20"/>
        </w:rPr>
        <w:t>The Company records compensation expense for stock option and restricted stock unit grants subject to performance-based milestone vesting over the remaining implicit service period when management determines that achievement of the milestone is probable. Management evaluates when the achievement of a performance-based milestone is probable based on the relative satisfaction of the performance conditions as of the reporting date.</w:t>
      </w:r>
    </w:p>
    <w:p>
      <w:pPr>
        <w:pStyle w:val="TextBody"/>
        <w:bidi w:val="0"/>
        <w:spacing w:before="24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b/>
          <w:i/>
          <w:color w:val="000000"/>
          <w:sz w:val="20"/>
        </w:rPr>
      </w:pPr>
      <w:r>
        <w:rPr>
          <w:rFonts w:ascii="Arial" w:hAnsi="Arial"/>
          <w:b/>
          <w:i/>
          <w:color w:val="000000"/>
          <w:sz w:val="20"/>
        </w:rPr>
        <w:t>Net Loss Per Share Attributable to Common Stockholders</w:t>
      </w:r>
    </w:p>
    <w:p>
      <w:pPr>
        <w:pStyle w:val="TextBody"/>
        <w:bidi w:val="0"/>
        <w:spacing w:before="280" w:after="283"/>
        <w:jc w:val="both"/>
        <w:rPr>
          <w:rFonts w:ascii="Arial" w:hAnsi="Arial"/>
          <w:color w:val="000000"/>
          <w:sz w:val="20"/>
        </w:rPr>
      </w:pPr>
      <w:r>
        <w:rPr>
          <w:rFonts w:ascii="Arial" w:hAnsi="Arial"/>
          <w:color w:val="000000"/>
          <w:sz w:val="20"/>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 Diluted net loss per share attributable to common stockholders is the same as basic net loss per share attributable to common stockholders since the effect of potentially dilutive securities is anti-dilutive given the net loss of the Company.</w:t>
      </w:r>
    </w:p>
    <w:p>
      <w:pPr>
        <w:pStyle w:val="TextBody"/>
        <w:bidi w:val="0"/>
        <w:spacing w:before="280" w:after="283"/>
        <w:jc w:val="both"/>
        <w:rPr>
          <w:rFonts w:ascii="Arial" w:hAnsi="Arial"/>
          <w:b/>
          <w:i/>
          <w:color w:val="000000"/>
          <w:sz w:val="20"/>
        </w:rPr>
      </w:pPr>
      <w:r>
        <w:rPr>
          <w:rFonts w:ascii="Arial" w:hAnsi="Arial"/>
          <w:b/>
          <w:i/>
          <w:color w:val="000000"/>
          <w:sz w:val="20"/>
        </w:rPr>
        <w:t>Segments</w:t>
      </w:r>
    </w:p>
    <w:p>
      <w:pPr>
        <w:pStyle w:val="TextBody"/>
        <w:bidi w:val="0"/>
        <w:spacing w:before="280" w:after="283"/>
        <w:jc w:val="both"/>
        <w:rPr>
          <w:rFonts w:ascii="Times New Roman" w:hAnsi="Times New Roman"/>
          <w:sz w:val="20"/>
        </w:rPr>
      </w:pPr>
      <w:r>
        <w:rPr>
          <w:rFonts w:ascii="Arial" w:hAnsi="Arial"/>
          <w:color w:val="000000"/>
          <w:sz w:val="20"/>
        </w:rPr>
        <w:t>The Company has determined that it operates and manages one</w:t>
      </w:r>
      <w:r>
        <w:rPr>
          <w:rFonts w:ascii="Times New Roman" w:hAnsi="Times New Roman"/>
          <w:color w:val="000000"/>
          <w:sz w:val="20"/>
        </w:rPr>
        <w:t xml:space="preserve"> </w:t>
      </w:r>
      <w:r>
        <w:rPr>
          <w:rFonts w:ascii="Arial" w:hAnsi="Arial"/>
          <w:color w:val="000000"/>
          <w:sz w:val="20"/>
        </w:rPr>
        <w:t>operating segment, which is the business of developing and commercializing therapeutics. The Company’s chief operating decision maker, its chief executive officer, reviews financial information on an aggregate basis for the purpose of allocating resources.</w:t>
      </w:r>
    </w:p>
    <w:p>
      <w:pPr>
        <w:pStyle w:val="TextBody"/>
        <w:bidi w:val="0"/>
        <w:spacing w:before="280" w:after="283"/>
        <w:jc w:val="both"/>
        <w:rPr>
          <w:rFonts w:ascii="Arial" w:hAnsi="Arial"/>
          <w:b/>
          <w:i/>
          <w:color w:val="000000"/>
          <w:sz w:val="20"/>
        </w:rPr>
      </w:pPr>
      <w:r>
        <w:rPr>
          <w:rFonts w:ascii="Arial" w:hAnsi="Arial"/>
          <w:b/>
          <w:i/>
          <w:color w:val="000000"/>
          <w:sz w:val="20"/>
        </w:rPr>
        <w:t>Emerging Growth Company Status</w:t>
      </w:r>
    </w:p>
    <w:p>
      <w:pPr>
        <w:pStyle w:val="TextBody"/>
        <w:bidi w:val="0"/>
        <w:spacing w:before="280" w:after="283"/>
        <w:jc w:val="both"/>
        <w:rPr>
          <w:rFonts w:ascii="Arial" w:hAnsi="Arial"/>
          <w:color w:val="000000"/>
          <w:sz w:val="20"/>
        </w:rPr>
      </w:pPr>
      <w:r>
        <w:rPr>
          <w:rFonts w:ascii="Arial" w:hAnsi="Arial"/>
          <w:color w:val="000000"/>
          <w:sz w:val="20"/>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(1) no longer an emerging growth company and (2) affirmatively and irrevocably opts out of the extended transition period provided in the JOBS Act, unless early adoption is permitted. As a result, these financial statements may not be comparable to companies that comply with the new or revised accounting pronouncements as of public company effective dates.</w:t>
      </w:r>
    </w:p>
    <w:p>
      <w:pPr>
        <w:pStyle w:val="TextBody"/>
        <w:bidi w:val="0"/>
        <w:jc w:val="both"/>
        <w:rPr/>
      </w:pPr>
      <w:r>
        <w:rPr/>
        <w:t> </w:t>
      </w:r>
    </w:p>
    <w:p>
      <w:pPr>
        <w:pStyle w:val="TextBody"/>
        <w:bidi w:val="0"/>
        <w:spacing w:before="80" w:after="283"/>
        <w:jc w:val="both"/>
        <w:rPr>
          <w:rFonts w:ascii="Arial" w:hAnsi="Arial"/>
          <w:b/>
          <w:i/>
          <w:color w:val="000000"/>
          <w:sz w:val="20"/>
        </w:rPr>
      </w:pPr>
      <w:r>
        <w:rPr>
          <w:rFonts w:ascii="Arial" w:hAnsi="Arial"/>
          <w:b/>
          <w:i/>
          <w:color w:val="000000"/>
          <w:sz w:val="20"/>
        </w:rPr>
        <w:t>Recently Adopted Accounting Pronouncements</w:t>
      </w:r>
    </w:p>
    <w:p>
      <w:pPr>
        <w:pStyle w:val="TextBody"/>
        <w:bidi w:val="0"/>
        <w:spacing w:before="280" w:after="283"/>
        <w:jc w:val="both"/>
        <w:rPr>
          <w:rFonts w:ascii="Times New Roman" w:hAnsi="Times New Roman"/>
          <w:sz w:val="20"/>
        </w:rPr>
      </w:pPr>
      <w:r>
        <w:rPr>
          <w:rFonts w:ascii="Arial" w:hAnsi="Arial"/>
          <w:color w:val="000000"/>
          <w:sz w:val="20"/>
        </w:rPr>
        <w:t xml:space="preserve">In June 2016, the Financial Accounting Standards Board (FASB) issued Accounting Standards Update (ASU) 2016-13, </w:t>
      </w:r>
      <w:r>
        <w:rPr>
          <w:rFonts w:ascii="Arial" w:hAnsi="Arial"/>
          <w:i/>
          <w:color w:val="000000"/>
          <w:sz w:val="20"/>
        </w:rPr>
        <w:t xml:space="preserve">Financial Instruments: Credit Losses (Topic 326) </w:t>
      </w:r>
      <w:r>
        <w:rPr>
          <w:rFonts w:ascii="Arial" w:hAnsi="Arial"/>
          <w:color w:val="000000"/>
          <w:sz w:val="20"/>
        </w:rPr>
        <w:t>as clarified in ASU 2019-04, ASU 2019-05, and ASU 2020-02. The objective of the standard is to provide information about expected credit losses on financial instruments at each reporting date and to change how other-than-temporary impairments on investment securities are recorded. The Company adopted</w:t>
      </w:r>
      <w:r>
        <w:rPr>
          <w:rFonts w:ascii="Times New Roman" w:hAnsi="Times New Roman"/>
          <w:color w:val="000000"/>
          <w:sz w:val="20"/>
        </w:rPr>
        <w:t xml:space="preserve"> </w:t>
      </w:r>
      <w:r>
        <w:rPr>
          <w:rFonts w:ascii="Arial" w:hAnsi="Arial"/>
          <w:color w:val="000000"/>
          <w:sz w:val="20"/>
        </w:rPr>
        <w:t>ASU 2016-13</w:t>
      </w:r>
      <w:r>
        <w:rPr>
          <w:rFonts w:ascii="Times New Roman" w:hAnsi="Times New Roman"/>
          <w:color w:val="000000"/>
          <w:sz w:val="20"/>
        </w:rPr>
        <w:t xml:space="preserve"> </w:t>
      </w:r>
      <w:r>
        <w:rPr>
          <w:rFonts w:ascii="Arial" w:hAnsi="Arial"/>
          <w:color w:val="000000"/>
          <w:sz w:val="20"/>
        </w:rPr>
        <w:t>effective January 1, 2023</w:t>
      </w:r>
      <w:r>
        <w:rPr>
          <w:rFonts w:ascii="Times New Roman" w:hAnsi="Times New Roman"/>
          <w:color w:val="000000"/>
          <w:sz w:val="20"/>
        </w:rPr>
        <w:t xml:space="preserve"> </w:t>
      </w:r>
      <w:r>
        <w:rPr>
          <w:rFonts w:ascii="Arial" w:hAnsi="Arial"/>
          <w:color w:val="000000"/>
          <w:sz w:val="20"/>
        </w:rPr>
        <w:t>and it did not have a material impact on its financial condition, results of operations or cash flows.</w:t>
      </w:r>
    </w:p>
    <w:p>
      <w:pPr>
        <w:pStyle w:val="TextBody"/>
        <w:bidi w:val="0"/>
        <w:spacing w:before="24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b/>
          <w:color w:val="000000"/>
          <w:sz w:val="20"/>
        </w:rPr>
      </w:pPr>
      <w:r>
        <w:rPr>
          <w:rFonts w:ascii="Arial" w:hAnsi="Arial"/>
          <w:b/>
          <w:color w:val="000000"/>
          <w:sz w:val="20"/>
        </w:rPr>
        <w:t>3. Fair Value</w:t>
      </w:r>
    </w:p>
    <w:p>
      <w:pPr>
        <w:pStyle w:val="TextBody"/>
        <w:bidi w:val="0"/>
        <w:spacing w:before="280" w:after="283"/>
        <w:jc w:val="both"/>
        <w:rPr>
          <w:rFonts w:ascii="Arial" w:hAnsi="Arial"/>
          <w:color w:val="000000"/>
          <w:sz w:val="20"/>
        </w:rPr>
      </w:pPr>
      <w:r>
        <w:rPr>
          <w:rFonts w:ascii="Arial" w:hAnsi="Arial"/>
          <w:color w:val="000000"/>
          <w:sz w:val="20"/>
        </w:rPr>
        <w:t>The Company has certain assets and liabilities that are measured at fair value on a recurring basis according to a fair value hierarchy that prioritizes the inputs, assumptions and valuation techniques used to measure fair value. The three levels of the fair value hierarchy are:</w:t>
      </w:r>
    </w:p>
    <w:p>
      <w:pPr>
        <w:pStyle w:val="TextBody"/>
        <w:bidi w:val="0"/>
        <w:spacing w:before="120" w:after="283"/>
        <w:jc w:val="both"/>
        <w:rPr>
          <w:rFonts w:ascii="Times New Roman" w:hAnsi="Times New Roman"/>
          <w:sz w:val="20"/>
        </w:rPr>
      </w:pPr>
      <w:r>
        <w:rPr>
          <w:rFonts w:ascii="Arial" w:hAnsi="Arial"/>
          <w:i/>
          <w:color w:val="000000"/>
          <w:sz w:val="20"/>
        </w:rPr>
        <w:t>Level 1</w:t>
      </w:r>
      <w:r>
        <w:rPr>
          <w:rFonts w:ascii="Times New Roman" w:hAnsi="Times New Roman"/>
          <w:color w:val="000000"/>
          <w:sz w:val="20"/>
        </w:rPr>
        <w:t>—</w:t>
      </w:r>
      <w:r>
        <w:rPr>
          <w:rFonts w:ascii="Arial" w:hAnsi="Arial"/>
          <w:color w:val="000000"/>
          <w:sz w:val="20"/>
        </w:rPr>
        <w:t>Unadjusted quoted prices in active markets that are accessible at the measurement date for identical, unrestricted assets or liabilities.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i/>
          <w:color w:val="000000"/>
          <w:sz w:val="20"/>
        </w:rPr>
        <w:t>Level 2</w:t>
      </w:r>
      <w:r>
        <w:rPr>
          <w:rFonts w:ascii="Times New Roman" w:hAnsi="Times New Roman"/>
          <w:color w:val="000000"/>
          <w:sz w:val="20"/>
        </w:rPr>
        <w:t>—</w:t>
      </w:r>
      <w:r>
        <w:rPr>
          <w:rFonts w:ascii="Arial" w:hAnsi="Arial"/>
          <w:color w:val="000000"/>
          <w:sz w:val="20"/>
        </w:rPr>
        <w:t>Quoted prices in markets that are not active or financial instruments for which all significant inputs are observable, either directly or indirectly.</w:t>
      </w:r>
    </w:p>
    <w:p>
      <w:pPr>
        <w:pStyle w:val="TextBody"/>
        <w:bidi w:val="0"/>
        <w:spacing w:before="120" w:after="283"/>
        <w:jc w:val="both"/>
        <w:rPr>
          <w:rFonts w:ascii="Times New Roman" w:hAnsi="Times New Roman"/>
          <w:sz w:val="20"/>
        </w:rPr>
      </w:pPr>
      <w:r>
        <w:rPr>
          <w:rFonts w:ascii="Arial" w:hAnsi="Arial"/>
          <w:i/>
          <w:color w:val="000000"/>
          <w:sz w:val="20"/>
        </w:rPr>
        <w:t>Level 3</w:t>
      </w:r>
      <w:r>
        <w:rPr>
          <w:rFonts w:ascii="Times New Roman" w:hAnsi="Times New Roman"/>
          <w:color w:val="000000"/>
          <w:sz w:val="20"/>
        </w:rPr>
        <w:t>—</w:t>
      </w:r>
      <w:r>
        <w:rPr>
          <w:rFonts w:ascii="Arial" w:hAnsi="Arial"/>
          <w:color w:val="000000"/>
          <w:sz w:val="20"/>
        </w:rPr>
        <w:t>Inputs are generally unobservable and reflect management’s estimates of assumptions that market participants would use in pricing the asset or liability. The fair values are determined using model-based techniques, including probability-based simulation methodologies.</w:t>
      </w:r>
    </w:p>
    <w:p>
      <w:pPr>
        <w:pStyle w:val="TextBody"/>
        <w:bidi w:val="0"/>
        <w:spacing w:before="280" w:after="283"/>
        <w:jc w:val="both"/>
        <w:rPr>
          <w:rFonts w:ascii="Times New Roman" w:hAnsi="Times New Roman"/>
          <w:sz w:val="20"/>
        </w:rPr>
      </w:pPr>
      <w:r>
        <w:rPr>
          <w:rFonts w:ascii="Arial" w:hAnsi="Arial"/>
          <w:color w:val="000000"/>
          <w:sz w:val="20"/>
        </w:rPr>
        <w:t>The determination of a financial instrument’s level within the fair value hierarchy is based on an assessment of the lowest level of any input that is significant to the fair value measurement. The Company considers observable data to be market data, which is readily available, regularly distributed or updated, reliable and verifiable, not proprietary, and provided by independent sources that are actively involved in the relevant market.</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The following tables reflect the Company’s financial asset balances measured at fair value on a recurring basis (in thousands):</w:t>
      </w:r>
    </w:p>
    <w:p>
      <w:pPr>
        <w:pStyle w:val="TextBody"/>
        <w:bidi w:val="0"/>
        <w:jc w:val="both"/>
        <w:rPr/>
      </w:pPr>
      <w:r>
        <w:rPr/>
        <w:t> </w:t>
      </w:r>
    </w:p>
    <w:tbl>
      <w:tblPr>
        <w:tblW w:w="9281" w:type="dxa"/>
        <w:jc w:val="left"/>
        <w:tblInd w:w="0" w:type="dxa"/>
        <w:tblLayout w:type="fixed"/>
        <w:tblCellMar>
          <w:top w:w="28" w:type="dxa"/>
          <w:left w:w="28" w:type="dxa"/>
          <w:bottom w:w="28" w:type="dxa"/>
          <w:right w:w="28" w:type="dxa"/>
        </w:tblCellMar>
      </w:tblPr>
      <w:tblGrid>
        <w:gridCol w:w="3371"/>
        <w:gridCol w:w="146"/>
        <w:gridCol w:w="526"/>
        <w:gridCol w:w="146"/>
        <w:gridCol w:w="217"/>
        <w:gridCol w:w="714"/>
        <w:gridCol w:w="146"/>
        <w:gridCol w:w="146"/>
        <w:gridCol w:w="358"/>
        <w:gridCol w:w="588"/>
        <w:gridCol w:w="146"/>
        <w:gridCol w:w="146"/>
        <w:gridCol w:w="288"/>
        <w:gridCol w:w="658"/>
        <w:gridCol w:w="166"/>
        <w:gridCol w:w="146"/>
        <w:gridCol w:w="211"/>
        <w:gridCol w:w="691"/>
        <w:gridCol w:w="471"/>
      </w:tblGrid>
      <w:tr>
        <w:trPr/>
        <w:tc>
          <w:tcPr>
            <w:tcW w:w="3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3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93"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w:t>
              <w:br/>
              <w:t>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471" w:type="dxa"/>
            <w:tcBorders/>
            <w:shd w:fill="CFF0FC" w:val="clear"/>
            <w:vAlign w:val="center"/>
          </w:tcPr>
          <w:p>
            <w:pPr>
              <w:pStyle w:val="TableContents"/>
              <w:bidi w:val="0"/>
              <w:spacing w:before="0" w:after="283"/>
              <w:ind w:left="0" w:right="0" w:firstLine="280"/>
              <w:jc w:val="right"/>
              <w:rPr/>
            </w:pPr>
            <w:r>
              <w:rPr/>
              <w:t> </w:t>
            </w:r>
          </w:p>
        </w:tc>
      </w:tr>
      <w:tr>
        <w:trPr/>
        <w:tc>
          <w:tcPr>
            <w:tcW w:w="33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Money market fund</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337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Commercial paper</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43,858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43,836</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cash equivalents</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43,888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43,866</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investments: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471" w:type="dxa"/>
            <w:tcBorders/>
            <w:shd w:fill="CFF0FC" w:val="clear"/>
            <w:vAlign w:val="center"/>
          </w:tcPr>
          <w:p>
            <w:pPr>
              <w:pStyle w:val="TableContents"/>
              <w:bidi w:val="0"/>
              <w:spacing w:before="0" w:after="283"/>
              <w:ind w:left="0" w:right="0" w:firstLine="280"/>
              <w:jc w:val="right"/>
              <w:rPr/>
            </w:pPr>
            <w:r>
              <w:rPr/>
              <w:t> </w:t>
            </w:r>
          </w:p>
        </w:tc>
      </w:tr>
      <w:tr>
        <w:trPr/>
        <w:tc>
          <w:tcPr>
            <w:tcW w:w="33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9,451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9,446</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337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U.S. government debt and agency</w:t>
              <w:br/>
              <w:t>   securities</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34,931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34,821</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short-term investments</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44,382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44,267</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281" w:type="dxa"/>
        <w:jc w:val="left"/>
        <w:tblInd w:w="0" w:type="dxa"/>
        <w:tblLayout w:type="fixed"/>
        <w:tblCellMar>
          <w:top w:w="28" w:type="dxa"/>
          <w:left w:w="28" w:type="dxa"/>
          <w:bottom w:w="28" w:type="dxa"/>
          <w:right w:w="28" w:type="dxa"/>
        </w:tblCellMar>
      </w:tblPr>
      <w:tblGrid>
        <w:gridCol w:w="3371"/>
        <w:gridCol w:w="146"/>
        <w:gridCol w:w="526"/>
        <w:gridCol w:w="146"/>
        <w:gridCol w:w="217"/>
        <w:gridCol w:w="714"/>
        <w:gridCol w:w="146"/>
        <w:gridCol w:w="146"/>
        <w:gridCol w:w="358"/>
        <w:gridCol w:w="588"/>
        <w:gridCol w:w="146"/>
        <w:gridCol w:w="146"/>
        <w:gridCol w:w="288"/>
        <w:gridCol w:w="658"/>
        <w:gridCol w:w="166"/>
        <w:gridCol w:w="146"/>
        <w:gridCol w:w="211"/>
        <w:gridCol w:w="691"/>
        <w:gridCol w:w="471"/>
      </w:tblGrid>
      <w:tr>
        <w:trPr/>
        <w:tc>
          <w:tcPr>
            <w:tcW w:w="3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3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93"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w:t>
              <w:br/>
              <w:t>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471" w:type="dxa"/>
            <w:tcBorders/>
            <w:shd w:fill="CFF0FC" w:val="clear"/>
            <w:vAlign w:val="center"/>
          </w:tcPr>
          <w:p>
            <w:pPr>
              <w:pStyle w:val="TableContents"/>
              <w:bidi w:val="0"/>
              <w:spacing w:before="0" w:after="283"/>
              <w:ind w:left="0" w:right="0" w:firstLine="280"/>
              <w:jc w:val="right"/>
              <w:rPr/>
            </w:pPr>
            <w:r>
              <w:rPr/>
              <w:t> </w:t>
            </w:r>
          </w:p>
        </w:tc>
      </w:tr>
      <w:tr>
        <w:trPr/>
        <w:tc>
          <w:tcPr>
            <w:tcW w:w="33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Money market fund</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337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Commercial paper</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59,227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59,197</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cash equivalents</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59,290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59,260</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investments: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471" w:type="dxa"/>
            <w:tcBorders/>
            <w:shd w:fill="CFF0FC" w:val="clear"/>
            <w:vAlign w:val="center"/>
          </w:tcPr>
          <w:p>
            <w:pPr>
              <w:pStyle w:val="TableContents"/>
              <w:bidi w:val="0"/>
              <w:spacing w:before="0" w:after="283"/>
              <w:ind w:left="0" w:right="0" w:firstLine="280"/>
              <w:jc w:val="right"/>
              <w:rPr/>
            </w:pPr>
            <w:r>
              <w:rPr/>
              <w:t> </w:t>
            </w:r>
          </w:p>
        </w:tc>
      </w:tr>
      <w:tr>
        <w:trPr/>
        <w:tc>
          <w:tcPr>
            <w:tcW w:w="33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6,431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6,427</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337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U.S. government debt and agency</w:t>
              <w:br/>
              <w:t>   securities</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50,723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50,408</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short-term investments</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57,154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56,835</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80" w:after="283"/>
        <w:jc w:val="both"/>
        <w:rPr>
          <w:rFonts w:ascii="Times New Roman" w:hAnsi="Times New Roman"/>
          <w:sz w:val="20"/>
        </w:rPr>
      </w:pPr>
      <w:r>
        <w:rPr>
          <w:rFonts w:ascii="Arial" w:hAnsi="Arial"/>
          <w:color w:val="000000"/>
          <w:sz w:val="20"/>
        </w:rPr>
        <w:t>All the commercial paper, U.S. government debt and agency securities, U.S. treasury bills, and corporate bonds designated as short-term investments have an effective maturity date that is equal to or less than one year</w:t>
      </w:r>
      <w:r>
        <w:rPr>
          <w:rFonts w:ascii="Times New Roman" w:hAnsi="Times New Roman"/>
          <w:color w:val="000000"/>
          <w:sz w:val="20"/>
        </w:rPr>
        <w:t xml:space="preserve"> </w:t>
      </w:r>
      <w:r>
        <w:rPr>
          <w:rFonts w:ascii="Arial" w:hAnsi="Arial"/>
          <w:color w:val="000000"/>
          <w:sz w:val="20"/>
        </w:rPr>
        <w:t>from the respective balance sheet date.</w:t>
      </w:r>
    </w:p>
    <w:p>
      <w:pPr>
        <w:pStyle w:val="TextBody"/>
        <w:bidi w:val="0"/>
        <w:spacing w:before="80" w:after="283"/>
        <w:jc w:val="both"/>
        <w:rPr>
          <w:rFonts w:ascii="Times New Roman" w:hAnsi="Times New Roman"/>
          <w:sz w:val="20"/>
        </w:rPr>
      </w:pPr>
      <w:r>
        <w:rPr>
          <w:rFonts w:ascii="Arial" w:hAnsi="Arial"/>
          <w:color w:val="000000"/>
          <w:sz w:val="20"/>
        </w:rPr>
        <w:t>As of March 31, 2024, the Company does not intend to sell any securities in unrealized loss positions, and it is not more-likely-than-not that the Company will be required to sell such securities prior to the recovery of the amortized cost basis. Based on the Company's assessment, the Company concluded all impairments as of March 31, 2024</w:t>
      </w:r>
      <w:r>
        <w:rPr>
          <w:rFonts w:ascii="Times New Roman" w:hAnsi="Times New Roman"/>
          <w:color w:val="000000"/>
          <w:sz w:val="20"/>
        </w:rPr>
        <w:t xml:space="preserve"> </w:t>
      </w:r>
      <w:r>
        <w:rPr>
          <w:rFonts w:ascii="Arial" w:hAnsi="Arial"/>
          <w:color w:val="000000"/>
          <w:sz w:val="20"/>
        </w:rPr>
        <w:t>to be due to factors other than credit loss, such as changes in interest rates. A credit loss allowance was not recognized and the unrealized losses for available-for-sale securities were recorded in other comprehensive loss.</w:t>
      </w:r>
    </w:p>
    <w:p>
      <w:pPr>
        <w:pStyle w:val="TextBody"/>
        <w:bidi w:val="0"/>
        <w:spacing w:before="24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b/>
          <w:color w:val="000000"/>
          <w:sz w:val="20"/>
        </w:rPr>
      </w:pPr>
      <w:r>
        <w:rPr>
          <w:rFonts w:ascii="Arial" w:hAnsi="Arial"/>
          <w:b/>
          <w:color w:val="000000"/>
          <w:sz w:val="20"/>
        </w:rPr>
        <w:t>4. Property and Equipment, Net</w:t>
      </w:r>
    </w:p>
    <w:p>
      <w:pPr>
        <w:pStyle w:val="TextBody"/>
        <w:bidi w:val="0"/>
        <w:spacing w:before="120" w:after="283"/>
        <w:jc w:val="both"/>
        <w:rPr>
          <w:rFonts w:ascii="Arial" w:hAnsi="Arial"/>
          <w:color w:val="000000"/>
          <w:sz w:val="20"/>
        </w:rPr>
      </w:pPr>
      <w:r>
        <w:rPr>
          <w:rFonts w:ascii="Arial" w:hAnsi="Arial"/>
          <w:color w:val="000000"/>
          <w:sz w:val="20"/>
        </w:rPr>
        <w:t>Property and equipment consisted of the following (in thousands):</w:t>
      </w:r>
    </w:p>
    <w:p>
      <w:pPr>
        <w:pStyle w:val="TextBody"/>
        <w:bidi w:val="0"/>
        <w:jc w:val="both"/>
        <w:rPr/>
      </w:pPr>
      <w:r>
        <w:rPr/>
        <w:t> </w:t>
      </w:r>
    </w:p>
    <w:tbl>
      <w:tblPr>
        <w:tblW w:w="5887" w:type="dxa"/>
        <w:jc w:val="left"/>
        <w:tblInd w:w="0" w:type="dxa"/>
        <w:tblLayout w:type="fixed"/>
        <w:tblCellMar>
          <w:top w:w="28" w:type="dxa"/>
          <w:left w:w="28" w:type="dxa"/>
          <w:bottom w:w="28" w:type="dxa"/>
          <w:right w:w="28" w:type="dxa"/>
        </w:tblCellMar>
      </w:tblPr>
      <w:tblGrid>
        <w:gridCol w:w="2911"/>
        <w:gridCol w:w="146"/>
        <w:gridCol w:w="211"/>
        <w:gridCol w:w="646"/>
        <w:gridCol w:w="166"/>
        <w:gridCol w:w="146"/>
        <w:gridCol w:w="287"/>
        <w:gridCol w:w="883"/>
        <w:gridCol w:w="4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Lab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688</w:t>
            </w:r>
          </w:p>
        </w:tc>
        <w:tc>
          <w:tcPr>
            <w:tcW w:w="491" w:type="dxa"/>
            <w:tcBorders/>
            <w:shd w:fill="CFF0FC"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Office furniture, fixtures, and</w:t>
              <w:br/>
              <w:t>   computer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712</w:t>
            </w:r>
          </w:p>
        </w:tc>
        <w:tc>
          <w:tcPr>
            <w:tcW w:w="491" w:type="dxa"/>
            <w:tcBorders/>
            <w:shd w:fill="FFFFFF" w:val="clear"/>
            <w:vAlign w:val="center"/>
          </w:tcPr>
          <w:p>
            <w:pPr>
              <w:pStyle w:val="TableContents"/>
              <w:bidi w:val="0"/>
              <w:spacing w:before="0" w:after="283"/>
              <w:jc w:val="left"/>
              <w:rPr/>
            </w:pPr>
            <w:r>
              <w:rPr/>
              <w:t> </w:t>
            </w:r>
          </w:p>
        </w:tc>
      </w:tr>
      <w:tr>
        <w:trPr/>
        <w:tc>
          <w:tcPr>
            <w:tcW w:w="29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Leasehold improvement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4,322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at cost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5,711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5,722</w:t>
            </w:r>
          </w:p>
        </w:tc>
        <w:tc>
          <w:tcPr>
            <w:tcW w:w="491" w:type="dxa"/>
            <w:tcBorders/>
            <w:shd w:fill="FFFFFF" w:val="clear"/>
            <w:vAlign w:val="center"/>
          </w:tcPr>
          <w:p>
            <w:pPr>
              <w:pStyle w:val="TableContents"/>
              <w:bidi w:val="0"/>
              <w:spacing w:before="0" w:after="283"/>
              <w:jc w:val="left"/>
              <w:rPr/>
            </w:pPr>
            <w:r>
              <w:rPr/>
              <w:t> </w:t>
            </w:r>
          </w:p>
        </w:tc>
      </w:tr>
      <w:tr>
        <w:trPr/>
        <w:tc>
          <w:tcPr>
            <w:tcW w:w="29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Less: accumulated depreciation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91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3,388</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Depreciation expense was $242,000</w:t>
      </w:r>
      <w:r>
        <w:rPr>
          <w:rFonts w:ascii="Times New Roman" w:hAnsi="Times New Roman"/>
          <w:color w:val="000000"/>
          <w:sz w:val="20"/>
        </w:rPr>
        <w:t xml:space="preserve"> </w:t>
      </w:r>
      <w:r>
        <w:rPr>
          <w:rFonts w:ascii="Arial" w:hAnsi="Arial"/>
          <w:color w:val="000000"/>
          <w:sz w:val="20"/>
        </w:rPr>
        <w:t>and $236,000</w:t>
      </w:r>
      <w:r>
        <w:rPr>
          <w:rFonts w:ascii="Times New Roman" w:hAnsi="Times New Roman"/>
          <w:color w:val="000000"/>
          <w:sz w:val="20"/>
        </w:rPr>
        <w:t xml:space="preserve"> </w:t>
      </w:r>
      <w:r>
        <w:rPr>
          <w:rFonts w:ascii="Arial" w:hAnsi="Arial"/>
          <w:color w:val="000000"/>
          <w:sz w:val="20"/>
        </w:rPr>
        <w:t>for the three months ended March 31, 2024 and 2023, respectively.</w:t>
      </w:r>
    </w:p>
    <w:p>
      <w:pPr>
        <w:pStyle w:val="TextBody"/>
        <w:bidi w:val="0"/>
        <w:spacing w:before="280" w:after="283"/>
        <w:jc w:val="both"/>
        <w:rPr>
          <w:rFonts w:ascii="Arial" w:hAnsi="Arial"/>
          <w:b/>
          <w:color w:val="000000"/>
          <w:sz w:val="20"/>
        </w:rPr>
      </w:pPr>
      <w:r>
        <w:rPr>
          <w:rFonts w:ascii="Arial" w:hAnsi="Arial"/>
          <w:b/>
          <w:color w:val="000000"/>
          <w:sz w:val="20"/>
        </w:rPr>
        <w:t>5. Accrued Liabilities</w:t>
      </w:r>
    </w:p>
    <w:p>
      <w:pPr>
        <w:pStyle w:val="TextBody"/>
        <w:bidi w:val="0"/>
        <w:spacing w:before="280" w:after="283"/>
        <w:jc w:val="both"/>
        <w:rPr>
          <w:rFonts w:ascii="Arial" w:hAnsi="Arial"/>
          <w:color w:val="000000"/>
          <w:sz w:val="20"/>
        </w:rPr>
      </w:pPr>
      <w:r>
        <w:rPr>
          <w:rFonts w:ascii="Arial" w:hAnsi="Arial"/>
          <w:color w:val="000000"/>
          <w:sz w:val="20"/>
        </w:rPr>
        <w:t>Accrued liabilities consisted of the following (in thousands):</w:t>
      </w:r>
    </w:p>
    <w:p>
      <w:pPr>
        <w:pStyle w:val="TextBody"/>
        <w:bidi w:val="0"/>
        <w:jc w:val="both"/>
        <w:rPr/>
      </w:pPr>
      <w:r>
        <w:rPr/>
        <w:t> </w:t>
      </w:r>
    </w:p>
    <w:tbl>
      <w:tblPr>
        <w:tblW w:w="6372" w:type="dxa"/>
        <w:jc w:val="left"/>
        <w:tblInd w:w="0" w:type="dxa"/>
        <w:tblLayout w:type="fixed"/>
        <w:tblCellMar>
          <w:top w:w="28" w:type="dxa"/>
          <w:left w:w="28" w:type="dxa"/>
          <w:bottom w:w="28" w:type="dxa"/>
          <w:right w:w="28" w:type="dxa"/>
        </w:tblCellMar>
      </w:tblPr>
      <w:tblGrid>
        <w:gridCol w:w="3391"/>
        <w:gridCol w:w="146"/>
        <w:gridCol w:w="211"/>
        <w:gridCol w:w="691"/>
        <w:gridCol w:w="146"/>
        <w:gridCol w:w="146"/>
        <w:gridCol w:w="273"/>
        <w:gridCol w:w="897"/>
        <w:gridCol w:w="47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10,647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11,916</w:t>
            </w:r>
          </w:p>
        </w:tc>
        <w:tc>
          <w:tcPr>
            <w:tcW w:w="471" w:type="dxa"/>
            <w:tcBorders/>
            <w:shd w:fill="CFF0FC" w:val="clear"/>
            <w:vAlign w:val="center"/>
          </w:tcPr>
          <w:p>
            <w:pPr>
              <w:pStyle w:val="TableContents"/>
              <w:bidi w:val="0"/>
              <w:spacing w:before="0" w:after="283"/>
              <w:jc w:val="left"/>
              <w:rPr/>
            </w:pPr>
            <w:r>
              <w:rPr/>
              <w:t> </w:t>
            </w:r>
          </w:p>
        </w:tc>
      </w:tr>
      <w:tr>
        <w:trPr/>
        <w:tc>
          <w:tcPr>
            <w:tcW w:w="33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Employee compensation and benefits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4,545</w:t>
            </w:r>
          </w:p>
        </w:tc>
        <w:tc>
          <w:tcPr>
            <w:tcW w:w="471" w:type="dxa"/>
            <w:tcBorders/>
            <w:shd w:fill="FFFFFF" w:val="clear"/>
            <w:vAlign w:val="center"/>
          </w:tcPr>
          <w:p>
            <w:pPr>
              <w:pStyle w:val="TableContents"/>
              <w:bidi w:val="0"/>
              <w:spacing w:before="0" w:after="283"/>
              <w:jc w:val="left"/>
              <w:rPr/>
            </w:pPr>
            <w:r>
              <w:rPr/>
              <w:t> </w:t>
            </w:r>
          </w:p>
        </w:tc>
      </w:tr>
      <w:tr>
        <w:trPr/>
        <w:tc>
          <w:tcPr>
            <w:tcW w:w="33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Professional services and 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1,882</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39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accrued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18,343</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6. Significant Agreements</w:t>
      </w:r>
    </w:p>
    <w:p>
      <w:pPr>
        <w:pStyle w:val="TextBody"/>
        <w:bidi w:val="0"/>
        <w:spacing w:before="280" w:after="283"/>
        <w:jc w:val="both"/>
        <w:rPr>
          <w:rFonts w:ascii="Times New Roman" w:hAnsi="Times New Roman"/>
          <w:sz w:val="20"/>
        </w:rPr>
      </w:pPr>
      <w:r>
        <w:rPr>
          <w:rFonts w:ascii="Arial" w:hAnsi="Arial"/>
          <w:b/>
          <w:i/>
          <w:color w:val="000000"/>
          <w:sz w:val="20"/>
        </w:rPr>
        <w:t>WSU License Agreement</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The Company is party to an amended and restated exclusive license agreement with sublicensing terms with WSU that the Company entered into in 2015. Under this agreement, the Company has an exclusive license to make, use, sell, and offer for sale products covered by certain licensed patents, including dihexa, the chemical compound into which fosgonimeton metabolizes following administration.</w:t>
      </w:r>
    </w:p>
    <w:p>
      <w:pPr>
        <w:pStyle w:val="TextBody"/>
        <w:bidi w:val="0"/>
        <w:spacing w:before="280" w:after="283"/>
        <w:jc w:val="both"/>
        <w:rPr>
          <w:rFonts w:ascii="Arial" w:hAnsi="Arial"/>
          <w:color w:val="000000"/>
          <w:sz w:val="20"/>
        </w:rPr>
      </w:pPr>
      <w:r>
        <w:rPr>
          <w:rFonts w:ascii="Arial" w:hAnsi="Arial"/>
          <w:color w:val="000000"/>
          <w:sz w:val="20"/>
        </w:rPr>
        <w:t>To keep in good standing, the agreement requires the Company to meet certain development milestones and pay annual maintenance fees. All contractual requirements have been met as of March 31, 2024.</w:t>
      </w:r>
    </w:p>
    <w:p>
      <w:pPr>
        <w:pStyle w:val="TextBody"/>
        <w:bidi w:val="0"/>
        <w:spacing w:before="280" w:after="283"/>
        <w:jc w:val="both"/>
        <w:rPr>
          <w:rFonts w:ascii="Times New Roman" w:hAnsi="Times New Roman"/>
          <w:sz w:val="20"/>
        </w:rPr>
      </w:pPr>
      <w:r>
        <w:rPr>
          <w:rFonts w:ascii="Arial" w:hAnsi="Arial"/>
          <w:color w:val="000000"/>
          <w:sz w:val="20"/>
        </w:rPr>
        <w:t>During the year ended December 31, 2020, the Phase 2 clinical trial milestone had been reached and a payment of $50,000</w:t>
      </w:r>
      <w:r>
        <w:rPr>
          <w:rFonts w:ascii="Times New Roman" w:hAnsi="Times New Roman"/>
          <w:color w:val="000000"/>
          <w:sz w:val="20"/>
        </w:rPr>
        <w:t xml:space="preserve"> </w:t>
      </w:r>
      <w:r>
        <w:rPr>
          <w:rFonts w:ascii="Arial" w:hAnsi="Arial"/>
          <w:color w:val="000000"/>
          <w:sz w:val="20"/>
        </w:rPr>
        <w:t>to WSU was recorded.</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The Company may also be obligated to pay the following if the related milestones are reached: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$300,000 – At initiation of the first Phase 3 clinical trial in the United States, European Union or Japan for the first licensed product;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$600,000 – Upon receipt of marketing approval in the United States, European Union or Japan for the first licensed product.</w:t>
      </w:r>
    </w:p>
    <w:p>
      <w:pPr>
        <w:pStyle w:val="TextBody"/>
        <w:bidi w:val="0"/>
        <w:spacing w:before="280" w:after="283"/>
        <w:jc w:val="both"/>
        <w:rPr>
          <w:rFonts w:ascii="Times New Roman" w:hAnsi="Times New Roman"/>
          <w:sz w:val="20"/>
        </w:rPr>
      </w:pPr>
      <w:r>
        <w:rPr>
          <w:rFonts w:ascii="Arial" w:hAnsi="Arial"/>
          <w:color w:val="000000"/>
          <w:sz w:val="20"/>
        </w:rPr>
        <w:t>Under the terms of the agreement, the Company will pay a royalty in the mid-single digits of net sales, with the first $100,000</w:t>
      </w:r>
      <w:r>
        <w:rPr>
          <w:rFonts w:ascii="Times New Roman" w:hAnsi="Times New Roman"/>
          <w:color w:val="000000"/>
          <w:sz w:val="20"/>
        </w:rPr>
        <w:t xml:space="preserve"> </w:t>
      </w:r>
      <w:r>
        <w:rPr>
          <w:rFonts w:ascii="Arial" w:hAnsi="Arial"/>
          <w:color w:val="000000"/>
          <w:sz w:val="20"/>
        </w:rPr>
        <w:t>of net sales being exempt from royalty payment, and annual minimum royalty payments of $25,000</w:t>
      </w:r>
      <w:r>
        <w:rPr>
          <w:rFonts w:ascii="Times New Roman" w:hAnsi="Times New Roman"/>
          <w:color w:val="000000"/>
          <w:sz w:val="20"/>
        </w:rPr>
        <w:t xml:space="preserve"> </w:t>
      </w:r>
      <w:r>
        <w:rPr>
          <w:rFonts w:ascii="Arial" w:hAnsi="Arial"/>
          <w:color w:val="000000"/>
          <w:sz w:val="20"/>
        </w:rPr>
        <w:t>beginning after the first commercial sale of a licensed product. As of</w:t>
      </w:r>
      <w:r>
        <w:rPr>
          <w:rFonts w:ascii="Times New Roman" w:hAnsi="Times New Roman"/>
          <w:color w:val="000000"/>
          <w:sz w:val="20"/>
        </w:rPr>
        <w:t xml:space="preserve"> </w:t>
      </w:r>
      <w:r>
        <w:rPr>
          <w:rFonts w:ascii="Arial" w:hAnsi="Arial"/>
          <w:color w:val="000000"/>
          <w:sz w:val="20"/>
        </w:rPr>
        <w:t>March 31, 2024, no</w:t>
      </w:r>
      <w:r>
        <w:rPr>
          <w:rFonts w:ascii="Times New Roman" w:hAnsi="Times New Roman"/>
          <w:color w:val="000000"/>
          <w:sz w:val="20"/>
        </w:rPr>
        <w:t xml:space="preserve"> </w:t>
      </w:r>
      <w:r>
        <w:rPr>
          <w:rFonts w:ascii="Arial" w:hAnsi="Arial"/>
          <w:color w:val="000000"/>
          <w:sz w:val="20"/>
        </w:rPr>
        <w:t>sales of any licensed products had occurred and the Company had not incurred a royalty obligation under this agreement.</w:t>
      </w:r>
    </w:p>
    <w:p>
      <w:pPr>
        <w:pStyle w:val="TextBody"/>
        <w:bidi w:val="0"/>
        <w:spacing w:before="280" w:after="283"/>
        <w:jc w:val="both"/>
        <w:rPr>
          <w:rFonts w:ascii="Arial" w:hAnsi="Arial"/>
          <w:color w:val="000000"/>
          <w:sz w:val="20"/>
        </w:rPr>
      </w:pPr>
      <w:r>
        <w:rPr>
          <w:rFonts w:ascii="Arial" w:hAnsi="Arial"/>
          <w:color w:val="000000"/>
          <w:sz w:val="20"/>
        </w:rPr>
        <w:t>Additionally, the agreement allows the Company to sublicense the rights conveyed by the agreement, subject to additional payments to WSU based upon the sublicense consideration received in such event. Such amounts are dependent on the terms of the underlying sublicense and range from the mid-single digits to mid-teens of any non-sales based payments received, and low twenties of net sales based sublicense royalties. As of March 31, 2024, the Company has not entered into or incurred any liability from a sublicense agreement.</w:t>
      </w:r>
    </w:p>
    <w:p>
      <w:pPr>
        <w:pStyle w:val="TextBody"/>
        <w:bidi w:val="0"/>
        <w:spacing w:before="24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Arial" w:hAnsi="Arial"/>
          <w:b/>
          <w:color w:val="000000"/>
          <w:sz w:val="20"/>
        </w:rPr>
      </w:pPr>
      <w:r>
        <w:rPr>
          <w:rFonts w:ascii="Arial" w:hAnsi="Arial"/>
          <w:b/>
          <w:color w:val="000000"/>
          <w:sz w:val="20"/>
        </w:rPr>
        <w:t>7. Commitments and Contingencies</w:t>
      </w:r>
    </w:p>
    <w:p>
      <w:pPr>
        <w:pStyle w:val="TextBody"/>
        <w:bidi w:val="0"/>
        <w:spacing w:before="280" w:after="283"/>
        <w:jc w:val="both"/>
        <w:rPr>
          <w:rFonts w:ascii="Arial" w:hAnsi="Arial"/>
          <w:b/>
          <w:i/>
          <w:color w:val="000000"/>
          <w:sz w:val="20"/>
        </w:rPr>
      </w:pPr>
      <w:r>
        <w:rPr>
          <w:rFonts w:ascii="Arial" w:hAnsi="Arial"/>
          <w:b/>
          <w:i/>
          <w:color w:val="000000"/>
          <w:sz w:val="20"/>
        </w:rPr>
        <w:t>Legal Proceedings</w:t>
      </w:r>
    </w:p>
    <w:p>
      <w:pPr>
        <w:pStyle w:val="TextBody"/>
        <w:bidi w:val="0"/>
        <w:spacing w:before="280" w:after="283"/>
        <w:jc w:val="both"/>
        <w:rPr>
          <w:rFonts w:ascii="Arial" w:hAnsi="Arial"/>
          <w:color w:val="000000"/>
          <w:sz w:val="20"/>
        </w:rPr>
      </w:pPr>
      <w:r>
        <w:rPr>
          <w:rFonts w:ascii="Arial" w:hAnsi="Arial"/>
          <w:color w:val="000000"/>
          <w:sz w:val="20"/>
        </w:rPr>
        <w:t>From time to time, the Company is subject to various legal proceedings or claims that arise in the ordinary course of business. The Company accrues a liability when the Company's management believes that it is both probable that a liability has been incurred and the amount of loss can be reasonably estimated. The following is a brief description of the more significant legal proceedings.</w:t>
      </w:r>
    </w:p>
    <w:p>
      <w:pPr>
        <w:pStyle w:val="TextBody"/>
        <w:bidi w:val="0"/>
        <w:spacing w:before="280" w:after="283"/>
        <w:jc w:val="both"/>
        <w:rPr>
          <w:rFonts w:ascii="Arial" w:hAnsi="Arial"/>
          <w:b/>
          <w:color w:val="000000"/>
          <w:sz w:val="20"/>
        </w:rPr>
      </w:pPr>
      <w:r>
        <w:rPr>
          <w:rFonts w:ascii="Arial" w:hAnsi="Arial"/>
          <w:b/>
          <w:color w:val="000000"/>
          <w:sz w:val="20"/>
        </w:rPr>
        <w:t>Securities Class Actions</w:t>
      </w:r>
    </w:p>
    <w:p>
      <w:pPr>
        <w:pStyle w:val="TextBody"/>
        <w:bidi w:val="0"/>
        <w:spacing w:before="280" w:after="283"/>
        <w:jc w:val="both"/>
        <w:rPr>
          <w:rFonts w:ascii="Times New Roman" w:hAnsi="Times New Roman"/>
          <w:sz w:val="20"/>
        </w:rPr>
      </w:pPr>
      <w:r>
        <w:rPr>
          <w:rFonts w:ascii="Arial" w:hAnsi="Arial"/>
          <w:color w:val="000000"/>
          <w:sz w:val="20"/>
        </w:rPr>
        <w:t>On June 25, 2021, plaintiffs Fan Wang and Hang Gao</w:t>
      </w:r>
      <w:r>
        <w:rPr>
          <w:rFonts w:ascii="Times New Roman" w:hAnsi="Times New Roman"/>
          <w:color w:val="000000"/>
          <w:sz w:val="20"/>
        </w:rPr>
        <w:t xml:space="preserve"> </w:t>
      </w:r>
      <w:r>
        <w:rPr>
          <w:rFonts w:ascii="Arial" w:hAnsi="Arial"/>
          <w:color w:val="000000"/>
          <w:sz w:val="20"/>
        </w:rPr>
        <w:t xml:space="preserve">filed a putative securities class action lawsuit in the U.S. District Court for the Western District of Washington against the Company and the Company’s former chief executive officer Dr. Leen Kawas, captioned </w:t>
      </w:r>
      <w:r>
        <w:rPr>
          <w:rFonts w:ascii="Arial" w:hAnsi="Arial"/>
          <w:i/>
          <w:color w:val="000000"/>
          <w:sz w:val="20"/>
        </w:rPr>
        <w:t>Wang v. Athira Pharma, Inc., et al.</w:t>
      </w:r>
      <w:r>
        <w:rPr>
          <w:rFonts w:ascii="Arial" w:hAnsi="Arial"/>
          <w:color w:val="000000"/>
          <w:sz w:val="20"/>
        </w:rPr>
        <w:t xml:space="preserve">, No. 2:21-cv-00861. Plaintiffs Wang and Gao assert claims under Sections 10(b) and 20(a) of the Securities Exchange Act of 1934, or Exchange Act, and SEC Rule 10b-5, alleging that the defendants made materially false and misleading statements and omitted material adverse facts regarding the Company’s business. Specifically, the </w:t>
      </w:r>
      <w:r>
        <w:rPr>
          <w:rFonts w:ascii="Arial" w:hAnsi="Arial"/>
          <w:i/>
          <w:color w:val="000000"/>
          <w:sz w:val="20"/>
        </w:rPr>
        <w:t xml:space="preserve">Wang </w:t>
      </w:r>
      <w:r>
        <w:rPr>
          <w:rFonts w:ascii="Arial" w:hAnsi="Arial"/>
          <w:color w:val="000000"/>
          <w:sz w:val="20"/>
        </w:rPr>
        <w:t xml:space="preserve">plaintiffs allege that the Company failed to disclose to investors that certain research conducted by Dr. Kawas was allegedly tainted by scientific misconduct during her doctoral work at WSU, including the manipulation of data, and that as a result, the defendants’ positive statements about the Company’s business, operations, and prospects were materially misleading. The </w:t>
      </w:r>
      <w:r>
        <w:rPr>
          <w:rFonts w:ascii="Arial" w:hAnsi="Arial"/>
          <w:i/>
          <w:color w:val="000000"/>
          <w:sz w:val="20"/>
        </w:rPr>
        <w:t xml:space="preserve">Wang </w:t>
      </w:r>
      <w:r>
        <w:rPr>
          <w:rFonts w:ascii="Arial" w:hAnsi="Arial"/>
          <w:color w:val="000000"/>
          <w:sz w:val="20"/>
        </w:rPr>
        <w:t>plaintiffs seek unspecified compensatory and punitive damages, and reasonable costs and expenses, including attorneys’ fees.</w:t>
      </w:r>
      <w:r>
        <w:rPr>
          <w:rFonts w:ascii="Times New Roman" w:hAnsi="Times New Roman"/>
          <w:color w:val="000000"/>
          <w:sz w:val="20"/>
        </w:rPr>
        <w:t xml:space="preserve"> </w:t>
      </w:r>
    </w:p>
    <w:p>
      <w:pPr>
        <w:pStyle w:val="TextBody"/>
        <w:bidi w:val="0"/>
        <w:jc w:val="left"/>
        <w:rPr/>
      </w:pPr>
      <w:r>
        <w:rPr/>
        <w:t> </w:t>
      </w:r>
    </w:p>
    <w:p>
      <w:pPr>
        <w:pStyle w:val="TextBody"/>
        <w:bidi w:val="0"/>
        <w:spacing w:before="80" w:after="283"/>
        <w:jc w:val="both"/>
        <w:rPr>
          <w:rFonts w:ascii="Times New Roman" w:hAnsi="Times New Roman"/>
          <w:sz w:val="20"/>
        </w:rPr>
      </w:pPr>
      <w:r>
        <w:rPr>
          <w:rFonts w:ascii="Arial" w:hAnsi="Arial"/>
          <w:color w:val="000000"/>
          <w:sz w:val="20"/>
        </w:rPr>
        <w:t>That same day, on June 25, 2021, plaintiff Harshdeep Jawandha</w:t>
      </w:r>
      <w:r>
        <w:rPr>
          <w:rFonts w:ascii="Times New Roman" w:hAnsi="Times New Roman"/>
          <w:color w:val="000000"/>
          <w:sz w:val="20"/>
        </w:rPr>
        <w:t xml:space="preserve"> </w:t>
      </w:r>
      <w:r>
        <w:rPr>
          <w:rFonts w:ascii="Arial" w:hAnsi="Arial"/>
          <w:color w:val="000000"/>
          <w:sz w:val="20"/>
        </w:rPr>
        <w:t xml:space="preserve">filed a putative securities class action lawsuit in the U.S. District Court for the Western District of Washington against the Company, Dr. Kawas, the Company’s then chief financial officer, certain members of the Company’s board of directors at the time of the Company’s initial public offering, or IPO, as well as the IPO underwriters, captioned </w:t>
      </w:r>
      <w:r>
        <w:rPr>
          <w:rFonts w:ascii="Arial" w:hAnsi="Arial"/>
          <w:i/>
          <w:color w:val="000000"/>
          <w:sz w:val="20"/>
        </w:rPr>
        <w:t>Jawandha v. Athira Pharma, Inc., et al.</w:t>
      </w:r>
      <w:r>
        <w:rPr>
          <w:rFonts w:ascii="Arial" w:hAnsi="Arial"/>
          <w:color w:val="000000"/>
          <w:sz w:val="20"/>
        </w:rPr>
        <w:t xml:space="preserve">, No. 2:21-cv-00862. The </w:t>
      </w:r>
      <w:r>
        <w:rPr>
          <w:rFonts w:ascii="Arial" w:hAnsi="Arial"/>
          <w:i/>
          <w:color w:val="000000"/>
          <w:sz w:val="20"/>
        </w:rPr>
        <w:t xml:space="preserve">Jawandha </w:t>
      </w:r>
      <w:r>
        <w:rPr>
          <w:rFonts w:ascii="Arial" w:hAnsi="Arial"/>
          <w:color w:val="000000"/>
          <w:sz w:val="20"/>
        </w:rPr>
        <w:t xml:space="preserve">complaint asserts violations of Sections 11 and 15 of the Securities Act of 1933, or Securities Act, alleging that that the Company’s IPO registration statement was materially false and misleading because it omitted to state that certain of Dr. Kawas’s published doctoral research papers at WSU contained allegedly improperly altered images, that the research was allegedly foundational to the Company’s efforts to develop treatments for Alzheimer’s disease, and that the defendants’ positive statements about the Company’s business, operations, and prospects were materially misleading. The </w:t>
      </w:r>
      <w:r>
        <w:rPr>
          <w:rFonts w:ascii="Arial" w:hAnsi="Arial"/>
          <w:i/>
          <w:color w:val="000000"/>
          <w:sz w:val="20"/>
        </w:rPr>
        <w:t xml:space="preserve">Jawandha </w:t>
      </w:r>
      <w:r>
        <w:rPr>
          <w:rFonts w:ascii="Arial" w:hAnsi="Arial"/>
          <w:color w:val="000000"/>
          <w:sz w:val="20"/>
        </w:rPr>
        <w:t>plaintiff seeks unspecified compensatory damages, and reasonable costs and expenses, including attorneys’ fees.</w:t>
      </w:r>
      <w:r>
        <w:rPr>
          <w:rFonts w:ascii="Times New Roman" w:hAnsi="Times New Roman"/>
          <w:color w:val="000000"/>
          <w:sz w:val="20"/>
        </w:rPr>
        <w:t xml:space="preserve"> </w:t>
      </w:r>
    </w:p>
    <w:p>
      <w:pPr>
        <w:pStyle w:val="TextBody"/>
        <w:bidi w:val="0"/>
        <w:jc w:val="left"/>
        <w:rPr/>
      </w:pPr>
      <w:r>
        <w:rPr/>
        <w:t> </w:t>
      </w:r>
    </w:p>
    <w:p>
      <w:pPr>
        <w:pStyle w:val="TextBody"/>
        <w:bidi w:val="0"/>
        <w:spacing w:before="80" w:after="283"/>
        <w:jc w:val="both"/>
        <w:rPr>
          <w:rFonts w:ascii="Times New Roman" w:hAnsi="Times New Roman"/>
          <w:sz w:val="20"/>
        </w:rPr>
      </w:pPr>
      <w:r>
        <w:rPr>
          <w:rFonts w:ascii="Arial" w:hAnsi="Arial"/>
          <w:color w:val="000000"/>
          <w:sz w:val="20"/>
        </w:rPr>
        <w:t>Also on June 25, 2021, plaintiffs Timothy Slyne and Tai Slyne</w:t>
      </w:r>
      <w:r>
        <w:rPr>
          <w:rFonts w:ascii="Times New Roman" w:hAnsi="Times New Roman"/>
          <w:color w:val="000000"/>
          <w:sz w:val="20"/>
        </w:rPr>
        <w:t xml:space="preserve"> </w:t>
      </w:r>
      <w:r>
        <w:rPr>
          <w:rFonts w:ascii="Arial" w:hAnsi="Arial"/>
          <w:color w:val="000000"/>
          <w:sz w:val="20"/>
        </w:rPr>
        <w:t xml:space="preserve">filed a putative securities class action lawsuit in the U.S. District Court for the Western District of Washington against the Company, Dr. Kawas, the Company’s then chief financial officer, and the same members of the Company’s board of directors and underwriters as in the </w:t>
      </w:r>
      <w:r>
        <w:rPr>
          <w:rFonts w:ascii="Arial" w:hAnsi="Arial"/>
          <w:i/>
          <w:color w:val="000000"/>
          <w:sz w:val="20"/>
        </w:rPr>
        <w:t xml:space="preserve">Jawandha </w:t>
      </w:r>
      <w:r>
        <w:rPr>
          <w:rFonts w:ascii="Arial" w:hAnsi="Arial"/>
          <w:color w:val="000000"/>
          <w:sz w:val="20"/>
        </w:rPr>
        <w:t xml:space="preserve">complaint, captioned </w:t>
      </w:r>
      <w:r>
        <w:rPr>
          <w:rFonts w:ascii="Arial" w:hAnsi="Arial"/>
          <w:i/>
          <w:color w:val="000000"/>
          <w:sz w:val="20"/>
        </w:rPr>
        <w:t>Slyne v. Athira Pharma, Inc. et al.</w:t>
      </w:r>
      <w:r>
        <w:rPr>
          <w:rFonts w:ascii="Arial" w:hAnsi="Arial"/>
          <w:color w:val="000000"/>
          <w:sz w:val="20"/>
        </w:rPr>
        <w:t xml:space="preserve">, No. 2:21-cv-00864. The </w:t>
      </w:r>
      <w:r>
        <w:rPr>
          <w:rFonts w:ascii="Arial" w:hAnsi="Arial"/>
          <w:i/>
          <w:color w:val="000000"/>
          <w:sz w:val="20"/>
        </w:rPr>
        <w:t xml:space="preserve">Slyne </w:t>
      </w:r>
      <w:r>
        <w:rPr>
          <w:rFonts w:ascii="Arial" w:hAnsi="Arial"/>
          <w:color w:val="000000"/>
          <w:sz w:val="20"/>
        </w:rPr>
        <w:t xml:space="preserve">complaint asserts violations of Sections 11 and 15 of the Securities Act, alleging that purported issues with Dr. Kawas’s doctoral research at WSU should have been disclosed in the Company’s IPO registration statement. The </w:t>
      </w:r>
      <w:r>
        <w:rPr>
          <w:rFonts w:ascii="Arial" w:hAnsi="Arial"/>
          <w:i/>
          <w:color w:val="000000"/>
          <w:sz w:val="20"/>
        </w:rPr>
        <w:t>Slyne</w:t>
      </w:r>
      <w:r>
        <w:rPr>
          <w:rFonts w:ascii="Times New Roman" w:hAnsi="Times New Roman"/>
          <w:color w:val="000000"/>
          <w:sz w:val="20"/>
        </w:rPr>
        <w:t xml:space="preserve"> </w:t>
      </w:r>
      <w:r>
        <w:rPr>
          <w:rFonts w:ascii="Arial" w:hAnsi="Arial"/>
          <w:color w:val="000000"/>
          <w:sz w:val="20"/>
        </w:rPr>
        <w:t>plaintiffs</w:t>
      </w:r>
      <w:r>
        <w:rPr>
          <w:rFonts w:ascii="Times New Roman" w:hAnsi="Times New Roman"/>
          <w:color w:val="000000"/>
          <w:sz w:val="20"/>
        </w:rPr>
        <w:t xml:space="preserve"> </w:t>
      </w:r>
      <w:r>
        <w:rPr>
          <w:rFonts w:ascii="Arial" w:hAnsi="Arial"/>
          <w:color w:val="000000"/>
          <w:sz w:val="20"/>
        </w:rPr>
        <w:t>seek unspecified compensatory damages, reasonable costs and expenses, including attorneys’ fees, and injunctive and other equitable relief.</w:t>
      </w:r>
    </w:p>
    <w:p>
      <w:pPr>
        <w:pStyle w:val="TextBody"/>
        <w:bidi w:val="0"/>
        <w:spacing w:before="280" w:after="283"/>
        <w:jc w:val="both"/>
        <w:rPr>
          <w:rFonts w:ascii="Arial" w:hAnsi="Arial"/>
          <w:color w:val="000000"/>
          <w:sz w:val="20"/>
        </w:rPr>
      </w:pPr>
      <w:r>
        <w:rPr>
          <w:rFonts w:ascii="Arial" w:hAnsi="Arial"/>
          <w:color w:val="000000"/>
          <w:sz w:val="20"/>
        </w:rPr>
        <w:t>On August 9, 2021, the court issued an order consolidating the three cases. On October 5, 2021, the district court issued an order appointing lead plaintiffs and approved their selection of lead and liaison counsel.</w:t>
      </w:r>
    </w:p>
    <w:p>
      <w:pPr>
        <w:pStyle w:val="TextBody"/>
        <w:bidi w:val="0"/>
        <w:spacing w:before="280" w:after="283"/>
        <w:jc w:val="both"/>
        <w:rPr>
          <w:rFonts w:ascii="Arial" w:hAnsi="Arial"/>
          <w:color w:val="000000"/>
          <w:sz w:val="20"/>
        </w:rPr>
      </w:pPr>
      <w:r>
        <w:rPr>
          <w:rFonts w:ascii="Arial" w:hAnsi="Arial"/>
          <w:color w:val="000000"/>
          <w:sz w:val="20"/>
        </w:rPr>
        <w:t>On January 7, 2022, lead plaintiffs filed a consolidated amended complaint, which asserts violations of Sections 10(b) and 20(a) of the Exchange Act and SEC Rule 10b-5 and Sections 11, 12, and 15 of the Securities Act. The consolidated amended complaint is brought against the Company, Dr. Kawas, the Company’s then chief financial officer, certain members of the Company's board of directors at the time of the Company's IPO and secondary public offering, or SPO, and the IPO and SPO underwriters. As with the previous complaints, it is based on allegations that the IPO and SPO registration statements and/or other public statements were materially false and misleading because they omitted to state that certain of Dr. Kawas’s published doctoral research papers at WSU contained allegedly improperly altered images. Lead plaintiffs seek unspecified compensatory damages, as well as equitable and injunctive relief on behalf of themselves and the purported class. On March 8, 2022, the defendants filed a motion to dismiss lead plaintiffs’ consolidated amended complaint for failure to state a claim under the federal securities laws. On July 29, 2022, the court issued an order granting in part and denying in part the motion to dismiss. The order dismissed the Section 10(b) and Section 20(a) claims arising under the Exchange Act, dismissed the Section 11 claim arising under the Securities Act as to all defendants other than the Company and Dr. Kawas, dismissed the Section 12(a)(2) claim arising under the Securities Act as to the lead plaintiffs, and dismissed the Section 15 claim arising under the Securities Act against all defendants other than Dr. Kawas. The order permitted lead plaintiffs until August 19, 2022 to file a second consolidated amended complaint. Lead plaintiffs did not file a second consolidated amended complaint.</w:t>
      </w:r>
    </w:p>
    <w:p>
      <w:pPr>
        <w:pStyle w:val="TextBody"/>
        <w:bidi w:val="0"/>
        <w:spacing w:before="24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Arial" w:hAnsi="Arial"/>
          <w:color w:val="000000"/>
          <w:sz w:val="20"/>
        </w:rPr>
        <w:t>On August 12, 2022, defendant Dr. Kawas</w:t>
      </w:r>
      <w:r>
        <w:rPr>
          <w:rFonts w:ascii="Times New Roman" w:hAnsi="Times New Roman"/>
          <w:color w:val="000000"/>
          <w:sz w:val="20"/>
        </w:rPr>
        <w:t xml:space="preserve"> </w:t>
      </w:r>
      <w:r>
        <w:rPr>
          <w:rFonts w:ascii="Arial" w:hAnsi="Arial"/>
          <w:color w:val="000000"/>
          <w:sz w:val="20"/>
        </w:rPr>
        <w:t>filed a motion for partial reconsideration of the court’s July 29, 2022 order. On October 24, 2022, the parties filed a (1) joint status report and discovery plan and (2) stipulation and case scheduling order, wherein the parties proposed deadlines for material case events, including the completion of fact discovery, expert discovery, and dispositive motion practice. On November 2, 2022, the court entered an order setting certain case deadlines. On November 4, 2022, the Company and Dr. Kawas filed their individual answers to the consolidated amended complaint. In mid-November 2022, the parties began conducting fact discovery.</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On March 10, 2023, following a mediation and the parties’ agreement in principle to settle the securities class action, the court entered a stipulated order setting a deadline of April 28, 2023 for the parties to file a stipulation of settlement and for lead plaintiffs to file a motion for preliminary approval of the settlement, which the parties filed on that date. The settlement is subject to preliminary and final approval by the U.S. District Court for the Western District of Washington. On May 31, 2023, the court issued a minute order requiring the parties to file a joint status report on or before June 30, 2023 addressing several aspects of the proposed settlement, including revision of certain notices to putative class members regarding the settlement, which the parties filed on that date. On September 27, 2023, the court issued an order denying plaintiffs’ motion for preliminary approval without prejudice, citing the motion’s failure to satisfy the court’s questions and concerns regarding traceability of certain Securities Act claims. The court permitted plaintiffs to file a renewed motion for preliminary approval, which plaintiffs filed on December 15, 2023.</w:t>
      </w:r>
    </w:p>
    <w:p>
      <w:pPr>
        <w:pStyle w:val="TextBody"/>
        <w:bidi w:val="0"/>
        <w:spacing w:before="280" w:after="283"/>
        <w:jc w:val="both"/>
        <w:rPr>
          <w:rFonts w:ascii="Arial" w:hAnsi="Arial"/>
          <w:color w:val="000000"/>
          <w:sz w:val="20"/>
        </w:rPr>
      </w:pPr>
      <w:r>
        <w:rPr>
          <w:rFonts w:ascii="Arial" w:hAnsi="Arial"/>
          <w:color w:val="000000"/>
          <w:sz w:val="20"/>
        </w:rPr>
        <w:t>On February 15, 2024, the court issued an order granting in part and deferring in part plaintiffs’ renewed motion for preliminary approval and ordered the parties to submit a joint status report by March 15, 2024 proposing a date on which the court may schedule the final approval hearing, among other things. In its order, the court preliminarily approved the proposed settlement and certified a class and two subclasses. The court deferred ruling in part as to the proposed notices and claim form relating to the settlement. On March 29, 2024, the court issued a minute order (i) granting the portion of plaintiffs’ renewed motion for preliminary approval that the court had previously deferred ruling on, (ii) setting a final approval hearing for October 25, 2024, and (iii) ordering plaintiffs’ motion for final approval of the proposed settlement to be filed on or before September 26, 2024.</w:t>
      </w:r>
    </w:p>
    <w:p>
      <w:pPr>
        <w:pStyle w:val="TextBody"/>
        <w:bidi w:val="0"/>
        <w:spacing w:before="280" w:after="283"/>
        <w:jc w:val="both"/>
        <w:rPr>
          <w:rFonts w:ascii="Times New Roman" w:hAnsi="Times New Roman"/>
          <w:sz w:val="20"/>
        </w:rPr>
      </w:pPr>
      <w:r>
        <w:rPr>
          <w:rFonts w:ascii="Arial" w:hAnsi="Arial"/>
          <w:color w:val="000000"/>
          <w:sz w:val="20"/>
        </w:rPr>
        <w:t>As a result of the foregoing, the Company recorded a legal settlement expense of $10.0</w:t>
      </w:r>
      <w:r>
        <w:rPr>
          <w:rFonts w:ascii="Times New Roman" w:hAnsi="Times New Roman"/>
          <w:color w:val="000000"/>
          <w:sz w:val="20"/>
        </w:rPr>
        <w:t xml:space="preserve"> </w:t>
      </w:r>
      <w:r>
        <w:rPr>
          <w:rFonts w:ascii="Arial" w:hAnsi="Arial"/>
          <w:color w:val="000000"/>
          <w:sz w:val="20"/>
        </w:rPr>
        <w:t>million in operating expenses in the fourth quarter of 2022 and an accrued liability of $10.0</w:t>
      </w:r>
      <w:r>
        <w:rPr>
          <w:rFonts w:ascii="Times New Roman" w:hAnsi="Times New Roman"/>
          <w:color w:val="000000"/>
          <w:sz w:val="20"/>
        </w:rPr>
        <w:t xml:space="preserve"> </w:t>
      </w:r>
      <w:r>
        <w:rPr>
          <w:rFonts w:ascii="Arial" w:hAnsi="Arial"/>
          <w:color w:val="000000"/>
          <w:sz w:val="20"/>
        </w:rPr>
        <w:t>million on the accompanying condensed consolidated balance sheets. Additionally, the Company recorded an insurance recovery of $1.6</w:t>
      </w:r>
      <w:r>
        <w:rPr>
          <w:rFonts w:ascii="Times New Roman" w:hAnsi="Times New Roman"/>
          <w:color w:val="000000"/>
          <w:sz w:val="20"/>
        </w:rPr>
        <w:t xml:space="preserve"> </w:t>
      </w:r>
      <w:r>
        <w:rPr>
          <w:rFonts w:ascii="Arial" w:hAnsi="Arial"/>
          <w:color w:val="000000"/>
          <w:sz w:val="20"/>
        </w:rPr>
        <w:t>million in operating expenses in the fourth quarter of 2023 and an insurance recovery receivable of $1.6</w:t>
      </w:r>
      <w:r>
        <w:rPr>
          <w:rFonts w:ascii="Times New Roman" w:hAnsi="Times New Roman"/>
          <w:color w:val="000000"/>
          <w:sz w:val="20"/>
        </w:rPr>
        <w:t xml:space="preserve"> </w:t>
      </w:r>
      <w:r>
        <w:rPr>
          <w:rFonts w:ascii="Arial" w:hAnsi="Arial"/>
          <w:color w:val="000000"/>
          <w:sz w:val="20"/>
        </w:rPr>
        <w:t>million on the accompanying condensed consolidated balance sheets. This insurance recovery represents the amount of the settlement to be covered by the Company's insurers.</w:t>
      </w:r>
    </w:p>
    <w:p>
      <w:pPr>
        <w:pStyle w:val="TextBody"/>
        <w:bidi w:val="0"/>
        <w:spacing w:before="24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b/>
          <w:color w:val="000000"/>
          <w:sz w:val="20"/>
        </w:rPr>
      </w:pPr>
      <w:r>
        <w:rPr>
          <w:rFonts w:ascii="Arial" w:hAnsi="Arial"/>
          <w:b/>
          <w:color w:val="000000"/>
          <w:sz w:val="20"/>
        </w:rPr>
        <w:t>Shareholder Derivative Actions</w:t>
      </w:r>
    </w:p>
    <w:p>
      <w:pPr>
        <w:pStyle w:val="TextBody"/>
        <w:bidi w:val="0"/>
        <w:spacing w:before="280" w:after="283"/>
        <w:jc w:val="both"/>
        <w:rPr>
          <w:rFonts w:ascii="Times New Roman" w:hAnsi="Times New Roman"/>
          <w:sz w:val="20"/>
        </w:rPr>
      </w:pPr>
      <w:r>
        <w:rPr>
          <w:rFonts w:ascii="Arial" w:hAnsi="Arial"/>
          <w:color w:val="000000"/>
          <w:sz w:val="20"/>
        </w:rPr>
        <w:t xml:space="preserve">On April 14, 2022, a shareholder derivative action was filed by plaintiff Stephen Bushansky in the U.S. District Court for the Western District of Washington against certain current and former members of the Company’s board of directors, captioned </w:t>
      </w:r>
      <w:r>
        <w:rPr>
          <w:rFonts w:ascii="Arial" w:hAnsi="Arial"/>
          <w:i/>
          <w:color w:val="000000"/>
          <w:sz w:val="20"/>
        </w:rPr>
        <w:t>Bushansky v. Kawas et al.</w:t>
      </w:r>
      <w:r>
        <w:rPr>
          <w:rFonts w:ascii="Arial" w:hAnsi="Arial"/>
          <w:color w:val="000000"/>
          <w:sz w:val="20"/>
        </w:rPr>
        <w:t>, No. 2:22-cv-497. Plaintiff purports to bring the action derivatively on behalf of the Company, which is a nominal defendant to the action. The derivative complaint alleges that the Company’s board of directors breached its fiduciary duties by failing to prevent alleged misstatements in the Company’s public filings, failing to discover altered images in certain research papers, and failing to take appropriate action. The derivative complaint asserts claims for violations of Section 14(a) of the Exchange Act as well as claims for breach of fiduciary duty, contribution and indemnification, aiding and abetting, and waste of corporate assets. The derivative complaint seeks unspecified damages, disgorgement of profits, benefits, and other compensation received by the individual defendants, restitution, declaratory relief, and an award of costs and expenses to the derivative plaintiff, including attorneys’ fees.</w:t>
      </w:r>
    </w:p>
    <w:p>
      <w:pPr>
        <w:pStyle w:val="TextBody"/>
        <w:bidi w:val="0"/>
        <w:spacing w:before="280" w:after="283"/>
        <w:jc w:val="both"/>
        <w:rPr>
          <w:rFonts w:ascii="Times New Roman" w:hAnsi="Times New Roman"/>
          <w:sz w:val="20"/>
        </w:rPr>
      </w:pPr>
      <w:r>
        <w:rPr>
          <w:rFonts w:ascii="Arial" w:hAnsi="Arial"/>
          <w:color w:val="000000"/>
          <w:sz w:val="20"/>
        </w:rPr>
        <w:t xml:space="preserve">On May 6, 2022, a second shareholder derivative action was filed by plaintiff Thomas Houlihan in the U.S. District Court for the Western District of Washington against certain current and former directors and officers of the Company, captioned </w:t>
      </w:r>
      <w:r>
        <w:rPr>
          <w:rFonts w:ascii="Arial" w:hAnsi="Arial"/>
          <w:i/>
          <w:color w:val="000000"/>
          <w:sz w:val="20"/>
        </w:rPr>
        <w:t>Houlihan v. Kawas et al</w:t>
      </w:r>
      <w:r>
        <w:rPr>
          <w:rFonts w:ascii="Arial" w:hAnsi="Arial"/>
          <w:color w:val="000000"/>
          <w:sz w:val="20"/>
        </w:rPr>
        <w:t>., No. 2:22-cv-620. Plaintiff purports to bring the action derivatively on behalf of the Company, which is a nominal defendant to the action. The derivative complaint alleges that certain of the Company’s current and former directors and officers breached their fiduciary duties by failing to prevent alleged misstatements in the Company’s public filings and failing to take appropriate action regarding altered images in certain research papers. The derivative complaint asserts claims for violations of Section 14(a) of the Exchange Act as well as claims for breach of fiduciary duties, contribution, and indemnification. The derivative complaint seeks unspecified damages, unspecified corporate governance reforms, restitution, and an award of costs and expenses to the derivative plaintiff, including attorneys’ fees.</w:t>
      </w:r>
    </w:p>
    <w:p>
      <w:pPr>
        <w:pStyle w:val="TextBody"/>
        <w:bidi w:val="0"/>
        <w:spacing w:before="280" w:after="283"/>
        <w:jc w:val="both"/>
        <w:rPr>
          <w:rFonts w:ascii="Arial" w:hAnsi="Arial"/>
          <w:color w:val="000000"/>
          <w:sz w:val="20"/>
        </w:rPr>
      </w:pPr>
      <w:r>
        <w:rPr>
          <w:rFonts w:ascii="Arial" w:hAnsi="Arial"/>
          <w:color w:val="000000"/>
          <w:sz w:val="20"/>
        </w:rPr>
        <w:t>On May 26, 2022, the court issued an order consolidating the cases and staying them until further order of the court. On March 18, 2024, following a mediation and the parties entering into a stipulation of settlement to settle the consolidated derivative action for certain corporate governance reforms and the Company’s payment of a fee and expense award to plaintiffs’ counsel, plaintiffs filed an unopposed motion for preliminary approval of a settlement of the derivative action. On May 3, 2024, the court entered an order preliminarily approving the settlement and scheduling a final approval hearing for July 18, 2024. The Company believes it has adequate reserves related to this matter as of the latest balance sheet date.</w:t>
      </w:r>
    </w:p>
    <w:p>
      <w:pPr>
        <w:pStyle w:val="TextBody"/>
        <w:bidi w:val="0"/>
        <w:spacing w:before="280" w:after="283"/>
        <w:jc w:val="both"/>
        <w:rPr>
          <w:rFonts w:ascii="Arial" w:hAnsi="Arial"/>
          <w:b/>
          <w:color w:val="000000"/>
          <w:sz w:val="20"/>
        </w:rPr>
      </w:pPr>
      <w:r>
        <w:rPr>
          <w:rFonts w:ascii="Arial" w:hAnsi="Arial"/>
          <w:b/>
          <w:color w:val="000000"/>
          <w:sz w:val="20"/>
        </w:rPr>
        <w:t>Government Investigations</w:t>
      </w:r>
    </w:p>
    <w:p>
      <w:pPr>
        <w:pStyle w:val="TextBody"/>
        <w:bidi w:val="0"/>
        <w:spacing w:before="280" w:after="283"/>
        <w:jc w:val="both"/>
        <w:rPr>
          <w:rFonts w:ascii="Times New Roman" w:hAnsi="Times New Roman"/>
          <w:sz w:val="20"/>
        </w:rPr>
      </w:pPr>
      <w:r>
        <w:rPr>
          <w:rFonts w:ascii="Arial" w:hAnsi="Arial"/>
          <w:color w:val="000000"/>
          <w:sz w:val="20"/>
        </w:rPr>
        <w:t>In November 2022, the Company received a Civil Investigative Demand from the Civil Division of the Department of Justice (the "Demand"). The Demand seeks documents and information relating to our relationship with WSU, certain of our grant applications in 2016 and 2019 with the NIH, and our receipt of a NIH grant in 2020. The Company is cooperating with the Department of Justice with respect to the Demand</w:t>
      </w:r>
      <w:r>
        <w:rPr>
          <w:rFonts w:ascii="Arial" w:hAnsi="Arial"/>
          <w:b/>
          <w:color w:val="000000"/>
          <w:sz w:val="20"/>
        </w:rPr>
        <w:t>.</w:t>
      </w:r>
    </w:p>
    <w:p>
      <w:pPr>
        <w:pStyle w:val="TextBody"/>
        <w:bidi w:val="0"/>
        <w:spacing w:before="280" w:after="283"/>
        <w:jc w:val="both"/>
        <w:rPr>
          <w:rFonts w:ascii="Arial" w:hAnsi="Arial"/>
          <w:color w:val="000000"/>
          <w:sz w:val="20"/>
        </w:rPr>
      </w:pPr>
      <w:r>
        <w:rPr>
          <w:rFonts w:ascii="Arial" w:hAnsi="Arial"/>
          <w:color w:val="000000"/>
          <w:sz w:val="20"/>
        </w:rPr>
        <w:t>In February 2023, the SEC, sent the Company a subpoena seeking documents and information relating to, among other things, the Company's former chief executive officer's alterations of images in certain research papers. The Company cooperated with the SEC with respect to the subpoena. On March 29, 2024, the Company received a letter from the SEC stating that it had concluded its investigation without any enforcement action against the Company.</w:t>
      </w:r>
    </w:p>
    <w:p>
      <w:pPr>
        <w:pStyle w:val="TextBody"/>
        <w:bidi w:val="0"/>
        <w:spacing w:before="280" w:after="283"/>
        <w:jc w:val="both"/>
        <w:rPr>
          <w:rFonts w:ascii="Arial" w:hAnsi="Arial"/>
          <w:color w:val="000000"/>
          <w:sz w:val="20"/>
        </w:rPr>
      </w:pPr>
      <w:r>
        <w:rPr>
          <w:rFonts w:ascii="Arial" w:hAnsi="Arial"/>
          <w:color w:val="000000"/>
          <w:sz w:val="20"/>
        </w:rPr>
        <w:t>The Company cannot predict the outcome of these lawsuits or government investigations. Failure by the Company to obtain a favorable resolution of these actions could have a material adverse effect on our business, results of operations and financial condition.</w:t>
      </w:r>
    </w:p>
    <w:p>
      <w:pPr>
        <w:pStyle w:val="TextBody"/>
        <w:bidi w:val="0"/>
        <w:spacing w:before="280" w:after="283"/>
        <w:jc w:val="both"/>
        <w:rPr>
          <w:rFonts w:ascii="Times New Roman" w:hAnsi="Times New Roman"/>
          <w:sz w:val="20"/>
        </w:rPr>
      </w:pPr>
      <w:r>
        <w:rPr>
          <w:rFonts w:ascii="Arial" w:hAnsi="Arial"/>
          <w:b/>
          <w:i/>
          <w:color w:val="000000"/>
          <w:sz w:val="20"/>
        </w:rPr>
        <w:t>Operating Leases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Arial" w:hAnsi="Arial"/>
          <w:color w:val="000000"/>
          <w:sz w:val="20"/>
        </w:rPr>
        <w:t>The Company has operating leases for laboratory and office facilities in Bothell, Washington that expire in August 2027. The initial terms of the leases range from 6.3</w:t>
      </w:r>
      <w:r>
        <w:rPr>
          <w:rFonts w:ascii="Times New Roman" w:hAnsi="Times New Roman"/>
          <w:color w:val="000000"/>
          <w:sz w:val="20"/>
        </w:rPr>
        <w:t xml:space="preserve"> </w:t>
      </w:r>
      <w:r>
        <w:rPr>
          <w:rFonts w:ascii="Arial" w:hAnsi="Arial"/>
          <w:color w:val="000000"/>
          <w:sz w:val="20"/>
        </w:rPr>
        <w:t>to 7</w:t>
      </w:r>
      <w:r>
        <w:rPr>
          <w:rFonts w:ascii="Times New Roman" w:hAnsi="Times New Roman"/>
          <w:color w:val="000000"/>
          <w:sz w:val="20"/>
        </w:rPr>
        <w:t xml:space="preserve"> </w:t>
      </w:r>
      <w:r>
        <w:rPr>
          <w:rFonts w:ascii="Arial" w:hAnsi="Arial"/>
          <w:color w:val="000000"/>
          <w:sz w:val="20"/>
        </w:rPr>
        <w:t>years and the Company has options to extend</w:t>
      </w:r>
      <w:r>
        <w:rPr>
          <w:rFonts w:ascii="Times New Roman" w:hAnsi="Times New Roman"/>
          <w:color w:val="000000"/>
          <w:sz w:val="20"/>
        </w:rPr>
        <w:t xml:space="preserve"> </w:t>
      </w:r>
      <w:r>
        <w:rPr>
          <w:rFonts w:ascii="Arial" w:hAnsi="Arial"/>
          <w:color w:val="000000"/>
          <w:sz w:val="20"/>
        </w:rPr>
        <w:t>the leases for an additional five years</w:t>
      </w:r>
      <w:r>
        <w:rPr>
          <w:rFonts w:ascii="Times New Roman" w:hAnsi="Times New Roman"/>
          <w:color w:val="000000"/>
          <w:sz w:val="20"/>
        </w:rPr>
        <w:t xml:space="preserve"> </w:t>
      </w:r>
      <w:r>
        <w:rPr>
          <w:rFonts w:ascii="Arial" w:hAnsi="Arial"/>
          <w:color w:val="000000"/>
          <w:sz w:val="20"/>
        </w:rPr>
        <w:t>that it is not reasonably certain to exercise. As of March 31, 2024, the Company was not party to any finance leases.</w:t>
      </w:r>
    </w:p>
    <w:p>
      <w:pPr>
        <w:pStyle w:val="TextBody"/>
        <w:bidi w:val="0"/>
        <w:spacing w:before="24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color w:val="000000"/>
          <w:sz w:val="20"/>
        </w:rPr>
      </w:pPr>
      <w:r>
        <w:rPr>
          <w:rFonts w:ascii="Arial" w:hAnsi="Arial"/>
          <w:color w:val="000000"/>
          <w:sz w:val="20"/>
        </w:rPr>
        <w:t>The following table reconciles the Company’s undiscounted operating lease cash flows to its operating lease liability (in thousands):</w:t>
      </w:r>
    </w:p>
    <w:p>
      <w:pPr>
        <w:pStyle w:val="TextBody"/>
        <w:bidi w:val="0"/>
        <w:jc w:val="both"/>
        <w:rPr/>
      </w:pPr>
      <w:r>
        <w:rPr/>
        <w:t> </w:t>
      </w:r>
    </w:p>
    <w:tbl>
      <w:tblPr>
        <w:tblW w:w="5498" w:type="dxa"/>
        <w:jc w:val="left"/>
        <w:tblInd w:w="0" w:type="dxa"/>
        <w:tblLayout w:type="fixed"/>
        <w:tblCellMar>
          <w:top w:w="28" w:type="dxa"/>
          <w:left w:w="28" w:type="dxa"/>
          <w:bottom w:w="28" w:type="dxa"/>
          <w:right w:w="28" w:type="dxa"/>
        </w:tblCellMar>
      </w:tblPr>
      <w:tblGrid>
        <w:gridCol w:w="4006"/>
        <w:gridCol w:w="146"/>
        <w:gridCol w:w="226"/>
        <w:gridCol w:w="629"/>
        <w:gridCol w:w="49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Remaining 2024</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62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362</w:t>
            </w:r>
          </w:p>
        </w:tc>
        <w:tc>
          <w:tcPr>
            <w:tcW w:w="491" w:type="dxa"/>
            <w:tcBorders/>
            <w:shd w:fill="CFF0FC" w:val="cle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494</w:t>
            </w:r>
          </w:p>
        </w:tc>
        <w:tc>
          <w:tcPr>
            <w:tcW w:w="491" w:type="dxa"/>
            <w:tcBorders/>
            <w:shd w:fill="FFFFFF" w:val="clear"/>
            <w:vAlign w:val="center"/>
          </w:tcPr>
          <w:p>
            <w:pPr>
              <w:pStyle w:val="TableContents"/>
              <w:bidi w:val="0"/>
              <w:spacing w:before="0" w:after="283"/>
              <w:jc w:val="left"/>
              <w:rPr/>
            </w:pPr>
            <w:r>
              <w:rPr/>
              <w:t> </w:t>
            </w:r>
          </w:p>
        </w:tc>
      </w:tr>
      <w:tr>
        <w:trPr/>
        <w:tc>
          <w:tcPr>
            <w:tcW w:w="40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62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509</w:t>
            </w:r>
          </w:p>
        </w:tc>
        <w:tc>
          <w:tcPr>
            <w:tcW w:w="491" w:type="dxa"/>
            <w:tcBorders/>
            <w:shd w:fill="CFF0FC" w:val="cle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undiscounted lease payments</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62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1,711</w:t>
            </w:r>
          </w:p>
        </w:tc>
        <w:tc>
          <w:tcPr>
            <w:tcW w:w="491" w:type="dxa"/>
            <w:tcBorders/>
            <w:shd w:fill="CFF0FC" w:val="cle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Present value adjustment for minimum lease</w:t>
              <w:br/>
              <w:t>   commitments</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00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Net lease liability</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1,498</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80" w:after="283"/>
        <w:jc w:val="both"/>
        <w:rPr>
          <w:rFonts w:ascii="Arial" w:hAnsi="Arial"/>
          <w:color w:val="000000"/>
          <w:sz w:val="20"/>
        </w:rPr>
      </w:pPr>
      <w:r>
        <w:rPr>
          <w:rFonts w:ascii="Arial" w:hAnsi="Arial"/>
          <w:color w:val="000000"/>
          <w:sz w:val="20"/>
        </w:rPr>
        <w:t>The weighted average remaining lease term and the weighted average discount rate used to determine the operating lease liability were as follows:</w:t>
      </w:r>
    </w:p>
    <w:p>
      <w:pPr>
        <w:pStyle w:val="TextBody"/>
        <w:bidi w:val="0"/>
        <w:jc w:val="both"/>
        <w:rPr/>
      </w:pPr>
      <w:r>
        <w:rPr/>
        <w:t> </w:t>
      </w:r>
    </w:p>
    <w:tbl>
      <w:tblPr>
        <w:tblW w:w="5548" w:type="dxa"/>
        <w:jc w:val="left"/>
        <w:tblInd w:w="0" w:type="dxa"/>
        <w:tblLayout w:type="fixed"/>
        <w:tblCellMar>
          <w:top w:w="28" w:type="dxa"/>
          <w:left w:w="28" w:type="dxa"/>
          <w:bottom w:w="28" w:type="dxa"/>
          <w:right w:w="28" w:type="dxa"/>
        </w:tblCellMar>
      </w:tblPr>
      <w:tblGrid>
        <w:gridCol w:w="4216"/>
        <w:gridCol w:w="146"/>
        <w:gridCol w:w="238"/>
        <w:gridCol w:w="617"/>
        <w:gridCol w:w="33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remaining lease term (years)</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61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c>
          <w:tcPr>
            <w:tcW w:w="331" w:type="dxa"/>
            <w:tcBorders/>
            <w:shd w:fill="CFF0FC" w:val="clear"/>
            <w:vAlign w:val="center"/>
          </w:tcPr>
          <w:p>
            <w:pPr>
              <w:pStyle w:val="TableContents"/>
              <w:bidi w:val="0"/>
              <w:spacing w:before="0" w:after="283"/>
              <w:jc w:val="left"/>
              <w:rPr/>
            </w:pPr>
            <w:r>
              <w:rPr/>
              <w:t> </w:t>
            </w:r>
          </w:p>
        </w:tc>
      </w:tr>
      <w:tr>
        <w:trPr/>
        <w:tc>
          <w:tcPr>
            <w:tcW w:w="421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discount rate</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61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8.1</w:t>
            </w:r>
          </w:p>
        </w:tc>
        <w:tc>
          <w:tcPr>
            <w:tcW w:w="3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pPr>
      <w:r>
        <w:rPr/>
        <w:t> </w:t>
      </w:r>
    </w:p>
    <w:p>
      <w:pPr>
        <w:pStyle w:val="TextBody"/>
        <w:bidi w:val="0"/>
        <w:spacing w:before="80" w:after="283"/>
        <w:jc w:val="both"/>
        <w:rPr>
          <w:rFonts w:ascii="Arial" w:hAnsi="Arial"/>
          <w:color w:val="000000"/>
          <w:sz w:val="20"/>
        </w:rPr>
      </w:pPr>
      <w:r>
        <w:rPr>
          <w:rFonts w:ascii="Arial" w:hAnsi="Arial"/>
          <w:color w:val="000000"/>
          <w:sz w:val="20"/>
        </w:rPr>
        <w:t>Operating lease expense and variable lease expense consisted of the following (in thousands):</w:t>
      </w:r>
    </w:p>
    <w:p>
      <w:pPr>
        <w:pStyle w:val="TextBody"/>
        <w:bidi w:val="0"/>
        <w:spacing w:before="80" w:after="283"/>
        <w:jc w:val="both"/>
        <w:rPr/>
      </w:pPr>
      <w:r>
        <w:rPr/>
        <w:t> </w:t>
      </w:r>
    </w:p>
    <w:tbl>
      <w:tblPr>
        <w:tblW w:w="5166" w:type="dxa"/>
        <w:jc w:val="left"/>
        <w:tblInd w:w="0" w:type="dxa"/>
        <w:tblLayout w:type="fixed"/>
        <w:tblCellMar>
          <w:top w:w="28" w:type="dxa"/>
          <w:left w:w="28" w:type="dxa"/>
          <w:bottom w:w="28" w:type="dxa"/>
          <w:right w:w="28" w:type="dxa"/>
        </w:tblCellMar>
      </w:tblPr>
      <w:tblGrid>
        <w:gridCol w:w="2281"/>
        <w:gridCol w:w="146"/>
        <w:gridCol w:w="253"/>
        <w:gridCol w:w="858"/>
        <w:gridCol w:w="163"/>
        <w:gridCol w:w="163"/>
        <w:gridCol w:w="253"/>
        <w:gridCol w:w="858"/>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expense</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58" w:type="dxa"/>
            <w:tcBorders/>
            <w:shd w:fill="CFF0FC" w:val="cle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88,000</w:t>
            </w:r>
          </w:p>
        </w:tc>
        <w:tc>
          <w:tcPr>
            <w:tcW w:w="163"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858" w:type="dxa"/>
            <w:tcBorders/>
            <w:shd w:fill="CFF0FC" w:val="cle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88,000</w:t>
            </w:r>
          </w:p>
        </w:tc>
        <w:tc>
          <w:tcPr>
            <w:tcW w:w="191" w:type="dxa"/>
            <w:tcBorders/>
            <w:shd w:fill="CFF0FC" w:val="cle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Variable lease expense</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26,000</w:t>
            </w:r>
          </w:p>
        </w:tc>
        <w:tc>
          <w:tcPr>
            <w:tcW w:w="163"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60,000</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80" w:after="283"/>
        <w:jc w:val="both"/>
        <w:rPr/>
      </w:pPr>
      <w:r>
        <w:rPr/>
        <w:t> </w:t>
      </w:r>
    </w:p>
    <w:p>
      <w:pPr>
        <w:pStyle w:val="TextBody"/>
        <w:bidi w:val="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8. Common Stock</w:t>
      </w:r>
    </w:p>
    <w:p>
      <w:pPr>
        <w:pStyle w:val="TextBody"/>
        <w:bidi w:val="0"/>
        <w:spacing w:before="280" w:after="283"/>
        <w:jc w:val="both"/>
        <w:rPr>
          <w:rFonts w:ascii="Arial" w:hAnsi="Arial"/>
          <w:color w:val="000000"/>
          <w:sz w:val="20"/>
        </w:rPr>
      </w:pPr>
      <w:r>
        <w:rPr>
          <w:rFonts w:ascii="Arial" w:hAnsi="Arial"/>
          <w:color w:val="000000"/>
          <w:sz w:val="20"/>
        </w:rPr>
        <w:t>Each share of common stock has the right to one vote. The holders of common stock are also entitled to receive dividends whenever funds are legally available and if declared by the Company’s board of directors, subject to the prior rights of holders of all classes of stock outstanding having priority rights as to dividends. No cash dividends have been declared by the board of directors from inception.</w:t>
      </w:r>
    </w:p>
    <w:p>
      <w:pPr>
        <w:pStyle w:val="TextBody"/>
        <w:bidi w:val="0"/>
        <w:spacing w:before="280" w:after="283"/>
        <w:jc w:val="both"/>
        <w:rPr>
          <w:rFonts w:ascii="Arial" w:hAnsi="Arial"/>
          <w:color w:val="000000"/>
          <w:sz w:val="20"/>
        </w:rPr>
      </w:pPr>
      <w:r>
        <w:rPr>
          <w:rFonts w:ascii="Arial" w:hAnsi="Arial"/>
          <w:color w:val="000000"/>
          <w:sz w:val="20"/>
        </w:rPr>
        <w:t>The Company has reserved the following shares of common stock for future issuance, on an as-converted basis, as follows:</w:t>
      </w:r>
    </w:p>
    <w:p>
      <w:pPr>
        <w:pStyle w:val="TextBody"/>
        <w:bidi w:val="0"/>
        <w:jc w:val="both"/>
        <w:rPr/>
      </w:pPr>
      <w:r>
        <w:rPr/>
        <w:t> </w:t>
      </w:r>
    </w:p>
    <w:tbl>
      <w:tblPr>
        <w:tblW w:w="7744" w:type="dxa"/>
        <w:jc w:val="left"/>
        <w:tblInd w:w="0" w:type="dxa"/>
        <w:tblLayout w:type="fixed"/>
        <w:tblCellMar>
          <w:top w:w="28" w:type="dxa"/>
          <w:left w:w="28" w:type="dxa"/>
          <w:bottom w:w="28" w:type="dxa"/>
          <w:right w:w="28" w:type="dxa"/>
        </w:tblCellMar>
      </w:tblPr>
      <w:tblGrid>
        <w:gridCol w:w="4411"/>
        <w:gridCol w:w="146"/>
        <w:gridCol w:w="146"/>
        <w:gridCol w:w="1066"/>
        <w:gridCol w:w="146"/>
        <w:gridCol w:w="146"/>
        <w:gridCol w:w="146"/>
        <w:gridCol w:w="1066"/>
        <w:gridCol w:w="47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Shares issuable upon the exercise of outstanding</w:t>
              <w:br/>
              <w:t>   common stock options and the vesting of</w:t>
              <w:br/>
              <w:t>   outstanding common restricted stock</w:t>
              <w:br/>
              <w:t>   units granted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10,365,045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7,130,956</w:t>
            </w:r>
          </w:p>
        </w:tc>
        <w:tc>
          <w:tcPr>
            <w:tcW w:w="471" w:type="dxa"/>
            <w:tcBorders/>
            <w:shd w:fill="CFF0FC" w:val="clear"/>
            <w:vAlign w:val="center"/>
          </w:tcPr>
          <w:p>
            <w:pPr>
              <w:pStyle w:val="TableContents"/>
              <w:bidi w:val="0"/>
              <w:spacing w:before="0" w:after="283"/>
              <w:jc w:val="left"/>
              <w:rPr/>
            </w:pPr>
            <w:r>
              <w:rPr/>
              <w:t> </w:t>
            </w:r>
          </w:p>
        </w:tc>
      </w:tr>
      <w:tr>
        <w:trPr/>
        <w:tc>
          <w:tcPr>
            <w:tcW w:w="44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future grant under the 2020</w:t>
              <w:br/>
              <w:t>   Equity Incentive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1,678,586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3,158,094</w:t>
            </w:r>
          </w:p>
        </w:tc>
        <w:tc>
          <w:tcPr>
            <w:tcW w:w="471" w:type="dxa"/>
            <w:tcBorders/>
            <w:shd w:fill="FFFFFF" w:val="clear"/>
            <w:vAlign w:val="center"/>
          </w:tcPr>
          <w:p>
            <w:pPr>
              <w:pStyle w:val="TableContents"/>
              <w:bidi w:val="0"/>
              <w:spacing w:before="0" w:after="283"/>
              <w:jc w:val="left"/>
              <w:rPr/>
            </w:pPr>
            <w:r>
              <w:rPr/>
              <w:t> </w:t>
            </w:r>
          </w:p>
        </w:tc>
      </w:tr>
      <w:tr>
        <w:trPr/>
        <w:tc>
          <w:tcPr>
            <w:tcW w:w="44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future grant under the</w:t>
              <w:br/>
              <w:t>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1,510,458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1,128,732</w:t>
            </w:r>
          </w:p>
        </w:tc>
        <w:tc>
          <w:tcPr>
            <w:tcW w:w="471" w:type="dxa"/>
            <w:tcBorders/>
            <w:shd w:fill="CFF0FC" w:val="clear"/>
            <w:vAlign w:val="center"/>
          </w:tcPr>
          <w:p>
            <w:pPr>
              <w:pStyle w:val="TableContents"/>
              <w:bidi w:val="0"/>
              <w:spacing w:before="0" w:after="283"/>
              <w:jc w:val="left"/>
              <w:rPr/>
            </w:pPr>
            <w:r>
              <w:rPr/>
              <w:t> </w:t>
            </w:r>
          </w:p>
        </w:tc>
      </w:tr>
      <w:tr>
        <w:trPr/>
        <w:tc>
          <w:tcPr>
            <w:tcW w:w="44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future grant under the 2024</w:t>
              <w:br/>
              <w:t>   Inducement Equity Incentive Plan</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41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14,304,089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11,417,782</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80" w:after="283"/>
        <w:jc w:val="both"/>
        <w:rPr>
          <w:rFonts w:ascii="Times New Roman" w:hAnsi="Times New Roman"/>
          <w:sz w:val="20"/>
        </w:rPr>
      </w:pPr>
      <w:r>
        <w:rPr>
          <w:rFonts w:ascii="Arial" w:hAnsi="Arial"/>
          <w:color w:val="000000"/>
          <w:sz w:val="20"/>
        </w:rPr>
        <w:t>The Company’s 2020 Equity Incentive Plan (“2020 Plan”) provides for annual increases in the number of shares that may be issued under the 2020 Plan on January 1, 2021 and each subsequent January 1, thereafter, by a number of shares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Arial" w:hAnsi="Arial"/>
          <w:color w:val="000000"/>
          <w:sz w:val="20"/>
        </w:rPr>
        <w:t>equal to the least of (1) 3,230,000</w:t>
      </w:r>
      <w:r>
        <w:rPr>
          <w:rFonts w:ascii="Times New Roman" w:hAnsi="Times New Roman"/>
          <w:color w:val="000000"/>
          <w:sz w:val="20"/>
        </w:rPr>
        <w:t xml:space="preserve"> </w:t>
      </w:r>
      <w:r>
        <w:rPr>
          <w:rFonts w:ascii="Arial" w:hAnsi="Arial"/>
          <w:color w:val="000000"/>
          <w:sz w:val="20"/>
        </w:rPr>
        <w:t>shares, (2) 5% of the number of shares of common stock issued and outstanding on the immediately preceding December 31, and (3) an amount determined by the Company’s board of directors.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Company’s 2020 Employee Stock Purchase Plan (“ESPP”) provides for annual increases in the number of shares that may be issued under the ESPP on January 1, 2021 and each subsequent January 1, thereafter, by a number of shares equal to the least of (1) 646,000</w:t>
      </w:r>
      <w:r>
        <w:rPr>
          <w:rFonts w:ascii="Times New Roman" w:hAnsi="Times New Roman"/>
          <w:color w:val="000000"/>
          <w:sz w:val="20"/>
        </w:rPr>
        <w:t xml:space="preserve"> </w:t>
      </w:r>
      <w:r>
        <w:rPr>
          <w:rFonts w:ascii="Arial" w:hAnsi="Arial"/>
          <w:color w:val="000000"/>
          <w:sz w:val="20"/>
        </w:rPr>
        <w:t>shares, (2) 1% of the number of shares of common stock issued and outstanding on the immediately preceding December 31, and (3) an amount determined by the Company’s board of directors.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Effective January 1, 2024, the Company’s 2020 Plan and ESPP reserves increased by 1,908,630</w:t>
      </w:r>
      <w:r>
        <w:rPr>
          <w:rFonts w:ascii="Times New Roman" w:hAnsi="Times New Roman"/>
          <w:color w:val="000000"/>
          <w:sz w:val="20"/>
        </w:rPr>
        <w:t xml:space="preserve"> </w:t>
      </w:r>
      <w:r>
        <w:rPr>
          <w:rFonts w:ascii="Arial" w:hAnsi="Arial"/>
          <w:color w:val="000000"/>
          <w:sz w:val="20"/>
        </w:rPr>
        <w:t>shares and 381,726</w:t>
      </w:r>
      <w:r>
        <w:rPr>
          <w:rFonts w:ascii="Times New Roman" w:hAnsi="Times New Roman"/>
          <w:color w:val="000000"/>
          <w:sz w:val="20"/>
        </w:rPr>
        <w:t xml:space="preserve"> </w:t>
      </w:r>
      <w:r>
        <w:rPr>
          <w:rFonts w:ascii="Arial" w:hAnsi="Arial"/>
          <w:color w:val="000000"/>
          <w:sz w:val="20"/>
        </w:rPr>
        <w:t>shares, respectively.</w:t>
      </w:r>
    </w:p>
    <w:p>
      <w:pPr>
        <w:pStyle w:val="TextBody"/>
        <w:bidi w:val="0"/>
        <w:spacing w:before="240" w:after="283"/>
        <w:jc w:val="both"/>
        <w:rPr>
          <w:rFonts w:ascii="Times New Roman" w:hAnsi="Times New Roman"/>
          <w:sz w:val="20"/>
        </w:rPr>
      </w:pPr>
      <w:r>
        <w:rPr>
          <w:rFonts w:ascii="Arial" w:hAnsi="Arial"/>
          <w:color w:val="000000"/>
          <w:sz w:val="20"/>
        </w:rPr>
        <w:t>In February 2024, the board of directors adopted the Athira Pharma, Inc. 2024 Inducement Equity Incentive Plan, or the 2024 Inducement Plan, and, subject to the adjustment provisions of the 2024 Inducement Plan, reserved 750,000</w:t>
      </w:r>
      <w:r>
        <w:rPr>
          <w:rFonts w:ascii="Times New Roman" w:hAnsi="Times New Roman"/>
          <w:color w:val="000000"/>
          <w:sz w:val="20"/>
        </w:rPr>
        <w:t xml:space="preserve"> </w:t>
      </w:r>
      <w:r>
        <w:rPr>
          <w:rFonts w:ascii="Arial" w:hAnsi="Arial"/>
          <w:color w:val="000000"/>
          <w:sz w:val="20"/>
        </w:rPr>
        <w:t>shares of the Company's common stock for issuance pursuant to equity awards granted under the 2024 Inducement Plan.</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9. Stock-based Compensation</w:t>
      </w:r>
    </w:p>
    <w:p>
      <w:pPr>
        <w:pStyle w:val="TextBody"/>
        <w:bidi w:val="0"/>
        <w:spacing w:before="280" w:after="283"/>
        <w:jc w:val="both"/>
        <w:rPr>
          <w:rFonts w:ascii="Arial" w:hAnsi="Arial"/>
          <w:color w:val="000000"/>
          <w:sz w:val="20"/>
        </w:rPr>
      </w:pPr>
      <w:r>
        <w:rPr>
          <w:rFonts w:ascii="Arial" w:hAnsi="Arial"/>
          <w:color w:val="000000"/>
          <w:sz w:val="20"/>
        </w:rPr>
        <w:t>Stock</w:t>
        <w:noBreakHyphen/>
        <w:t>based compensation expense recognized was as follows (in thousands):</w:t>
      </w:r>
    </w:p>
    <w:p>
      <w:pPr>
        <w:pStyle w:val="TextBody"/>
        <w:bidi w:val="0"/>
        <w:jc w:val="both"/>
        <w:rPr/>
      </w:pPr>
      <w:r>
        <w:rPr/>
        <w:t> </w:t>
      </w:r>
    </w:p>
    <w:tbl>
      <w:tblPr>
        <w:tblW w:w="7196" w:type="dxa"/>
        <w:jc w:val="left"/>
        <w:tblInd w:w="0" w:type="dxa"/>
        <w:tblLayout w:type="fixed"/>
        <w:tblCellMar>
          <w:top w:w="28" w:type="dxa"/>
          <w:left w:w="28" w:type="dxa"/>
          <w:bottom w:w="28" w:type="dxa"/>
          <w:right w:w="28" w:type="dxa"/>
        </w:tblCellMar>
      </w:tblPr>
      <w:tblGrid>
        <w:gridCol w:w="4031"/>
        <w:gridCol w:w="146"/>
        <w:gridCol w:w="285"/>
        <w:gridCol w:w="792"/>
        <w:gridCol w:w="197"/>
        <w:gridCol w:w="197"/>
        <w:gridCol w:w="285"/>
        <w:gridCol w:w="792"/>
        <w:gridCol w:w="471"/>
      </w:tblGrid>
      <w:tr>
        <w:trPr/>
        <w:tc>
          <w:tcPr>
            <w:tcW w:w="4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0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986</w:t>
            </w:r>
          </w:p>
        </w:tc>
        <w:tc>
          <w:tcPr>
            <w:tcW w:w="197"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997</w:t>
            </w:r>
          </w:p>
        </w:tc>
        <w:tc>
          <w:tcPr>
            <w:tcW w:w="471" w:type="dxa"/>
            <w:tcBorders/>
            <w:shd w:fill="CFF0FC" w:val="clear"/>
            <w:vAlign w:val="center"/>
          </w:tcPr>
          <w:p>
            <w:pPr>
              <w:pStyle w:val="TableContents"/>
              <w:bidi w:val="0"/>
              <w:spacing w:before="0" w:after="283"/>
              <w:jc w:val="left"/>
              <w:rPr/>
            </w:pPr>
            <w:r>
              <w:rPr/>
              <w:t> </w:t>
            </w:r>
          </w:p>
        </w:tc>
      </w:tr>
      <w:tr>
        <w:trPr/>
        <w:tc>
          <w:tcPr>
            <w:tcW w:w="40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03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stock-based compensation expense</w:t>
            </w:r>
          </w:p>
        </w:tc>
        <w:tc>
          <w:tcPr>
            <w:tcW w:w="146" w:type="dxa"/>
            <w:tcBorders/>
            <w:shd w:fill="CFF0FC" w:val="cle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2,679</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2,782</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b/>
          <w:i/>
          <w:color w:val="000000"/>
          <w:sz w:val="20"/>
        </w:rPr>
      </w:pPr>
      <w:r>
        <w:rPr>
          <w:rFonts w:ascii="Arial" w:hAnsi="Arial"/>
          <w:b/>
          <w:i/>
          <w:color w:val="000000"/>
          <w:sz w:val="20"/>
        </w:rPr>
        <w:t>Valuation Assumptions</w:t>
      </w:r>
    </w:p>
    <w:p>
      <w:pPr>
        <w:pStyle w:val="TextBody"/>
        <w:bidi w:val="0"/>
        <w:spacing w:before="280" w:after="283"/>
        <w:jc w:val="both"/>
        <w:rPr>
          <w:rFonts w:ascii="Times New Roman" w:hAnsi="Times New Roman"/>
          <w:sz w:val="20"/>
        </w:rPr>
      </w:pPr>
      <w:r>
        <w:rPr>
          <w:rFonts w:ascii="Arial" w:hAnsi="Arial"/>
          <w:color w:val="000000"/>
          <w:sz w:val="20"/>
        </w:rPr>
        <w:t>The fair value of stock options was determined using the Black-Scholes option-pricing model and the assumptions below. Each of these inputs is subjective and generally required significant judgment.</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sz w:val="24"/>
        </w:rPr>
      </w:pPr>
      <w:r>
        <w:rPr>
          <w:rFonts w:ascii="Arial" w:hAnsi="Arial"/>
          <w:i/>
          <w:color w:val="000000"/>
          <w:sz w:val="20"/>
        </w:rPr>
        <w:t>Fair Value of Common Stock</w:t>
      </w:r>
      <w:r>
        <w:rPr>
          <w:rFonts w:ascii="Arial" w:hAnsi="Arial"/>
          <w:color w:val="000000"/>
          <w:sz w:val="24"/>
        </w:rPr>
        <w:t>—</w:t>
      </w:r>
      <w:r>
        <w:rPr>
          <w:rFonts w:ascii="Arial" w:hAnsi="Arial"/>
          <w:color w:val="000000"/>
          <w:sz w:val="20"/>
        </w:rPr>
        <w:t>The fair value of each share of common stock is based on the closing price of the Company’s common stock on the date of grant, or other relevant determination date, as reported on The Nasdaq Global Select Market.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sz w:val="24"/>
        </w:rPr>
      </w:pPr>
      <w:r>
        <w:rPr>
          <w:rFonts w:ascii="Arial" w:hAnsi="Arial"/>
          <w:i/>
          <w:color w:val="000000"/>
          <w:sz w:val="20"/>
        </w:rPr>
        <w:t>Risk-Free Interest Rate</w:t>
      </w:r>
      <w:r>
        <w:rPr>
          <w:rFonts w:ascii="Arial" w:hAnsi="Arial"/>
          <w:color w:val="000000"/>
          <w:sz w:val="24"/>
        </w:rPr>
        <w:t>—</w:t>
      </w:r>
      <w:r>
        <w:rPr>
          <w:rFonts w:ascii="Arial" w:hAnsi="Arial"/>
          <w:color w:val="000000"/>
          <w:sz w:val="20"/>
        </w:rPr>
        <w:t xml:space="preserve">The risk-free interest rate is based on the U.S. Treasury zero coupon issues in effect at the time of grant for periods corresponding with the expected term of the option.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sz w:val="24"/>
        </w:rPr>
      </w:pPr>
      <w:r>
        <w:rPr>
          <w:rFonts w:ascii="Arial" w:hAnsi="Arial"/>
          <w:i/>
          <w:color w:val="000000"/>
          <w:sz w:val="20"/>
        </w:rPr>
        <w:t>Expected Volatility</w:t>
      </w:r>
      <w:r>
        <w:rPr>
          <w:rFonts w:ascii="Arial" w:hAnsi="Arial"/>
          <w:color w:val="000000"/>
          <w:sz w:val="24"/>
        </w:rPr>
        <w:t>—</w:t>
      </w:r>
      <w:r>
        <w:rPr>
          <w:rFonts w:ascii="Arial" w:hAnsi="Arial"/>
          <w:color w:val="000000"/>
          <w:sz w:val="20"/>
        </w:rPr>
        <w:t xml:space="preserve">Because the Company was previously privately held and did not have any trading history for its common 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The Company will continue to apply this process until a sufficient amount of historical information regarding the volatility of its own stock price becomes available.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sz w:val="24"/>
        </w:rPr>
      </w:pPr>
      <w:r>
        <w:rPr>
          <w:rFonts w:ascii="Arial" w:hAnsi="Arial"/>
          <w:i/>
          <w:color w:val="000000"/>
          <w:sz w:val="20"/>
        </w:rPr>
        <w:t>Expected Term</w:t>
      </w:r>
      <w:r>
        <w:rPr>
          <w:rFonts w:ascii="Arial" w:hAnsi="Arial"/>
          <w:color w:val="000000"/>
          <w:sz w:val="24"/>
        </w:rPr>
        <w:t>—</w:t>
      </w:r>
      <w:r>
        <w:rPr>
          <w:rFonts w:ascii="Arial" w:hAnsi="Arial"/>
          <w:color w:val="000000"/>
          <w:sz w:val="20"/>
        </w:rPr>
        <w:t xml:space="preserve">The expected term represents the period that the stock-based awards are expected to be outstanding and is determined using the simplified method (based on the midpoint between the vesting date and the end of the contractual term) as the Company has limited history of relevant stock option exercise activity.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sz w:val="24"/>
        </w:rPr>
      </w:pPr>
      <w:r>
        <w:rPr>
          <w:rFonts w:ascii="Arial" w:hAnsi="Arial"/>
          <w:i/>
          <w:color w:val="000000"/>
          <w:sz w:val="20"/>
        </w:rPr>
        <w:t>Expected Dividend Yield</w:t>
      </w:r>
      <w:r>
        <w:rPr>
          <w:rFonts w:ascii="Arial" w:hAnsi="Arial"/>
          <w:color w:val="000000"/>
          <w:sz w:val="24"/>
        </w:rPr>
        <w:t>—</w:t>
      </w:r>
      <w:r>
        <w:rPr>
          <w:rFonts w:ascii="Arial" w:hAnsi="Arial"/>
          <w:color w:val="000000"/>
          <w:sz w:val="20"/>
        </w:rPr>
        <w:t>The Company has never paid dividends on its common stock and has no plans to pay dividends going forward. Therefore, it used an expected dividend yield of zero.</w:t>
      </w:r>
    </w:p>
    <w:p>
      <w:pPr>
        <w:pStyle w:val="TextBody"/>
        <w:bidi w:val="0"/>
        <w:spacing w:before="280" w:after="283"/>
        <w:jc w:val="both"/>
        <w:rPr>
          <w:rFonts w:ascii="Times New Roman" w:hAnsi="Times New Roman"/>
          <w:sz w:val="20"/>
        </w:rPr>
      </w:pPr>
      <w:r>
        <w:rPr>
          <w:rFonts w:ascii="Arial" w:hAnsi="Arial"/>
          <w:color w:val="000000"/>
          <w:sz w:val="20"/>
        </w:rPr>
        <w:t>The fair value of each stock option was estimated using the Black-Scholes option-pricing model with the following weighted-average assumptions:</w:t>
      </w:r>
      <w:r>
        <w:rPr>
          <w:rFonts w:ascii="Times New Roman" w:hAnsi="Times New Roman"/>
          <w:color w:val="000000"/>
          <w:sz w:val="20"/>
        </w:rPr>
        <w:t xml:space="preserve"> </w:t>
      </w:r>
    </w:p>
    <w:p>
      <w:pPr>
        <w:pStyle w:val="TextBody"/>
        <w:bidi w:val="0"/>
        <w:jc w:val="both"/>
        <w:rPr/>
      </w:pPr>
      <w:r>
        <w:rPr/>
        <w:t> </w:t>
      </w:r>
    </w:p>
    <w:tbl>
      <w:tblPr>
        <w:tblW w:w="5291" w:type="dxa"/>
        <w:jc w:val="left"/>
        <w:tblInd w:w="0" w:type="dxa"/>
        <w:tblLayout w:type="fixed"/>
        <w:tblCellMar>
          <w:top w:w="28" w:type="dxa"/>
          <w:left w:w="28" w:type="dxa"/>
          <w:bottom w:w="28" w:type="dxa"/>
          <w:right w:w="28" w:type="dxa"/>
        </w:tblCellMar>
      </w:tblPr>
      <w:tblGrid>
        <w:gridCol w:w="2266"/>
        <w:gridCol w:w="146"/>
        <w:gridCol w:w="196"/>
        <w:gridCol w:w="788"/>
        <w:gridCol w:w="384"/>
        <w:gridCol w:w="196"/>
        <w:gridCol w:w="196"/>
        <w:gridCol w:w="788"/>
        <w:gridCol w:w="33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4.21</w:t>
            </w:r>
          </w:p>
        </w:tc>
        <w:tc>
          <w:tcPr>
            <w:tcW w:w="38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3.48</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2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96.56</w:t>
            </w:r>
          </w:p>
        </w:tc>
        <w:tc>
          <w:tcPr>
            <w:tcW w:w="38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99.25</w:t>
            </w:r>
          </w:p>
        </w:tc>
        <w:tc>
          <w:tcPr>
            <w:tcW w:w="3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2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6.01</w:t>
            </w:r>
          </w:p>
        </w:tc>
        <w:tc>
          <w:tcPr>
            <w:tcW w:w="384"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5.80</w:t>
            </w:r>
          </w:p>
        </w:tc>
        <w:tc>
          <w:tcPr>
            <w:tcW w:w="331" w:type="dxa"/>
            <w:tcBorders/>
            <w:shd w:fill="CFF0FC"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color w:val="000000"/>
              </w:rPr>
            </w:pPr>
            <w:r>
              <w:rPr>
                <w:color w:val="000000"/>
              </w:rPr>
              <w:t>—</w:t>
            </w:r>
          </w:p>
        </w:tc>
        <w:tc>
          <w:tcPr>
            <w:tcW w:w="384"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color w:val="000000"/>
              </w:rPr>
            </w:pPr>
            <w:r>
              <w:rPr>
                <w:color w:val="000000"/>
              </w:rPr>
              <w:t>—</w:t>
            </w:r>
          </w:p>
        </w:tc>
        <w:tc>
          <w:tcPr>
            <w:tcW w:w="33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The grant date fair value of restricted stock units is based upon the fair market value of the Company’s common stock based on its closing price as reported on the date of grant on the Nasdaq Global Select Market.</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fair value of options granted during the three months ended March 31, 2024 and 2023</w:t>
      </w:r>
      <w:r>
        <w:rPr>
          <w:rFonts w:ascii="Times New Roman" w:hAnsi="Times New Roman"/>
          <w:color w:val="000000"/>
          <w:sz w:val="20"/>
        </w:rPr>
        <w:t xml:space="preserve"> </w:t>
      </w:r>
      <w:r>
        <w:rPr>
          <w:rFonts w:ascii="Arial" w:hAnsi="Arial"/>
          <w:color w:val="000000"/>
          <w:sz w:val="20"/>
        </w:rPr>
        <w:t>was $9.1</w:t>
      </w:r>
      <w:r>
        <w:rPr>
          <w:rFonts w:ascii="Times New Roman" w:hAnsi="Times New Roman"/>
          <w:color w:val="000000"/>
          <w:sz w:val="20"/>
        </w:rPr>
        <w:t xml:space="preserve"> </w:t>
      </w:r>
      <w:r>
        <w:rPr>
          <w:rFonts w:ascii="Arial" w:hAnsi="Arial"/>
          <w:color w:val="000000"/>
          <w:sz w:val="20"/>
        </w:rPr>
        <w:t>million and $7.6</w:t>
      </w:r>
      <w:r>
        <w:rPr>
          <w:rFonts w:ascii="Times New Roman" w:hAnsi="Times New Roman"/>
          <w:color w:val="000000"/>
          <w:sz w:val="20"/>
        </w:rPr>
        <w:t xml:space="preserve"> </w:t>
      </w:r>
      <w:r>
        <w:rPr>
          <w:rFonts w:ascii="Arial" w:hAnsi="Arial"/>
          <w:color w:val="000000"/>
          <w:sz w:val="20"/>
        </w:rPr>
        <w:t>million, respectively. The fair value of restricted stock units granted during the three months ended March 31, 2023 was $0.4</w:t>
      </w:r>
      <w:r>
        <w:rPr>
          <w:rFonts w:ascii="Times New Roman" w:hAnsi="Times New Roman"/>
          <w:color w:val="000000"/>
          <w:sz w:val="20"/>
        </w:rPr>
        <w:t xml:space="preserve"> </w:t>
      </w:r>
      <w:r>
        <w:rPr>
          <w:rFonts w:ascii="Arial" w:hAnsi="Arial"/>
          <w:color w:val="000000"/>
          <w:sz w:val="20"/>
        </w:rPr>
        <w:t>million. There were no</w:t>
      </w:r>
      <w:r>
        <w:rPr>
          <w:rFonts w:ascii="Times New Roman" w:hAnsi="Times New Roman"/>
          <w:color w:val="000000"/>
          <w:sz w:val="20"/>
        </w:rPr>
        <w:t xml:space="preserve"> </w:t>
      </w:r>
      <w:r>
        <w:rPr>
          <w:rFonts w:ascii="Arial" w:hAnsi="Arial"/>
          <w:color w:val="000000"/>
          <w:sz w:val="20"/>
        </w:rPr>
        <w:t>restricted stock units granted during the three months ended March 31, 2024.</w:t>
      </w:r>
    </w:p>
    <w:p>
      <w:pPr>
        <w:pStyle w:val="TextBody"/>
        <w:bidi w:val="0"/>
        <w:spacing w:before="240" w:after="283"/>
        <w:jc w:val="both"/>
        <w:rPr>
          <w:rFonts w:ascii="Arial" w:hAnsi="Arial"/>
          <w:b/>
          <w:i/>
          <w:color w:val="000000"/>
          <w:sz w:val="20"/>
        </w:rPr>
      </w:pPr>
      <w:r>
        <w:rPr>
          <w:rFonts w:ascii="Arial" w:hAnsi="Arial"/>
          <w:b/>
          <w:i/>
          <w:color w:val="000000"/>
          <w:sz w:val="20"/>
        </w:rPr>
        <w:t>Stock Option Activity</w:t>
      </w:r>
    </w:p>
    <w:p>
      <w:pPr>
        <w:pStyle w:val="TextBody"/>
        <w:bidi w:val="0"/>
        <w:spacing w:before="280" w:after="283"/>
        <w:jc w:val="both"/>
        <w:rPr>
          <w:rFonts w:ascii="Arial" w:hAnsi="Arial"/>
          <w:color w:val="000000"/>
          <w:sz w:val="20"/>
        </w:rPr>
      </w:pPr>
      <w:r>
        <w:rPr>
          <w:rFonts w:ascii="Arial" w:hAnsi="Arial"/>
          <w:color w:val="000000"/>
          <w:sz w:val="20"/>
        </w:rPr>
        <w:t>Changes in shares available for grant under the 2020 Plan during the three months ended March 31, 2024 were as follows:</w:t>
      </w:r>
    </w:p>
    <w:p>
      <w:pPr>
        <w:pStyle w:val="TextBody"/>
        <w:bidi w:val="0"/>
        <w:jc w:val="both"/>
        <w:rPr/>
      </w:pPr>
      <w:r>
        <w:rPr/>
        <w:t> </w:t>
      </w:r>
    </w:p>
    <w:tbl>
      <w:tblPr>
        <w:tblW w:w="5845" w:type="dxa"/>
        <w:jc w:val="left"/>
        <w:tblInd w:w="0" w:type="dxa"/>
        <w:tblLayout w:type="fixed"/>
        <w:tblCellMar>
          <w:top w:w="28" w:type="dxa"/>
          <w:left w:w="28" w:type="dxa"/>
          <w:bottom w:w="28" w:type="dxa"/>
          <w:right w:w="28" w:type="dxa"/>
        </w:tblCellMar>
      </w:tblPr>
      <w:tblGrid>
        <w:gridCol w:w="4321"/>
        <w:gridCol w:w="146"/>
        <w:gridCol w:w="146"/>
        <w:gridCol w:w="1021"/>
        <w:gridCol w:w="2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br/>
              <w:t xml:space="preserve">Available </w:t>
              <w:br/>
              <w:t>for Grant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grant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3,158,094</w:t>
            </w:r>
          </w:p>
        </w:tc>
        <w:tc>
          <w:tcPr>
            <w:tcW w:w="211" w:type="dxa"/>
            <w:tcBorders/>
            <w:shd w:fill="CFF0FC" w:val="clear"/>
            <w:vAlign w:val="center"/>
          </w:tcPr>
          <w:p>
            <w:pPr>
              <w:pStyle w:val="TableContents"/>
              <w:bidi w:val="0"/>
              <w:spacing w:before="0" w:after="283"/>
              <w:jc w:val="left"/>
              <w:rPr/>
            </w:pPr>
            <w:r>
              <w:rPr/>
              <w:t> </w:t>
            </w:r>
          </w:p>
        </w:tc>
      </w:tr>
      <w:tr>
        <w:trPr/>
        <w:tc>
          <w:tcPr>
            <w:tcW w:w="432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2020 Plan reserve increase on January 1,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1,908,630</w:t>
            </w:r>
          </w:p>
        </w:tc>
        <w:tc>
          <w:tcPr>
            <w:tcW w:w="211" w:type="dxa"/>
            <w:tcBorders/>
            <w:shd w:fill="FFFFFF" w:val="clear"/>
            <w:vAlign w:val="center"/>
          </w:tcPr>
          <w:p>
            <w:pPr>
              <w:pStyle w:val="TableContents"/>
              <w:bidi w:val="0"/>
              <w:spacing w:before="0" w:after="283"/>
              <w:jc w:val="left"/>
              <w:rPr/>
            </w:pPr>
            <w:r>
              <w:rPr/>
              <w:t> </w:t>
            </w:r>
          </w:p>
        </w:tc>
      </w:tr>
      <w:tr>
        <w:trPr/>
        <w:tc>
          <w:tcPr>
            <w:tcW w:w="432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Options and restricted stock units granted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(3,427,354</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32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 xml:space="preserve">Options and restricted stock units forfeited, </w:t>
              <w:br/>
              <w:t>   cancelled, or expired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39,216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grant at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1,678,586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 summary of stock option activity under the 2020 Plan for the three months ended March 31, 2024 was as follows:</w:t>
      </w:r>
    </w:p>
    <w:p>
      <w:pPr>
        <w:pStyle w:val="TextBody"/>
        <w:bidi w:val="0"/>
        <w:jc w:val="both"/>
        <w:rPr/>
      </w:pPr>
      <w:r>
        <w:rPr/>
        <w:t> </w:t>
      </w:r>
    </w:p>
    <w:tbl>
      <w:tblPr>
        <w:tblW w:w="8223" w:type="dxa"/>
        <w:jc w:val="left"/>
        <w:tblInd w:w="0" w:type="dxa"/>
        <w:tblLayout w:type="fixed"/>
        <w:tblCellMar>
          <w:top w:w="28" w:type="dxa"/>
          <w:left w:w="28" w:type="dxa"/>
          <w:bottom w:w="28" w:type="dxa"/>
          <w:right w:w="28" w:type="dxa"/>
        </w:tblCellMar>
      </w:tblPr>
      <w:tblGrid>
        <w:gridCol w:w="2806"/>
        <w:gridCol w:w="146"/>
        <w:gridCol w:w="146"/>
        <w:gridCol w:w="1066"/>
        <w:gridCol w:w="166"/>
        <w:gridCol w:w="146"/>
        <w:gridCol w:w="242"/>
        <w:gridCol w:w="674"/>
        <w:gridCol w:w="146"/>
        <w:gridCol w:w="146"/>
        <w:gridCol w:w="241"/>
        <w:gridCol w:w="795"/>
        <w:gridCol w:w="146"/>
        <w:gridCol w:w="146"/>
        <w:gridCol w:w="339"/>
        <w:gridCol w:w="681"/>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Exercise</w:t>
              <w:br/>
              <w:t>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Remaining</w:t>
              <w:br/>
              <w:t>Contractual</w:t>
              <w:br/>
              <w:t xml:space="preserve">Term </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w:t>
              <w:br/>
              <w:t>Intrinsic</w:t>
              <w:br/>
              <w:t>Value</w:t>
              <w:br/>
              <w:t>(in</w:t>
              <w:br/>
              <w:t>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Balance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6,820,869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8.24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387</w:t>
            </w:r>
          </w:p>
        </w:tc>
        <w:tc>
          <w:tcPr>
            <w:tcW w:w="191" w:type="dxa"/>
            <w:tcBorders/>
            <w:shd w:fill="CFF0FC" w:val="clear"/>
            <w:vAlign w:val="center"/>
          </w:tcPr>
          <w:p>
            <w:pPr>
              <w:pStyle w:val="TableContents"/>
              <w:bidi w:val="0"/>
              <w:spacing w:before="0" w:after="283"/>
              <w:jc w:val="left"/>
              <w:rPr/>
            </w:pPr>
            <w:r>
              <w:rPr/>
              <w:t> </w:t>
            </w:r>
          </w:p>
        </w:tc>
      </w:tr>
      <w:tr>
        <w:trPr/>
        <w:tc>
          <w:tcPr>
            <w:tcW w:w="28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3,427,354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8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67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8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Forfeited/expired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(39,216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8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Balance at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10,209,007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474</w:t>
            </w:r>
          </w:p>
        </w:tc>
        <w:tc>
          <w:tcPr>
            <w:tcW w:w="191" w:type="dxa"/>
            <w:tcBorders/>
            <w:shd w:fill="CFF0FC" w:val="clear"/>
            <w:vAlign w:val="center"/>
          </w:tcPr>
          <w:p>
            <w:pPr>
              <w:pStyle w:val="TableContents"/>
              <w:bidi w:val="0"/>
              <w:spacing w:before="0" w:after="283"/>
              <w:jc w:val="left"/>
              <w:rPr/>
            </w:pPr>
            <w:r>
              <w:rPr/>
              <w:t> </w:t>
            </w:r>
          </w:p>
        </w:tc>
      </w:tr>
      <w:tr>
        <w:trPr/>
        <w:tc>
          <w:tcPr>
            <w:tcW w:w="28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to vest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6,936,484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91" w:type="dxa"/>
            <w:tcBorders/>
            <w:shd w:fill="FFFFFF" w:val="clear"/>
            <w:vAlign w:val="center"/>
          </w:tcPr>
          <w:p>
            <w:pPr>
              <w:pStyle w:val="TableContents"/>
              <w:bidi w:val="0"/>
              <w:spacing w:before="0" w:after="283"/>
              <w:jc w:val="left"/>
              <w:rPr/>
            </w:pPr>
            <w:r>
              <w:rPr/>
              <w:t> </w:t>
            </w:r>
          </w:p>
        </w:tc>
      </w:tr>
      <w:tr>
        <w:trPr/>
        <w:tc>
          <w:tcPr>
            <w:tcW w:w="28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Options exercisable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3,272,523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467</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The Company did not grant any options under the 2024 Inducement Plan during the three months ended March 31, 2024.</w:t>
      </w:r>
    </w:p>
    <w:p>
      <w:pPr>
        <w:pStyle w:val="TextBody"/>
        <w:bidi w:val="0"/>
        <w:spacing w:before="40" w:after="283"/>
        <w:jc w:val="both"/>
        <w:rPr/>
      </w:pPr>
      <w:r>
        <w:rPr/>
        <w:t> </w:t>
      </w:r>
    </w:p>
    <w:p>
      <w:pPr>
        <w:pStyle w:val="TextBody"/>
        <w:bidi w:val="0"/>
        <w:spacing w:before="40" w:after="283"/>
        <w:jc w:val="both"/>
        <w:rPr>
          <w:rFonts w:ascii="Times New Roman" w:hAnsi="Times New Roman"/>
          <w:sz w:val="20"/>
        </w:rPr>
      </w:pPr>
      <w:r>
        <w:rPr>
          <w:rFonts w:ascii="Arial" w:hAnsi="Arial"/>
          <w:color w:val="000000"/>
          <w:sz w:val="20"/>
        </w:rPr>
        <w:t>The total fair value of options granted that vested during the three months ended March 31, 2024 and 2023</w:t>
      </w:r>
      <w:r>
        <w:rPr>
          <w:rFonts w:ascii="Times New Roman" w:hAnsi="Times New Roman"/>
          <w:color w:val="000000"/>
          <w:sz w:val="20"/>
        </w:rPr>
        <w:t xml:space="preserve"> </w:t>
      </w:r>
      <w:r>
        <w:rPr>
          <w:rFonts w:ascii="Arial" w:hAnsi="Arial"/>
          <w:color w:val="000000"/>
          <w:sz w:val="20"/>
        </w:rPr>
        <w:t>was $2.8</w:t>
      </w:r>
      <w:r>
        <w:rPr>
          <w:rFonts w:ascii="Times New Roman" w:hAnsi="Times New Roman"/>
          <w:color w:val="000000"/>
          <w:sz w:val="20"/>
        </w:rPr>
        <w:t xml:space="preserve"> </w:t>
      </w:r>
      <w:r>
        <w:rPr>
          <w:rFonts w:ascii="Arial" w:hAnsi="Arial"/>
          <w:color w:val="000000"/>
          <w:sz w:val="20"/>
        </w:rPr>
        <w:t>million and $2.5</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280" w:after="283"/>
        <w:jc w:val="both"/>
        <w:rPr>
          <w:rFonts w:ascii="Times New Roman" w:hAnsi="Times New Roman"/>
          <w:sz w:val="20"/>
        </w:rPr>
      </w:pPr>
      <w:r>
        <w:rPr>
          <w:rFonts w:ascii="Arial" w:hAnsi="Arial"/>
          <w:color w:val="000000"/>
          <w:sz w:val="20"/>
        </w:rPr>
        <w:t>The aggregate intrinsic value in the table above is calculated as the difference between the exercise price of the underlying options and the estimated fair value of the Company’s common stock underlying all options that were in-the-money at March 31, 2024. The aggregate intrinsic value of options exercised was $0.2</w:t>
      </w:r>
      <w:r>
        <w:rPr>
          <w:rFonts w:ascii="Times New Roman" w:hAnsi="Times New Roman"/>
          <w:color w:val="000000"/>
          <w:sz w:val="20"/>
        </w:rPr>
        <w:t xml:space="preserve"> </w:t>
      </w:r>
      <w:r>
        <w:rPr>
          <w:rFonts w:ascii="Arial" w:hAnsi="Arial"/>
          <w:color w:val="000000"/>
          <w:sz w:val="20"/>
        </w:rPr>
        <w:t>million during the three months ended March 31, 2023, determined as of the date of option exercise. There were no</w:t>
      </w:r>
      <w:r>
        <w:rPr>
          <w:rFonts w:ascii="Times New Roman" w:hAnsi="Times New Roman"/>
          <w:color w:val="000000"/>
          <w:sz w:val="20"/>
        </w:rPr>
        <w:t xml:space="preserve"> </w:t>
      </w:r>
      <w:r>
        <w:rPr>
          <w:rFonts w:ascii="Arial" w:hAnsi="Arial"/>
          <w:color w:val="000000"/>
          <w:sz w:val="20"/>
        </w:rPr>
        <w:t>options exercised during the three months ended March 31, 2024. As of March 31, 2024, there was $22.5</w:t>
      </w:r>
      <w:r>
        <w:rPr>
          <w:rFonts w:ascii="Times New Roman" w:hAnsi="Times New Roman"/>
          <w:color w:val="000000"/>
          <w:sz w:val="20"/>
        </w:rPr>
        <w:t xml:space="preserve"> </w:t>
      </w:r>
      <w:r>
        <w:rPr>
          <w:rFonts w:ascii="Arial" w:hAnsi="Arial"/>
          <w:color w:val="000000"/>
          <w:sz w:val="20"/>
        </w:rPr>
        <w:t>million of total unrecognized compensation cost related to non-vested stock options. The Company expects to recognize this cost over a remaining weighted-average period of 2.5 years. The Company utilizes newly issued shares to satisfy option exercises.</w:t>
      </w:r>
    </w:p>
    <w:p>
      <w:pPr>
        <w:pStyle w:val="TextBody"/>
        <w:bidi w:val="0"/>
        <w:spacing w:before="24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color w:val="000000"/>
          <w:sz w:val="20"/>
        </w:rPr>
      </w:pPr>
      <w:r>
        <w:rPr>
          <w:rFonts w:ascii="Arial" w:hAnsi="Arial"/>
          <w:color w:val="000000"/>
          <w:sz w:val="20"/>
        </w:rPr>
        <w:t>Stock options outstanding and exercisable under the 2020 Plan consisted of the following at March 31, 2024:</w:t>
      </w:r>
    </w:p>
    <w:p>
      <w:pPr>
        <w:pStyle w:val="TextBody"/>
        <w:bidi w:val="0"/>
        <w:jc w:val="both"/>
        <w:rPr/>
      </w:pPr>
      <w:r>
        <w:rPr/>
        <w:t> </w:t>
      </w:r>
    </w:p>
    <w:tbl>
      <w:tblPr>
        <w:tblW w:w="4699" w:type="dxa"/>
        <w:jc w:val="left"/>
        <w:tblInd w:w="0" w:type="dxa"/>
        <w:tblLayout w:type="fixed"/>
        <w:tblCellMar>
          <w:top w:w="28" w:type="dxa"/>
          <w:left w:w="28" w:type="dxa"/>
          <w:bottom w:w="28" w:type="dxa"/>
          <w:right w:w="28" w:type="dxa"/>
        </w:tblCellMar>
      </w:tblPr>
      <w:tblGrid>
        <w:gridCol w:w="1471"/>
        <w:gridCol w:w="146"/>
        <w:gridCol w:w="146"/>
        <w:gridCol w:w="1066"/>
        <w:gridCol w:w="146"/>
        <w:gridCol w:w="146"/>
        <w:gridCol w:w="146"/>
        <w:gridCol w:w="961"/>
        <w:gridCol w:w="47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4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11" w:type="dxa"/>
            <w:gridSpan w:val="6"/>
            <w:tcBorders/>
            <w:shd w:fill="FFFFFF" w:val="clear"/>
            <w:vAlign w:val="center"/>
          </w:tcPr>
          <w:p>
            <w:pPr>
              <w:pStyle w:val="TableContents"/>
              <w:bidi w:val="0"/>
              <w:spacing w:before="0" w:after="283"/>
              <w:jc w:val="center"/>
              <w:rPr/>
            </w:pPr>
            <w:r>
              <w:rPr/>
              <w:t> </w:t>
            </w:r>
          </w:p>
        </w:tc>
        <w:tc>
          <w:tcPr>
            <w:tcW w:w="471" w:type="dxa"/>
            <w:tcBorders/>
            <w:shd w:fill="FFFFFF" w:val="clear"/>
            <w:vAlign w:val="center"/>
          </w:tcPr>
          <w:p>
            <w:pPr>
              <w:pStyle w:val="TableContents"/>
              <w:bidi w:val="0"/>
              <w:spacing w:before="0" w:after="283"/>
              <w:jc w:val="center"/>
              <w:rPr/>
            </w:pPr>
            <w:r>
              <w:rPr/>
              <w:t> </w:t>
            </w:r>
          </w:p>
        </w:tc>
      </w:tr>
      <w:tr>
        <w:trPr/>
        <w:tc>
          <w:tcPr>
            <w:tcW w:w="1471" w:type="dxa"/>
            <w:tcBorders/>
            <w:shd w:fill="FFFFFF" w:val="clear"/>
            <w:vAlign w:val="center"/>
          </w:tcPr>
          <w:p>
            <w:pPr>
              <w:pStyle w:val="TableContents"/>
              <w:bidi w:val="0"/>
              <w:spacing w:before="0" w:after="283"/>
              <w:jc w:val="left"/>
              <w:rPr>
                <w:rFonts w:ascii="Arial" w:hAnsi="Arial"/>
                <w:b/>
                <w:color w:val="000000"/>
                <w:sz w:val="16"/>
                <w:u w:val="single"/>
              </w:rPr>
            </w:pPr>
            <w:r>
              <w:rPr>
                <w:rFonts w:ascii="Arial" w:hAnsi="Arial"/>
                <w:b/>
                <w:color w:val="000000"/>
                <w:sz w:val="16"/>
                <w:u w:val="single"/>
              </w:rPr>
              <w:t>Exercise Price ($)</w:t>
            </w:r>
          </w:p>
        </w:tc>
        <w:tc>
          <w:tcPr>
            <w:tcW w:w="146" w:type="dxa"/>
            <w:tcBorders/>
            <w:shd w:fill="FFFFFF" w:val="cle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br/>
              <w:t>Exercisable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20"/>
              </w:rPr>
              <w:t>0.16</w:t>
            </w:r>
            <w:r>
              <w:rPr>
                <w:rFonts w:ascii="Times New Roman" w:hAnsi="Times New Roman"/>
                <w:color w:val="000000"/>
                <w:sz w:val="20"/>
              </w:rPr>
              <w:t> </w:t>
            </w:r>
            <w:r>
              <w:rPr>
                <w:rFonts w:ascii="Arial" w:hAnsi="Arial"/>
                <w:color w:val="000000"/>
                <w:sz w:val="20"/>
              </w:rPr>
              <w:t>to 4.22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7,128,953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1,310,988</w:t>
            </w:r>
          </w:p>
        </w:tc>
        <w:tc>
          <w:tcPr>
            <w:tcW w:w="471" w:type="dxa"/>
            <w:tcBorders/>
            <w:shd w:fill="CFF0FC" w:val="clear"/>
            <w:vAlign w:val="center"/>
          </w:tcPr>
          <w:p>
            <w:pPr>
              <w:pStyle w:val="TableContents"/>
              <w:bidi w:val="0"/>
              <w:spacing w:before="0" w:after="283"/>
              <w:jc w:val="left"/>
              <w:rPr/>
            </w:pPr>
            <w:r>
              <w:rPr/>
              <w:t> </w:t>
            </w:r>
          </w:p>
        </w:tc>
      </w:tr>
      <w:tr>
        <w:trPr/>
        <w:tc>
          <w:tcPr>
            <w:tcW w:w="1471"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000000"/>
                <w:sz w:val="20"/>
              </w:rPr>
              <w:t>8.93</w:t>
            </w:r>
            <w:r>
              <w:rPr>
                <w:rFonts w:ascii="Times New Roman" w:hAnsi="Times New Roman"/>
                <w:color w:val="000000"/>
                <w:sz w:val="20"/>
              </w:rPr>
              <w:t> </w:t>
            </w:r>
            <w:r>
              <w:rPr>
                <w:rFonts w:ascii="Arial" w:hAnsi="Arial"/>
                <w:color w:val="000000"/>
                <w:sz w:val="20"/>
              </w:rPr>
              <w:t>to 19.94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2,727,806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1,690,513</w:t>
            </w:r>
          </w:p>
        </w:tc>
        <w:tc>
          <w:tcPr>
            <w:tcW w:w="471" w:type="dxa"/>
            <w:tcBorders/>
            <w:shd w:fill="FFFFFF" w:val="clear"/>
            <w:vAlign w:val="center"/>
          </w:tcPr>
          <w:p>
            <w:pPr>
              <w:pStyle w:val="TableContents"/>
              <w:bidi w:val="0"/>
              <w:spacing w:before="0" w:after="283"/>
              <w:jc w:val="left"/>
              <w:rPr/>
            </w:pPr>
            <w:r>
              <w:rPr/>
              <w:t> </w:t>
            </w:r>
          </w:p>
        </w:tc>
      </w:tr>
      <w:tr>
        <w:trPr/>
        <w:tc>
          <w:tcPr>
            <w:tcW w:w="1471"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20"/>
              </w:rPr>
              <w:t>20.55</w:t>
            </w:r>
            <w:r>
              <w:rPr>
                <w:rFonts w:ascii="Times New Roman" w:hAnsi="Times New Roman"/>
                <w:color w:val="000000"/>
                <w:sz w:val="20"/>
              </w:rPr>
              <w:t> </w:t>
            </w:r>
            <w:r>
              <w:rPr>
                <w:rFonts w:ascii="Arial" w:hAnsi="Arial"/>
                <w:color w:val="000000"/>
                <w:sz w:val="20"/>
              </w:rPr>
              <w:t>to 29.41</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352,248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271,022</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14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10,209,007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3,272,523</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b/>
          <w:i/>
          <w:color w:val="000000"/>
          <w:sz w:val="20"/>
        </w:rPr>
      </w:pPr>
      <w:r>
        <w:rPr>
          <w:rFonts w:ascii="Arial" w:hAnsi="Arial"/>
          <w:b/>
          <w:i/>
          <w:color w:val="000000"/>
          <w:sz w:val="20"/>
        </w:rPr>
        <w:t>Restricted Stock Unit Activity</w:t>
      </w:r>
    </w:p>
    <w:p>
      <w:pPr>
        <w:pStyle w:val="TextBody"/>
        <w:bidi w:val="0"/>
        <w:spacing w:before="280" w:after="283"/>
        <w:jc w:val="both"/>
        <w:rPr>
          <w:rFonts w:ascii="Arial" w:hAnsi="Arial"/>
          <w:color w:val="000000"/>
          <w:sz w:val="20"/>
        </w:rPr>
      </w:pPr>
      <w:r>
        <w:rPr>
          <w:rFonts w:ascii="Arial" w:hAnsi="Arial"/>
          <w:color w:val="000000"/>
          <w:sz w:val="20"/>
        </w:rPr>
        <w:t>A summary of restricted stock unit, or RSU, activity for the three months ended March 31, 2024 is as follows:</w:t>
      </w:r>
    </w:p>
    <w:p>
      <w:pPr>
        <w:pStyle w:val="TextBody"/>
        <w:bidi w:val="0"/>
        <w:jc w:val="both"/>
        <w:rPr/>
      </w:pPr>
      <w:r>
        <w:rPr/>
        <w:t> </w:t>
      </w:r>
    </w:p>
    <w:tbl>
      <w:tblPr>
        <w:tblW w:w="5702" w:type="dxa"/>
        <w:jc w:val="left"/>
        <w:tblInd w:w="0" w:type="dxa"/>
        <w:tblLayout w:type="fixed"/>
        <w:tblCellMar>
          <w:top w:w="28" w:type="dxa"/>
          <w:left w:w="28" w:type="dxa"/>
          <w:bottom w:w="28" w:type="dxa"/>
          <w:right w:w="28" w:type="dxa"/>
        </w:tblCellMar>
      </w:tblPr>
      <w:tblGrid>
        <w:gridCol w:w="3091"/>
        <w:gridCol w:w="146"/>
        <w:gridCol w:w="146"/>
        <w:gridCol w:w="856"/>
        <w:gridCol w:w="166"/>
        <w:gridCol w:w="146"/>
        <w:gridCol w:w="253"/>
        <w:gridCol w:w="707"/>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w:t>
              <w:br/>
              <w:t>Equivalent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Grant 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Non-vested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310,087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11.44</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Cancelled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Vested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(154,049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Non-vested at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156,038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80" w:after="283"/>
        <w:jc w:val="both"/>
        <w:rPr/>
      </w:pPr>
      <w:r>
        <w:rPr/>
        <w:t> </w:t>
      </w:r>
    </w:p>
    <w:p>
      <w:pPr>
        <w:pStyle w:val="TextBody"/>
        <w:bidi w:val="0"/>
        <w:spacing w:before="280" w:after="283"/>
        <w:jc w:val="both"/>
        <w:rPr>
          <w:rFonts w:ascii="Arial" w:hAnsi="Arial"/>
          <w:b/>
          <w:color w:val="212121"/>
          <w:sz w:val="20"/>
        </w:rPr>
      </w:pPr>
      <w:r>
        <w:rPr>
          <w:rFonts w:ascii="Arial" w:hAnsi="Arial"/>
          <w:b/>
          <w:color w:val="212121"/>
          <w:sz w:val="20"/>
        </w:rPr>
        <w:t>10. Net Loss Per Share Attributable to Common Stockholders</w:t>
      </w:r>
    </w:p>
    <w:p>
      <w:pPr>
        <w:pStyle w:val="TextBody"/>
        <w:bidi w:val="0"/>
        <w:spacing w:before="280" w:after="283"/>
        <w:jc w:val="both"/>
        <w:rPr>
          <w:rFonts w:ascii="Arial" w:hAnsi="Arial"/>
          <w:color w:val="212121"/>
          <w:sz w:val="20"/>
        </w:rPr>
      </w:pPr>
      <w:r>
        <w:rPr>
          <w:rFonts w:ascii="Arial" w:hAnsi="Arial"/>
          <w:color w:val="212121"/>
          <w:sz w:val="20"/>
        </w:rPr>
        <w:t>The following outstanding shares of potentially dilutive securities were excluded from the computation of the diluted net loss per share attributable to common stockholders for the periods presented because their effect would have been anti-dilutive:</w:t>
      </w:r>
    </w:p>
    <w:p>
      <w:pPr>
        <w:pStyle w:val="TextBody"/>
        <w:bidi w:val="0"/>
        <w:jc w:val="both"/>
        <w:rPr/>
      </w:pPr>
      <w:r>
        <w:rPr/>
        <w:t> </w:t>
      </w:r>
    </w:p>
    <w:tbl>
      <w:tblPr>
        <w:tblW w:w="6979" w:type="dxa"/>
        <w:jc w:val="left"/>
        <w:tblInd w:w="0" w:type="dxa"/>
        <w:tblLayout w:type="fixed"/>
        <w:tblCellMar>
          <w:top w:w="28" w:type="dxa"/>
          <w:left w:w="28" w:type="dxa"/>
          <w:bottom w:w="28" w:type="dxa"/>
          <w:right w:w="28" w:type="dxa"/>
        </w:tblCellMar>
      </w:tblPr>
      <w:tblGrid>
        <w:gridCol w:w="3751"/>
        <w:gridCol w:w="146"/>
        <w:gridCol w:w="146"/>
        <w:gridCol w:w="1066"/>
        <w:gridCol w:w="146"/>
        <w:gridCol w:w="146"/>
        <w:gridCol w:w="146"/>
        <w:gridCol w:w="961"/>
        <w:gridCol w:w="47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 options to purchase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10,209,007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6,595,473</w:t>
            </w:r>
          </w:p>
        </w:tc>
        <w:tc>
          <w:tcPr>
            <w:tcW w:w="471" w:type="dxa"/>
            <w:tcBorders/>
            <w:shd w:fill="CFF0FC"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Non-vested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156,038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346,006</w:t>
            </w:r>
          </w:p>
        </w:tc>
        <w:tc>
          <w:tcPr>
            <w:tcW w:w="471" w:type="dxa"/>
            <w:tcBorders/>
            <w:shd w:fill="FFFFFF" w:val="clear"/>
            <w:vAlign w:val="center"/>
          </w:tcPr>
          <w:p>
            <w:pPr>
              <w:pStyle w:val="TableContents"/>
              <w:bidi w:val="0"/>
              <w:spacing w:before="0" w:after="283"/>
              <w:jc w:val="left"/>
              <w:rPr/>
            </w:pPr>
            <w:r>
              <w:rPr/>
              <w:t> </w:t>
            </w:r>
          </w:p>
        </w:tc>
      </w:tr>
      <w:tr>
        <w:trPr/>
        <w:tc>
          <w:tcPr>
            <w:tcW w:w="37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15,079</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75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10,374,297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6,956,558</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tem_2_managements_discussion_analysis_f"/>
      <w:bookmarkEnd w:id="9"/>
      <w:r>
        <w:rPr>
          <w:rFonts w:ascii="Arial" w:hAnsi="Arial"/>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280" w:after="283"/>
        <w:jc w:val="both"/>
        <w:rPr>
          <w:rFonts w:ascii="Arial" w:hAnsi="Arial"/>
          <w:i/>
          <w:color w:val="000000"/>
          <w:sz w:val="20"/>
        </w:rPr>
      </w:pPr>
      <w:r>
        <w:rPr>
          <w:rFonts w:ascii="Arial" w:hAnsi="Arial"/>
          <w:i/>
          <w:color w:val="000000"/>
          <w:sz w:val="20"/>
        </w:rPr>
        <w:t>You should read the following Management’s Discussion and Analysis of Financial Condition and Results of Operations in conjunction with our unaudited condensed consolidated financial statements and notes thereto included in Part I, Item 1 of this report and with our audited financial statements and related notes thereto and Management’s Discussion and Analysis of Financial Condition and Results of Operations included in our Annual Report on Form 10-K, filed with the Securities and Exchange Commission, or the SEC, on February 22, 2024.</w:t>
      </w:r>
    </w:p>
    <w:p>
      <w:pPr>
        <w:pStyle w:val="TextBody"/>
        <w:bidi w:val="0"/>
        <w:spacing w:before="280" w:after="283"/>
        <w:jc w:val="both"/>
        <w:rPr>
          <w:rFonts w:ascii="Arial" w:hAnsi="Arial"/>
          <w:b/>
          <w:color w:val="000000"/>
          <w:sz w:val="20"/>
        </w:rPr>
      </w:pPr>
      <w:r>
        <w:rPr>
          <w:rFonts w:ascii="Arial" w:hAnsi="Arial"/>
          <w:b/>
          <w:color w:val="000000"/>
          <w:sz w:val="20"/>
        </w:rPr>
        <w:t>Special Note Regarding Forward-Looking Statements</w:t>
      </w:r>
    </w:p>
    <w:p>
      <w:pPr>
        <w:pStyle w:val="TextBody"/>
        <w:bidi w:val="0"/>
        <w:spacing w:before="280" w:after="283"/>
        <w:jc w:val="both"/>
        <w:rPr>
          <w:rFonts w:ascii="Arial" w:hAnsi="Arial"/>
          <w:color w:val="000000"/>
          <w:sz w:val="20"/>
        </w:rPr>
      </w:pPr>
      <w:r>
        <w:rPr>
          <w:rFonts w:ascii="Arial" w:hAnsi="Arial"/>
          <w:color w:val="000000"/>
          <w:sz w:val="20"/>
        </w:rPr>
        <w:t>This report contains forward-looking statements that are based on our management’s beliefs and assumptions and on information currently available to our management. This section should be read in conjunction with our unaudited condensed consolidated financial statements and related notes included in Part I, Item 1 of this report. The statements contained in this report that are not purely historical are forward-looking statements within the meaning of Section 27A of the Securities Act of 1933, as amended, or the Securities Act, and Section 21E of the Securities Exchange Act of 1934, as amended, or the Exchange Act.</w:t>
      </w:r>
    </w:p>
    <w:p>
      <w:pPr>
        <w:pStyle w:val="TextBody"/>
        <w:bidi w:val="0"/>
        <w:spacing w:before="280" w:after="283"/>
        <w:jc w:val="both"/>
        <w:rPr>
          <w:rFonts w:ascii="Arial" w:hAnsi="Arial"/>
          <w:color w:val="000000"/>
          <w:sz w:val="20"/>
        </w:rPr>
      </w:pPr>
      <w:r>
        <w:rPr>
          <w:rFonts w:ascii="Arial" w:hAnsi="Arial"/>
          <w:color w:val="000000"/>
          <w:sz w:val="20"/>
        </w:rPr>
        <w:t>In some cases, you can identify forward-looking statements by the following words: “anticipate,” “believe,” “continue,” “could,” “estimate,” “expect,” “intend,” “may,” “ongoing,” “plan,” "possible," “potential,” “predict,” “project,” “should,” “target”, “will,” “would” or the negative of these terms or other comparable terminology, although not all forward-looking statements contain these words.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include, but are not limited to, statements about: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financial performance;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sufficiency of our existing cash, cash equivalents and investments to fund our future operating expenses and capital expenditure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obtain funding for our operations, including funding necessary to develop and commercialize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ability of our nonclinical studies and clinical trials to demonstrate safety and efficacy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success, cost and timing of our development activities, nonclinical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rate and degree of market acceptance of our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timing or likelihood of regulatory filings and approvals;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potential learnings from our ACT-AD and SHAPE trials and LIFT-AD independent unblinded interim efficacy and futility analysis and their ability to inform and improve future clinical development plans;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potential of LIFT-AD to show clinical benefits of fosgonimeton;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timing and focus of our future clinical trials, and the reporting of data from those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plans relating to commercializing our drug candidates,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plans and ability to establish sales, marketing and distribution infrastructure to commercialize any drug candidates for which we obtain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attract and retain key managerial, scientific and clinical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contract with third-party suppliers and manufacturers and their ability to perform adequately;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accuracy of our estimates regarding expenses, future revenue, capital requirements and needs for additional financing;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pricing and reimbursement of our drug candidates, if approved;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reliance on third parties to conduct clinical trials of our drug candidates, and for the manufacture of our drug candidates for nonclinical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success of competing therapies that are or may become available;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beneficial characteristics, safety and efficacy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regulatory developments in the United States and other jurisdictions;</w:t>
      </w:r>
    </w:p>
    <w:p>
      <w:pPr>
        <w:pStyle w:val="TextBody"/>
        <w:bidi w:val="0"/>
        <w:spacing w:before="24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obtain and maintain regulatory approval of our drug candidates in the United States and other jurisdictions, and any related restrictions, limitations or warnings in the label of any approved drug candidate;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future agreements with third parties in connection with the commercialization of our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plans, capacity and capability relating to the further development and manufacturing of our drug candidates, including additional indications for which we may pursue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plans and ability to obtain or protect intellectual property rights, including extensions of existing patent terms where available;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scope of protection we are able to establish and maintain for intellectual property rights covering our drug candidates and technology;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outcome of legal proceedings which have been or may in the future be instituted against us and certain of our directors and officers, including the legal proceedings discussed in Part II, Item 1 — "Legal Proceedings,” and elsewhere in this report;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actions by activist stockholders, which have in the past been, and may in the future be, disruptive and could cause uncertainty about the strategic direction of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size and growth potential of the markets for our drug candidates, if approved for commercial use, and our ability to serve those markets;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potential benefits of any strategic collaboration agreements we may enter into;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expectations regarding the time during which we will be an emerging growth company under the JOBS Act.</w:t>
      </w:r>
    </w:p>
    <w:p>
      <w:pPr>
        <w:pStyle w:val="TextBody"/>
        <w:bidi w:val="0"/>
        <w:spacing w:before="280" w:after="283"/>
        <w:jc w:val="both"/>
        <w:rPr>
          <w:rFonts w:ascii="Arial" w:hAnsi="Arial"/>
          <w:color w:val="000000"/>
          <w:sz w:val="20"/>
        </w:rPr>
      </w:pPr>
      <w:r>
        <w:rPr>
          <w:rFonts w:ascii="Arial" w:hAnsi="Arial"/>
          <w:color w:val="000000"/>
          <w:sz w:val="20"/>
        </w:rPr>
        <w:t>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1A—Risk Factors,” and elsewhere in this report. These statements, like all statements in this report, speak only as of their date, and we undertake no obligation to update or revise these statements in light of future developments. 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before="280" w:after="283"/>
        <w:jc w:val="both"/>
        <w:rPr>
          <w:rFonts w:ascii="Arial" w:hAnsi="Arial"/>
          <w:color w:val="000000"/>
          <w:sz w:val="20"/>
        </w:rPr>
      </w:pPr>
      <w:r>
        <w:rPr>
          <w:rFonts w:ascii="Arial" w:hAnsi="Arial"/>
          <w:color w:val="000000"/>
          <w:sz w:val="20"/>
        </w:rPr>
        <w:t>In addition, statements that “we believe” and similar statements reflect our beliefs and opinions on the relevant subject. These statements are based upon information available to us as of the date of this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you are cautioned not to unduly rely upon these statements.</w:t>
      </w:r>
    </w:p>
    <w:p>
      <w:pPr>
        <w:pStyle w:val="TextBody"/>
        <w:bidi w:val="0"/>
        <w:spacing w:before="280" w:after="283"/>
        <w:jc w:val="both"/>
        <w:rPr>
          <w:rFonts w:ascii="Arial" w:hAnsi="Arial"/>
          <w:color w:val="000000"/>
          <w:sz w:val="20"/>
        </w:rPr>
      </w:pPr>
      <w:r>
        <w:rPr>
          <w:rFonts w:ascii="Arial" w:hAnsi="Arial"/>
          <w:color w:val="000000"/>
          <w:sz w:val="20"/>
        </w:rPr>
        <w:t>This report includes our trademarks and registered trademarks, including Athira, Athira Pharma, the Athira logo, and other trademarks, trade names, or service marks of Athira. All other trademarks, trade names or service marks appearing in this report belong to their respective holders. Solely for convenience, trademarks, trade names, and service marks referred to in this report are listed without ® or TM symbols, but we will assert, to the fullest extent under applicable law, our rights to these trademarks, trade names, and service marks.</w:t>
      </w:r>
    </w:p>
    <w:p>
      <w:pPr>
        <w:pStyle w:val="TextBody"/>
        <w:bidi w:val="0"/>
        <w:spacing w:before="280" w:after="283"/>
        <w:jc w:val="both"/>
        <w:rPr>
          <w:rFonts w:ascii="Arial" w:hAnsi="Arial"/>
          <w:color w:val="000000"/>
          <w:sz w:val="20"/>
        </w:rPr>
      </w:pPr>
      <w:r>
        <w:rPr>
          <w:rFonts w:ascii="Arial" w:hAnsi="Arial"/>
          <w:color w:val="000000"/>
          <w:sz w:val="20"/>
        </w:rPr>
        <w:t>In this report, “we,” “our,” “us,” “Athira,” and “the Company” refer to Athira Pharma, Inc. and our wholly owned subsidiary.</w:t>
      </w:r>
    </w:p>
    <w:p>
      <w:pPr>
        <w:pStyle w:val="TextBody"/>
        <w:bidi w:val="0"/>
        <w:spacing w:before="280" w:after="283"/>
        <w:jc w:val="both"/>
        <w:rPr>
          <w:rFonts w:ascii="Arial" w:hAnsi="Arial"/>
          <w:b/>
          <w:color w:val="000000"/>
          <w:sz w:val="20"/>
        </w:rPr>
      </w:pPr>
      <w:r>
        <w:rPr>
          <w:rFonts w:ascii="Arial" w:hAnsi="Arial"/>
          <w:b/>
          <w:color w:val="000000"/>
          <w:sz w:val="20"/>
        </w:rPr>
        <w:t>Overview</w:t>
      </w:r>
    </w:p>
    <w:p>
      <w:pPr>
        <w:pStyle w:val="TextBody"/>
        <w:bidi w:val="0"/>
        <w:spacing w:before="280" w:after="283"/>
        <w:jc w:val="both"/>
        <w:rPr>
          <w:rFonts w:ascii="Times New Roman" w:hAnsi="Times New Roman"/>
          <w:sz w:val="20"/>
        </w:rPr>
      </w:pPr>
      <w:r>
        <w:rPr>
          <w:rFonts w:ascii="Arial" w:hAnsi="Arial"/>
          <w:color w:val="000000"/>
          <w:sz w:val="20"/>
        </w:rPr>
        <w:t>We are a late clinical-stage biopharmaceutical company focused on developing small molecules engineered to restore neuronal health and slow neurodegeneration. Our approach is designed to modulate the neurotrophic hepatocyte growth factor, or HGF, system, that is critical to normal brain function and may play a key role in maintaining the health and functioning of neuronal networks. We believe that by acting on the neurotrophic HGF system and its multiple downstream signaling pathways, we may be able to enhance the body’s natural ability to protect and repair neuronal networks by reducing inflammation, promoting regeneration, and reducing disease-specific protein pathologies, thereby positively impacting the course of disease. We aim to achieve these goals by advancing our pipeline of novel small molecule compounds which are designed to and have exhibited properties in enhancing the neurotrophic HGF system in either the central nervous system, or CNS, by crossing the blood brain barrier, or BBB, or the peripheral nervous system, or PNS.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color w:val="000000"/>
          <w:sz w:val="20"/>
        </w:rPr>
      </w:pPr>
      <w:r>
        <w:rPr>
          <w:rFonts w:ascii="Arial" w:hAnsi="Arial"/>
          <w:color w:val="000000"/>
          <w:sz w:val="20"/>
        </w:rPr>
        <w:t>Our lead drug candidate, fosgonimeton, is a potentially first-in-class, small molecule drug candidate designed to positively modulate the neurotrophic HGF system for potential treatment of neurological disorders. The effects of fosgonimeton in its primary target indication, Alzheimer's disease, or AD, are currently being evaluated in multiple clinical trials.</w:t>
      </w:r>
    </w:p>
    <w:p>
      <w:pPr>
        <w:pStyle w:val="TextBody"/>
        <w:bidi w:val="0"/>
        <w:spacing w:before="280" w:after="283"/>
        <w:jc w:val="both"/>
        <w:rPr/>
      </w:pPr>
      <w:r>
        <w:rPr>
          <w:rFonts w:ascii="Arial" w:hAnsi="Arial"/>
          <w:color w:val="000000"/>
          <w:sz w:val="20"/>
        </w:rPr>
        <w:t>ACT-AD</w:t>
      </w:r>
      <w:hyperlink w:anchor="mda_footnote_1">
        <w:r>
          <w:rPr>
            <w:rStyle w:val="InternetLink"/>
            <w:rFonts w:ascii="Arial" w:hAnsi="Arial"/>
            <w:color w:val="0000FF"/>
            <w:sz w:val="13"/>
            <w:u w:val="single"/>
          </w:rPr>
          <w:t>1</w:t>
        </w:r>
      </w:hyperlink>
      <w:r>
        <w:rPr>
          <w:rFonts w:ascii="Times New Roman" w:hAnsi="Times New Roman"/>
          <w:color w:val="000000"/>
          <w:sz w:val="20"/>
        </w:rPr>
        <w:t xml:space="preserve"> </w:t>
      </w:r>
      <w:r>
        <w:rPr>
          <w:rFonts w:ascii="Arial" w:hAnsi="Arial"/>
          <w:color w:val="000000"/>
          <w:sz w:val="20"/>
        </w:rPr>
        <w:t>was a randomized, double-blind, placebo-controlled, parallel-group 26-week exploratory Phase 2 clinical trial in mild-to-moderate AD, with event-related potential, or ERP, P300 latency as the primary endpoint. Initiated in November 2020, the trial was designed to better characterize the overall effects of fosgonimeton on working memory processing speed and cognitive measures and inform the Phase 2/3 LIFT-AD trial. Topline results for this exploratory Phase 2 ACT-AD trial were announced in June 2022, and the primary and all secondary endpoints were not met by protocoled analysis. However, a post hoc analysis of results from ACT-AD in a pre-specified subgroup suggested positive effects on measures of cognition, function and neurodegeneration in participants taking fosgonimeton alone without background acetylcholinesterase inhibitors, or AChEIs. Additionally, data from post hoc analysis of plasma biomarkers from participants on fosgonimeton without background AChEIs showed descriptive improvements (non-statistically significant) in markers of neuroinflammation and AD-specific protein pathologies when compared to placebo. Fosgonimeton was generally well tolerated in the ACT-AD study, with a favorable safety profile, and there were no treatment related serious adverse events or deaths observed.</w:t>
      </w:r>
    </w:p>
    <w:p>
      <w:pPr>
        <w:pStyle w:val="TextBody"/>
        <w:bidi w:val="0"/>
        <w:spacing w:before="280" w:after="283"/>
        <w:jc w:val="both"/>
        <w:rPr>
          <w:rFonts w:ascii="Arial" w:hAnsi="Arial"/>
          <w:color w:val="000000"/>
          <w:sz w:val="20"/>
        </w:rPr>
      </w:pPr>
      <w:r>
        <w:rPr>
          <w:rFonts w:ascii="Arial" w:hAnsi="Arial"/>
          <w:color w:val="000000"/>
          <w:sz w:val="20"/>
        </w:rPr>
        <w:t>LIFT-AD is a randomized, double-blind, placebo-controlled, parallel-group 26-week Phase 2/3 clinical trial with fosgonimeton for the treatment of mild-to-moderate AD. The primary endpoint for the Phase 2/3 LIFT-AD trial will be measured by the Global Statistical Test, or GST, which combines the scores from the co-key secondary endpoints of cognition (Alzheimer's Disease Assessment Scale-Cognitive Subscale, or ADAS-Cog11) and function (Alzheimer’s Disease Cooperative Study-Activities of Daily Living, or ADCS-ADL23), and which we believe is a comprehensive measure of overall disease burden. Guided by the results from the completed exploratory ACT-AD Phase 2 trial, in September 2022, we proactively amended LIFT-AD to focus on participants not on background AChEIs, and in May 2023, we further amended LIFT-AD to focus on 40 mg dosing, which we have selected for further development and as the potential dose for regulatory approval of fosgonimeton in this indication. In January 2024 we announced the completion of enrollment with a total of approximately 315 patients randomized in the primary analysis population. We expect to report topline LIFT-AD results in the second half of 2024.</w:t>
      </w:r>
    </w:p>
    <w:p>
      <w:pPr>
        <w:pStyle w:val="TextBody"/>
        <w:bidi w:val="0"/>
        <w:spacing w:before="280" w:after="283"/>
        <w:jc w:val="both"/>
        <w:rPr/>
      </w:pPr>
      <w:r>
        <w:rPr>
          <w:rFonts w:ascii="Arial" w:hAnsi="Arial"/>
          <w:color w:val="000000"/>
          <w:sz w:val="20"/>
        </w:rPr>
        <w:t>In July 2021, we announced that we would enroll participants into an open-label extension, or OLEX, trial</w:t>
      </w:r>
      <w:hyperlink w:anchor="mda_footnote_1">
        <w:r>
          <w:rPr>
            <w:rStyle w:val="InternetLink"/>
            <w:rFonts w:ascii="Arial" w:hAnsi="Arial"/>
            <w:color w:val="0000FF"/>
            <w:sz w:val="13"/>
            <w:u w:val="single"/>
          </w:rPr>
          <w:t>1</w:t>
        </w:r>
      </w:hyperlink>
      <w:r>
        <w:rPr>
          <w:rFonts w:ascii="Times New Roman" w:hAnsi="Times New Roman"/>
          <w:color w:val="000000"/>
          <w:sz w:val="20"/>
        </w:rPr>
        <w:t xml:space="preserve"> </w:t>
      </w:r>
      <w:r>
        <w:rPr>
          <w:rFonts w:ascii="Arial" w:hAnsi="Arial"/>
          <w:color w:val="000000"/>
          <w:sz w:val="20"/>
        </w:rPr>
        <w:t>for our LIFT-AD and ACT-AD clinical trials, enabling eligible participants who have completed either trial and elect to participate in the OLEX trial to receive open-label treatment with fosgonimeton. Subsequently, we have extended the OLEX trial several times and eligible participants may now receive up to 48 months of open-label treatment, which allows us to collect up to 54 months total of long-term exposure data.</w:t>
      </w:r>
    </w:p>
    <w:p>
      <w:pPr>
        <w:pStyle w:val="TextBody"/>
        <w:bidi w:val="0"/>
        <w:spacing w:before="280" w:after="283"/>
        <w:jc w:val="both"/>
        <w:rPr/>
      </w:pPr>
      <w:r>
        <w:rPr/>
        <w:t> </w:t>
      </w:r>
    </w:p>
    <w:p>
      <w:pPr>
        <w:pStyle w:val="TextBody"/>
        <w:pBdr>
          <w:bottom w:val="single" w:sz="4" w:space="1" w:color="000000"/>
        </w:pBdr>
        <w:bidi w:val="0"/>
        <w:jc w:val="left"/>
        <w:rPr/>
      </w:pPr>
      <w:r>
        <w:rPr/>
        <w:t> </w:t>
      </w:r>
    </w:p>
    <w:p>
      <w:pPr>
        <w:pStyle w:val="TextBody"/>
        <w:bidi w:val="0"/>
        <w:spacing w:before="240" w:after="283"/>
        <w:jc w:val="both"/>
        <w:rPr>
          <w:rFonts w:ascii="Times New Roman" w:hAnsi="Times New Roman"/>
          <w:sz w:val="20"/>
        </w:rPr>
      </w:pPr>
      <w:bookmarkStart w:id="10" w:name="mda_footnote_1"/>
      <w:bookmarkEnd w:id="10"/>
      <w:r>
        <w:rPr>
          <w:rFonts w:ascii="Arial" w:hAnsi="Arial"/>
          <w:color w:val="000000"/>
          <w:sz w:val="13"/>
        </w:rPr>
        <w:t xml:space="preserve">1 </w:t>
      </w:r>
      <w:r>
        <w:rPr>
          <w:rFonts w:ascii="Arial" w:hAnsi="Arial"/>
          <w:color w:val="000000"/>
          <w:sz w:val="20"/>
        </w:rPr>
        <w:t>The ACT-AD trial and the related OLEX trial for ACT-AD participants have been supported by a grant from the National Institute on Aging of the National Institutes of Health under Award Number R01AG06268. The information presented is solely the responsibility of Athira and does not necessarily represent the official views of the National Institutes of Health.</w:t>
      </w:r>
    </w:p>
    <w:p>
      <w:pPr>
        <w:pStyle w:val="TextBody"/>
        <w:bidi w:val="0"/>
        <w:spacing w:before="24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color w:val="000000"/>
          <w:sz w:val="20"/>
        </w:rPr>
      </w:pPr>
      <w:r>
        <w:rPr>
          <w:rFonts w:ascii="Arial" w:hAnsi="Arial"/>
          <w:color w:val="000000"/>
          <w:sz w:val="20"/>
        </w:rPr>
        <w:t>The following figure illustrates the current development stage of our proprietary drug candidates and early discovery and development programs. Our pipeline consists of both BBB permeable and peripherally restricted drug candidates for CNS, PNS and other indications. In addition, we are exploring the use of our drug candidates in additional indications in the CNS and PNS as we aim to improve neuronal health in multiple neurodegenerative diseases. Our drug discovery efforts are focused on designing and testing new early compounds to enhance the neurotrophic HGF system for a variety of clinical applications.</w:t>
      </w:r>
    </w:p>
    <w:p>
      <w:pPr>
        <w:pStyle w:val="TextBody"/>
        <w:bidi w:val="0"/>
        <w:jc w:val="both"/>
        <w:rPr/>
      </w:pPr>
      <w:r>
        <w:rPr/>
        <w:t> </w:t>
      </w:r>
    </w:p>
    <w:p>
      <w:pPr>
        <w:pStyle w:val="TextBody"/>
        <w:bidi w:val="0"/>
        <w:jc w:val="center"/>
        <w:rPr/>
      </w:pPr>
      <w:r>
        <w:rPr/>
        <w:drawing>
          <wp:inline distT="0" distB="0" distL="0" distR="0">
            <wp:extent cx="6858000" cy="2952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2952750"/>
                    </a:xfrm>
                    <a:prstGeom prst="rect">
                      <a:avLst/>
                    </a:prstGeom>
                  </pic:spPr>
                </pic:pic>
              </a:graphicData>
            </a:graphic>
          </wp:inline>
        </w:drawing>
      </w:r>
      <w:r>
        <w:rPr/>
        <w:t> </w:t>
      </w:r>
    </w:p>
    <w:p>
      <w:pPr>
        <w:pStyle w:val="TextBody"/>
        <w:bidi w:val="0"/>
        <w:spacing w:before="280" w:after="283"/>
        <w:jc w:val="both"/>
        <w:rPr>
          <w:rFonts w:ascii="Times New Roman" w:hAnsi="Times New Roman"/>
          <w:sz w:val="20"/>
        </w:rPr>
      </w:pPr>
      <w:r>
        <w:rPr>
          <w:rFonts w:ascii="Arial" w:hAnsi="Arial"/>
          <w:color w:val="000000"/>
          <w:sz w:val="20"/>
        </w:rPr>
        <w:t>We were incorporated in March 2011 and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 We do not have any drug products approved for commercial sale, and we have not generated any revenues related to our drug products since inception. Our ability to generate drug product revenue sufficient to achieve profitability, if ever, will depend on the successful development of one or more of our drug candidates which we expect will take a number of years.</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We are focused on the development of small molecule therapeutics which enables us to use well-established and widely available manufacturing processes and infrastructure, formulation processes and drug administration technologies or devices. We do not currently operate our own facilities for manufacturing, storing, or distributing our drug candidates. We utilize third-party contract manufacturing organizations, or CMOs, to manufacture and supply our preclinical and clinical materials during the development of our drug candidates. We believe the synthesis of fosgonimeton is reliable and reproducible and the synthetic methods can be further optimized to enable large-scale production that continues to avoid use of toxic materials or specialized equipment or handling during the manufacturing process. We plan to continue to optimize the manufacturing process to support future large-scale and commercial supply. Our goal is to identify and develop small molecule drug candidates that are cost-effective to manufacture and easily transferable to third party CMOs. We expect to use similar contract resources for commercialization of our drug products, at least until our resources and operations are at a scale that justifies investment in internal manufacturing capabilities.</w:t>
      </w:r>
    </w:p>
    <w:p>
      <w:pPr>
        <w:pStyle w:val="TextBody"/>
        <w:bidi w:val="0"/>
        <w:spacing w:before="280" w:after="283"/>
        <w:jc w:val="both"/>
        <w:rPr>
          <w:rFonts w:ascii="Arial" w:hAnsi="Arial"/>
          <w:color w:val="000000"/>
          <w:sz w:val="20"/>
        </w:rPr>
      </w:pPr>
      <w:r>
        <w:rPr>
          <w:rFonts w:ascii="Arial" w:hAnsi="Arial"/>
          <w:color w:val="000000"/>
          <w:sz w:val="20"/>
        </w:rPr>
        <w:t>Given our stage of development, we have not yet established a commercial organization or distribution capabilities. We intend to build a commercial infrastructure to support sales of our drug candidates. We expect to manage sales, marketing and distribution through internal resources and third-party relationships. While we may commit significant financial and management resources to commercial activities, we will also consider collaborating with one or more pharmaceutical companies to enhance our commercial capabilities.</w:t>
      </w:r>
    </w:p>
    <w:p>
      <w:pPr>
        <w:pStyle w:val="TextBody"/>
        <w:bidi w:val="0"/>
        <w:spacing w:before="280" w:after="283"/>
        <w:jc w:val="both"/>
        <w:rPr>
          <w:rFonts w:ascii="Times New Roman" w:hAnsi="Times New Roman"/>
          <w:sz w:val="20"/>
        </w:rPr>
      </w:pPr>
      <w:r>
        <w:rPr>
          <w:rFonts w:ascii="Arial" w:hAnsi="Arial"/>
          <w:color w:val="000000"/>
          <w:sz w:val="20"/>
        </w:rPr>
        <w:t>To date, we have funded our operations primarily through proceeds from the sale of equity securities, including proceeds from the sale and issuance of common stock in our IPO and in a subsequent follow-on public offering, the sale and issuance of convertible preferred stock, common stock warrants, and convertible notes, and to a lesser extent from grant income and stock option exercises. From inception to March 31, 2024, we have raised aggregate net cash proceeds of approximately $407.4 million primarily from the issuance of our common stock (excluding option exercises), convertible preferred stock, common stock warrants, and convertible notes. We have incurred significant operating losses to date. Our net losses were $26.3 million and $27.8 million for the three months ended March 31, 2024 and 2023, respectively. As of</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Arial" w:hAnsi="Arial"/>
          <w:color w:val="000000"/>
          <w:sz w:val="20"/>
        </w:rPr>
        <w:t>March 31, 2024, we had an accumulated deficit of $335.5 million and cash, cash equivalents and investments of $122.1 million.</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We expect to continue to incur increasing operating losses for the foreseeable future as we: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continue to advance fosgonimeton and our other drug candidates through preclinical studies and clinical trials, and continue the open label extension of the ACT-AD and LIFT-AD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expand our pipeline of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continue to grow our discovery organization and invest in our drug development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ramp up manufacturing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attract, hire and retain additional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 maintain, expand and protect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operate as a public company;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expand our laboratory and office facilities;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implement and maintain operational, financial and management information systems;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seek regulatory approval for any drug candidates that successfully complete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establish a sales, marketing and distribution infrastructure to commercialize any drug candidate for which we may obtain marketing approval;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incur legal expenses associated with ongoing litigation, as further described in “Part II, Item 1—Legal Proceedings,” and elsewhere in this report.</w:t>
      </w:r>
    </w:p>
    <w:p>
      <w:pPr>
        <w:pStyle w:val="TextBody"/>
        <w:bidi w:val="0"/>
        <w:spacing w:before="280" w:after="283"/>
        <w:jc w:val="both"/>
        <w:rPr>
          <w:rFonts w:ascii="Times New Roman" w:hAnsi="Times New Roman"/>
          <w:sz w:val="20"/>
        </w:rPr>
      </w:pPr>
      <w:r>
        <w:rPr>
          <w:rFonts w:ascii="Arial" w:hAnsi="Arial"/>
          <w:color w:val="000000"/>
          <w:sz w:val="20"/>
        </w:rPr>
        <w:t>Our net losses may fluctuate significantly from quarter-to-quarter and year-to-year, depending on the timing of our clinical trials and our expenditures on other research and development activities.</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We will require substantial additional funding to support our continuing operations and further the development of our drug candidates. Until such time as we can generate significant revenue from drug product sales, if ever, we expect to finance our operations through the sale of equity, debt financings, or other capital sources, which could include income from collaboration, licensing or similar arrangements, for the foreseeable future. Adequate funding may not be available when needed or on terms acceptable to us, or at all. If we are unable to raise additional capital as needed, we may have to significantly delay, scale back or discontinue development of our drug candidates. Our ability to raise additional funds may be adversely impacted by potential worsening global economic conditions and the recent disruptions to, and volatility in, the credit and financial markets in the United States and worldwide. If we fail to obtain necessary capital when needed on acceptable terms, or at all, it could force us to delay, limit, reduce or terminate our drug product development programs, commercialization efforts or other operations. Insufficient liquidity may also require us to relinquish rights to drug candidates at an earlier stage of development or on less favorable terms than we would otherwise choose. We cannot assure you that we will ever be profitable or generate positive cash flow from operating activities. Based upon our current operating plan, we estimate that our existing cash, cash equivalents and investments will be sufficient to fund our operating expenses and capital expenditure requirements through at least the next 12 months following the date of this report.</w:t>
      </w:r>
    </w:p>
    <w:p>
      <w:pPr>
        <w:pStyle w:val="TextBody"/>
        <w:bidi w:val="0"/>
        <w:spacing w:before="280" w:after="283"/>
        <w:jc w:val="both"/>
        <w:rPr>
          <w:rFonts w:ascii="Arial" w:hAnsi="Arial"/>
          <w:b/>
          <w:i/>
          <w:color w:val="000000"/>
          <w:sz w:val="20"/>
        </w:rPr>
      </w:pPr>
      <w:r>
        <w:rPr>
          <w:rFonts w:ascii="Arial" w:hAnsi="Arial"/>
          <w:b/>
          <w:i/>
          <w:color w:val="000000"/>
          <w:sz w:val="20"/>
        </w:rPr>
        <w:t>Our Collaboration and Grant Agreements</w:t>
      </w:r>
    </w:p>
    <w:p>
      <w:pPr>
        <w:pStyle w:val="TextBody"/>
        <w:bidi w:val="0"/>
        <w:spacing w:before="280" w:after="283"/>
        <w:jc w:val="both"/>
        <w:rPr>
          <w:rFonts w:ascii="Arial" w:hAnsi="Arial"/>
          <w:color w:val="000000"/>
          <w:sz w:val="20"/>
        </w:rPr>
      </w:pPr>
      <w:r>
        <w:rPr>
          <w:rFonts w:ascii="Arial" w:hAnsi="Arial"/>
          <w:color w:val="000000"/>
          <w:sz w:val="20"/>
        </w:rPr>
        <w:t>We are party to certain collaboration and grant agreements, as described in the section titled “Part I, Item 1 – Business—Our Collaboration and Grant Agreements” in our Annual Report on Form 10-K filed with the SEC on February 22, 2024.</w:t>
      </w:r>
    </w:p>
    <w:p>
      <w:pPr>
        <w:pStyle w:val="TextBody"/>
        <w:bidi w:val="0"/>
        <w:spacing w:before="280" w:after="283"/>
        <w:jc w:val="both"/>
        <w:rPr>
          <w:rFonts w:ascii="Arial" w:hAnsi="Arial"/>
          <w:b/>
          <w:color w:val="000000"/>
          <w:sz w:val="20"/>
        </w:rPr>
      </w:pPr>
      <w:r>
        <w:rPr>
          <w:rFonts w:ascii="Arial" w:hAnsi="Arial"/>
          <w:b/>
          <w:color w:val="000000"/>
          <w:sz w:val="20"/>
        </w:rPr>
        <w:t>Components of Operating Results</w:t>
      </w:r>
    </w:p>
    <w:p>
      <w:pPr>
        <w:pStyle w:val="TextBody"/>
        <w:bidi w:val="0"/>
        <w:spacing w:before="280" w:after="283"/>
        <w:jc w:val="both"/>
        <w:rPr>
          <w:rFonts w:ascii="Arial" w:hAnsi="Arial"/>
          <w:b/>
          <w:i/>
          <w:color w:val="000000"/>
          <w:sz w:val="20"/>
        </w:rPr>
      </w:pPr>
      <w:r>
        <w:rPr>
          <w:rFonts w:ascii="Arial" w:hAnsi="Arial"/>
          <w:b/>
          <w:i/>
          <w:color w:val="000000"/>
          <w:sz w:val="20"/>
        </w:rPr>
        <w:t>Operating Expenses</w:t>
      </w:r>
    </w:p>
    <w:p>
      <w:pPr>
        <w:pStyle w:val="TextBody"/>
        <w:bidi w:val="0"/>
        <w:spacing w:before="280" w:after="283"/>
        <w:jc w:val="both"/>
        <w:rPr>
          <w:rFonts w:ascii="Times New Roman" w:hAnsi="Times New Roman"/>
          <w:sz w:val="20"/>
        </w:rPr>
      </w:pPr>
      <w:r>
        <w:rPr>
          <w:rFonts w:ascii="Arial" w:hAnsi="Arial"/>
          <w:i/>
          <w:color w:val="000000"/>
          <w:sz w:val="20"/>
        </w:rPr>
        <w:t>Research and Development</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Arial" w:hAnsi="Arial"/>
          <w:color w:val="000000"/>
          <w:sz w:val="20"/>
        </w:rPr>
        <w:t>Research and development expenses consist primarily of direct and indirect costs incurred for our research activities, including our drug discovery efforts and the development of our drug candidates. Direct costs include laboratory materials and supplies, contracted research and manufacturing, clinical trial costs, consulting fees, and other expenses incurred to</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color w:val="000000"/>
          <w:sz w:val="20"/>
        </w:rPr>
      </w:pPr>
      <w:r>
        <w:rPr>
          <w:rFonts w:ascii="Arial" w:hAnsi="Arial"/>
          <w:color w:val="000000"/>
          <w:sz w:val="20"/>
        </w:rPr>
        <w:t>sustain our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pStyle w:val="TextBody"/>
        <w:bidi w:val="0"/>
        <w:spacing w:before="280" w:after="283"/>
        <w:jc w:val="both"/>
        <w:rPr>
          <w:rFonts w:ascii="Times New Roman" w:hAnsi="Times New Roman"/>
          <w:sz w:val="20"/>
        </w:rPr>
      </w:pPr>
      <w:r>
        <w:rPr>
          <w:rFonts w:ascii="Arial" w:hAnsi="Arial"/>
          <w:color w:val="000000"/>
          <w:sz w:val="20"/>
        </w:rPr>
        <w:t>We expense research and development costs as incurred. Non-refundable advance payments for goods and services that will be used over time for research and development are capitalized and recognized as goods are delivered or as the related services are performed. In-licensing fees and other costs to acquire technologies used in research and development that have not yet received regulatory approval and that are not expected to have an alternative future use are expensed when incurred. We track direct costs by stage of program, clinical or preclinical. However, we do not track indirect costs on a program specific basis because these costs are deployed across multiple programs and, as such, are not separately classified.</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As of the date of this report, we cannot reasonably determine the nature, timing, and estimated costs of the efforts that will be necessary to complete the development of, and obtain regulatory approval for, any of our drug candidates. Drug candidates in later stages of development generally have higher development costs than those in earlier stages. We expect that our research and development expenses will increase for the foreseeable future as we continue to invest in research and development activities related to developing our drug candidates, as our drug candidates advance into later stages of development, as we conduct larger clinical trials, as we seek regulatory approvals for any drug candidates that successfully complete clinical trials, as we expand our drug product pipeline, as we maintain, expand, protect and enforce our intellectual property portfolio, and as we incur expenses associated with hiring additional personnel to support our research and development efforts. In particular, we have seen, and expect to continue to see, our research and development expenses increase as we conduct our clinical trials for fosgonimeton, including open-label extensions for those trials. Additionally, we may experience an overall increase in research and development expenses as a result of inflation.</w:t>
      </w:r>
    </w:p>
    <w:p>
      <w:pPr>
        <w:pStyle w:val="TextBody"/>
        <w:bidi w:val="0"/>
        <w:spacing w:before="280" w:after="283"/>
        <w:jc w:val="both"/>
        <w:rPr>
          <w:rFonts w:ascii="Times New Roman" w:hAnsi="Times New Roman"/>
          <w:sz w:val="20"/>
        </w:rPr>
      </w:pPr>
      <w:r>
        <w:rPr>
          <w:rFonts w:ascii="Arial" w:hAnsi="Arial"/>
          <w:color w:val="000000"/>
          <w:sz w:val="20"/>
        </w:rPr>
        <w:t>The process of conducting the necessary clinical research to obtain regulatory approval is costly and time-consuming, and the successful development of our drug candidates is highly uncertain. Our research and development expenses may vary significantly based on factors such as:</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and scope of preclinical and IND-enabling studies;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phases of development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progress and results of our research and development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per subject trial costs;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of trials required for regulatory approval, in particular with respect to fosgonimeton for the treatment of mild-to-moderate AD (including any potential confirmatory or Phase 3 registrational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continuation of the open label extension of the ACT-AD and LIFT-AD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of sites included in the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countries in which the trials are conducted;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length of time required to enroll eligible subjects and initiate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of subjects that participate in the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drop-out and discontinuation rate of subjects;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potential additional safety monitoring requested by regulatory agencies;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duration of subject participation in the trials and follow-up;</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 and timing of manufacturing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receipt of regulatory approvals from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timing, receipt and terms of any marketing approvals from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hiring and retention of research and development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degree to which we obtain, maintain, defend and enforce our intellectual property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impact of health epidemics, including COVID-19, on timelines and clinical operations, which may lead to increased costs; and</w:t>
      </w:r>
    </w:p>
    <w:p>
      <w:pPr>
        <w:pStyle w:val="TextBody"/>
        <w:bidi w:val="0"/>
        <w:spacing w:before="24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extent to which we establish collaboration, licensing or similar arrangements and the performance of any related third parties.</w:t>
      </w:r>
    </w:p>
    <w:p>
      <w:pPr>
        <w:pStyle w:val="TextBody"/>
        <w:bidi w:val="0"/>
        <w:spacing w:before="280" w:after="283"/>
        <w:jc w:val="both"/>
        <w:rPr>
          <w:rFonts w:ascii="Times New Roman" w:hAnsi="Times New Roman"/>
          <w:sz w:val="20"/>
        </w:rPr>
      </w:pPr>
      <w:r>
        <w:rPr>
          <w:rFonts w:ascii="Arial" w:hAnsi="Arial"/>
          <w:color w:val="000000"/>
          <w:sz w:val="20"/>
        </w:rPr>
        <w:t>A change in the outcome of any of these variables with respect to the development of any of our drug candidates could significantly change the costs and timing associated with the development of that drug candidate.</w:t>
      </w:r>
      <w:r>
        <w:rPr>
          <w:rFonts w:ascii="Times New Roman" w:hAnsi="Times New Roman"/>
          <w:color w:val="000000"/>
          <w:sz w:val="20"/>
        </w:rPr>
        <w:t xml:space="preserve"> </w:t>
      </w:r>
    </w:p>
    <w:p>
      <w:pPr>
        <w:pStyle w:val="TextBody"/>
        <w:bidi w:val="0"/>
        <w:spacing w:before="280" w:after="283"/>
        <w:jc w:val="both"/>
        <w:rPr>
          <w:rFonts w:ascii="Arial" w:hAnsi="Arial"/>
          <w:i/>
          <w:color w:val="000000"/>
          <w:sz w:val="20"/>
        </w:rPr>
      </w:pPr>
      <w:r>
        <w:rPr>
          <w:rFonts w:ascii="Arial" w:hAnsi="Arial"/>
          <w:i/>
          <w:color w:val="000000"/>
          <w:sz w:val="20"/>
        </w:rPr>
        <w:t>General and Administrative</w:t>
      </w:r>
    </w:p>
    <w:p>
      <w:pPr>
        <w:pStyle w:val="TextBody"/>
        <w:bidi w:val="0"/>
        <w:spacing w:before="280" w:after="283"/>
        <w:jc w:val="both"/>
        <w:rPr>
          <w:rFonts w:ascii="Arial" w:hAnsi="Arial"/>
          <w:color w:val="000000"/>
          <w:sz w:val="20"/>
        </w:rPr>
      </w:pPr>
      <w:r>
        <w:rPr>
          <w:rFonts w:ascii="Arial" w:hAnsi="Arial"/>
          <w:color w:val="000000"/>
          <w:sz w:val="20"/>
        </w:rPr>
        <w:t>General and administrative expenses consist primarily of personnel-related costs, consisting of employee salaries, related benefits, and stock-based compensation expense for our employees in the executive, legal, finance and accounting, human resources, and other administrative functions. General and administrative expenses also include third-party costs such as legal costs, insurance costs, accounting, auditing and tax related fees, business development fees, consulting fees and facilities and other expenses not otherwise included as research and development expenses. We expense general and administrative costs as incurred.</w:t>
      </w:r>
    </w:p>
    <w:p>
      <w:pPr>
        <w:pStyle w:val="TextBody"/>
        <w:bidi w:val="0"/>
        <w:spacing w:before="280" w:after="283"/>
        <w:jc w:val="both"/>
        <w:rPr>
          <w:rFonts w:ascii="Arial" w:hAnsi="Arial"/>
          <w:color w:val="000000"/>
          <w:sz w:val="20"/>
        </w:rPr>
      </w:pPr>
      <w:r>
        <w:rPr>
          <w:rFonts w:ascii="Arial" w:hAnsi="Arial"/>
          <w:color w:val="000000"/>
          <w:sz w:val="20"/>
        </w:rPr>
        <w:t>We expect that our general and administrative expenses will increase for the foreseeable future as we increase our headcount to support our continued research activities and development of our programs. We also anticipate that we will continue to incur expenses as a result of operating as a public company, including expenses related to compliance with the rules and regulations of the SEC, and those of any national securities exchange on which our securities are traded, legal, auditing, additional insurance expenses, investor relations activities, and other administrative and professional services. We expect continued legal expenses related to our ongoing legal proceedings and proposed settlement to resolve such claims. We also expect to continue to increase the size of our administrative function to support the growth of our business. Additionally, we may experience an overall increase in general and administrative expenses as a result of inflation.</w:t>
      </w:r>
    </w:p>
    <w:p>
      <w:pPr>
        <w:pStyle w:val="TextBody"/>
        <w:bidi w:val="0"/>
        <w:spacing w:before="280" w:after="283"/>
        <w:jc w:val="both"/>
        <w:rPr>
          <w:rFonts w:ascii="Arial" w:hAnsi="Arial"/>
          <w:b/>
          <w:i/>
          <w:color w:val="000000"/>
          <w:sz w:val="20"/>
        </w:rPr>
      </w:pPr>
      <w:r>
        <w:rPr>
          <w:rFonts w:ascii="Arial" w:hAnsi="Arial"/>
          <w:b/>
          <w:i/>
          <w:color w:val="000000"/>
          <w:sz w:val="20"/>
        </w:rPr>
        <w:t>Grant Income</w:t>
      </w:r>
    </w:p>
    <w:p>
      <w:pPr>
        <w:pStyle w:val="TextBody"/>
        <w:bidi w:val="0"/>
        <w:spacing w:before="280" w:after="283"/>
        <w:jc w:val="both"/>
        <w:rPr>
          <w:rFonts w:ascii="Arial" w:hAnsi="Arial"/>
          <w:color w:val="000000"/>
          <w:sz w:val="20"/>
        </w:rPr>
      </w:pPr>
      <w:r>
        <w:rPr>
          <w:rFonts w:ascii="Arial" w:hAnsi="Arial"/>
          <w:color w:val="000000"/>
          <w:sz w:val="20"/>
        </w:rPr>
        <w:t>Grant income consists of income related to the NIH grant and is recognized as qualifying expenses under the grant agreement are incurred. As of March 31, 2024, we had recognized aggregate grant income of $15.2 million in connection with the NIH grant, equal to the total grant amount approved. We will not recognize additional grant income in connection with the NIH grant in the future.</w:t>
      </w:r>
    </w:p>
    <w:p>
      <w:pPr>
        <w:pStyle w:val="TextBody"/>
        <w:bidi w:val="0"/>
        <w:spacing w:before="280" w:after="283"/>
        <w:jc w:val="both"/>
        <w:rPr>
          <w:rFonts w:ascii="Arial" w:hAnsi="Arial"/>
          <w:b/>
          <w:i/>
          <w:color w:val="000000"/>
          <w:sz w:val="20"/>
        </w:rPr>
      </w:pPr>
      <w:r>
        <w:rPr>
          <w:rFonts w:ascii="Arial" w:hAnsi="Arial"/>
          <w:b/>
          <w:i/>
          <w:color w:val="000000"/>
          <w:sz w:val="20"/>
        </w:rPr>
        <w:t>Other Income, Net</w:t>
      </w:r>
    </w:p>
    <w:p>
      <w:pPr>
        <w:pStyle w:val="TextBody"/>
        <w:bidi w:val="0"/>
        <w:spacing w:before="280" w:after="283"/>
        <w:jc w:val="both"/>
        <w:rPr>
          <w:rFonts w:ascii="Times New Roman" w:hAnsi="Times New Roman"/>
          <w:sz w:val="20"/>
        </w:rPr>
      </w:pPr>
      <w:r>
        <w:rPr>
          <w:rFonts w:ascii="Arial" w:hAnsi="Arial"/>
          <w:color w:val="000000"/>
          <w:sz w:val="20"/>
        </w:rPr>
        <w:t>Other income, net consists primarily of interest earned on our cash, cash equivalents and investments and the amortization of premiums and accretion of discounts on our available-for-sale securities. Absent further fundraising, we expect interest earned on our cash, cash equivalents and investments to decrease as we continue to expend our cash balances to fund our ongoing operations.</w:t>
      </w:r>
      <w:r>
        <w:rPr>
          <w:rFonts w:ascii="Times New Roman" w:hAnsi="Times New Roman"/>
          <w:color w:val="000000"/>
          <w:sz w:val="20"/>
        </w:rPr>
        <w:t xml:space="preserve"> </w:t>
      </w:r>
    </w:p>
    <w:p>
      <w:pPr>
        <w:pStyle w:val="TextBody"/>
        <w:bidi w:val="0"/>
        <w:spacing w:before="280" w:after="283"/>
        <w:jc w:val="both"/>
        <w:rPr>
          <w:rFonts w:ascii="Arial" w:hAnsi="Arial"/>
          <w:b/>
          <w:color w:val="000000"/>
          <w:sz w:val="20"/>
        </w:rPr>
      </w:pPr>
      <w:r>
        <w:rPr>
          <w:rFonts w:ascii="Arial" w:hAnsi="Arial"/>
          <w:b/>
          <w:color w:val="000000"/>
          <w:sz w:val="20"/>
        </w:rPr>
        <w:t>Results of Operations</w:t>
      </w:r>
    </w:p>
    <w:p>
      <w:pPr>
        <w:pStyle w:val="TextBody"/>
        <w:bidi w:val="0"/>
        <w:spacing w:before="280" w:after="283"/>
        <w:jc w:val="both"/>
        <w:rPr>
          <w:rFonts w:ascii="Arial" w:hAnsi="Arial"/>
          <w:b/>
          <w:i/>
          <w:color w:val="000000"/>
          <w:sz w:val="20"/>
        </w:rPr>
      </w:pPr>
      <w:r>
        <w:rPr>
          <w:rFonts w:ascii="Arial" w:hAnsi="Arial"/>
          <w:b/>
          <w:i/>
          <w:color w:val="000000"/>
          <w:sz w:val="20"/>
        </w:rPr>
        <w:t>Comparison of the Three Months Ended March 31, 2024 and 2023</w:t>
      </w:r>
    </w:p>
    <w:p>
      <w:pPr>
        <w:pStyle w:val="TextBody"/>
        <w:bidi w:val="0"/>
        <w:spacing w:before="280" w:after="283"/>
        <w:jc w:val="both"/>
        <w:rPr>
          <w:rFonts w:ascii="Arial" w:hAnsi="Arial"/>
          <w:color w:val="000000"/>
          <w:sz w:val="20"/>
        </w:rPr>
      </w:pPr>
      <w:r>
        <w:rPr>
          <w:rFonts w:ascii="Arial" w:hAnsi="Arial"/>
          <w:color w:val="000000"/>
          <w:sz w:val="20"/>
        </w:rPr>
        <w:t>The following table summarizes our results of operations for the periods presented:</w:t>
      </w:r>
    </w:p>
    <w:p>
      <w:pPr>
        <w:pStyle w:val="TextBody"/>
        <w:bidi w:val="0"/>
        <w:jc w:val="both"/>
        <w:rPr/>
      </w:pPr>
      <w:r>
        <w:rPr/>
        <w:t> </w:t>
      </w:r>
    </w:p>
    <w:tbl>
      <w:tblPr>
        <w:tblW w:w="8226" w:type="dxa"/>
        <w:jc w:val="left"/>
        <w:tblInd w:w="0" w:type="dxa"/>
        <w:tblLayout w:type="fixed"/>
        <w:tblCellMar>
          <w:top w:w="28" w:type="dxa"/>
          <w:left w:w="28" w:type="dxa"/>
          <w:bottom w:w="28" w:type="dxa"/>
          <w:right w:w="28" w:type="dxa"/>
        </w:tblCellMar>
      </w:tblPr>
      <w:tblGrid>
        <w:gridCol w:w="2871"/>
        <w:gridCol w:w="146"/>
        <w:gridCol w:w="211"/>
        <w:gridCol w:w="751"/>
        <w:gridCol w:w="166"/>
        <w:gridCol w:w="146"/>
        <w:gridCol w:w="211"/>
        <w:gridCol w:w="751"/>
        <w:gridCol w:w="166"/>
        <w:gridCol w:w="146"/>
        <w:gridCol w:w="211"/>
        <w:gridCol w:w="646"/>
        <w:gridCol w:w="166"/>
        <w:gridCol w:w="146"/>
        <w:gridCol w:w="167"/>
        <w:gridCol w:w="554"/>
        <w:gridCol w:w="771"/>
      </w:tblGrid>
      <w:tr>
        <w:trPr/>
        <w:tc>
          <w:tcPr>
            <w:tcW w:w="2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2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43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771" w:type="dxa"/>
            <w:tcBorders/>
            <w:shd w:fill="FFFFFF" w:val="clear"/>
            <w:vAlign w:val="center"/>
          </w:tcPr>
          <w:p>
            <w:pPr>
              <w:pStyle w:val="TableContents"/>
              <w:bidi w:val="0"/>
              <w:spacing w:before="0" w:after="283"/>
              <w:jc w:val="center"/>
              <w:rPr/>
            </w:pPr>
            <w:r>
              <w:rPr/>
              <w:t> </w:t>
            </w:r>
          </w:p>
        </w:tc>
      </w:tr>
      <w:tr>
        <w:trPr/>
        <w:tc>
          <w:tcPr>
            <w:tcW w:w="2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405" w:type="dxa"/>
            <w:gridSpan w:val="10"/>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center"/>
              <w:rPr/>
            </w:pPr>
            <w:r>
              <w:rPr/>
              <w:t> </w:t>
            </w:r>
          </w:p>
        </w:tc>
        <w:tc>
          <w:tcPr>
            <w:tcW w:w="771" w:type="dxa"/>
            <w:tcBorders/>
            <w:shd w:fill="FFFFFF" w:val="clear"/>
            <w:vAlign w:val="center"/>
          </w:tcPr>
          <w:p>
            <w:pPr>
              <w:pStyle w:val="TableContents"/>
              <w:bidi w:val="0"/>
              <w:spacing w:before="0" w:after="283"/>
              <w:jc w:val="center"/>
              <w:rPr/>
            </w:pPr>
            <w:r>
              <w:rPr/>
              <w:t> </w:t>
            </w:r>
          </w:p>
        </w:tc>
      </w:tr>
      <w:tr>
        <w:trPr/>
        <w:tc>
          <w:tcPr>
            <w:tcW w:w="28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ind w:left="0" w:right="0" w:firstLine="280"/>
              <w:jc w:val="right"/>
              <w:rPr/>
            </w:pPr>
            <w:r>
              <w:rPr/>
              <w:t> </w:t>
            </w:r>
          </w:p>
        </w:tc>
      </w:tr>
      <w:tr>
        <w:trPr/>
        <w:tc>
          <w:tcPr>
            <w:tcW w:w="287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21,236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21,293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54" w:type="dxa"/>
            <w:tcBorders/>
            <w:shd w:fill="FFFFFF" w:val="clear"/>
            <w:vAlign w:val="center"/>
          </w:tcPr>
          <w:p>
            <w:pPr>
              <w:pStyle w:val="TableContents"/>
              <w:bidi w:val="0"/>
              <w:spacing w:before="0" w:after="283"/>
              <w:jc w:val="right"/>
              <w:rPr>
                <w:color w:val="000000"/>
              </w:rPr>
            </w:pPr>
            <w:r>
              <w:rPr>
                <w:color w:val="000000"/>
              </w:rPr>
              <w:t>—</w:t>
            </w:r>
          </w:p>
        </w:tc>
        <w:tc>
          <w:tcPr>
            <w:tcW w:w="77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87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55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771" w:type="dxa"/>
            <w:tcBorders/>
            <w:shd w:fill="CFF0FC" w:val="cle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2871"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5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7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(27,687</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(29,770</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55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7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Grant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(157</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5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7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55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7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(27,820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5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7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b/>
          <w:i/>
          <w:color w:val="000000"/>
          <w:sz w:val="20"/>
        </w:rPr>
      </w:pPr>
      <w:r>
        <w:rPr>
          <w:rFonts w:ascii="Arial" w:hAnsi="Arial"/>
          <w:b/>
          <w:i/>
          <w:color w:val="000000"/>
          <w:sz w:val="20"/>
        </w:rPr>
        <w:t>Research and Development Expenses</w:t>
      </w:r>
    </w:p>
    <w:p>
      <w:pPr>
        <w:pStyle w:val="TextBody"/>
        <w:bidi w:val="0"/>
        <w:spacing w:before="280" w:after="283"/>
        <w:jc w:val="both"/>
        <w:rPr>
          <w:rFonts w:ascii="Arial" w:hAnsi="Arial"/>
          <w:color w:val="000000"/>
          <w:sz w:val="20"/>
        </w:rPr>
      </w:pPr>
      <w:r>
        <w:rPr>
          <w:rFonts w:ascii="Arial" w:hAnsi="Arial"/>
          <w:color w:val="000000"/>
          <w:sz w:val="20"/>
        </w:rPr>
        <w:t>The following table shows the primary components of our research and development expenses for the periods presented:</w:t>
      </w:r>
    </w:p>
    <w:p>
      <w:pPr>
        <w:pStyle w:val="TextBody"/>
        <w:bidi w:val="0"/>
        <w:jc w:val="both"/>
        <w:rPr/>
      </w:pPr>
      <w:r>
        <w:rPr/>
        <w:t> </w:t>
      </w:r>
    </w:p>
    <w:tbl>
      <w:tblPr>
        <w:tblW w:w="9020" w:type="dxa"/>
        <w:jc w:val="left"/>
        <w:tblInd w:w="0" w:type="dxa"/>
        <w:tblLayout w:type="fixed"/>
        <w:tblCellMar>
          <w:top w:w="28" w:type="dxa"/>
          <w:left w:w="28" w:type="dxa"/>
          <w:bottom w:w="28" w:type="dxa"/>
          <w:right w:w="28" w:type="dxa"/>
        </w:tblCellMar>
      </w:tblPr>
      <w:tblGrid>
        <w:gridCol w:w="4121"/>
        <w:gridCol w:w="146"/>
        <w:gridCol w:w="211"/>
        <w:gridCol w:w="691"/>
        <w:gridCol w:w="146"/>
        <w:gridCol w:w="146"/>
        <w:gridCol w:w="211"/>
        <w:gridCol w:w="691"/>
        <w:gridCol w:w="146"/>
        <w:gridCol w:w="146"/>
        <w:gridCol w:w="219"/>
        <w:gridCol w:w="502"/>
        <w:gridCol w:w="166"/>
        <w:gridCol w:w="146"/>
        <w:gridCol w:w="201"/>
        <w:gridCol w:w="520"/>
        <w:gridCol w:w="611"/>
      </w:tblGrid>
      <w:tr>
        <w:trPr/>
        <w:tc>
          <w:tcPr>
            <w:tcW w:w="4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1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14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611" w:type="dxa"/>
            <w:tcBorders/>
            <w:shd w:fill="FFFFFF" w:val="clear"/>
            <w:vAlign w:val="center"/>
          </w:tcPr>
          <w:p>
            <w:pPr>
              <w:pStyle w:val="TableContents"/>
              <w:bidi w:val="0"/>
              <w:spacing w:before="0" w:after="283"/>
              <w:jc w:val="center"/>
              <w:rPr/>
            </w:pPr>
            <w:r>
              <w:rPr/>
              <w:t> </w:t>
            </w:r>
          </w:p>
        </w:tc>
      </w:tr>
      <w:tr>
        <w:trPr/>
        <w:tc>
          <w:tcPr>
            <w:tcW w:w="41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09" w:type="dxa"/>
            <w:gridSpan w:val="10"/>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center"/>
              <w:rPr/>
            </w:pPr>
            <w:r>
              <w:rPr/>
              <w:t> </w:t>
            </w:r>
          </w:p>
        </w:tc>
        <w:tc>
          <w:tcPr>
            <w:tcW w:w="611" w:type="dxa"/>
            <w:tcBorders/>
            <w:shd w:fill="FFFFFF" w:val="clear"/>
            <w:vAlign w:val="center"/>
          </w:tcPr>
          <w:p>
            <w:pPr>
              <w:pStyle w:val="TableContents"/>
              <w:bidi w:val="0"/>
              <w:spacing w:before="0" w:after="283"/>
              <w:jc w:val="center"/>
              <w:rPr/>
            </w:pPr>
            <w:r>
              <w:rPr/>
              <w:t> </w:t>
            </w:r>
          </w:p>
        </w:tc>
      </w:tr>
      <w:tr>
        <w:trPr/>
        <w:tc>
          <w:tcPr>
            <w:tcW w:w="412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Direct costs:</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80"/>
              <w:jc w:val="right"/>
              <w:rPr/>
            </w:pPr>
            <w:r>
              <w:rPr/>
              <w:t> </w:t>
            </w:r>
          </w:p>
        </w:tc>
      </w:tr>
      <w:tr>
        <w:trPr/>
        <w:tc>
          <w:tcPr>
            <w:tcW w:w="412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Fosgonimeton (ATH-1017)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14,263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14,271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0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12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ATH-1020</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50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(109</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52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61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12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Preclinical programs and other direct costs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jc w:val="left"/>
              <w:rPr/>
            </w:pPr>
            <w:r>
              <w:rPr/>
              <w:t> </w:t>
            </w:r>
          </w:p>
        </w:tc>
      </w:tr>
      <w:tr>
        <w:trPr/>
        <w:tc>
          <w:tcPr>
            <w:tcW w:w="412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direct costs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52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6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Indirect costs:</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80"/>
              <w:jc w:val="right"/>
              <w:rPr/>
            </w:pPr>
            <w:r>
              <w:rPr/>
              <w:t> </w:t>
            </w:r>
          </w:p>
        </w:tc>
      </w:tr>
      <w:tr>
        <w:trPr/>
        <w:tc>
          <w:tcPr>
            <w:tcW w:w="412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Personnel-related costs, including stock-</w:t>
              <w:br/>
              <w:t>   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4,610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4,645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50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52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61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12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Facilities and other costs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611" w:type="dxa"/>
            <w:tcBorders/>
            <w:shd w:fill="FFFFFF" w:val="clear"/>
            <w:vAlign w:val="center"/>
          </w:tcPr>
          <w:p>
            <w:pPr>
              <w:pStyle w:val="TableContents"/>
              <w:bidi w:val="0"/>
              <w:spacing w:before="0" w:after="283"/>
              <w:jc w:val="left"/>
              <w:rPr/>
            </w:pPr>
            <w:r>
              <w:rPr/>
              <w:t> </w:t>
            </w:r>
          </w:p>
        </w:tc>
      </w:tr>
      <w:tr>
        <w:trPr/>
        <w:tc>
          <w:tcPr>
            <w:tcW w:w="412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520"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jc w:val="left"/>
              <w:rPr/>
            </w:pPr>
            <w:r>
              <w:rPr/>
              <w:t> </w:t>
            </w:r>
          </w:p>
        </w:tc>
      </w:tr>
    </w:tbl>
    <w:p>
      <w:pPr>
        <w:pStyle w:val="TextBody"/>
        <w:bidi w:val="0"/>
        <w:spacing w:before="280" w:after="283"/>
        <w:jc w:val="both"/>
        <w:rPr>
          <w:rFonts w:ascii="Arial" w:hAnsi="Arial"/>
          <w:color w:val="000000"/>
          <w:sz w:val="20"/>
        </w:rPr>
      </w:pPr>
      <w:r>
        <w:rPr>
          <w:rFonts w:ascii="Arial" w:hAnsi="Arial"/>
          <w:color w:val="000000"/>
          <w:sz w:val="20"/>
        </w:rPr>
        <w:t>Research and development expenses decreased by $0.1 million, from $21.3 million for the three months ended March 31, 2023 to $21.2 million for the three months ended March 31, 2024. The decrease was driven primarily by a decrease in ATH-1020 program expenses of $0.1 million, and to lesser extents, decreases in personnel-related expenses, fosgonimeton program costs, and preclinical and other direct costs, partially offset by an increase in other indirect costs of $0.1 million. The overall decrease in fosgonimeton program costs of less than $0.1 million was driven by decreases in manufacturing costs of $2.0 million and contract research organization expenses of $1.0 million, offset by increases in program consulting costs of $2.0 million, and clinical site visit costs for our Phase 2/3 LIFT-AD clinical trial and the corresponding open-label extension for our Phase 2 ACT-AD and Phase 2/3 LIFT-AD clinical trials of $1.0 million.</w:t>
      </w:r>
    </w:p>
    <w:p>
      <w:pPr>
        <w:pStyle w:val="TextBody"/>
        <w:bidi w:val="0"/>
        <w:spacing w:before="280" w:after="283"/>
        <w:jc w:val="both"/>
        <w:rPr>
          <w:rFonts w:ascii="Arial" w:hAnsi="Arial"/>
          <w:b/>
          <w:i/>
          <w:color w:val="000000"/>
          <w:sz w:val="20"/>
        </w:rPr>
      </w:pPr>
      <w:r>
        <w:rPr>
          <w:rFonts w:ascii="Arial" w:hAnsi="Arial"/>
          <w:b/>
          <w:i/>
          <w:color w:val="000000"/>
          <w:sz w:val="20"/>
        </w:rPr>
        <w:t>General and Administrative Expenses</w:t>
      </w:r>
    </w:p>
    <w:p>
      <w:pPr>
        <w:pStyle w:val="TextBody"/>
        <w:bidi w:val="0"/>
        <w:spacing w:before="280" w:after="283"/>
        <w:jc w:val="both"/>
        <w:rPr>
          <w:rFonts w:ascii="Arial" w:hAnsi="Arial"/>
          <w:color w:val="000000"/>
          <w:sz w:val="20"/>
        </w:rPr>
      </w:pPr>
      <w:r>
        <w:rPr>
          <w:rFonts w:ascii="Arial" w:hAnsi="Arial"/>
          <w:color w:val="000000"/>
          <w:sz w:val="20"/>
        </w:rPr>
        <w:t>General and administrative expenses decreased by $2.0 million, from $8.5 million for the three months ended March 31, 2023 to $6.5 million for the three months ended March 31, 2024. The decrease was primarily due to a decrease in legal costs of $0.6 million, a decrease in business development expenses of $0.5 million, a decrease in professional services expenses of $0.4 million, a decrease in personnel-related costs of $0.3 million, and a decrease in other general corporate expenses of $0.2 million.</w:t>
      </w:r>
    </w:p>
    <w:p>
      <w:pPr>
        <w:pStyle w:val="TextBody"/>
        <w:bidi w:val="0"/>
        <w:spacing w:before="280" w:after="283"/>
        <w:jc w:val="both"/>
        <w:rPr>
          <w:rFonts w:ascii="Arial" w:hAnsi="Arial"/>
          <w:b/>
          <w:i/>
          <w:color w:val="000000"/>
          <w:sz w:val="20"/>
        </w:rPr>
      </w:pPr>
      <w:r>
        <w:rPr>
          <w:rFonts w:ascii="Arial" w:hAnsi="Arial"/>
          <w:b/>
          <w:i/>
          <w:color w:val="000000"/>
          <w:sz w:val="20"/>
        </w:rPr>
        <w:t>Grant Income</w:t>
      </w:r>
    </w:p>
    <w:p>
      <w:pPr>
        <w:pStyle w:val="TextBody"/>
        <w:bidi w:val="0"/>
        <w:spacing w:before="280" w:after="283"/>
        <w:jc w:val="both"/>
        <w:rPr>
          <w:rFonts w:ascii="Arial" w:hAnsi="Arial"/>
          <w:color w:val="000000"/>
          <w:sz w:val="20"/>
        </w:rPr>
      </w:pPr>
      <w:r>
        <w:rPr>
          <w:rFonts w:ascii="Arial" w:hAnsi="Arial"/>
          <w:color w:val="000000"/>
          <w:sz w:val="20"/>
        </w:rPr>
        <w:t>Grant income recognized during the three months ended March 31, 2023 of $0.2 million represented the remaining balance of the total $15.2 million approved grant amount available at the beginning of the quarter. There was no grant income recognized during the three months ended March 31, 2024.</w:t>
      </w:r>
    </w:p>
    <w:p>
      <w:pPr>
        <w:pStyle w:val="TextBody"/>
        <w:bidi w:val="0"/>
        <w:jc w:val="both"/>
        <w:rPr/>
      </w:pPr>
      <w:r>
        <w:rPr/>
        <w:t> </w:t>
      </w:r>
    </w:p>
    <w:p>
      <w:pPr>
        <w:pStyle w:val="TextBody"/>
        <w:bidi w:val="0"/>
        <w:spacing w:before="80" w:after="283"/>
        <w:jc w:val="both"/>
        <w:rPr>
          <w:rFonts w:ascii="Arial" w:hAnsi="Arial"/>
          <w:b/>
          <w:i/>
          <w:color w:val="000000"/>
          <w:sz w:val="20"/>
        </w:rPr>
      </w:pPr>
      <w:r>
        <w:rPr>
          <w:rFonts w:ascii="Arial" w:hAnsi="Arial"/>
          <w:b/>
          <w:i/>
          <w:color w:val="000000"/>
          <w:sz w:val="20"/>
        </w:rPr>
        <w:t>Other Income, Net</w:t>
      </w:r>
    </w:p>
    <w:p>
      <w:pPr>
        <w:pStyle w:val="TextBody"/>
        <w:bidi w:val="0"/>
        <w:spacing w:before="280" w:after="283"/>
        <w:jc w:val="both"/>
        <w:rPr>
          <w:rFonts w:ascii="Arial" w:hAnsi="Arial"/>
          <w:color w:val="000000"/>
          <w:sz w:val="20"/>
        </w:rPr>
      </w:pPr>
      <w:r>
        <w:rPr>
          <w:rFonts w:ascii="Arial" w:hAnsi="Arial"/>
          <w:color w:val="000000"/>
          <w:sz w:val="20"/>
        </w:rPr>
        <w:t>Other income, net, decreased by $0.4 million, from $1.8 million for the three months ended March 31, 2023 to $1.4 million for the three months ended March 31, 2024 due to lower income from accretion of discounts on debt securities purchased below par value and held to maturity, and lower interest income earned on our available-for-sale securities. These decreases resulted from lower balances of available-for-sale securities held during the three months ended March 31, 2024 compared to the three months ended March 31, 2023.</w:t>
      </w:r>
    </w:p>
    <w:p>
      <w:pPr>
        <w:pStyle w:val="TextBody"/>
        <w:bidi w:val="0"/>
        <w:spacing w:before="280" w:after="283"/>
        <w:jc w:val="both"/>
        <w:rPr>
          <w:rFonts w:ascii="Arial" w:hAnsi="Arial"/>
          <w:b/>
          <w:color w:val="000000"/>
          <w:sz w:val="20"/>
        </w:rPr>
      </w:pPr>
      <w:r>
        <w:rPr>
          <w:rFonts w:ascii="Arial" w:hAnsi="Arial"/>
          <w:b/>
          <w:color w:val="000000"/>
          <w:sz w:val="20"/>
        </w:rPr>
        <w:t>Liquidity and Capital Resources</w:t>
      </w:r>
    </w:p>
    <w:p>
      <w:pPr>
        <w:pStyle w:val="TextBody"/>
        <w:bidi w:val="0"/>
        <w:spacing w:before="280" w:after="283"/>
        <w:jc w:val="both"/>
        <w:rPr>
          <w:rFonts w:ascii="Arial" w:hAnsi="Arial"/>
          <w:b/>
          <w:i/>
          <w:color w:val="000000"/>
          <w:sz w:val="20"/>
        </w:rPr>
      </w:pPr>
      <w:r>
        <w:rPr>
          <w:rFonts w:ascii="Arial" w:hAnsi="Arial"/>
          <w:b/>
          <w:i/>
          <w:color w:val="000000"/>
          <w:sz w:val="20"/>
        </w:rPr>
        <w:t>Sources of Liquidity</w:t>
      </w:r>
    </w:p>
    <w:p>
      <w:pPr>
        <w:pStyle w:val="TextBody"/>
        <w:bidi w:val="0"/>
        <w:spacing w:before="280" w:after="283"/>
        <w:jc w:val="both"/>
        <w:rPr>
          <w:rFonts w:ascii="Times New Roman" w:hAnsi="Times New Roman"/>
          <w:sz w:val="20"/>
        </w:rPr>
      </w:pPr>
      <w:r>
        <w:rPr>
          <w:rFonts w:ascii="Arial" w:hAnsi="Arial"/>
          <w:color w:val="000000"/>
          <w:sz w:val="20"/>
        </w:rPr>
        <w:t>Since our inception, we have funded our operations primarily with proceeds from the sale and issuance of common stock, convertible preferred stock, common stock warrants, and convertible notes, and to a lesser extent from grant income and stock option exercises. From our inception through March 31, 2024, we have raised aggregate net cash proceeds of $407.4 million primarily from the issuance of our common stock (excluding option exercises), convertible preferred stock, common stock warrants, and convertible notes.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color w:val="000000"/>
          <w:sz w:val="20"/>
        </w:rPr>
      </w:pPr>
      <w:r>
        <w:rPr>
          <w:rFonts w:ascii="Arial" w:hAnsi="Arial"/>
          <w:color w:val="000000"/>
          <w:sz w:val="20"/>
        </w:rPr>
        <w:t>As of March 31, 2024, we had $122.1 million in cash, cash equivalents and investments and have not generated positive cash flows from operations.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w:t>
      </w:r>
    </w:p>
    <w:p>
      <w:pPr>
        <w:pStyle w:val="TextBody"/>
        <w:bidi w:val="0"/>
        <w:spacing w:before="280" w:after="283"/>
        <w:jc w:val="both"/>
        <w:rPr>
          <w:rFonts w:ascii="Arial" w:hAnsi="Arial"/>
          <w:b/>
          <w:i/>
          <w:color w:val="000000"/>
          <w:sz w:val="20"/>
        </w:rPr>
      </w:pPr>
      <w:r>
        <w:rPr>
          <w:rFonts w:ascii="Arial" w:hAnsi="Arial"/>
          <w:b/>
          <w:i/>
          <w:color w:val="000000"/>
          <w:sz w:val="20"/>
        </w:rPr>
        <w:t>Material Cash and Future Funding Requirements</w:t>
      </w:r>
    </w:p>
    <w:p>
      <w:pPr>
        <w:pStyle w:val="TextBody"/>
        <w:bidi w:val="0"/>
        <w:spacing w:before="280" w:after="283"/>
        <w:jc w:val="both"/>
        <w:rPr>
          <w:rFonts w:ascii="Arial" w:hAnsi="Arial"/>
          <w:color w:val="000000"/>
          <w:sz w:val="20"/>
        </w:rPr>
      </w:pPr>
      <w:r>
        <w:rPr>
          <w:rFonts w:ascii="Arial" w:hAnsi="Arial"/>
          <w:color w:val="000000"/>
          <w:sz w:val="20"/>
        </w:rPr>
        <w:t>Our material cash requirements include our operating leases for laboratory and office facilities. As of March 31, 2024, we had lease payment obligations of $1.7 million, with $0.5 million payable within 12 months. For additional information regarding our lease commitments, see Note 7 to our unaudited condensed consolidated financial statements included elsewhere in this report. We are contingently committed to $0.9 million of potential future milestone payments, in addition to sales-based payments and royalties, under our license agreement with WSU. Payments generally are due and payable only upon achievement of certain developmental, regulatory, and sales milestones for which the specific timing cannot be predicted. Refer to Note 6 to our unaudited condensed consolidated financial statements for additional information regarding the WSU license agreement. Additionally, we have purchase obligations and open purchase orders that support normal operations and are primarily due in the next 12 months. These purchase obligations and open purchase orders are generally cancellable in full or in part through the contractual provisions. We also anticipate that our research and development expenses and our general and administrative expenses will increase over at least the near-term as we advance our clinical development and our drug candidates through clinical trials, adjust our headcount to support our operations, and incur legal and other professional expenses related to our ongoing legal proceedings. We cannot predict with certainty the amount and timing of these increased expenses.</w:t>
      </w:r>
    </w:p>
    <w:p>
      <w:pPr>
        <w:pStyle w:val="TextBody"/>
        <w:bidi w:val="0"/>
        <w:spacing w:before="280" w:after="283"/>
        <w:jc w:val="both"/>
        <w:rPr>
          <w:rFonts w:ascii="Arial" w:hAnsi="Arial"/>
          <w:color w:val="000000"/>
          <w:sz w:val="20"/>
        </w:rPr>
      </w:pPr>
      <w:r>
        <w:rPr>
          <w:rFonts w:ascii="Arial" w:hAnsi="Arial"/>
          <w:color w:val="000000"/>
          <w:sz w:val="20"/>
        </w:rPr>
        <w:t>Based upon our current operating plan, we estimate that our $122.1 million of cash, cash equivalents and investments at March 31, 2024 will be sufficient to fund our operating expenses and capital expenditure requirements through at least the next 12 months following the date of this report. We will need to raise substantial additional capital to fund the development of our drug candidates. Until such time as we can generate significant revenue from drug product sales, we expect to finance our operations through the sale of equity securities, debt financings, or other capital, which could include income from collaboration, licensing or similar arrangements with third parties, or receiving research contributions, or grants. For example, in January 2023, we entered into a sales agreement with Cantor Fitzgerald and BTIG to sell shares of our common stock having aggregate sales proceeds of up to $75.0 million, from time to time, through an ATM equity offering program under which Cantor Fitzgerald and BTIG are acting as sales agents. As of the date of this report, we have not sold any securities pursuant to this ATM offering.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 If we raise funds through collaborations, licenses and other similar arrangements with third parties, we may have to relinquish valuable rights to our technologies, future revenue streams, research programs or drug candidates or grant licenses on terms that may not be favorable to us or may reduce the value of our common stock. Adequate funding may not be available when needed or on terms acceptable to us, or at all. Our ability to raise additional funds may be adversely impacted by potential worsening global economic conditions and the recent disruptions to, and volatility in, the credit and financial markets in the United States and worldwide. If we fail to obtain necessary capital when needed on acceptable terms, or at all, it could force us to delay, limit, reduce or terminate our drug product development programs, commercialization efforts or other operations. Insufficient liquidity may also require us to relinquish rights to drug candidates at an earlier stage of development or on less favorable terms than we would otherwise choose. We cannot assure you that we will ever be profitable or generate positive cash flows from operating activities.</w:t>
      </w:r>
    </w:p>
    <w:p>
      <w:pPr>
        <w:pStyle w:val="TextBody"/>
        <w:bidi w:val="0"/>
        <w:spacing w:before="280" w:after="283"/>
        <w:jc w:val="both"/>
        <w:rPr>
          <w:rFonts w:ascii="Arial" w:hAnsi="Arial"/>
          <w:color w:val="000000"/>
          <w:sz w:val="20"/>
        </w:rPr>
      </w:pPr>
      <w:r>
        <w:rPr>
          <w:rFonts w:ascii="Arial" w:hAnsi="Arial"/>
          <w:color w:val="000000"/>
          <w:sz w:val="20"/>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biotechnology products, we are unable to estimate the exact amount of our operating capital requirements. Our future funding requirements will depend on many factors,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scope, timing, progress and results of our ongoing preclinical studies and clinical trials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of trials required for regulatory approval, in particular with respect to fosgonimeton for the treatment of mild-to-moderate AD;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scope, progress, results and costs of preclinical development, laboratory testing and clinical trials of other drug candidates that we may pursue;</w:t>
      </w:r>
    </w:p>
    <w:p>
      <w:pPr>
        <w:pStyle w:val="TextBody"/>
        <w:bidi w:val="0"/>
        <w:spacing w:before="240" w:after="283"/>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establish and maintain collaboration, licensing or other similar arrangements, and the financial terms of any such arrangements, including the timing and amount of any future milestone, royalty or other payments due thereunder;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timing and outcome of regulatory review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and timing of future commercialization activities, including drug product manufacturing, marketing, sales and distribution, for any of our drug candidates for which we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revenue, if any, received from commercial sales of our drug candidates for which we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and timing of preparing, filing and prosecuting patent applications, maintaining and enforcing our intellectual property rights and defending any intellectual property-related claims;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related to ongoing legal proceedings;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any expenses needed to attract, hire and retain skilled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of operating as a public company;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associated with expanding our laboratory and office facilities;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extent to which we acquire or in-license other companies’ product candidates and technologies or engage in other strategic transactions.</w:t>
      </w:r>
    </w:p>
    <w:p>
      <w:pPr>
        <w:pStyle w:val="TextBody"/>
        <w:bidi w:val="0"/>
        <w:spacing w:before="280" w:after="283"/>
        <w:jc w:val="both"/>
        <w:rPr>
          <w:rFonts w:ascii="Arial" w:hAnsi="Arial"/>
          <w:color w:val="000000"/>
          <w:sz w:val="20"/>
        </w:rPr>
      </w:pPr>
      <w:r>
        <w:rPr>
          <w:rFonts w:ascii="Arial" w:hAnsi="Arial"/>
          <w:color w:val="000000"/>
          <w:sz w:val="20"/>
        </w:rPr>
        <w:t>A change in the outcome of any of these or other factors with respect to the development of any of our drug candidates could significantly change the costs and timing associated with the development of that drug candidate. Furthermore, our operating plan may change in the future, and we may need additional funds to meet operational needs and capital requirements associated with such operating plan.</w:t>
      </w:r>
    </w:p>
    <w:p>
      <w:pPr>
        <w:pStyle w:val="TextBody"/>
        <w:bidi w:val="0"/>
        <w:spacing w:before="280" w:after="283"/>
        <w:jc w:val="both"/>
        <w:rPr>
          <w:rFonts w:ascii="Arial" w:hAnsi="Arial"/>
          <w:b/>
          <w:i/>
          <w:color w:val="000000"/>
          <w:sz w:val="20"/>
        </w:rPr>
      </w:pPr>
      <w:r>
        <w:rPr>
          <w:rFonts w:ascii="Arial" w:hAnsi="Arial"/>
          <w:b/>
          <w:i/>
          <w:color w:val="000000"/>
          <w:sz w:val="20"/>
        </w:rPr>
        <w:t>Cash Flows</w:t>
      </w:r>
    </w:p>
    <w:p>
      <w:pPr>
        <w:pStyle w:val="TextBody"/>
        <w:bidi w:val="0"/>
        <w:spacing w:before="280" w:after="283"/>
        <w:jc w:val="both"/>
        <w:rPr>
          <w:rFonts w:ascii="Arial" w:hAnsi="Arial"/>
          <w:color w:val="000000"/>
          <w:sz w:val="20"/>
        </w:rPr>
      </w:pPr>
      <w:r>
        <w:rPr>
          <w:rFonts w:ascii="Arial" w:hAnsi="Arial"/>
          <w:color w:val="000000"/>
          <w:sz w:val="20"/>
        </w:rPr>
        <w:t>The following table summarizes our cash flows for the periods indicated:</w:t>
      </w:r>
    </w:p>
    <w:p>
      <w:pPr>
        <w:pStyle w:val="TextBody"/>
        <w:bidi w:val="0"/>
        <w:jc w:val="both"/>
        <w:rPr/>
      </w:pPr>
      <w:r>
        <w:rPr/>
        <w:t> </w:t>
      </w:r>
    </w:p>
    <w:tbl>
      <w:tblPr>
        <w:tblW w:w="9380" w:type="dxa"/>
        <w:jc w:val="left"/>
        <w:tblInd w:w="0" w:type="dxa"/>
        <w:tblLayout w:type="fixed"/>
        <w:tblCellMar>
          <w:top w:w="28" w:type="dxa"/>
          <w:left w:w="28" w:type="dxa"/>
          <w:bottom w:w="28" w:type="dxa"/>
          <w:right w:w="28" w:type="dxa"/>
        </w:tblCellMar>
      </w:tblPr>
      <w:tblGrid>
        <w:gridCol w:w="6196"/>
        <w:gridCol w:w="146"/>
        <w:gridCol w:w="240"/>
        <w:gridCol w:w="856"/>
        <w:gridCol w:w="189"/>
        <w:gridCol w:w="166"/>
        <w:gridCol w:w="240"/>
        <w:gridCol w:w="856"/>
        <w:gridCol w:w="491"/>
      </w:tblGrid>
      <w:tr>
        <w:trPr/>
        <w:tc>
          <w:tcPr>
            <w:tcW w:w="6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6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47"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91" w:type="dxa"/>
            <w:tcBorders/>
            <w:shd w:fill="FFFFFF" w:val="clear"/>
            <w:vAlign w:val="center"/>
          </w:tcPr>
          <w:p>
            <w:pPr>
              <w:pStyle w:val="TableContents"/>
              <w:bidi w:val="0"/>
              <w:spacing w:before="0" w:after="283"/>
              <w:jc w:val="center"/>
              <w:rPr/>
            </w:pPr>
            <w:r>
              <w:rPr/>
              <w:t> </w:t>
            </w:r>
          </w:p>
        </w:tc>
      </w:tr>
      <w:tr>
        <w:trPr/>
        <w:tc>
          <w:tcPr>
            <w:tcW w:w="619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provided by:</w:t>
            </w:r>
          </w:p>
        </w:tc>
        <w:tc>
          <w:tcPr>
            <w:tcW w:w="146" w:type="dxa"/>
            <w:tcBorders/>
            <w:shd w:fill="CFF0FC" w:val="clear"/>
            <w:vAlign w:val="center"/>
          </w:tcPr>
          <w:p>
            <w:pPr>
              <w:pStyle w:val="TableContents"/>
              <w:bidi w:val="0"/>
              <w:spacing w:before="0" w:after="283"/>
              <w:jc w:val="left"/>
              <w:rPr/>
            </w:pPr>
            <w:r>
              <w:rPr/>
              <w:t> </w:t>
            </w:r>
          </w:p>
        </w:tc>
        <w:tc>
          <w:tcPr>
            <w:tcW w:w="1096" w:type="dxa"/>
            <w:gridSpan w:val="2"/>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096" w:type="dxa"/>
            <w:gridSpan w:val="2"/>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ind w:left="0" w:right="0" w:firstLine="280"/>
              <w:jc w:val="left"/>
              <w:rPr/>
            </w:pPr>
            <w:r>
              <w:rPr/>
              <w:t> </w:t>
            </w:r>
          </w:p>
        </w:tc>
      </w:tr>
      <w:tr>
        <w:trPr/>
        <w:tc>
          <w:tcPr>
            <w:tcW w:w="619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Operating activities</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(25,804</w:t>
            </w:r>
          </w:p>
        </w:tc>
        <w:tc>
          <w:tcPr>
            <w:tcW w:w="18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(26,194</w:t>
            </w:r>
          </w:p>
        </w:tc>
        <w:tc>
          <w:tcPr>
            <w:tcW w:w="49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19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13,041</w:t>
            </w:r>
          </w:p>
        </w:tc>
        <w:tc>
          <w:tcPr>
            <w:tcW w:w="189"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35,522</w:t>
            </w:r>
          </w:p>
        </w:tc>
        <w:tc>
          <w:tcPr>
            <w:tcW w:w="491" w:type="dxa"/>
            <w:tcBorders/>
            <w:shd w:fill="CFF0FC" w:val="clear"/>
            <w:vAlign w:val="center"/>
          </w:tcPr>
          <w:p>
            <w:pPr>
              <w:pStyle w:val="TableContents"/>
              <w:bidi w:val="0"/>
              <w:spacing w:before="0" w:after="283"/>
              <w:ind w:left="0" w:right="0" w:firstLine="280"/>
              <w:jc w:val="left"/>
              <w:rPr/>
            </w:pPr>
            <w:r>
              <w:rPr/>
              <w:t> </w:t>
            </w:r>
          </w:p>
        </w:tc>
      </w:tr>
      <w:tr>
        <w:trPr/>
        <w:tc>
          <w:tcPr>
            <w:tcW w:w="619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(decrease) increase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(12,763</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9,427</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80" w:after="283"/>
        <w:jc w:val="both"/>
        <w:rPr>
          <w:rFonts w:ascii="Arial" w:hAnsi="Arial"/>
          <w:b/>
          <w:i/>
          <w:color w:val="000000"/>
          <w:sz w:val="20"/>
        </w:rPr>
      </w:pPr>
      <w:r>
        <w:rPr>
          <w:rFonts w:ascii="Arial" w:hAnsi="Arial"/>
          <w:b/>
          <w:i/>
          <w:color w:val="000000"/>
          <w:sz w:val="20"/>
        </w:rPr>
        <w:t>Operating Activities</w:t>
      </w:r>
    </w:p>
    <w:p>
      <w:pPr>
        <w:pStyle w:val="TextBody"/>
        <w:bidi w:val="0"/>
        <w:spacing w:before="280" w:after="283"/>
        <w:jc w:val="both"/>
        <w:rPr>
          <w:rFonts w:ascii="Arial" w:hAnsi="Arial"/>
          <w:color w:val="000000"/>
          <w:sz w:val="20"/>
        </w:rPr>
      </w:pPr>
      <w:r>
        <w:rPr>
          <w:rFonts w:ascii="Arial" w:hAnsi="Arial"/>
          <w:color w:val="000000"/>
          <w:sz w:val="20"/>
        </w:rPr>
        <w:t>During the three months ended March 31, 2024, net cash used in operating activities was $25.8 million. This consisted primarily of a net loss of $26.3 million, partially offset by non-cash charges of $2.7 million, and an increase in our net operating assets of $2.2 million. The non-cash charges primarily consisted of stock-based compensation expense, depreciation expense, and amortization of premiums and accretion of discounts on available-for-sale securities. The increase in our net operating assets was primarily due to a decrease in accounts payable and accrued expenses, partially offset by a decrease in prepaid expenses and other assets.</w:t>
      </w:r>
    </w:p>
    <w:p>
      <w:pPr>
        <w:pStyle w:val="TextBody"/>
        <w:bidi w:val="0"/>
        <w:spacing w:before="280" w:after="283"/>
        <w:jc w:val="both"/>
        <w:rPr>
          <w:rFonts w:ascii="Times New Roman" w:hAnsi="Times New Roman"/>
          <w:sz w:val="20"/>
        </w:rPr>
      </w:pPr>
      <w:r>
        <w:rPr>
          <w:rFonts w:ascii="Arial" w:hAnsi="Arial"/>
          <w:color w:val="000000"/>
          <w:sz w:val="20"/>
        </w:rPr>
        <w:t>During the three months ended March 31, 2023, net cash used in operating activities was $26.2 million. This consisted primarily of a net loss of $27.8 million, partially offset by non-cash charges of $2.7 million, and an increase in our net operating assets of $1.1 million. The non-cash charges primarily consisted of stock-based compensation expense, depreciation expense, and amortization of premiums and accretion of discounts on available-for-sale securities. The increase in our net operating assets was primarily due to an increase in prepaid expenses and other current assets and a decrease in accounts payable, partially offset by a decrease in unbilled grant receivable, and an increase in accrued expenses.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Arial" w:hAnsi="Arial"/>
          <w:b/>
          <w:i/>
          <w:color w:val="000000"/>
          <w:sz w:val="20"/>
        </w:rPr>
      </w:pPr>
      <w:r>
        <w:rPr>
          <w:rFonts w:ascii="Arial" w:hAnsi="Arial"/>
          <w:b/>
          <w:i/>
          <w:color w:val="000000"/>
          <w:sz w:val="20"/>
        </w:rPr>
        <w:t>Investing Activities</w:t>
      </w:r>
    </w:p>
    <w:p>
      <w:pPr>
        <w:pStyle w:val="TextBody"/>
        <w:bidi w:val="0"/>
        <w:spacing w:before="280" w:after="283"/>
        <w:jc w:val="both"/>
        <w:rPr>
          <w:rFonts w:ascii="Arial" w:hAnsi="Arial"/>
          <w:color w:val="000000"/>
          <w:sz w:val="20"/>
        </w:rPr>
      </w:pPr>
      <w:r>
        <w:rPr>
          <w:rFonts w:ascii="Arial" w:hAnsi="Arial"/>
          <w:color w:val="000000"/>
          <w:sz w:val="20"/>
        </w:rPr>
        <w:t>During the three months ended March 31, 2024, net cash provided by investing was $13.0 million. This consisted of maturities of available-for-sale securities of $18.9 million, partially offset by purchases of available-for-sale securities of $5.9 million.</w:t>
      </w:r>
    </w:p>
    <w:p>
      <w:pPr>
        <w:pStyle w:val="TextBody"/>
        <w:bidi w:val="0"/>
        <w:spacing w:before="280" w:after="283"/>
        <w:jc w:val="both"/>
        <w:rPr>
          <w:rFonts w:ascii="Arial" w:hAnsi="Arial"/>
          <w:color w:val="000000"/>
          <w:sz w:val="20"/>
        </w:rPr>
      </w:pPr>
      <w:r>
        <w:rPr>
          <w:rFonts w:ascii="Arial" w:hAnsi="Arial"/>
          <w:color w:val="000000"/>
          <w:sz w:val="20"/>
        </w:rPr>
        <w:t>During the three months ended March 31, 2023, net cash provided by investing was $35.5 million. This consisted of maturities of available-for-sale securities of $45.5 million, partially offset by purchases of available-for-sale securities of $9.7 million and property and equipment of $0.2 million.</w:t>
      </w:r>
    </w:p>
    <w:p>
      <w:pPr>
        <w:pStyle w:val="TextBody"/>
        <w:bidi w:val="0"/>
        <w:spacing w:before="280" w:after="283"/>
        <w:jc w:val="both"/>
        <w:rPr>
          <w:rFonts w:ascii="Arial" w:hAnsi="Arial"/>
          <w:b/>
          <w:i/>
          <w:color w:val="000000"/>
          <w:sz w:val="20"/>
        </w:rPr>
      </w:pPr>
      <w:r>
        <w:rPr>
          <w:rFonts w:ascii="Arial" w:hAnsi="Arial"/>
          <w:b/>
          <w:i/>
          <w:color w:val="000000"/>
          <w:sz w:val="20"/>
        </w:rPr>
        <w:t>Financing Activities</w:t>
      </w:r>
    </w:p>
    <w:p>
      <w:pPr>
        <w:pStyle w:val="TextBody"/>
        <w:bidi w:val="0"/>
        <w:spacing w:before="280" w:after="283"/>
        <w:jc w:val="both"/>
        <w:rPr>
          <w:rFonts w:ascii="Arial" w:hAnsi="Arial"/>
          <w:color w:val="000000"/>
          <w:sz w:val="20"/>
        </w:rPr>
      </w:pPr>
      <w:r>
        <w:rPr>
          <w:rFonts w:ascii="Arial" w:hAnsi="Arial"/>
          <w:color w:val="000000"/>
          <w:sz w:val="20"/>
        </w:rPr>
        <w:t>During the three months ended March 31, 2024, there was no cash provided by or used in financing activities.</w:t>
      </w:r>
    </w:p>
    <w:p>
      <w:pPr>
        <w:pStyle w:val="TextBody"/>
        <w:bidi w:val="0"/>
        <w:spacing w:before="280" w:after="283"/>
        <w:jc w:val="both"/>
        <w:rPr>
          <w:rFonts w:ascii="Arial" w:hAnsi="Arial"/>
          <w:color w:val="000000"/>
          <w:sz w:val="20"/>
        </w:rPr>
      </w:pPr>
      <w:r>
        <w:rPr>
          <w:rFonts w:ascii="Arial" w:hAnsi="Arial"/>
          <w:color w:val="000000"/>
          <w:sz w:val="20"/>
        </w:rPr>
        <w:t>During the three months ended March 31, 2023, net cash provided by financing activities was $0.1 million, consisting of proceeds received from exercises of stock options.</w:t>
      </w:r>
    </w:p>
    <w:p>
      <w:pPr>
        <w:pStyle w:val="TextBody"/>
        <w:bidi w:val="0"/>
        <w:spacing w:before="280" w:after="283"/>
        <w:jc w:val="both"/>
        <w:rPr>
          <w:rFonts w:ascii="Arial" w:hAnsi="Arial"/>
          <w:b/>
          <w:color w:val="000000"/>
          <w:sz w:val="20"/>
        </w:rPr>
      </w:pPr>
      <w:r>
        <w:rPr>
          <w:rFonts w:ascii="Arial" w:hAnsi="Arial"/>
          <w:b/>
          <w:color w:val="000000"/>
          <w:sz w:val="20"/>
        </w:rPr>
        <w:t>Critical Accounting Policies, Significant Judgments and Use of Estimates</w:t>
      </w:r>
    </w:p>
    <w:p>
      <w:pPr>
        <w:pStyle w:val="TextBody"/>
        <w:bidi w:val="0"/>
        <w:spacing w:before="280" w:after="283"/>
        <w:jc w:val="both"/>
        <w:rPr>
          <w:rFonts w:ascii="Times New Roman" w:hAnsi="Times New Roman"/>
          <w:sz w:val="20"/>
        </w:rPr>
      </w:pPr>
      <w:r>
        <w:rPr>
          <w:rFonts w:ascii="Arial" w:hAnsi="Arial"/>
          <w:color w:val="000000"/>
          <w:sz w:val="20"/>
        </w:rPr>
        <w:t>Our financial statements have been prepared in accordance with U.S. generally accepted accounting principles,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Arial" w:hAnsi="Arial"/>
          <w:color w:val="000000"/>
          <w:sz w:val="20"/>
        </w:rPr>
        <w:t>Critical accounting policies and significant judgments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During the three months ended March 31, 2024, there were no material changes to our critical accounting policies. Our critical accounting policies are described under the heading “Management’s Discussion and Analysis of Financial Condition and Results of Operations—Critical Accounting Policies, Significant Judgments and Use of Estimates” in our Annual Report on Form 10-K filed with the SEC on February 22, 2024 and Note 2 to our unaudited condensed consolidated financial statements included in “Part I, Item 1—Financial Statements (Unaudited)” of this report. We believe that of our critical accounting policies, the following accounting policies involve the most judgment and complexity: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research and development costs;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stock-based compensation;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income taxes.</w:t>
      </w:r>
    </w:p>
    <w:p>
      <w:pPr>
        <w:pStyle w:val="TextBody"/>
        <w:bidi w:val="0"/>
        <w:spacing w:before="280" w:after="283"/>
        <w:jc w:val="both"/>
        <w:rPr>
          <w:rFonts w:ascii="Arial" w:hAnsi="Arial"/>
          <w:b/>
          <w:color w:val="000000"/>
          <w:sz w:val="20"/>
        </w:rPr>
      </w:pPr>
      <w:r>
        <w:rPr>
          <w:rFonts w:ascii="Arial" w:hAnsi="Arial"/>
          <w:b/>
          <w:color w:val="000000"/>
          <w:sz w:val="20"/>
        </w:rPr>
        <w:t>Recent Accounting Pronouncements</w:t>
      </w:r>
    </w:p>
    <w:p>
      <w:pPr>
        <w:pStyle w:val="TextBody"/>
        <w:bidi w:val="0"/>
        <w:spacing w:before="280" w:after="283"/>
        <w:jc w:val="both"/>
        <w:rPr>
          <w:rFonts w:ascii="Arial" w:hAnsi="Arial"/>
          <w:color w:val="000000"/>
          <w:sz w:val="20"/>
        </w:rPr>
      </w:pPr>
      <w:r>
        <w:rPr>
          <w:rFonts w:ascii="Arial" w:hAnsi="Arial"/>
          <w:color w:val="000000"/>
          <w:sz w:val="20"/>
        </w:rPr>
        <w:t>See Note 2 to our unaudited condensed consolidated financial statements included in "Part I, Item 1—Financial Statements (Unaudited)” of this report for additional information.</w:t>
      </w:r>
    </w:p>
    <w:p>
      <w:pPr>
        <w:pStyle w:val="TextBody"/>
        <w:bidi w:val="0"/>
        <w:spacing w:before="280" w:after="283"/>
        <w:jc w:val="both"/>
        <w:rPr>
          <w:rFonts w:ascii="Arial" w:hAnsi="Arial"/>
          <w:b/>
          <w:color w:val="000000"/>
          <w:sz w:val="20"/>
        </w:rPr>
      </w:pPr>
      <w:r>
        <w:rPr>
          <w:rFonts w:ascii="Arial" w:hAnsi="Arial"/>
          <w:b/>
          <w:color w:val="000000"/>
          <w:sz w:val="20"/>
        </w:rPr>
        <w:t>Emerging Growth Company Status</w:t>
      </w:r>
    </w:p>
    <w:p>
      <w:pPr>
        <w:pStyle w:val="TextBody"/>
        <w:bidi w:val="0"/>
        <w:spacing w:before="280" w:after="283"/>
        <w:jc w:val="both"/>
        <w:rPr>
          <w:rFonts w:ascii="Times New Roman" w:hAnsi="Times New Roman"/>
          <w:sz w:val="20"/>
        </w:rPr>
      </w:pPr>
      <w:r>
        <w:rPr>
          <w:rFonts w:ascii="Arial" w:hAnsi="Arial"/>
          <w:color w:val="000000"/>
          <w:sz w:val="20"/>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(1) are no longer an emerging growth company and (2) affirmatively and irrevocably opt out of the extended transition period provided in the JOBS Act. As a result, our financial statements may not be comparable to companies that comply with the new or revised accounting pronouncements as of public company effective dates.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Arial" w:hAnsi="Arial"/>
          <w:color w:val="000000"/>
          <w:sz w:val="20"/>
        </w:rPr>
        <w:t>We will remain an emerging growth company until the earliest to occur of: (1) the last day of the fiscal year in which we have at least $1.235 billion in annual revenue; (2)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(3) the date on which we have issued more than $1.0 billion in non-convertible debt securities during the prior three-year period; and (4) the last day of the fiscal year in which the fifth anniversary of our initial public offering occurred.</w:t>
      </w:r>
      <w:r>
        <w:rPr>
          <w:rFonts w:ascii="Times New Roman" w:hAnsi="Times New Roman"/>
          <w:color w:val="000000"/>
          <w:sz w:val="20"/>
        </w:rPr>
        <w:t xml:space="preserve"> </w:t>
      </w:r>
    </w:p>
    <w:p>
      <w:pPr>
        <w:pStyle w:val="TextBody"/>
        <w:bidi w:val="0"/>
        <w:spacing w:before="280" w:after="283"/>
        <w:jc w:val="both"/>
        <w:rPr>
          <w:rFonts w:ascii="Arial" w:hAnsi="Arial"/>
          <w:b/>
          <w:color w:val="000000"/>
          <w:sz w:val="20"/>
        </w:rPr>
      </w:pPr>
      <w:bookmarkStart w:id="11" w:name="item_3_quantitative_qualitative_disclos"/>
      <w:bookmarkEnd w:id="11"/>
      <w:r>
        <w:rPr>
          <w:rFonts w:ascii="Arial" w:hAnsi="Arial"/>
          <w:b/>
          <w:color w:val="000000"/>
          <w:sz w:val="20"/>
        </w:rPr>
        <w:t>Item 3. Quantitative and Qualitative Disclosures About Market Risk.</w:t>
      </w:r>
    </w:p>
    <w:p>
      <w:pPr>
        <w:pStyle w:val="TextBody"/>
        <w:bidi w:val="0"/>
        <w:spacing w:before="280" w:after="283"/>
        <w:jc w:val="both"/>
        <w:rPr>
          <w:rFonts w:ascii="Arial" w:hAnsi="Arial"/>
          <w:color w:val="000000"/>
          <w:sz w:val="20"/>
        </w:rPr>
      </w:pPr>
      <w:r>
        <w:rPr>
          <w:rFonts w:ascii="Arial" w:hAnsi="Arial"/>
          <w:color w:val="000000"/>
          <w:sz w:val="20"/>
        </w:rPr>
        <w:t>As a smaller reporting company, we are not required to provide the information requested by this item pursuant to Item 305 of Regulation S-K.</w:t>
      </w:r>
    </w:p>
    <w:p>
      <w:pPr>
        <w:pStyle w:val="TextBody"/>
        <w:bidi w:val="0"/>
        <w:spacing w:before="280" w:after="283"/>
        <w:jc w:val="both"/>
        <w:rPr>
          <w:rFonts w:ascii="Arial" w:hAnsi="Arial"/>
          <w:b/>
          <w:color w:val="000000"/>
          <w:sz w:val="20"/>
        </w:rPr>
      </w:pPr>
      <w:bookmarkStart w:id="12" w:name="item_4_controls_procedures"/>
      <w:bookmarkEnd w:id="12"/>
      <w:r>
        <w:rPr>
          <w:rFonts w:ascii="Arial" w:hAnsi="Arial"/>
          <w:b/>
          <w:color w:val="000000"/>
          <w:sz w:val="20"/>
        </w:rPr>
        <w:t>Item 4. Controls and Procedures.</w:t>
      </w:r>
    </w:p>
    <w:p>
      <w:pPr>
        <w:pStyle w:val="TextBody"/>
        <w:bidi w:val="0"/>
        <w:spacing w:before="280" w:after="283"/>
        <w:jc w:val="both"/>
        <w:rPr>
          <w:rFonts w:ascii="Arial" w:hAnsi="Arial"/>
          <w:b/>
          <w:i/>
          <w:color w:val="000000"/>
          <w:sz w:val="20"/>
        </w:rPr>
      </w:pPr>
      <w:r>
        <w:rPr>
          <w:rFonts w:ascii="Arial" w:hAnsi="Arial"/>
          <w:b/>
          <w:i/>
          <w:color w:val="000000"/>
          <w:sz w:val="20"/>
        </w:rPr>
        <w:t>Evaluation of Disclosure Controls and Procedures</w:t>
      </w:r>
    </w:p>
    <w:p>
      <w:pPr>
        <w:pStyle w:val="TextBody"/>
        <w:bidi w:val="0"/>
        <w:spacing w:before="280" w:after="283"/>
        <w:jc w:val="both"/>
        <w:rPr>
          <w:rFonts w:ascii="Arial" w:hAnsi="Arial"/>
          <w:color w:val="000000"/>
          <w:sz w:val="20"/>
        </w:rPr>
      </w:pPr>
      <w:r>
        <w:rPr>
          <w:rFonts w:ascii="Arial" w:hAnsi="Arial"/>
          <w:color w:val="000000"/>
          <w:sz w:val="20"/>
        </w:rPr>
        <w:t>We maintain “disclosure controls and procedures,” as defined in Rules 13a-15(e) and 15d-15(e) under the Exchange Act,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pStyle w:val="TextBody"/>
        <w:bidi w:val="0"/>
        <w:spacing w:before="280" w:after="283"/>
        <w:jc w:val="both"/>
        <w:rPr>
          <w:rFonts w:ascii="Arial" w:hAnsi="Arial"/>
          <w:color w:val="000000"/>
          <w:sz w:val="20"/>
        </w:rPr>
      </w:pPr>
      <w:r>
        <w:rPr>
          <w:rFonts w:ascii="Arial" w:hAnsi="Arial"/>
          <w:color w:val="000000"/>
          <w:sz w:val="20"/>
        </w:rPr>
        <w:t>Our management, with the participation of our principal executive officer and principal financial and accounting officer, evaluated the effectiveness of our disclosure controls and procedures at the end of the period covered by this Quarterly Report on Form 10-Q. Based upon such evaluation, our principal executive officer and principal financial and accounting officer have concluded that our disclosure controls and procedures were effective at the reasonable assurance level as of such date.</w:t>
      </w:r>
    </w:p>
    <w:p>
      <w:pPr>
        <w:pStyle w:val="TextBody"/>
        <w:bidi w:val="0"/>
        <w:spacing w:before="280" w:after="283"/>
        <w:jc w:val="both"/>
        <w:rPr>
          <w:rFonts w:ascii="Arial" w:hAnsi="Arial"/>
          <w:b/>
          <w:i/>
          <w:color w:val="000000"/>
          <w:sz w:val="20"/>
        </w:rPr>
      </w:pPr>
      <w:r>
        <w:rPr>
          <w:rFonts w:ascii="Arial" w:hAnsi="Arial"/>
          <w:b/>
          <w:i/>
          <w:color w:val="000000"/>
          <w:sz w:val="20"/>
        </w:rPr>
        <w:t>Changes in Internal Control Over Financial Reporting</w:t>
      </w:r>
    </w:p>
    <w:p>
      <w:pPr>
        <w:pStyle w:val="TextBody"/>
        <w:bidi w:val="0"/>
        <w:spacing w:before="280" w:after="283"/>
        <w:jc w:val="both"/>
        <w:rPr>
          <w:rFonts w:ascii="Arial" w:hAnsi="Arial"/>
          <w:color w:val="000000"/>
          <w:sz w:val="20"/>
        </w:rPr>
      </w:pPr>
      <w:r>
        <w:rPr>
          <w:rFonts w:ascii="Arial" w:hAnsi="Arial"/>
          <w:color w:val="000000"/>
          <w:sz w:val="20"/>
        </w:rPr>
        <w:t>There have been no changes in our internal control over financial reporting (as defined in Rules 13a-15(f) and 15d-15(f) under the Exchange Act) during the quarter ended March 31, 2024, that have materially affected, or are reasonably likely to materially affect, our internal control over financial reporting.</w:t>
      </w:r>
    </w:p>
    <w:p>
      <w:pPr>
        <w:pStyle w:val="TextBody"/>
        <w:bidi w:val="0"/>
        <w:spacing w:before="240" w:after="283"/>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3" w:name="part_iior_information"/>
      <w:bookmarkEnd w:id="13"/>
      <w:r>
        <w:rPr>
          <w:rFonts w:ascii="Arial" w:hAnsi="Arial"/>
          <w:b/>
          <w:color w:val="000000"/>
          <w:sz w:val="20"/>
        </w:rPr>
        <w:t>PART II—OTHER</w:t>
      </w:r>
      <w:r>
        <w:rPr>
          <w:rFonts w:ascii="Times New Roman" w:hAnsi="Times New Roman"/>
          <w:color w:val="000000"/>
          <w:sz w:val="20"/>
        </w:rPr>
        <w:t xml:space="preserve"> </w:t>
      </w:r>
      <w:r>
        <w:rPr>
          <w:rFonts w:ascii="Arial" w:hAnsi="Arial"/>
          <w:b/>
          <w:color w:val="000000"/>
          <w:sz w:val="20"/>
        </w:rPr>
        <w:t>INFORMATION</w:t>
      </w:r>
    </w:p>
    <w:p>
      <w:pPr>
        <w:pStyle w:val="TextBody"/>
        <w:bidi w:val="0"/>
        <w:spacing w:before="240" w:after="283"/>
        <w:jc w:val="both"/>
        <w:rPr>
          <w:rFonts w:ascii="Arial" w:hAnsi="Arial"/>
          <w:b/>
          <w:color w:val="000000"/>
          <w:sz w:val="20"/>
        </w:rPr>
      </w:pPr>
      <w:bookmarkStart w:id="14" w:name="item_1_legal_proceedings"/>
      <w:bookmarkEnd w:id="14"/>
      <w:r>
        <w:rPr>
          <w:rFonts w:ascii="Arial" w:hAnsi="Arial"/>
          <w:b/>
          <w:color w:val="000000"/>
          <w:sz w:val="20"/>
        </w:rPr>
        <w:t>Item 1. Legal Proceedings.</w:t>
      </w:r>
    </w:p>
    <w:p>
      <w:pPr>
        <w:pStyle w:val="TextBody"/>
        <w:bidi w:val="0"/>
        <w:spacing w:before="280" w:after="283"/>
        <w:jc w:val="both"/>
        <w:rPr>
          <w:rFonts w:ascii="Arial" w:hAnsi="Arial"/>
          <w:color w:val="000000"/>
          <w:sz w:val="20"/>
        </w:rPr>
      </w:pPr>
      <w:r>
        <w:rPr>
          <w:rFonts w:ascii="Arial" w:hAnsi="Arial"/>
          <w:color w:val="000000"/>
          <w:sz w:val="20"/>
        </w:rPr>
        <w:t>From time to time, we are subject to various legal proceedings or claims that arise in the ordinary course of business. The following is a brief description of the more significant legal proceedings in which we are involved.</w:t>
      </w:r>
    </w:p>
    <w:p>
      <w:pPr>
        <w:pStyle w:val="TextBody"/>
        <w:bidi w:val="0"/>
        <w:spacing w:before="280" w:after="283"/>
        <w:jc w:val="left"/>
        <w:rPr>
          <w:rFonts w:ascii="Times New Roman" w:hAnsi="Times New Roman"/>
          <w:sz w:val="20"/>
        </w:rPr>
      </w:pPr>
      <w:r>
        <w:rPr>
          <w:rFonts w:ascii="Arial" w:hAnsi="Arial"/>
          <w:b/>
          <w:color w:val="000000"/>
          <w:sz w:val="20"/>
        </w:rPr>
        <w:t>Securities Class Actions</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Arial" w:hAnsi="Arial"/>
          <w:color w:val="000000"/>
          <w:sz w:val="20"/>
        </w:rPr>
        <w:t xml:space="preserve">On June 25, 2021, plaintiffs Fan Wang and Hang Gao filed a putative securities class action lawsuit in the U.S. District Court for the Western District of Washington against us and our former chief executive officer, Dr. Leen Kawas, captioned </w:t>
      </w:r>
      <w:r>
        <w:rPr>
          <w:rFonts w:ascii="Arial" w:hAnsi="Arial"/>
          <w:i/>
          <w:color w:val="000000"/>
          <w:sz w:val="20"/>
        </w:rPr>
        <w:t>Wang v. Athira Pharma, Inc., et al.</w:t>
      </w:r>
      <w:r>
        <w:rPr>
          <w:rFonts w:ascii="Arial" w:hAnsi="Arial"/>
          <w:color w:val="000000"/>
          <w:sz w:val="20"/>
        </w:rPr>
        <w:t xml:space="preserve">, No. 2:21-cv-00861. Plaintiffs Wang and Gao assert claims under Sections 10(b) and 20(a) of the Exchange Act, and SEC Rule 10b-5, alleging that the defendants made materially false and misleading statements and omitted material adverse facts regarding our business. Specifically, the </w:t>
      </w:r>
      <w:r>
        <w:rPr>
          <w:rFonts w:ascii="Arial" w:hAnsi="Arial"/>
          <w:i/>
          <w:color w:val="000000"/>
          <w:sz w:val="20"/>
        </w:rPr>
        <w:t xml:space="preserve">Wang </w:t>
      </w:r>
      <w:r>
        <w:rPr>
          <w:rFonts w:ascii="Arial" w:hAnsi="Arial"/>
          <w:color w:val="000000"/>
          <w:sz w:val="20"/>
        </w:rPr>
        <w:t xml:space="preserve">plaintiffs allege that we failed to disclose to investors that certain research conducted by Dr. Kawas was allegedly tainted by scientific misconduct during her doctoral work at WSU including the manipulation of data, and that as a result, the defendants’ positive statements about our business, operations, and prospects were materially misleading. The </w:t>
      </w:r>
      <w:r>
        <w:rPr>
          <w:rFonts w:ascii="Arial" w:hAnsi="Arial"/>
          <w:i/>
          <w:color w:val="000000"/>
          <w:sz w:val="20"/>
        </w:rPr>
        <w:t xml:space="preserve">Wang </w:t>
      </w:r>
      <w:r>
        <w:rPr>
          <w:rFonts w:ascii="Arial" w:hAnsi="Arial"/>
          <w:color w:val="000000"/>
          <w:sz w:val="20"/>
        </w:rPr>
        <w:t>plaintiffs seek unspecified compensatory and punitive damages, and reasonable costs and expenses, including attorneys’ fees.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 xml:space="preserve">That same day, on June 25, 2021, plaintiff Harshdeep Jawandha filed a putative securities class action lawsuit in the U.S. District Court for the Western District of Washington against us, Dr. Kawas, our then chief financial officer, certain members of our board of directors at the time of our IPO, as well as the IPO underwriters, captioned </w:t>
      </w:r>
      <w:r>
        <w:rPr>
          <w:rFonts w:ascii="Arial" w:hAnsi="Arial"/>
          <w:i/>
          <w:color w:val="000000"/>
          <w:sz w:val="20"/>
        </w:rPr>
        <w:t>Jawandha v. Athira Pharma, Inc., et al.</w:t>
      </w:r>
      <w:r>
        <w:rPr>
          <w:rFonts w:ascii="Arial" w:hAnsi="Arial"/>
          <w:color w:val="000000"/>
          <w:sz w:val="20"/>
        </w:rPr>
        <w:t xml:space="preserve">, No. 2:21-cv-00862. The </w:t>
      </w:r>
      <w:r>
        <w:rPr>
          <w:rFonts w:ascii="Arial" w:hAnsi="Arial"/>
          <w:i/>
          <w:color w:val="000000"/>
          <w:sz w:val="20"/>
        </w:rPr>
        <w:t>Jawandha</w:t>
      </w:r>
      <w:r>
        <w:rPr>
          <w:rFonts w:ascii="Times New Roman" w:hAnsi="Times New Roman"/>
          <w:color w:val="000000"/>
          <w:sz w:val="20"/>
        </w:rPr>
        <w:t xml:space="preserve"> </w:t>
      </w:r>
      <w:r>
        <w:rPr>
          <w:rFonts w:ascii="Arial" w:hAnsi="Arial"/>
          <w:color w:val="000000"/>
          <w:sz w:val="20"/>
        </w:rPr>
        <w:t xml:space="preserve">complaint asserts violations of Sections 11 and 15 of the Securities Act, alleging that that our IPO registration statement was materially false and misleading because it omitted to state that certain of Dr. Kawas’s published doctoral research papers at WSU contained allegedly improperly altered images, that the research was allegedly foundational to Athira’s efforts to develop treatments for Alzheimer’s, that, as a result, and that the defendants’ positive statements about our business, operations, and prospects were materially misleading. The </w:t>
      </w:r>
      <w:r>
        <w:rPr>
          <w:rFonts w:ascii="Arial" w:hAnsi="Arial"/>
          <w:i/>
          <w:color w:val="000000"/>
          <w:sz w:val="20"/>
        </w:rPr>
        <w:t xml:space="preserve">Jawandha </w:t>
      </w:r>
      <w:r>
        <w:rPr>
          <w:rFonts w:ascii="Arial" w:hAnsi="Arial"/>
          <w:color w:val="000000"/>
          <w:sz w:val="20"/>
        </w:rPr>
        <w:t>plaintiff seeks unspecified compensatory damages, and reasonable costs and expenses, including attorneys’ fees.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 xml:space="preserve">Also on June 25, 2021, plaintiffs Timothy Slyne and Tai Slyne filed a putative securities class action lawsuit in the U.S. District Court for the Western District of Washington against us, Dr. Kawas, our then chief financial officer, and the same members of our board of directors and underwriters as in the </w:t>
      </w:r>
      <w:r>
        <w:rPr>
          <w:rFonts w:ascii="Arial" w:hAnsi="Arial"/>
          <w:i/>
          <w:color w:val="000000"/>
          <w:sz w:val="20"/>
        </w:rPr>
        <w:t>Jawandha</w:t>
      </w:r>
      <w:r>
        <w:rPr>
          <w:rFonts w:ascii="Times New Roman" w:hAnsi="Times New Roman"/>
          <w:color w:val="000000"/>
          <w:sz w:val="20"/>
        </w:rPr>
        <w:t xml:space="preserve"> </w:t>
      </w:r>
      <w:r>
        <w:rPr>
          <w:rFonts w:ascii="Arial" w:hAnsi="Arial"/>
          <w:color w:val="000000"/>
          <w:sz w:val="20"/>
        </w:rPr>
        <w:t xml:space="preserve">complaint, captioned </w:t>
      </w:r>
      <w:r>
        <w:rPr>
          <w:rFonts w:ascii="Arial" w:hAnsi="Arial"/>
          <w:i/>
          <w:color w:val="000000"/>
          <w:sz w:val="20"/>
        </w:rPr>
        <w:t>Slyne v. Athira Pharma, Inc. et al.</w:t>
      </w:r>
      <w:r>
        <w:rPr>
          <w:rFonts w:ascii="Arial" w:hAnsi="Arial"/>
          <w:color w:val="000000"/>
          <w:sz w:val="20"/>
        </w:rPr>
        <w:t xml:space="preserve">, No. 2:21-cv-00864. The </w:t>
      </w:r>
      <w:r>
        <w:rPr>
          <w:rFonts w:ascii="Arial" w:hAnsi="Arial"/>
          <w:i/>
          <w:color w:val="000000"/>
          <w:sz w:val="20"/>
        </w:rPr>
        <w:t xml:space="preserve">Slyne </w:t>
      </w:r>
      <w:r>
        <w:rPr>
          <w:rFonts w:ascii="Arial" w:hAnsi="Arial"/>
          <w:color w:val="000000"/>
          <w:sz w:val="20"/>
        </w:rPr>
        <w:t xml:space="preserve">complaint asserts violations of Sections 11 and 15 of the Securities Act, alleging that purported issues with Dr. Kawas’s doctoral research at WSU should have been disclosed in our IPO registration statement. The </w:t>
      </w:r>
      <w:r>
        <w:rPr>
          <w:rFonts w:ascii="Arial" w:hAnsi="Arial"/>
          <w:i/>
          <w:color w:val="000000"/>
          <w:sz w:val="20"/>
        </w:rPr>
        <w:t>Slyne</w:t>
      </w:r>
      <w:r>
        <w:rPr>
          <w:rFonts w:ascii="Times New Roman" w:hAnsi="Times New Roman"/>
          <w:color w:val="000000"/>
          <w:sz w:val="20"/>
        </w:rPr>
        <w:t xml:space="preserve"> </w:t>
      </w:r>
      <w:r>
        <w:rPr>
          <w:rFonts w:ascii="Arial" w:hAnsi="Arial"/>
          <w:color w:val="000000"/>
          <w:sz w:val="20"/>
        </w:rPr>
        <w:t>plaintiffs</w:t>
      </w:r>
      <w:r>
        <w:rPr>
          <w:rFonts w:ascii="Times New Roman" w:hAnsi="Times New Roman"/>
          <w:color w:val="000000"/>
          <w:sz w:val="20"/>
        </w:rPr>
        <w:t xml:space="preserve"> </w:t>
      </w:r>
      <w:r>
        <w:rPr>
          <w:rFonts w:ascii="Arial" w:hAnsi="Arial"/>
          <w:color w:val="000000"/>
          <w:sz w:val="20"/>
        </w:rPr>
        <w:t>seek unspecified compensatory damages, reasonable costs and expenses, including attorneys’ fees, and injunctive and other equitable relief.</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On August 9, 2021, the court issued an order consolidating the three cases. On October 5, 2021, the district court issued an order appointing lead plaintiffs and approved their selection of lead and liaison counsel.</w:t>
      </w:r>
    </w:p>
    <w:p>
      <w:pPr>
        <w:pStyle w:val="TextBody"/>
        <w:bidi w:val="0"/>
        <w:spacing w:before="280" w:after="283"/>
        <w:jc w:val="both"/>
        <w:rPr>
          <w:rFonts w:ascii="Times New Roman" w:hAnsi="Times New Roman"/>
          <w:sz w:val="20"/>
        </w:rPr>
      </w:pPr>
      <w:r>
        <w:rPr>
          <w:rFonts w:ascii="Arial" w:hAnsi="Arial"/>
          <w:color w:val="000000"/>
          <w:sz w:val="20"/>
        </w:rPr>
        <w:t>On January 7, 2022, lead plaintiffs filed a consolidated amended complaint, which asserts violations of Sections 10(b) and 20(a) of the Exchange Act and SEC Rule 10b-5 and Sections 11, 12, and 15 of the Securities Act. The consolidated amended complaint is brought against us, Dr. Kawas, our then chief financial officer, certain members of our board of directors at the time of our IPO and secondary public offering, or SPO, and the IPO and SPO underwriters. As with the previous complaints, it is based on allegations that the IPO and SPO registration statements and/or other public statements were materially false and misleading because they omitted to state that certain of Dr. Kawas’s published doctoral research papers at WSU contained allegedly improperly altered images. Lead plaintiffs seek unspecified compensatory damages, as well as equitable and injunctive relief on behalf of themselves and the purported class. On March 8, 2022, the defendants filed a motion to dismiss lead plaintiffs’ consolidated amended complaint for failure to state a claim under the federal securities laws.</w:t>
      </w:r>
      <w:r>
        <w:rPr>
          <w:rFonts w:ascii="Times New Roman" w:hAnsi="Times New Roman"/>
          <w:color w:val="000000"/>
          <w:sz w:val="20"/>
        </w:rPr>
        <w:t xml:space="preserve"> </w:t>
      </w:r>
      <w:r>
        <w:rPr>
          <w:rFonts w:ascii="Arial" w:hAnsi="Arial"/>
          <w:color w:val="000000"/>
          <w:sz w:val="20"/>
        </w:rPr>
        <w:t>On July 29, 2022, the court issued an order granting in part and denying in part the motion to dismiss. The order dismissed the Section 10(b) and Section 20(a) claims arising under the Exchange Act, dismissed the Section 11 claim arising under the Securities Act as to all defendants other than the Company and Dr. Kawas, dismissed the Section 12(a)(2) claim arising under the Securities Act as to the lead plaintiffs, and dismissed the Section 15 claim arising under the Securities Act against all defendants other than Dr. Kawas. The order permitted lead plaintiffs until August 19, 2022 to file a second consolidated amended complaint. Lead plaintiffs did not file a second consolidated amended complaint.</w:t>
      </w:r>
    </w:p>
    <w:p>
      <w:pPr>
        <w:pStyle w:val="TextBody"/>
        <w:bidi w:val="0"/>
        <w:spacing w:before="280" w:after="283"/>
        <w:jc w:val="both"/>
        <w:rPr>
          <w:rFonts w:ascii="Times New Roman" w:hAnsi="Times New Roman"/>
          <w:sz w:val="20"/>
        </w:rPr>
      </w:pPr>
      <w:r>
        <w:rPr>
          <w:rFonts w:ascii="Arial" w:hAnsi="Arial"/>
          <w:color w:val="000000"/>
          <w:sz w:val="20"/>
        </w:rPr>
        <w:t>On August 12, 2022, defendant Dr. Kawas filed a motion for partial reconsideration of the court’s July 29, 2022 order. On October 4, 2022, the court denied the motion. On October 24, 2022, the parties filed a (1) joint status report and discovery plan and (2) stipulation and case scheduling order, wherein the parties proposed deadlines for material case events, including the completion of fact discovery, expert discovery, and dispositive motion practice. On November 2, 2022, the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Arial" w:hAnsi="Arial"/>
          <w:color w:val="000000"/>
          <w:sz w:val="20"/>
        </w:rPr>
        <w:t>court entered an order setting certain case deadlines. On November 4, 2022, we and Dr. Kawas filed our individual answers to the consolidated amended complaint. In mid-November 2022, the parties began conducting fact discovery.</w:t>
      </w:r>
      <w:r>
        <w:rPr>
          <w:rFonts w:ascii="Times New Roman" w:hAnsi="Times New Roman"/>
          <w:color w:val="000000"/>
          <w:sz w:val="20"/>
        </w:rPr>
        <w:t xml:space="preserve"> </w:t>
      </w:r>
    </w:p>
    <w:p>
      <w:pPr>
        <w:pStyle w:val="TextBody"/>
        <w:bidi w:val="0"/>
        <w:spacing w:before="280" w:after="283"/>
        <w:jc w:val="both"/>
        <w:rPr>
          <w:rFonts w:ascii="Arial" w:hAnsi="Arial"/>
          <w:color w:val="000000"/>
          <w:sz w:val="20"/>
        </w:rPr>
      </w:pPr>
      <w:r>
        <w:rPr>
          <w:rFonts w:ascii="Arial" w:hAnsi="Arial"/>
          <w:color w:val="000000"/>
          <w:sz w:val="20"/>
        </w:rPr>
        <w:t>On March 10, 2023, following a mediation and the parties’ agreement in principle to settle the securities class action for $10.0 million, the court entered a stipulated order setting a deadline of April 28, 2023 for the parties to file a stipulation of settlement and for lead plaintiffs to file a motion for preliminary approval of the settlement, which the parties filed on that date. The settlement is subject to preliminary and final approval by the U.S. District Court for the Western District of Washington. On May 31, 2023, the court issued a minute order requiring the parties to file a joint status report on or before June 30, 2023 addressing several aspects of the proposed settlement, including revision of certain notices to putative class members regarding the settlement, which the parties filed on that date. On September 27, 2023, the court issued an order denying plaintiffs’ motion for preliminary approval without prejudice, citing the motion’s failure to satisfy the court’s questions and concerns regarding traceability of certain Securities Act claims. The court permitted plaintiffs to file a renewed motion for preliminary approval, which plaintiffs filed on December 15, 2023.</w:t>
      </w:r>
    </w:p>
    <w:p>
      <w:pPr>
        <w:pStyle w:val="TextBody"/>
        <w:bidi w:val="0"/>
        <w:spacing w:before="280" w:after="283"/>
        <w:jc w:val="both"/>
        <w:rPr>
          <w:rFonts w:ascii="Arial" w:hAnsi="Arial"/>
          <w:color w:val="000000"/>
          <w:sz w:val="20"/>
        </w:rPr>
      </w:pPr>
      <w:r>
        <w:rPr>
          <w:rFonts w:ascii="Arial" w:hAnsi="Arial"/>
          <w:color w:val="000000"/>
          <w:sz w:val="20"/>
        </w:rPr>
        <w:t>On February 15, 2024, the court issued an order granting in part and deferring in part plaintiffs’ renewed motion for preliminary approval and ordered the parties to submit a joint status report by March 15, 2024 proposing a date on which the court may schedule the final approval hearing, among other things. In its order, the court preliminarily approved the proposed settlement and certified a class and two subclasses. The court deferred ruling in part as to the proposed notices and claim form relating to the settlement. On March 29, 2024, the court issued a minute order (i) granting the portion of plaintiffs’ renewed motion for preliminary approval that the court had previously deferred ruling on, (ii) setting a final approval hearing for October 25, 2024, and (iii) ordering plaintiffs’ motion for final approval of the proposed settlement to be filed on or before September 26, 2024.</w:t>
      </w:r>
    </w:p>
    <w:p>
      <w:pPr>
        <w:pStyle w:val="TextBody"/>
        <w:bidi w:val="0"/>
        <w:spacing w:before="280" w:after="283"/>
        <w:jc w:val="both"/>
        <w:rPr>
          <w:rFonts w:ascii="Arial" w:hAnsi="Arial"/>
          <w:color w:val="000000"/>
          <w:sz w:val="20"/>
        </w:rPr>
      </w:pPr>
      <w:r>
        <w:rPr>
          <w:rFonts w:ascii="Arial" w:hAnsi="Arial"/>
          <w:color w:val="000000"/>
          <w:sz w:val="20"/>
        </w:rPr>
        <w:t>As a result of the foregoing, we recorded a legal settlement expense of $10.0 million in operating expenses in the fourth quarter of 2022 and an accrued liability of $10.0 million on the accompanying condensed consolidated balance sheets. Additionally, we recorded an insurance recovery of $1.6 million in operating expenses in the fourth quarter of 2023 and an insurance recovery receivable of $1.6 million on the accompanying condensed consolidated balance sheets. This insurance recovery represents the amount of the settlement to be covered by our insurers.</w:t>
      </w:r>
    </w:p>
    <w:p>
      <w:pPr>
        <w:pStyle w:val="TextBody"/>
        <w:bidi w:val="0"/>
        <w:spacing w:before="280" w:after="283"/>
        <w:jc w:val="both"/>
        <w:rPr>
          <w:rFonts w:ascii="Arial" w:hAnsi="Arial"/>
          <w:b/>
          <w:color w:val="000000"/>
          <w:sz w:val="20"/>
        </w:rPr>
      </w:pPr>
      <w:r>
        <w:rPr>
          <w:rFonts w:ascii="Arial" w:hAnsi="Arial"/>
          <w:b/>
          <w:color w:val="000000"/>
          <w:sz w:val="20"/>
        </w:rPr>
        <w:t>Shareholder Derivative Actions</w:t>
      </w:r>
    </w:p>
    <w:p>
      <w:pPr>
        <w:pStyle w:val="TextBody"/>
        <w:bidi w:val="0"/>
        <w:spacing w:before="280" w:after="283"/>
        <w:jc w:val="both"/>
        <w:rPr>
          <w:rFonts w:ascii="Times New Roman" w:hAnsi="Times New Roman"/>
          <w:sz w:val="20"/>
        </w:rPr>
      </w:pPr>
      <w:r>
        <w:rPr>
          <w:rFonts w:ascii="Arial" w:hAnsi="Arial"/>
          <w:color w:val="000000"/>
          <w:sz w:val="20"/>
        </w:rPr>
        <w:t xml:space="preserve">On April 14, 2022, a shareholder derivative action was filed by plaintiff Stephen Bushansky in the U.S. District Court for the Western District of Washington against certain current and former members of our board of directors, captioned </w:t>
      </w:r>
      <w:r>
        <w:rPr>
          <w:rFonts w:ascii="Arial" w:hAnsi="Arial"/>
          <w:i/>
          <w:color w:val="000000"/>
          <w:sz w:val="20"/>
        </w:rPr>
        <w:t>Bushansky v. Kawas et al.</w:t>
      </w:r>
      <w:r>
        <w:rPr>
          <w:rFonts w:ascii="Arial" w:hAnsi="Arial"/>
          <w:color w:val="000000"/>
          <w:sz w:val="20"/>
        </w:rPr>
        <w:t>, No. 2:22-cv-497. Plaintiff purports to bring the action derivatively on our behalf, and we are a nominal defendant to the action. The derivative complaint alleges that our board of directors breached its fiduciary duties by failing to prevent alleged misstatements in our public filings, failing to discover altered images in certain research papers, and failing to take appropriate action. The derivative complaint asserts claims for violations of Section 14(a) of the Exchange Act as well as claims for breach of fiduciary duty, contribution and indemnification, aiding and abetting, and waste of corporate assets. The derivative complaint seeks unspecified damages, disgorgement of profits, benefits, and other compensation received by the individual defendants, restitution, declaratory relief, and an award of costs and expenses to the derivative plaintiff, including attorneys’ fees.</w:t>
      </w:r>
    </w:p>
    <w:p>
      <w:pPr>
        <w:pStyle w:val="TextBody"/>
        <w:bidi w:val="0"/>
        <w:spacing w:before="280" w:after="283"/>
        <w:jc w:val="both"/>
        <w:rPr>
          <w:rFonts w:ascii="Times New Roman" w:hAnsi="Times New Roman"/>
          <w:sz w:val="20"/>
        </w:rPr>
      </w:pPr>
      <w:r>
        <w:rPr>
          <w:rFonts w:ascii="Arial" w:hAnsi="Arial"/>
          <w:color w:val="000000"/>
          <w:sz w:val="20"/>
        </w:rPr>
        <w:t xml:space="preserve">On May 6, 2022, a second shareholder derivative action was filed by plaintiff Thomas Houlihan in the U.S. District Court for the Western District of Washington against certain of our current and former directors and officers, captioned </w:t>
      </w:r>
      <w:r>
        <w:rPr>
          <w:rFonts w:ascii="Arial" w:hAnsi="Arial"/>
          <w:i/>
          <w:color w:val="000000"/>
          <w:sz w:val="20"/>
        </w:rPr>
        <w:t>Houlihan v. Kawas et al</w:t>
      </w:r>
      <w:r>
        <w:rPr>
          <w:rFonts w:ascii="Arial" w:hAnsi="Arial"/>
          <w:color w:val="000000"/>
          <w:sz w:val="20"/>
        </w:rPr>
        <w:t>., No. 2:22-cv-620. Plaintiff purports to bring the action derivatively on our behalf, and we are a nominal defendant to the action. The derivative complaint alleges that certain of our current and former directors and officers breached their fiduciary duties by failing to prevent alleged misstatements in our public filings and failing to take appropriate action regarding altered images in certain research papers. The derivative complaint asserts claims for violations of Section 14(a) of the Exchange Act as well as claims for breach of fiduciary duties, contribution, and indemnification. The derivative complaint seeks unspecified damages, unspecified corporate governance reforms, restitution, and an award of costs and expenses to the derivative plaintiff, including attorneys’ fees.</w:t>
      </w:r>
    </w:p>
    <w:p>
      <w:pPr>
        <w:pStyle w:val="TextBody"/>
        <w:bidi w:val="0"/>
        <w:spacing w:before="280" w:after="283"/>
        <w:jc w:val="both"/>
        <w:rPr>
          <w:rFonts w:ascii="Arial" w:hAnsi="Arial"/>
          <w:color w:val="000000"/>
          <w:sz w:val="20"/>
        </w:rPr>
      </w:pPr>
      <w:r>
        <w:rPr>
          <w:rFonts w:ascii="Arial" w:hAnsi="Arial"/>
          <w:color w:val="000000"/>
          <w:sz w:val="20"/>
        </w:rPr>
        <w:t>On May 26, 2022, the court issued an order consolidating the cases and staying them until further order of the court. On March 18, 2024, following a mediation and the parties entering into a stipulation of settlement to settle the consolidated derivative action for certain corporate governance reforms and the payment of a fee and expense award to plaintiffs’ counsel, plaintiffs filed an unopposed motion for preliminary approval of a settlement of the derivative action. On May 3, 2024, the court entered an order preliminarily approving the settlement and scheduling a final approval hearing for July 18, 2024. We believe we have adequate reserves related to this matter as of the balance sheet date.</w:t>
      </w:r>
    </w:p>
    <w:p>
      <w:pPr>
        <w:pStyle w:val="TextBody"/>
        <w:bidi w:val="0"/>
        <w:spacing w:before="280" w:after="283"/>
        <w:jc w:val="both"/>
        <w:rPr>
          <w:rFonts w:ascii="Arial" w:hAnsi="Arial"/>
          <w:b/>
          <w:color w:val="000000"/>
          <w:sz w:val="20"/>
        </w:rPr>
      </w:pPr>
      <w:r>
        <w:rPr>
          <w:rFonts w:ascii="Arial" w:hAnsi="Arial"/>
          <w:b/>
          <w:color w:val="000000"/>
          <w:sz w:val="20"/>
        </w:rPr>
        <w:t>Government Investigations</w:t>
      </w:r>
    </w:p>
    <w:p>
      <w:pPr>
        <w:pStyle w:val="TextBody"/>
        <w:bidi w:val="0"/>
        <w:spacing w:before="240" w:after="283"/>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Arial" w:hAnsi="Arial"/>
          <w:color w:val="000000"/>
          <w:sz w:val="20"/>
        </w:rPr>
        <w:t>In November 2022, we received a Civil Investigative Demand from the Civil Division of the Department of Justice, or the Demand. The Demand seeks documents and information relating to our relationship with WSU, certain of our grant applications in 2016 and 2019 with the NIH and our receipt of a NIH grant in 2020. We are cooperating with the Department of Justice with respect to the Demand</w:t>
      </w:r>
      <w:r>
        <w:rPr>
          <w:rFonts w:ascii="Arial" w:hAnsi="Arial"/>
          <w:b/>
          <w:color w:val="000000"/>
          <w:sz w:val="20"/>
        </w:rPr>
        <w:t>.</w:t>
      </w:r>
    </w:p>
    <w:p>
      <w:pPr>
        <w:pStyle w:val="TextBody"/>
        <w:bidi w:val="0"/>
        <w:spacing w:before="280" w:after="283"/>
        <w:jc w:val="both"/>
        <w:rPr>
          <w:rFonts w:ascii="Arial" w:hAnsi="Arial"/>
          <w:color w:val="000000"/>
          <w:sz w:val="20"/>
        </w:rPr>
      </w:pPr>
      <w:r>
        <w:rPr>
          <w:rFonts w:ascii="Arial" w:hAnsi="Arial"/>
          <w:color w:val="000000"/>
          <w:sz w:val="20"/>
        </w:rPr>
        <w:t>In February 2023, the SEC sent us a subpoena seeking documents and information relating to, among other things, our former chief executive officer's alterations of images in certain research papers. We cooperated with the SEC with respect to the subpoena. On March 29, 2024, we received a letter from the SEC stating that it had concluded its investigation without any enforcement action against us.</w:t>
      </w:r>
    </w:p>
    <w:p>
      <w:pPr>
        <w:pStyle w:val="TextBody"/>
        <w:bidi w:val="0"/>
        <w:spacing w:before="280" w:after="283"/>
        <w:jc w:val="both"/>
        <w:rPr>
          <w:rFonts w:ascii="Arial" w:hAnsi="Arial"/>
          <w:color w:val="000000"/>
          <w:sz w:val="20"/>
        </w:rPr>
      </w:pPr>
      <w:r>
        <w:rPr>
          <w:rFonts w:ascii="Arial" w:hAnsi="Arial"/>
          <w:color w:val="000000"/>
          <w:sz w:val="20"/>
        </w:rPr>
        <w:t>We cannot predict the outcome of these lawsuits or government investigations. Failure by us to obtain a favorable resolution of these actions could have a material adverse effect on our business, results of operations and financial condition.</w:t>
      </w:r>
    </w:p>
    <w:p>
      <w:pPr>
        <w:pStyle w:val="TextBody"/>
        <w:bidi w:val="0"/>
        <w:spacing w:before="280" w:after="283"/>
        <w:jc w:val="both"/>
        <w:rPr>
          <w:rFonts w:ascii="Arial" w:hAnsi="Arial"/>
          <w:b/>
          <w:color w:val="000000"/>
          <w:sz w:val="20"/>
        </w:rPr>
      </w:pPr>
      <w:bookmarkStart w:id="15" w:name="item_1a_risk_factors"/>
      <w:bookmarkEnd w:id="15"/>
      <w:r>
        <w:rPr>
          <w:rFonts w:ascii="Arial" w:hAnsi="Arial"/>
          <w:b/>
          <w:color w:val="000000"/>
          <w:sz w:val="20"/>
        </w:rPr>
        <w:t>Item 1A. Risk Factors.</w:t>
      </w:r>
    </w:p>
    <w:p>
      <w:pPr>
        <w:pStyle w:val="TextBody"/>
        <w:bidi w:val="0"/>
        <w:spacing w:before="280" w:after="283"/>
        <w:jc w:val="both"/>
        <w:rPr>
          <w:rFonts w:ascii="Times New Roman" w:hAnsi="Times New Roman"/>
          <w:sz w:val="20"/>
        </w:rPr>
      </w:pPr>
      <w:r>
        <w:rPr>
          <w:rFonts w:ascii="Arial" w:hAnsi="Arial"/>
          <w:color w:val="231F20"/>
          <w:sz w:val="20"/>
        </w:rPr>
        <w:t xml:space="preserve">You should carefully consider the </w:t>
      </w:r>
      <w:r>
        <w:rPr>
          <w:rFonts w:ascii="Arial" w:hAnsi="Arial"/>
          <w:i/>
          <w:color w:val="231F20"/>
          <w:sz w:val="20"/>
        </w:rPr>
        <w:t xml:space="preserve">following risk factors, in addition to </w:t>
      </w:r>
      <w:r>
        <w:rPr>
          <w:rFonts w:ascii="Arial" w:hAnsi="Arial"/>
          <w:color w:val="231F20"/>
          <w:sz w:val="20"/>
        </w:rPr>
        <w:t xml:space="preserve">the other information </w:t>
      </w:r>
      <w:r>
        <w:rPr>
          <w:rFonts w:ascii="Arial" w:hAnsi="Arial"/>
          <w:i/>
          <w:color w:val="231F20"/>
          <w:sz w:val="20"/>
        </w:rPr>
        <w:t>contained in this report</w:t>
      </w:r>
      <w:r>
        <w:rPr>
          <w:rFonts w:ascii="Arial" w:hAnsi="Arial"/>
          <w:color w:val="231F20"/>
          <w:sz w:val="20"/>
        </w:rPr>
        <w:t xml:space="preserve">, </w:t>
      </w:r>
      <w:r>
        <w:rPr>
          <w:rFonts w:ascii="Arial" w:hAnsi="Arial"/>
          <w:i/>
          <w:color w:val="231F20"/>
          <w:sz w:val="20"/>
        </w:rPr>
        <w:t>including the “Management’s Discussion and Analysis of Financial Condition and Results of Operations”</w:t>
      </w:r>
      <w:r>
        <w:rPr>
          <w:rFonts w:ascii="Times New Roman" w:hAnsi="Times New Roman"/>
          <w:color w:val="231F20"/>
          <w:sz w:val="20"/>
        </w:rPr>
        <w:t xml:space="preserve"> </w:t>
      </w:r>
      <w:r>
        <w:rPr>
          <w:rFonts w:ascii="Arial" w:hAnsi="Arial"/>
          <w:i/>
          <w:color w:val="231F20"/>
          <w:sz w:val="20"/>
        </w:rPr>
        <w:t xml:space="preserve">section and our unaudited condensed consolidated financial statements and related notes. If any of the events described in the following risk factors and the risks described elsewhere in this report occurs, our business, operating results and financial condition could be seriously harmed. This report also contains forward-looking statements that involve risks and uncertainties. Our actual results could differ materially from those anticipated in the forward-looking statements as a result of factors that are described below and elsewhere in this report. </w:t>
      </w:r>
      <w:r>
        <w:rPr>
          <w:rFonts w:ascii="Arial" w:hAnsi="Arial"/>
          <w:i/>
          <w:color w:val="000000"/>
          <w:sz w:val="20"/>
        </w:rPr>
        <w:t>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before="240" w:after="283"/>
        <w:jc w:val="both"/>
        <w:rPr>
          <w:rFonts w:ascii="Arial" w:hAnsi="Arial"/>
          <w:b/>
          <w:color w:val="000000"/>
          <w:sz w:val="20"/>
        </w:rPr>
      </w:pPr>
      <w:r>
        <w:rPr>
          <w:rFonts w:ascii="Arial" w:hAnsi="Arial"/>
          <w:b/>
          <w:color w:val="000000"/>
          <w:sz w:val="20"/>
        </w:rPr>
        <w:t>Risks Relating to Our Business and the Development of Our Drug Candidates</w:t>
      </w:r>
    </w:p>
    <w:p>
      <w:pPr>
        <w:pStyle w:val="TextBody"/>
        <w:bidi w:val="0"/>
        <w:spacing w:before="240" w:after="283"/>
        <w:jc w:val="both"/>
        <w:rPr>
          <w:rFonts w:ascii="Arial" w:hAnsi="Arial"/>
          <w:b/>
          <w:i/>
          <w:color w:val="000000"/>
          <w:sz w:val="20"/>
        </w:rPr>
      </w:pPr>
      <w:r>
        <w:rPr>
          <w:rFonts w:ascii="Arial" w:hAnsi="Arial"/>
          <w:b/>
          <w:i/>
          <w:color w:val="000000"/>
          <w:sz w:val="20"/>
        </w:rPr>
        <w:t>We are a late clinical-stage biopharmaceutical company with a limited operating history.</w:t>
      </w:r>
    </w:p>
    <w:p>
      <w:pPr>
        <w:pStyle w:val="TextBody"/>
        <w:bidi w:val="0"/>
        <w:spacing w:before="240" w:after="283"/>
        <w:jc w:val="both"/>
        <w:rPr>
          <w:rFonts w:ascii="Times New Roman" w:hAnsi="Times New Roman"/>
          <w:sz w:val="20"/>
        </w:rPr>
      </w:pPr>
      <w:r>
        <w:rPr>
          <w:rFonts w:ascii="Arial" w:hAnsi="Arial"/>
          <w:color w:val="000000"/>
          <w:sz w:val="20"/>
        </w:rPr>
        <w:t>We are a late clinical-stage biopharmaceutical company focused on developing small molecules engineered to restore neuronal health and slow neurodegeneration. Our limited operating history may make it difficult to evaluate the success of our business. Drug development is a highly uncertain undertaking and involves a substantial degree of risk. To date, we have not completed a pivotal clinical trial, obtained marketing approval for any drug candidate, manufactured a commercial scale drug candidate, or conducted sales and marketing activities necessary for successful drug candidate commercialization. Our history as a company makes any assessment of our future success and viability subject to significant uncertainty. We will encounter risks and difficulties frequently experienced by clinical-stage biopharmaceutical companies in rapidly evolving fields, and we have not yet demonstrated an ability to overcome such risks and difficulties successfully. If we do not address these risks and difficulties successfully, our business will suffer.</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may fail to or be unable to design and execute clinical trials to support marketing approval of fosgonimeton or any of our other drug candidates. We cannot be certain that our current or planned clinical trials or any other future clinical trials will be completed on time or be successful. We cannot guarantee that the FDA or foreign regulatory authorities will agree with our study design, protocol or protocol amendments, or statistical plan, or that they will interpret clinical trial results as we do, and more clinical trials could be required before we are able to submit applications seeking approval of our drug candidates.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drug candidates (including potential confirmatory or Phase 3 registrational trials). Even if regulatory approval is secured for any of our drug candidates, the terms of such approval may limit the scope and use of our drug candidate, which may also limit its commercial potential.</w:t>
      </w:r>
    </w:p>
    <w:p>
      <w:pPr>
        <w:pStyle w:val="TextBody"/>
        <w:bidi w:val="0"/>
        <w:spacing w:before="240" w:after="283"/>
        <w:jc w:val="both"/>
        <w:rPr>
          <w:rFonts w:ascii="Times New Roman" w:hAnsi="Times New Roman"/>
          <w:sz w:val="20"/>
        </w:rPr>
      </w:pPr>
      <w:r>
        <w:rPr>
          <w:rFonts w:ascii="Arial" w:hAnsi="Arial"/>
          <w:b/>
          <w:i/>
          <w:color w:val="000000"/>
          <w:sz w:val="20"/>
        </w:rPr>
        <w:t>Our ability to generate revenue and achieve profitability depends significantly on our ability to achieve a number of objectives.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business depends entirely on the successful discovery, development and commercialization of our drug candidates. We have no drug products approved for commercial sale and do not anticipate generating any revenue from drug product sales for the next several years, if ever. Our ability to generate drug product revenue will depend heavily on the successful clinical development and eventual commercialization of fosgonimeton and one or more of our other future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drug candidates. Our ability to generate revenue and achieve profitability depends significantly on our ability to achieve a number of objectives,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successful and timely completion of nonclinical and clinical development of our drug candidates and any future drug candidates, as well as the associated costs, including any unforeseen costs;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establishing and maintaining relationships with contract research organizations, or CROs, and clinical sites for the clinical development, both in the United States and internationally, of our drug candidates and any future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timely submission of application for and receipt of marketing approvals from applicable regulatory authorities for any drug candidates for which we successfully complete clinical development;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making any required post-marketing approval commitments to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developing an efficient and scalable manufacturing process for our drug candidates, including obtaining finished products that are appropriately packaged for sale;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establishing and maintaining commercially viable supply and manufacturing relationships with third parties that can provide adequate, in both amount and quality, products and services to support clinical development and meet the market demand for drug candidates that we develop,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successful commercial launch following any marketing approval, including the development of a commercial infrastructure, whether inhouse or with one or more collaborators;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 continued acceptable safety profile following any marketing approval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commercial acceptance of our drug candidates by patients, the medical community and third-party payors;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identifying, assessing and developing new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maintaining and expanding patent protection, trade secret protection and regulatory exclusivity, both in the United States and internationally;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protecting our rights in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defending against third-party patent challenges, derivation proceedings, or interference or infringement claims, if 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negotiating favorable terms in any collaboration, licensing or other arrangements that may be necessary or desirable to develop, manufacture or commercialize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coverage and adequate reimbursement by hospitals, government and third-party payors for drug candidates that we develop;</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addressing any competing therapies and technological and market developments;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attracting, hiring and retaining qualified personnel.</w:t>
      </w:r>
    </w:p>
    <w:p>
      <w:pPr>
        <w:pStyle w:val="TextBody"/>
        <w:bidi w:val="0"/>
        <w:spacing w:before="240" w:after="283"/>
        <w:jc w:val="both"/>
        <w:rPr>
          <w:rFonts w:ascii="Arial" w:hAnsi="Arial"/>
          <w:color w:val="000000"/>
          <w:sz w:val="20"/>
        </w:rPr>
      </w:pPr>
      <w:r>
        <w:rPr>
          <w:rFonts w:ascii="Arial" w:hAnsi="Arial"/>
          <w:color w:val="000000"/>
          <w:sz w:val="20"/>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may decrease the value of our company and could impair our ability to maintain or further our research and development efforts, raise additional necessary capital, grow our business and continue our operations.</w:t>
      </w:r>
    </w:p>
    <w:p>
      <w:pPr>
        <w:pStyle w:val="TextBody"/>
        <w:bidi w:val="0"/>
        <w:spacing w:before="240" w:after="283"/>
        <w:jc w:val="both"/>
        <w:rPr>
          <w:rFonts w:ascii="Arial" w:hAnsi="Arial"/>
          <w:color w:val="000000"/>
          <w:sz w:val="20"/>
        </w:rPr>
      </w:pPr>
      <w:r>
        <w:rPr>
          <w:rFonts w:ascii="Arial" w:hAnsi="Arial"/>
          <w:color w:val="000000"/>
          <w:sz w:val="20"/>
        </w:rPr>
        <w:t>We may also experience delays in developing a sustainable, reproducible and scalable manufacturing process or transferring that process to commercial partners, which may prevent us from completing our clinical trials or commercializing our drug candidates on a timely or profitable basis, if at all. Changes in the manufacturing process or facilities will require further comparability analysis and approval by the FDA before implementation, which could delay our clinical trials and drug candidate development, and could require additional clinical trials, including bridging studies and potential confirmatory or Phase 3 registrational trials, to demonstrate consistent and continued safety and efficacy.</w:t>
      </w:r>
    </w:p>
    <w:p>
      <w:pPr>
        <w:pStyle w:val="TextBody"/>
        <w:bidi w:val="0"/>
        <w:spacing w:before="240" w:after="283"/>
        <w:jc w:val="both"/>
        <w:rPr>
          <w:rFonts w:ascii="Times New Roman" w:hAnsi="Times New Roman"/>
          <w:sz w:val="20"/>
        </w:rPr>
      </w:pPr>
      <w:r>
        <w:rPr>
          <w:rFonts w:ascii="Arial" w:hAnsi="Arial"/>
          <w:color w:val="000000"/>
          <w:sz w:val="20"/>
        </w:rPr>
        <w:t>We have not previously submitted a new drug application, or NDA, to the FDA or similar approval filings to a comparable foreign regulatory authority, for any drug candidate. An NDA or other relevant regulatory filing must include extensive nonclinical and clinical data and supporting information to establish that the drug candidate is safe and effective for each desired indication. The NDA or other relevant regulatory filing must also include significant information regarding the chemistry, manufacturing and controls for the drug product. We cannot be certain that our current or future drug candidates will be successful in clinical trials. Further, even if they are successful in clinical trials, our drug candidates or any future drug candidates may not receive regulatory approval. If we do not receive regulatory approvals for current or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future drug candidates, we may not be able to continue our operations. Even if we successfully obtain regulatory approval to market a drug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w:t>
      </w:r>
    </w:p>
    <w:p>
      <w:pPr>
        <w:pStyle w:val="TextBody"/>
        <w:bidi w:val="0"/>
        <w:spacing w:before="240" w:after="283"/>
        <w:jc w:val="both"/>
        <w:rPr>
          <w:rFonts w:ascii="Times New Roman" w:hAnsi="Times New Roman"/>
          <w:sz w:val="20"/>
        </w:rPr>
      </w:pPr>
      <w:r>
        <w:rPr>
          <w:rFonts w:ascii="Arial" w:hAnsi="Arial"/>
          <w:b/>
          <w:i/>
          <w:color w:val="000000"/>
          <w:sz w:val="20"/>
        </w:rPr>
        <w:t>Our development of fosgonimeton may never lead to a marketable product.</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are developing fosgonimeton as a small molecule aimed at restoring neuronal health. We have not received regulatory approval for fosgonimeton and cannot be certain that our approach will lead to the development of an approvable or marketable product, alone or in combination with other therapies. The primary and all secondary endpoints of the ACT-AD and SHAPE trials were not met by protocoled analysis. While we are continuing with the LIFT-AD study, we may not succeed in demonstrating safety and efficacy of fosgonimeton in our LIFT-AD trial or in other clinical trials.</w:t>
      </w:r>
    </w:p>
    <w:p>
      <w:pPr>
        <w:pStyle w:val="TextBody"/>
        <w:bidi w:val="0"/>
        <w:spacing w:before="240" w:after="283"/>
        <w:jc w:val="both"/>
        <w:rPr>
          <w:rFonts w:ascii="Arial" w:hAnsi="Arial"/>
          <w:color w:val="000000"/>
          <w:sz w:val="20"/>
        </w:rPr>
      </w:pPr>
      <w:r>
        <w:rPr>
          <w:rFonts w:ascii="Arial" w:hAnsi="Arial"/>
          <w:color w:val="000000"/>
          <w:sz w:val="20"/>
        </w:rPr>
        <w:t>Advancing fosgonimeton as a small molecule aimed at restoring neuronal health creates significant challenges for us,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if fosgonimeton is approved, educating medical personnel regarding the potential efficacy and safety benefits, as well as the challenges, of incorporating fosgonimeton into existing treatment regimens, including in combination with other treatments for AD or as a monotherapy;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establishing the sales and marketing capabilities upon obtaining any marketing approvals to gain market acceptance.</w:t>
      </w:r>
    </w:p>
    <w:p>
      <w:pPr>
        <w:pStyle w:val="TextBody"/>
        <w:bidi w:val="0"/>
        <w:spacing w:before="240" w:after="283"/>
        <w:jc w:val="both"/>
        <w:rPr>
          <w:rFonts w:ascii="Arial" w:hAnsi="Arial"/>
          <w:color w:val="000000"/>
          <w:sz w:val="20"/>
        </w:rPr>
      </w:pPr>
      <w:r>
        <w:rPr>
          <w:rFonts w:ascii="Arial" w:hAnsi="Arial"/>
          <w:color w:val="000000"/>
          <w:sz w:val="20"/>
        </w:rPr>
        <w:t>Our prospects are highly dependent on the successful development of fosgonimeton. If we do not demonstrate the safety and efficacy of fosgonimeton in our LIFT-AD trial, we may explore strategic alternatives to maximize stockholder value, which could involve, without limitation, exploring the potential for a possible merger, business combination, investment, a purchase, license or other acquisition of assets or return of capital to stockholders.</w:t>
      </w:r>
    </w:p>
    <w:p>
      <w:pPr>
        <w:pStyle w:val="TextBody"/>
        <w:bidi w:val="0"/>
        <w:spacing w:before="240" w:after="283"/>
        <w:jc w:val="both"/>
        <w:rPr>
          <w:rFonts w:ascii="Times New Roman" w:hAnsi="Times New Roman"/>
          <w:sz w:val="20"/>
        </w:rPr>
      </w:pPr>
      <w:r>
        <w:rPr>
          <w:rFonts w:ascii="Arial" w:hAnsi="Arial"/>
          <w:b/>
          <w:i/>
          <w:color w:val="000000"/>
          <w:sz w:val="20"/>
        </w:rPr>
        <w:t>Our approach to targeting neurotrophic factors through the use of small molecules is based on a novel therapeutic approach, which exposes us to unforeseen risks. We have limited data from our Phase 1a/1b and Phase 2 clinical trials to date, and we cannot be certain that future trials will yield data in support of the safety, efficacy and tolerability of our drug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have discovered and are developing a pipeline of small molecule drug candidates from which we have selected our lead drug candidate, fosgonimeton, which is under development to treat AD, Parkinson's Disease Dementia, or PDD, and Dementia with Lewy Bodies, or DLB. Our drug candidates target an endogenous neurotrophic factor which is expected to protect and repair neuronal networks, which we believe could ultimately result in improvements in clinical outcomes and disease-relevant biomarkers. The therapeutic promise of neurotrophic factors in neurodegenerative diseases had been hampered in earlier therapies by the lack of efficient and non-invasive delivery to the CNS. Our small molecule drug candidates are designed to penetrate the BBB and enhance the activity of a neurotrophic factor, but we cannot be certain of the safety and efficacy of our drug candidates in applicable patients or that our clinical trials will provide sufficient evidence that our design approach results in the intended therapeutic effect.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Based on the results of our nonclinical and clinical studies to date, we believe fosgonimeton has the potential to improve cognition, function and help restore the lives of patients suffering from AD. However, these ideas and this approach are novel, and we currently have limited data based on our Phase 1a/b and Phase 2 clinical trials to date.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primary and all secondary endpoints of our Phase 2 ACT-AD clinical trial in AD were not met by protocoled analysis. A subsequent post hoc analysis of the data in a pre-specified subgroup from patients on fosgonimeton without background AChEIs showed a meaningful, but not statistically significant, improvement in both ERP P300 latency and cognitive performance compared to placebo at 26 weeks. Although post hoc analyses cannot be used to establish efficacy, these analyses can be helpful in informing the design of current and future clinical studies. In addition, the primary endpoint of our Phase 2 SHAPE clinical trial in PDD and DLB was not met by protocoled analysis. Directionally positive results were observed for the 40 mg fosgonimeton dose group with improvements in cognitive, functional and biomarker measurements. In particular, the five patients in the modified intent to treat, or mITT, population treated with fosgonimeton 40 mg once daily saw improvement in ADAS-Cog13 individually, and collectively improved compared with placebo (n=7 mITT, one-sided p=0.0321). Results for patients in the 70 mg dose group were inconsistent.</w:t>
      </w:r>
    </w:p>
    <w:p>
      <w:pPr>
        <w:pStyle w:val="TextBody"/>
        <w:bidi w:val="0"/>
        <w:spacing w:before="240" w:after="283"/>
        <w:jc w:val="both"/>
        <w:rPr>
          <w:rFonts w:ascii="Times New Roman" w:hAnsi="Times New Roman"/>
          <w:sz w:val="20"/>
        </w:rPr>
      </w:pPr>
      <w:r>
        <w:rPr>
          <w:rFonts w:ascii="Arial" w:hAnsi="Arial"/>
          <w:color w:val="000000"/>
          <w:sz w:val="20"/>
        </w:rPr>
        <w:t>Data from our Phase 1a/1b and Phase 2 clinical trials to date were obtained from a relatively small number of subjects and we cannot be certain that future trials involving a larger number of subjects and clinical sites will yield data in support of the safety, efficacy and tolerability of our drug candidates. We may ultimately discover that fosgonimeton, or any of our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other small molecules, do not possess certain properties required for therapeutic effectiveness. We have limited evidence regarding the efficacy, safety and tolerability of fosgonimeton and other small molecules in our drug product pipeline. We may spend substantial funds attempting to develop these drug candidates and never succeed in doing so.</w:t>
      </w:r>
    </w:p>
    <w:p>
      <w:pPr>
        <w:pStyle w:val="TextBody"/>
        <w:bidi w:val="0"/>
        <w:spacing w:before="240" w:after="283"/>
        <w:jc w:val="both"/>
        <w:rPr>
          <w:rFonts w:ascii="Times New Roman" w:hAnsi="Times New Roman"/>
          <w:sz w:val="20"/>
        </w:rPr>
      </w:pPr>
      <w:r>
        <w:rPr>
          <w:rFonts w:ascii="Arial" w:hAnsi="Arial"/>
          <w:b/>
          <w:i/>
          <w:color w:val="000000"/>
          <w:sz w:val="20"/>
        </w:rPr>
        <w:t>We have concentrated our research and development efforts on the treatment of central and peripheral nervous system degenerative disorders, a field that has seen very limited success in product development.</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have focused our research and development efforts on addressing CNS and PNS degenerative disorders. Collectively, efforts by pharmaceutical companies in the field of CNS and PNS degenerative disorders have seen very limited successes in product development. The development of CNS therapies presents unique challenges, including an imperfect understanding of the biology, the presence of the BBB that can restrict the flow of drugs to the brain, a frequent lack of translatability of preclinical study results in subsequent clinical trials and dose selection, and the product candidate having an effect that may be too small to be detected using the outcome measures selected in clinical trials or if the outcomes measured do not reach statistical significance. There are few effective therapeutic options available for patients with AD and other CNS or PNS disorders. Our future success is highly dependent on the successful development of our technology and our drug candidates for treating CNS and PNS disorders. Developing and, if approved, commercializing our drug candidates for treatment of CNS and PNS disorders subjects us to a number of challenges, including ensuring that we have selected the optimal doses, executing an appropriate clinical trial to test for efficacy and obtaining regulatory approval from the FDA and other regulatory authorities.</w:t>
      </w:r>
    </w:p>
    <w:p>
      <w:pPr>
        <w:pStyle w:val="TextBody"/>
        <w:bidi w:val="0"/>
        <w:spacing w:before="240" w:after="283"/>
        <w:jc w:val="both"/>
        <w:rPr>
          <w:rFonts w:ascii="Arial" w:hAnsi="Arial"/>
          <w:b/>
          <w:i/>
          <w:color w:val="000000"/>
          <w:sz w:val="20"/>
        </w:rPr>
      </w:pPr>
      <w:r>
        <w:rPr>
          <w:rFonts w:ascii="Arial" w:hAnsi="Arial"/>
          <w:b/>
          <w:i/>
          <w:color w:val="000000"/>
          <w:sz w:val="20"/>
        </w:rPr>
        <w:t>An independent special committee of our board of directors engaged in a review of papers co-authored by our former chief executive officer in connection with her doctoral research at WSU. The special committee’s findings included that (1) our former chief executive officer altered images in her 2011 doctoral dissertation and at least four research papers that she co-authored while a graduate student at WSU, and published from 2011 to 2014, (2) that we cited challenged research papers in certain communications and applications, and (3) that WSU’s dihexa patent, exclusively licensed to us, incorporated certain of these altered images.</w:t>
      </w:r>
    </w:p>
    <w:p>
      <w:pPr>
        <w:pStyle w:val="TextBody"/>
        <w:bidi w:val="0"/>
        <w:spacing w:before="240" w:after="283"/>
        <w:jc w:val="both"/>
        <w:rPr>
          <w:rFonts w:ascii="Times New Roman" w:hAnsi="Times New Roman"/>
          <w:sz w:val="20"/>
        </w:rPr>
      </w:pPr>
      <w:r>
        <w:rPr>
          <w:rFonts w:ascii="Arial" w:hAnsi="Arial"/>
          <w:color w:val="000000"/>
          <w:sz w:val="20"/>
        </w:rPr>
        <w:t>An independent special committee of our board of directors engaged in a review of papers co-authored by our former chief executive officer, Dr. Leen Kawas, in connection with her doctoral research at WSU, including, among other things, an investigation of allegations that Dr. Kawas altered images used in research published by Dr. Kawas in connection with her doctoral studies.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independent special committee’s primary finding was that our former chief executive officer altered images in her 2011 doctoral dissertation and at least four research papers that she co-authored while a graduate student at WSU, and published from 2011 to 2014. While the conduct that was the subject of the allegations is not related to any of our current drug candidates or clinical research, this finding could have a material adverse effect on our reputation, our in-licensed patents and pending patent applications, licenses and grants, and could lead to further investigation from government agencies, including the FDA, any of which could have a material adverse impact on our business and prospects.</w:t>
      </w:r>
    </w:p>
    <w:p>
      <w:pPr>
        <w:pStyle w:val="TextBody"/>
        <w:bidi w:val="0"/>
        <w:spacing w:before="240" w:after="283"/>
        <w:jc w:val="both"/>
        <w:rPr>
          <w:rFonts w:ascii="Times New Roman" w:hAnsi="Times New Roman"/>
          <w:sz w:val="20"/>
        </w:rPr>
      </w:pPr>
      <w:r>
        <w:rPr>
          <w:rFonts w:ascii="Arial" w:hAnsi="Arial"/>
          <w:color w:val="000000"/>
          <w:sz w:val="20"/>
        </w:rPr>
        <w:t>As disclosed elsewhere in this report, including in this “Risk Factors” section under the heading “</w:t>
      </w:r>
      <w:r>
        <w:rPr>
          <w:rFonts w:ascii="Times New Roman" w:hAnsi="Times New Roman"/>
          <w:color w:val="000000"/>
          <w:sz w:val="20"/>
        </w:rPr>
        <w:t>—</w:t>
      </w:r>
      <w:r>
        <w:rPr>
          <w:rFonts w:ascii="Arial" w:hAnsi="Arial"/>
          <w:i/>
          <w:color w:val="000000"/>
          <w:sz w:val="20"/>
        </w:rPr>
        <w:t>We and certain of our directors and executive officers have been, and may in the future be, named as defendants in lawsuits that could result in substantial costs and divert management’s attention</w:t>
      </w:r>
      <w:r>
        <w:rPr>
          <w:rFonts w:ascii="Arial" w:hAnsi="Arial"/>
          <w:color w:val="000000"/>
          <w:sz w:val="20"/>
        </w:rPr>
        <w:t>,” and in “Part II, Item 1—Legal Proceedings,” lawsuits have been filed against us and certain of our directors and officers, alleging violations of federal securities laws related to alleged false and misleading statements in connection with the alleged misconduct of Dr. Kawas and others associated with us. As a result of these allegations and the ongoing litigation against us and certain of our directors and officers and related matters, we have been the subject of negative publicity. This negative publicity may harm our credibility, reputation and relationships with current and future investors, government regulators, patent offices, courts, current and prospective employees, key opinion leaders, prospective collaborators, advocacy groups, current and future patients enrolled in our clinical trials, physicians and prospective patients and vendors. For example, this negative publicity may adversely affect our ability to recruit and hire talented employees, maintain existing business relationships with CROs, clinical trial sites and other parties, enter into new business relationships, enroll patients in our clinical trials, and maintain a viable business in the future. Also, it is possible that the negative publicity and its effect on our work environment could cause our employees to terminate their employment or, if they remain employed by us, result in reduced morale that could have a material adverse effect on our business. In addition, negative publicity has and may continue to adversely affect our stock price and, therefore, employees and prospective employees may be less inclined to seek or continue employment with us. As a result, our business, financial condition, results of operations and cash flows could be materially adversely affected.</w:t>
      </w:r>
    </w:p>
    <w:p>
      <w:pPr>
        <w:pStyle w:val="TextBody"/>
        <w:bidi w:val="0"/>
        <w:spacing w:before="240" w:after="283"/>
        <w:jc w:val="both"/>
        <w:rPr>
          <w:rFonts w:ascii="Times New Roman" w:hAnsi="Times New Roman"/>
          <w:sz w:val="20"/>
        </w:rPr>
      </w:pPr>
      <w:r>
        <w:rPr>
          <w:rFonts w:ascii="Arial" w:hAnsi="Arial"/>
          <w:b/>
          <w:i/>
          <w:color w:val="000000"/>
          <w:sz w:val="20"/>
        </w:rPr>
        <w:t>WSU has undertaken a review of claims of potential research misconduct involving our former chief executive officer’s doctoral research at WSU. We cannot predict what conclusions WSU will reach, whether or when WSU</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will share its conclusions with us or the public, and what effect, if any, this investigation may have on our business and reputation.</w:t>
      </w:r>
    </w:p>
    <w:p>
      <w:pPr>
        <w:pStyle w:val="TextBody"/>
        <w:bidi w:val="0"/>
        <w:spacing w:before="240" w:after="283"/>
        <w:jc w:val="both"/>
        <w:rPr>
          <w:rFonts w:ascii="Times New Roman" w:hAnsi="Times New Roman"/>
          <w:sz w:val="20"/>
        </w:rPr>
      </w:pPr>
      <w:r>
        <w:rPr>
          <w:rFonts w:ascii="Arial" w:hAnsi="Arial"/>
          <w:color w:val="000000"/>
          <w:sz w:val="20"/>
        </w:rPr>
        <w:t>In addition to the investigation of the independent special committee of our board of directors noted above, WSU has also announced that it has undertaken a review of claims of potential research misconduct involving research conducted by Dr. Kawas during her doctoral studies at WSU. We cannot predict what, if any, effect this investigation may have on our business and reputation. It is possible that the investigation by WSU could come to different conclusions, or uncover additional or different information, than the investigation of the independent special committee of our board of directors, the conclusions of which are discussed under “—</w:t>
      </w:r>
      <w:r>
        <w:rPr>
          <w:rFonts w:ascii="Arial" w:hAnsi="Arial"/>
          <w:i/>
          <w:color w:val="000000"/>
          <w:sz w:val="20"/>
        </w:rPr>
        <w:t>An independent special committee of our board of directors engaged in a review of papers co-authored by our former chief executive officer in connection with her doctoral research at WSU. The special committee’s findings included that (1) our former chief executive officer altered images in her 2011 doctoral dissertation and at least four research papers that she co-authored while a graduate student at WSU, and published from 2011 to 2014, (2) that we cited challenged research papers in certain communications and applications, and (3) that WSU’s dihexa patent, exclusively licensed to us, incorporated certain of these altered images</w:t>
      </w:r>
      <w:r>
        <w:rPr>
          <w:rFonts w:ascii="Times New Roman" w:hAnsi="Times New Roman"/>
          <w:color w:val="000000"/>
          <w:sz w:val="20"/>
        </w:rPr>
        <w:t>”</w:t>
      </w:r>
      <w:r>
        <w:rPr>
          <w:rFonts w:ascii="Arial" w:hAnsi="Arial"/>
          <w:color w:val="000000"/>
          <w:sz w:val="20"/>
        </w:rPr>
        <w:t>. The conclusions from WSU’s investigation could have a material adverse impact on our business, reputation, scientific credibility, and prospects, as well as our in-licensed patents and pending patent applications, current grants and pending grant applications, and our relationship with WSU, from whom we in-license patents and patent applications underlying certain of our drug candidates.</w:t>
      </w:r>
    </w:p>
    <w:p>
      <w:pPr>
        <w:pStyle w:val="TextBody"/>
        <w:bidi w:val="0"/>
        <w:spacing w:before="240" w:after="283"/>
        <w:jc w:val="both"/>
        <w:rPr>
          <w:rFonts w:ascii="Arial" w:hAnsi="Arial"/>
          <w:b/>
          <w:i/>
          <w:color w:val="000000"/>
          <w:sz w:val="20"/>
        </w:rPr>
      </w:pPr>
      <w:r>
        <w:rPr>
          <w:rFonts w:ascii="Arial" w:hAnsi="Arial"/>
          <w:b/>
          <w:i/>
          <w:color w:val="000000"/>
          <w:sz w:val="20"/>
        </w:rPr>
        <w:t>We are and may in the future be subject to claims, lawsuits, arbitration proceedings, government investigations and other legal, regulatory and administrative proceedings and face potential liability and expenses related thereto, which could have a material adverse effect on our business, operating results and financial condition.</w:t>
      </w:r>
    </w:p>
    <w:p>
      <w:pPr>
        <w:pStyle w:val="TextBody"/>
        <w:bidi w:val="0"/>
        <w:spacing w:before="240" w:after="283"/>
        <w:jc w:val="both"/>
        <w:rPr>
          <w:rFonts w:ascii="Arial" w:hAnsi="Arial"/>
          <w:color w:val="000000"/>
          <w:sz w:val="20"/>
        </w:rPr>
      </w:pPr>
      <w:r>
        <w:rPr>
          <w:rFonts w:ascii="Arial" w:hAnsi="Arial"/>
          <w:color w:val="000000"/>
          <w:sz w:val="20"/>
        </w:rPr>
        <w:t>We are and may in the future be subject to claims, lawsuits, arbitration proceedings, government investigations and other legal, regulatory and administrative proceedings. In November 2022, we received a Civil Investigative Demand from the Civil Division of the Department of Justice, or the Demand. The Demand seeks documents and information relating to our relationship with WSU, certain of our grant applications in 2016 and 2019 with the NIH, and our receipt of a NIH grant in 2020. We are cooperating with the Department of Justice with respect to the Demand. In February 2023, the Securities and Exchange Commission, or SEC, sent us a subpoena seeking documents and information relating to, among other things, our former chief executive officer’s alteration of images in certain research papers. We cooperated with the SEC with respect to the subpoena. On March 29, 2024, we received a letter from the SEC stating that the SEC had concluded its investigation without any enforcement action against us.</w:t>
      </w:r>
    </w:p>
    <w:p>
      <w:pPr>
        <w:pStyle w:val="TextBody"/>
        <w:bidi w:val="0"/>
        <w:spacing w:before="240" w:after="283"/>
        <w:jc w:val="both"/>
        <w:rPr>
          <w:rFonts w:ascii="Arial" w:hAnsi="Arial"/>
          <w:color w:val="000000"/>
          <w:sz w:val="20"/>
        </w:rPr>
      </w:pPr>
      <w:r>
        <w:rPr>
          <w:rFonts w:ascii="Arial" w:hAnsi="Arial"/>
          <w:color w:val="000000"/>
          <w:sz w:val="20"/>
        </w:rPr>
        <w:t>The outcome of these or any other investigations, claims, or proceedings cannot be predicted with any degree of certainty. In the ordinary course of business we have been and may in the future be the subject of various legal claims. Any such claims, investigations or proceedings against us, whether meritorious or not, could be time-consuming, result in costly litigation, be harmful to our reputation, require significant management attention and divert significant resources, and the resolution of any such claims, investigations or proceedings could result in substantial damages, settlement costs, fines or penalties that could adversely affect our business, financial condition or operating results or result in harm to our reputation and brand, sanctions, consent decrees, injunctions or other remedies requiring a change in our business practices.</w:t>
      </w:r>
    </w:p>
    <w:p>
      <w:pPr>
        <w:pStyle w:val="TextBody"/>
        <w:bidi w:val="0"/>
        <w:spacing w:before="240" w:after="283"/>
        <w:jc w:val="both"/>
        <w:rPr>
          <w:rFonts w:ascii="Arial" w:hAnsi="Arial"/>
          <w:color w:val="000000"/>
          <w:sz w:val="20"/>
        </w:rPr>
      </w:pPr>
      <w:r>
        <w:rPr>
          <w:rFonts w:ascii="Arial" w:hAnsi="Arial"/>
          <w:color w:val="000000"/>
          <w:sz w:val="20"/>
        </w:rPr>
        <w:t>Further, under certain circumstances we may have contractual or other legal obligations to indemnify and to incur legal expenses on behalf of investors, directors, officers employees, customers, vendors or other third-parties. For example, our amended and restated bylaws provide that we will indemnify our directors and officers, and may indemnify our employees, agents and other persons, to the fullest extent permitted by the Delaware General Corporation Law. We have also entered into indemnification agreements with directors and officers that require us, among other things, to indemnify them against claims that may arise due to their service in those capacities. These indemnification agreements also require us to advance expenses reasonably and actually incurred by them in investigating or defending any such claims, and it may be difficult or impossible to recover any advanced expenses if it turns out the person was not entitled to indemnification. If we are required or agree to defend or indemnify, or advance expenses to, any of our investors, directors, officers, employees, customers, vendors or other third-parties, we could incur material costs and expenses that could adversely affect our business, results of operations or financial condition.</w:t>
      </w:r>
    </w:p>
    <w:p>
      <w:pPr>
        <w:pStyle w:val="TextBody"/>
        <w:bidi w:val="0"/>
        <w:spacing w:before="240" w:after="283"/>
        <w:jc w:val="both"/>
        <w:rPr>
          <w:rFonts w:ascii="Times New Roman" w:hAnsi="Times New Roman"/>
          <w:sz w:val="20"/>
        </w:rPr>
      </w:pPr>
      <w:r>
        <w:rPr>
          <w:rFonts w:ascii="Arial" w:hAnsi="Arial"/>
          <w:b/>
          <w:i/>
          <w:color w:val="000000"/>
          <w:sz w:val="20"/>
        </w:rPr>
        <w:t>Clinical development involves a lengthy and expensive process with an uncertain outcome, and results of early, smaller-scale preclinical studies and clinical trials with a single or few clinical trial sites may not be predictive of eventual safety or effectiveness in large-scale potentially pivotal clinical trials across multiple clinical trial sites. We may encounter substantial delays in clinical trials, or may not be able to conduct or complete clinical trials on the expected timelines, if at all.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lead drug candidate, fosgonimeton, is in clinical development for the potential treatment of AD, PDD and DLB. Our additional drug candidates, including ATH-1105 for ALS, are in preclinical development or early clinical development.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It is impossible to predict when or if any of our drug candidates will prove to be effective and safe in humans or will receive regulatory approval.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Before obtaining regulatory approvals for the commercial sale of our drug candidates, we must demonstrate through lengthy, complex and expensive nonclinical studies and clinical trials that our drug candidates are both safe and effective for each target indication. Nonclinical and clinical testing is expensive and can take many years to complete, and its outcome is inherently uncertain. Failure can occur at any time during the nonclinical study and clinical trial processes, and, because our drug candidates are in an early stage of development, there is a high risk of failure and we may never succeed in developing marketable products. The results of nonclinical studies and early clinical trials of our drug candidates may not be predictive of the results of later-stage clinical trials. Although product candidates may demonstrate promising results in nonclinical studies and early clinical trials, they may not prove to be safe or effective in subsequent clinical trials. For example, testing on animals occurs under different conditions than testing in humans and therefore, the results of animal studies may not accurately predict safety and effectiveness in humans. There is typically an extremely high rate of attrition from the failure of product candidates proceeding through nonclinical studies and clinical trials. Product candidates in later stages of clinical trials may fail to show the desired safety and efficacy profile despite having progressed through nonclinical studies and initial clinical trials. For example, our Phase 1a/b clinical trial, which enrolled 88 patients, including only 11 patients with mild-to-moderate AD, of whom seven patients were treated with fosgonimeton and the other four patients were randomized to the control, suggested improvements in brain network activity including potentially positive effects on brain function. However, our Phase 2 ACT-AD clinical trial in AD, which included a larger patient population, approximately 60% of which were receiving background AChEIs, did not meet its primary endpoint of a change in ERP P300 latency for the full study population nor did it meet the secondary endpoints. Although a post hoc analysis of results from ACT-AD in a pre-specified subgroup suggested positive effects on measures of cognition, function and neurodegeneration in patients taking fosgonimeton alone without background AChEIs, we cannot be sure that data from future trials will support our earlier findings or demonstrate the safety and effectiveness of fosgonimeton for treatment of AD to the satisfaction of the FDA and other regulatory authorities in order to support regulatory approval. Likewise, early, smaller-scale studies, biomarker analyses, and clinical trials with a single or relatively few clinical trial sites may not be predictive of eventual safety and effectiveness in large-scale pivotal clinical trials across multiple clinical trial sites. Even if data from a pivotal clinical trial are positive, regulators may not agree that such data are sufficient for approval and may require that we conduct additional clinical trials (including potential confirmatory or Phase 3 registrational trials), which could materially delay our anticipated development timelines, require additional funding for such additional clinical trials, and adversely impact our business. Our ability to achieve regulatory approval for fosgonimeton is further complicated by the nature of AD, which historically has been a challenging indication for drug development. A number of companies in the biopharmaceutical industry have suffered significant setbacks in advanced clinical trials due to lack of efficacy or unacceptable safety issues, notwithstanding promising results in earlier trials. Most product candidates that commence nonclinical studies and clinical trials are never approved as products.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some instances, there can be significant variability in safety or efficacy results between different nonclinical studies and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 For example, we believe the topline results of our Phase 2 ACT-AD clinical trial may have differed from the treatment data from our Phase 1a/b clinical trial at least in part due to differences in the patient population and treatment duration, and potential effects from background AChEI treatment. If future trials show that the effect of fosgonimeton when given in combination with add-on background AChEIs is diminished, we may be required to seek a narrower indication or restrict our target population to those where fosgonimeton shows a greater effect, which could have a material adverse effect on our business and prospects.</w:t>
      </w:r>
    </w:p>
    <w:p>
      <w:pPr>
        <w:pStyle w:val="TextBody"/>
        <w:bidi w:val="0"/>
        <w:spacing w:before="240" w:after="283"/>
        <w:jc w:val="both"/>
        <w:rPr>
          <w:rFonts w:ascii="Times New Roman" w:hAnsi="Times New Roman"/>
          <w:sz w:val="20"/>
        </w:rPr>
      </w:pPr>
      <w:r>
        <w:rPr>
          <w:rFonts w:ascii="Arial" w:hAnsi="Arial"/>
          <w:color w:val="000000"/>
          <w:sz w:val="20"/>
        </w:rPr>
        <w:t>On July 6, 2021, we announced the initiation of an open-label extension for the LIFT-AD and ACT-AD trials and in May 2022 we announced the extension of the open label extension for an additional 12 months. In May 2023, we amended the open-label extension trial to further extend the trial by an additional 12 months, and in April 2024, we amended the open-label extension trial to further extend the trial by an additional 18 months. Upon completion of the 26-week treatment period during the LIFT-AD or ACT-AD trials, patients may continue on the open-label extension and receive treatment with fosgonimeton for up to an additional 48 months. Investigators and patients remain blinded to treatment group assignment in the original trials. Such open-label extension studies are, and some of the clinical trials we conduct in the future may be, open-label in study design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trials are aware of which patients have received treatment and may interpret the information of the treated group more favorably given this knowledge.</w:t>
      </w:r>
    </w:p>
    <w:p>
      <w:pPr>
        <w:pStyle w:val="TextBody"/>
        <w:bidi w:val="0"/>
        <w:spacing w:before="240" w:after="283"/>
        <w:jc w:val="both"/>
        <w:rPr>
          <w:rFonts w:ascii="Arial" w:hAnsi="Arial"/>
          <w:color w:val="000000"/>
          <w:sz w:val="20"/>
        </w:rPr>
      </w:pPr>
      <w:r>
        <w:rPr>
          <w:rFonts w:ascii="Arial" w:hAnsi="Arial"/>
          <w:color w:val="000000"/>
          <w:sz w:val="20"/>
        </w:rPr>
        <w:t>We could also encounter delays if a clinical trial is suspended or terminated by us, by the institutional review boards, or IRBs, of the institutions in which such clinical trials are being conducted, by a data safety monitoring board for such clinical trial or by the FDA or comparable foreign regulatory authorities. Clinical trials can be delayed or terminated or fail to meet endpoints for a variety of reasons, including delays or failures related to: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FDA or comparable foreign regulatory authorities disagreeing as to the design or implementation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FDA or comparable foreign regulatory authorities disagreeing with our clinical development strategy or statistical plan;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in governmental regulations or administrative actions;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delays in our ability to commence a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reaching agreement on acceptable terms with prospective CROs and clinical trial sites, the terms of which can be subject to extensive negotiation and may vary significantly among different CROs and clinical trial sites;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IRB approval at each clinical trial site;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recruiting an adequate number of suitable patients to participate in a clinical trial on a timely basis;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of patients required for clinical trials of our drug candidates may be larger than we anticipate;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having subjects complete a clinical trial or return for post-treatment follow-up;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clinical trial sites deviating from clinical trial protocol or dropping out of a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protocol deviations or non-compliance with GCP requirements, or other data integrity reasons, that cause us or the FDA or other regulatory authorities to exclude data from non-compliant sites or investigators, which may cause the trial to be underpowered to meet the endpoints;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delays by us or our CROs in qualifying or analyzing patient data at the completion of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failure to demonstrate a benefit from using a drug candidate;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addressing subject safety concerns that arise during the course of a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adding a sufficient number of clinical trial sites; or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sufficient supply of drug candidate for use in nonclinical studies or clinical trials from third-party suppliers.</w:t>
      </w:r>
    </w:p>
    <w:p>
      <w:pPr>
        <w:pStyle w:val="TextBody"/>
        <w:bidi w:val="0"/>
        <w:spacing w:before="240" w:after="283"/>
        <w:jc w:val="both"/>
        <w:rPr>
          <w:rFonts w:ascii="Arial" w:hAnsi="Arial"/>
          <w:color w:val="000000"/>
          <w:sz w:val="20"/>
        </w:rPr>
      </w:pPr>
      <w:r>
        <w:rPr>
          <w:rFonts w:ascii="Arial" w:hAnsi="Arial"/>
          <w:color w:val="000000"/>
          <w:sz w:val="20"/>
        </w:rPr>
        <w:t>Further, conducting clinical trials in foreign countries, as we intend to do for our drug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pStyle w:val="TextBody"/>
        <w:bidi w:val="0"/>
        <w:spacing w:before="240" w:after="283"/>
        <w:jc w:val="both"/>
        <w:rPr>
          <w:rFonts w:ascii="Arial" w:hAnsi="Arial"/>
          <w:color w:val="000000"/>
          <w:sz w:val="20"/>
        </w:rPr>
      </w:pPr>
      <w:r>
        <w:rPr>
          <w:rFonts w:ascii="Arial" w:hAnsi="Arial"/>
          <w:color w:val="000000"/>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drug candidates. If we experience delays in the completion of, or termination of, any clinical trial of our drug candidates, the commercial prospects of our drug candidates will be harmed, and our ability to generate product revenues from any of these drug candidates will be delayed. Moreover, any delays in completing our clinical trials will increase our costs, slow down our drug candidate development and approval process and jeopardize our ability to commence product sales and generate revenues.</w:t>
      </w:r>
    </w:p>
    <w:p>
      <w:pPr>
        <w:pStyle w:val="TextBody"/>
        <w:bidi w:val="0"/>
        <w:spacing w:before="240" w:after="283"/>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If the results of our current and future clinical trials are inconclusive with respect to the efficacy of our drug candidates, if we do not meet the clinical endpoints with statistical and clinically meaningful significance, or if there are safety concerns associated with our drug candidates, we may: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incur unplanned costs;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determine to limit or terminate clinical trials, including our open-label extension trial;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be delayed in or prevented from obtaining marketing approval for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 approval for indications or patient populations that are not as broad as intended or desired;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 approval with labeling that includes significant use or distribution restrictions or safety warnings including boxed warnings;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be subject to changes in the way the drug candidate is administered;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be required to perform additional clinical trials to support approval or be subject to additional post-marketing testing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have regulatory authorities withdraw their approval of the drug product or impose restrictions on its distribution in the form of a modified risk evaluation and mitigation strategy, or REMS;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be subject to the addition of labeling statements, such as warnings or contraindications;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be sued; or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experience damage to our reputation.</w:t>
      </w:r>
    </w:p>
    <w:p>
      <w:pPr>
        <w:pStyle w:val="TextBody"/>
        <w:bidi w:val="0"/>
        <w:spacing w:before="240" w:after="283"/>
        <w:jc w:val="both"/>
        <w:rPr>
          <w:rFonts w:ascii="Times New Roman" w:hAnsi="Times New Roman"/>
          <w:sz w:val="20"/>
        </w:rPr>
      </w:pPr>
      <w:r>
        <w:rPr>
          <w:rFonts w:ascii="Arial" w:hAnsi="Arial"/>
          <w:b/>
          <w:i/>
          <w:color w:val="000000"/>
          <w:sz w:val="20"/>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pStyle w:val="TextBody"/>
        <w:bidi w:val="0"/>
        <w:spacing w:before="240" w:after="283"/>
        <w:jc w:val="both"/>
        <w:rPr>
          <w:rFonts w:ascii="Arial" w:hAnsi="Arial"/>
          <w:color w:val="000000"/>
          <w:sz w:val="20"/>
        </w:rPr>
      </w:pPr>
      <w:r>
        <w:rPr>
          <w:rFonts w:ascii="Arial" w:hAnsi="Arial"/>
          <w:color w:val="000000"/>
          <w:sz w:val="20"/>
        </w:rPr>
        <w:t>From time to time, we may also disclose interim data from our nonclinical studies and clinical trials. For example, in October 2022 we announced that an independent DMC had conducted an unblinded interim efficacy and futility analysis with respect to our Phase 2/3 LIFT-AD clinical trial.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w:t>
      </w:r>
    </w:p>
    <w:p>
      <w:pPr>
        <w:pStyle w:val="TextBody"/>
        <w:bidi w:val="0"/>
        <w:spacing w:before="240" w:after="283"/>
        <w:jc w:val="both"/>
        <w:rPr>
          <w:rFonts w:ascii="Arial" w:hAnsi="Arial"/>
          <w:color w:val="000000"/>
          <w:sz w:val="20"/>
        </w:rPr>
      </w:pPr>
      <w:r>
        <w:rPr>
          <w:rFonts w:ascii="Arial" w:hAnsi="Arial"/>
          <w:color w:val="000000"/>
          <w:sz w:val="20"/>
        </w:rPr>
        <w:t>Additionally, we rely on data received from clinical trials, whether preliminary or final, to inform decisions on future clinical trials, including trial design, trial size, and whether or not to initiate additional clinical trials (including any potential confirmatory or Phase 3 registrational trials). For example, in November 2020, we initiated ACT-AD, an exploratory Phase 2 clinical trial, to better understand the overall effects of fosgonimeton on working memory processing speed and cognitive measures. Topline results of ACT-AD were announced in June 2022. We used these data to help inform strategic decisions around LIFT-AD and expect to use these data to help inform strategic decisions in the future around current clinical trials and any additional trials that we may initiate. Topline results are based on a preliminary analysis of then-available data, and a more comprehensive and full review of the data may result in different conclusions, which could have a negative impact on our decisions regarding any additional trials for fosgonimeton. There is no assurance that the amendments to our ongoing LIFT-AD trial based on our findings from the ACT-AD trial and our interim analysis of the LIFT-AD trial will ultimately result in a successful trial. For example, our biomarker data may not translate into a statistically significant clinical benefit, the FDA may not agree with our statistical plan or analyses, or the trial may not be sufficiently powered for our endpoint measures.</w:t>
      </w:r>
    </w:p>
    <w:p>
      <w:pPr>
        <w:pStyle w:val="TextBody"/>
        <w:bidi w:val="0"/>
        <w:spacing w:before="240" w:after="283"/>
        <w:jc w:val="both"/>
        <w:rPr>
          <w:rFonts w:ascii="Times New Roman" w:hAnsi="Times New Roman"/>
          <w:sz w:val="20"/>
        </w:rPr>
      </w:pPr>
      <w:r>
        <w:rPr>
          <w:rFonts w:ascii="Arial" w:hAnsi="Arial"/>
          <w:color w:val="000000"/>
          <w:sz w:val="20"/>
        </w:rPr>
        <w:t>Further, others, including regulatory agencies, may not accept or agree with our assumptions, estimates, calculations, conclusions or analyses or may interpret or weigh the importance of data differently, which could impact the value of the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particular program, the approvability or commercialization of the particular drug candidate or drug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drug candidates may be harmed, which could harm our business, operating results, prospects or financial condition.</w:t>
      </w:r>
    </w:p>
    <w:p>
      <w:pPr>
        <w:pStyle w:val="TextBody"/>
        <w:bidi w:val="0"/>
        <w:spacing w:before="240" w:after="283"/>
        <w:jc w:val="both"/>
        <w:rPr>
          <w:rFonts w:ascii="Times New Roman" w:hAnsi="Times New Roman"/>
          <w:sz w:val="20"/>
        </w:rPr>
      </w:pPr>
      <w:r>
        <w:rPr>
          <w:rFonts w:ascii="Arial" w:hAnsi="Arial"/>
          <w:b/>
          <w:i/>
          <w:color w:val="000000"/>
          <w:sz w:val="20"/>
        </w:rPr>
        <w:t>If we experience delays or difficulties in the enrollment or retention of patients in clinical trials, our regulatory submissions or receipt of necessary marketing approvals could be delayed or prevented.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may not be able to initiate or continue clinical trials for our drug candidates if we are unable to recruit and enroll a sufficient number of eligible patients to participate in these clinical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Patient enrollment may also be affected if our competitors have ongoing clinical trials for programs that are under development for the same indications as our drug candidates, and patients who would otherwise be eligible for our clinical trials instead enroll in clinical trials of our competitors’ programs. Additionally, publicly reported results of our completed clinical trials may impact enrollment of our trials in progress. If we are unable to locate a sufficient number of such patients, our clinical trial and development plans could be delayed.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we are delayed or unsuccessful in enrolling the desired number of subjects in our trials, whether as a result of the outcomes of prior trials conducted by us, competing clinical trials, overly stringent eligibility requirements, or other factors, our clinical trial results could be delayed, the costs of our clinical trials could materially increase, and the overall development timeline for fosgonimeton could be negatively impacted. For example, enrollment in our clinical trials had slowed due to the effects of the COVID-19 pandemic, including governmental restrictions imposed in Australia, where certain of our clinical trial sites were located. In our ACT-AD clinical trial, this slowed recruitment resulted in a change in the timing of topline results from our Phase 2 ACT-AD clinical trial, which were announced in June 2022. We cannot ensure that similar enrollment issues will not occur again in the future. Even if we are successful in enrolling the targeted number of subjects in our trials, the FDA and other regulators may request additional clinical trials with larger numbers of subjects (including potential confirmatory or Phase 3 registrational trials) as a condition to any regulatory approval.</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inability to enroll a sufficient number of patients for our clinical trials would result in significant delays or may require us to abandon one or more clinical trials altogether. Further, to the extent any of our clinical trial sites fail to comply with the approved study protocol, good clinical practices, or FDA regulations, we may be required to exclude such sites, participants such sites may have enrolled, as well as the data collected by such sites. If any of these events were to occur, or if we are required to exclude any data for any reason, we may be required to recruit more sites or more participants than we initially thought. Enrollment delays or other delays in our clinical trials may result in increased development costs for our drug candidates and jeopardize our ability to obtain marketing approval for the sale of our drug candidates. Furthermore, even if we are able to enroll a sufficient number of patients for our clinical trials, we may have difficulty maintaining participation in our clinical trials through the treatment and any follow-up periods.</w:t>
      </w:r>
    </w:p>
    <w:p>
      <w:pPr>
        <w:pStyle w:val="TextBody"/>
        <w:bidi w:val="0"/>
        <w:spacing w:before="240" w:after="283"/>
        <w:jc w:val="both"/>
        <w:rPr>
          <w:rFonts w:ascii="Times New Roman" w:hAnsi="Times New Roman"/>
          <w:sz w:val="20"/>
        </w:rPr>
      </w:pPr>
      <w:r>
        <w:rPr>
          <w:rFonts w:ascii="Arial" w:hAnsi="Arial"/>
          <w:b/>
          <w:i/>
          <w:color w:val="000000"/>
          <w:sz w:val="20"/>
        </w:rPr>
        <w:t>We face significant competition, and if our competitors develop and market technologies or products more rapidly than we do or that are more effective, safer, or less expensive than the drug candidates we develop, our commercial opportunities will be negatively impacted.</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biotechnology and pharmaceutical industries utilize rapidly advancing technologies and are characterized by intense competition. While we believe that our scientific knowledge, technology and development expertise provide us with competitive advantages, we face competitive pressures from both large and small pharmaceutical companies, emerging biotechnology companies, as well as academic, government and private research institutions. Many of our competitors have access to greater financial resources, market presence, expertise in development, preclinical and clinical testing, manufacturing, commercialization, regulatory approval process, or marketing and sales than we do. Our competitors may compete with us in patient recruitment, use of clinical research organizations, and procurement of operational resources. As a result, our competitors may discover, develop, license or commercialize products before or more successfully than we do.</w:t>
      </w:r>
    </w:p>
    <w:p>
      <w:pPr>
        <w:pStyle w:val="TextBody"/>
        <w:bidi w:val="0"/>
        <w:spacing w:before="240" w:after="283"/>
        <w:jc w:val="both"/>
        <w:rPr>
          <w:rFonts w:ascii="Times New Roman" w:hAnsi="Times New Roman"/>
          <w:sz w:val="20"/>
        </w:rPr>
      </w:pPr>
      <w:r>
        <w:rPr>
          <w:rFonts w:ascii="Arial" w:hAnsi="Arial"/>
          <w:color w:val="000000"/>
          <w:sz w:val="20"/>
        </w:rPr>
        <w:t>Drug candidates that we may successfully develop and commercialize will compete with existing therapies and new therapies that may become available in the future. For example, the FDA recently granted traditional approval for lecanemab, a drug developed by Biogen Inc. and Eisai Co., Ltd., and Eli Lilly and Company is also developing drug candidates for AD. Key product features that would affect our ability to effectively compete with other therapeutics include the efficacy, safety and convenience of our drug products. Our competitors may obtain patent protection or other intellectual property rights that limit our ability to develop or commercialize our drug candidates. The availability of reimbursement from</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government and other third-party payors will also significantly affect the pricing and competitiveness of our drug products. For example, the U.S. Centers for Medicare &amp; Medicaid Services, or CMS, announced a two-part National Coverage Determination, or NCD, under which Medicare will cover monoclonal antibodies that target amyloid (or plaque) for the treatment of AD that receive traditional approval from the FDA under coverage with evidence development. Additionally, for drugs that FDA has not determined to have shown a clinical benefit or that received an accelerated approval, Medicare will provide coverage in FDA or NIH approved clinical trials. In June 2023, CMS announced that Medicare will cover new Alzheimer’s drugs with traditional FDA approval when a physician and clinical team participate in CMS’ registry to collect evidence about how these drugs work in the real world. Current and future CMS coverage restrictions on classes of drugs that encompass our drug candidates could have a material adverse impact on our ability to commercialize our drug candidates, if approved, generate revenue and attain profitability. It is unclear how future CMS coverage decisions and policies will impact our business. Our competitors may also obtain FDA or other regulatory approval for their products more rapidly than we may obtain approval for ours, which could result in our competitors establishing a strong market position before we are able to enter the market. For additional information regarding our competition, see the section titled “Part I, Item 1 – Business—Competition” in our Annual Report on Form 10-K filed with the SEC on February 22, 2024.</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may expend our limited resources to pursue a particular drug candidate or indication and fail to capitalize on drug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or a greater likelihood of success. Our resource allocation decisions may cause us to fail to capitalize on viable commercial products or profitable market opportunities. Our spending on current and future research and development programs and drug candidates for specific indications may not yield any commercially viable products.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w:t>
      </w:r>
    </w:p>
    <w:p>
      <w:pPr>
        <w:pStyle w:val="TextBody"/>
        <w:bidi w:val="0"/>
        <w:spacing w:before="240" w:after="283"/>
        <w:jc w:val="both"/>
        <w:rPr>
          <w:rFonts w:ascii="Times New Roman" w:hAnsi="Times New Roman"/>
          <w:sz w:val="20"/>
        </w:rPr>
      </w:pPr>
      <w:r>
        <w:rPr>
          <w:rFonts w:ascii="Arial" w:hAnsi="Arial"/>
          <w:b/>
          <w:i/>
          <w:color w:val="000000"/>
          <w:sz w:val="20"/>
        </w:rPr>
        <w:t>We may develop drug candidates in combination with other therapies, which exposes us to additional risks.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may develop drug candidates in combination with one or more other approved or unapproved therapies. Even if any drug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drug product or that safety, efficacy, manufacturing or supply issues could arise with any of those existing therapies. If the therapies we use in combination with our drug candidates are replaced as the standard of care for the indications we choose for any of our drug candidates, the FDA or comparable foreign regulatory authorities may require us to conduct additional clinical trials. The occurrence of any of these risks could result in our own drug products, if approved, being removed from the market or being less successful commercially.</w:t>
      </w:r>
    </w:p>
    <w:p>
      <w:pPr>
        <w:pStyle w:val="TextBody"/>
        <w:bidi w:val="0"/>
        <w:spacing w:before="240" w:after="283"/>
        <w:jc w:val="both"/>
        <w:rPr>
          <w:rFonts w:ascii="Arial" w:hAnsi="Arial"/>
          <w:color w:val="000000"/>
          <w:sz w:val="20"/>
        </w:rPr>
      </w:pPr>
      <w:r>
        <w:rPr>
          <w:rFonts w:ascii="Arial" w:hAnsi="Arial"/>
          <w:color w:val="000000"/>
          <w:sz w:val="20"/>
        </w:rPr>
        <w:t>We also may choose to evaluate drug candidates in combination with one or more therapies that have not yet been approved for marketing by the FDA or comparable foreign regulatory authorities. We will not be able to market and sell any drug candidate we develop in combination with an unapproved therapy for a combination indication if that unapproved therapy does not ultimately obtain marketing approval either alone or in combination with our drug product. In addition, unapproved therapies face the same risks described with respect to our drug candidates currently in development and clinical trials, including the potential for serious adverse effects, delay in their clinical trials and lack of FDA approval. If the FDA or comparable foreign regulatory authorities do not approve these other drugs or revoke their approval of, or if safety, efficacy, quality, manufacturing or supply issues arise with, the drugs we choose to evaluate in combination with our drug candidate we develop, we may be unable to obtain approval of or market such combination therapy.</w:t>
      </w:r>
    </w:p>
    <w:p>
      <w:pPr>
        <w:pStyle w:val="TextBody"/>
        <w:bidi w:val="0"/>
        <w:spacing w:before="240" w:after="283"/>
        <w:jc w:val="both"/>
        <w:rPr>
          <w:rFonts w:ascii="Times New Roman" w:hAnsi="Times New Roman"/>
          <w:sz w:val="20"/>
        </w:rPr>
      </w:pPr>
      <w:r>
        <w:rPr>
          <w:rFonts w:ascii="Arial" w:hAnsi="Arial"/>
          <w:b/>
          <w:i/>
          <w:color w:val="000000"/>
          <w:sz w:val="20"/>
        </w:rPr>
        <w:t>Our long-term prospects depend in part upon discovering, developing and commercializing additional drug candidates, which may fail in development or suffer delays that adversely affect their commercial viability.</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future operating results are dependent on our ability to successfully discover, develop, obtain regulatory approval for and commercialize drug candidates beyond those we currently have in clinical and nonclinical development. A drug candidate can unexpectedly fail at any stage of nonclinical and clinical development. The historical failure rate for drug candidates is high due to risks relating to safety, efficacy, clinical execution, changing standards of medical care and other unpredictable variables. The results from nonclinical testing or early clinical trials of a drug candidate may not be predictive of the results that will be obtained in later stage clinical trials of the drug candidate.</w:t>
      </w:r>
    </w:p>
    <w:p>
      <w:pPr>
        <w:pStyle w:val="TextBody"/>
        <w:bidi w:val="0"/>
        <w:spacing w:before="240" w:after="283"/>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success of other future drug candidates we may develop will depend on many factors,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generating sufficient data to support the initiation or continuation of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regulatory permission to initiate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contracting with the necessary parties to conduct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successful enrollment of patients in, and the completion of, clinical trials on a timely basis;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timely manufacture of sufficient quantities of the drug candidate for use in clinical trials;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adverse events in the clinical trials.</w:t>
      </w:r>
    </w:p>
    <w:p>
      <w:pPr>
        <w:pStyle w:val="TextBody"/>
        <w:bidi w:val="0"/>
        <w:spacing w:before="240" w:after="283"/>
        <w:jc w:val="both"/>
        <w:rPr>
          <w:rFonts w:ascii="Arial" w:hAnsi="Arial"/>
          <w:color w:val="000000"/>
          <w:sz w:val="20"/>
        </w:rPr>
      </w:pPr>
      <w:r>
        <w:rPr>
          <w:rFonts w:ascii="Arial" w:hAnsi="Arial"/>
          <w:color w:val="000000"/>
          <w:sz w:val="20"/>
        </w:rPr>
        <w:t>Even if we successfully advance any other future drug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future drug candidates.</w:t>
      </w:r>
    </w:p>
    <w:p>
      <w:pPr>
        <w:pStyle w:val="TextBody"/>
        <w:bidi w:val="0"/>
        <w:spacing w:before="240" w:after="283"/>
        <w:jc w:val="both"/>
        <w:rPr>
          <w:rFonts w:ascii="Arial" w:hAnsi="Arial"/>
          <w:b/>
          <w:color w:val="000000"/>
          <w:sz w:val="20"/>
        </w:rPr>
      </w:pPr>
      <w:r>
        <w:rPr>
          <w:rFonts w:ascii="Arial" w:hAnsi="Arial"/>
          <w:b/>
          <w:color w:val="000000"/>
          <w:sz w:val="20"/>
        </w:rPr>
        <w:t>Risks Relating to Health Epidemics</w:t>
      </w:r>
    </w:p>
    <w:p>
      <w:pPr>
        <w:pStyle w:val="TextBody"/>
        <w:bidi w:val="0"/>
        <w:spacing w:before="240" w:after="283"/>
        <w:jc w:val="both"/>
        <w:rPr>
          <w:rFonts w:ascii="Arial" w:hAnsi="Arial"/>
          <w:b/>
          <w:i/>
          <w:color w:val="000000"/>
          <w:sz w:val="20"/>
        </w:rPr>
      </w:pPr>
      <w:r>
        <w:rPr>
          <w:rFonts w:ascii="Arial" w:hAnsi="Arial"/>
          <w:b/>
          <w:i/>
          <w:color w:val="000000"/>
          <w:sz w:val="20"/>
        </w:rPr>
        <w:t>The potential effects of health epidemics could adversely impact our business, including our nonclinical studies and clinical trials.</w:t>
      </w:r>
    </w:p>
    <w:p>
      <w:pPr>
        <w:pStyle w:val="TextBody"/>
        <w:bidi w:val="0"/>
        <w:spacing w:before="240" w:after="283"/>
        <w:jc w:val="both"/>
        <w:rPr>
          <w:rFonts w:ascii="Times New Roman" w:hAnsi="Times New Roman"/>
          <w:sz w:val="20"/>
        </w:rPr>
      </w:pPr>
      <w:r>
        <w:rPr>
          <w:rFonts w:ascii="Arial" w:hAnsi="Arial"/>
          <w:color w:val="000000"/>
          <w:sz w:val="20"/>
        </w:rPr>
        <w:t>Our business could in the future be adversely impacted by the effects of possible health epidemics and other outbreaks which could cause disruptions that could severely impact our business, nonclinical studies and clinical trials. Such disruptions may include: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delays or difficulties in enrolling and retaining patients in our clinical trials, particularly elderly subjects, who may be at a higher risk of severe illness or death, which can be further complicated by the presence of comorbidities that are often present in AD subjects;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difficulties interpreting data from our clinical trials due to the possible effects of such diseases on cognition of the subjects enrolled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delays or difficulties in clinical site initiation, including difficulties in recruiting clinical site investigators and clinical site staff;</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diversion of healthcare resources away from the conduct of clinical trials, including the diversion of hospitals serving as our clinical trial sites and hospital staff supporting the conduct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interruption or delays in the operations of the FDA or other regulatory authorities, which may impact review and approval timelines;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interruption of, or delays in receiving, supplies of our drug candidates from our contract manufacturing organizations due to staffing shortages, production slowdowns or stoppages and disruptions in delivery systems;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interruptions in nonclinical studies due to restricted or limited operations at our laboratory facility;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limitations on employee resources that would otherwise be focused on the conduct of our nonclinical studies and clinical trials, including because of sickness of employees or their families or the desire of employees to avoid contact with large groups of people;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interruptions, difficulties or delays arising in our existing operations and company culture as a result of some or all of our employees working remotely;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interruption or delays to our sourced discovery and clinical activities;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in clinical site procedures and requirements as well as regulatory requirements for conducting clinical trials during the pandemic.</w:t>
      </w:r>
    </w:p>
    <w:p>
      <w:pPr>
        <w:pStyle w:val="TextBody"/>
        <w:bidi w:val="0"/>
        <w:spacing w:before="240" w:after="283"/>
        <w:jc w:val="both"/>
        <w:rPr>
          <w:rFonts w:ascii="Times New Roman" w:hAnsi="Times New Roman"/>
          <w:sz w:val="20"/>
        </w:rPr>
      </w:pPr>
      <w:r>
        <w:rPr>
          <w:rFonts w:ascii="Arial" w:hAnsi="Arial"/>
          <w:color w:val="000000"/>
          <w:sz w:val="20"/>
        </w:rPr>
        <w:t>For example, in the event of a disease outbreak or resurgence of COVID-19, we could be required to develop and implement additional clinical trial policies and procedures designed to help protect subjects from such diseases. On May 11, 2023, the federal government ended the COVID-19 public health emergency, which ended a number of temporary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changes made to federally funded programs while some continue to be in effect. Since March 2020, the FDA has issued various COVID-19 related guidance documents for sponsors and manufacturers, many of which have expired or were withdrawn with the expiration of the COVID-19 public health emergency declaration, although some COVID-19 related guidance documents continue in effect. The full impact of this termination of the national emergency and the wind-down of the public health emergency on FDA and other regulatory policies and operations is unclear.</w:t>
      </w:r>
    </w:p>
    <w:p>
      <w:pPr>
        <w:pStyle w:val="TextBody"/>
        <w:bidi w:val="0"/>
        <w:spacing w:before="240" w:after="283"/>
        <w:jc w:val="both"/>
        <w:rPr>
          <w:rFonts w:ascii="Arial" w:hAnsi="Arial"/>
          <w:color w:val="000000"/>
          <w:sz w:val="20"/>
        </w:rPr>
      </w:pPr>
      <w:r>
        <w:rPr>
          <w:rFonts w:ascii="Arial" w:hAnsi="Arial"/>
          <w:color w:val="000000"/>
          <w:sz w:val="20"/>
        </w:rPr>
        <w:t>The trading prices for shares of biopharmaceutical companies have in the past been and could in the future be highly volatile as a result of health epidemics, including the COVID-19 pandemic, and the trading prices for shares of our common stock could also experience high volatility. In the event of an emergence of new disease outbreaks or a resurgence of COVID-19, we could face difficulties raising capital through sales of our common stock or such sales may be on unfavorable terms. In addition, a recession, depression or other sustained adverse market event resulting from a health epidemic, including a resurgence of COVID-19, could materially and adversely affect our business and the value of our common stock.</w:t>
      </w:r>
    </w:p>
    <w:p>
      <w:pPr>
        <w:pStyle w:val="TextBody"/>
        <w:bidi w:val="0"/>
        <w:spacing w:before="240" w:after="283"/>
        <w:jc w:val="both"/>
        <w:rPr>
          <w:rFonts w:ascii="Arial" w:hAnsi="Arial"/>
          <w:color w:val="000000"/>
          <w:sz w:val="20"/>
        </w:rPr>
      </w:pPr>
      <w:r>
        <w:rPr>
          <w:rFonts w:ascii="Arial" w:hAnsi="Arial"/>
          <w:color w:val="000000"/>
          <w:sz w:val="20"/>
        </w:rPr>
        <w:t>The ultimate impact of a possible health epidemic or other outbreak, including a resurgence of COVID-19, on our business operations is highly uncertain and subject to change and will depend on future developments, which cannot be accurately predicted. In addition, our business could be significantly adversely affected by other business disruptions to us or our third-party providers that could seriously harm our potential future revenue and financial condition and increase our costs and expenses. Our operations, and those of our CROs, commercial manufacturing organizations, or CMOs, and other contractors, consultants, and third parties could be subject to other global pandemics,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and process our drug candidates. Our ability to obtain clinical supplies of our drug candidates could be disrupted if the operations of these suppliers are affected by a man-made or natural disaster or other business interruption.</w:t>
      </w:r>
    </w:p>
    <w:p>
      <w:pPr>
        <w:pStyle w:val="TextBody"/>
        <w:bidi w:val="0"/>
        <w:spacing w:before="240" w:after="283"/>
        <w:jc w:val="both"/>
        <w:rPr>
          <w:rFonts w:ascii="Arial" w:hAnsi="Arial"/>
          <w:b/>
          <w:color w:val="000000"/>
          <w:sz w:val="20"/>
        </w:rPr>
      </w:pPr>
      <w:r>
        <w:rPr>
          <w:rFonts w:ascii="Arial" w:hAnsi="Arial"/>
          <w:b/>
          <w:color w:val="000000"/>
          <w:sz w:val="20"/>
        </w:rPr>
        <w:t>Risks Relating to Our Financial Position and Capital Needs</w:t>
      </w:r>
    </w:p>
    <w:p>
      <w:pPr>
        <w:pStyle w:val="TextBody"/>
        <w:bidi w:val="0"/>
        <w:spacing w:before="240" w:after="283"/>
        <w:jc w:val="both"/>
        <w:rPr>
          <w:rFonts w:ascii="Arial" w:hAnsi="Arial"/>
          <w:b/>
          <w:i/>
          <w:color w:val="000000"/>
          <w:sz w:val="20"/>
        </w:rPr>
      </w:pPr>
      <w:r>
        <w:rPr>
          <w:rFonts w:ascii="Arial" w:hAnsi="Arial"/>
          <w:b/>
          <w:i/>
          <w:color w:val="000000"/>
          <w:sz w:val="20"/>
        </w:rPr>
        <w:t>We have incurred significant losses since our inception and anticipate that we will continue to incur significant losses for the foreseeable future.</w:t>
      </w:r>
    </w:p>
    <w:p>
      <w:pPr>
        <w:pStyle w:val="TextBody"/>
        <w:bidi w:val="0"/>
        <w:spacing w:before="240" w:after="283"/>
        <w:jc w:val="both"/>
        <w:rPr>
          <w:rFonts w:ascii="Times New Roman" w:hAnsi="Times New Roman"/>
          <w:sz w:val="20"/>
        </w:rPr>
      </w:pPr>
      <w:r>
        <w:rPr>
          <w:rFonts w:ascii="Arial" w:hAnsi="Arial"/>
          <w:color w:val="000000"/>
          <w:sz w:val="20"/>
        </w:rPr>
        <w:t>We have not generated any revenue from drug product sales and our drug candidates will require substantial additional investment before they may provide us with any revenue. We had net losses of $26.3 million and $27.8 million for the three months ended March 31, 2024 and 2023</w:t>
      </w:r>
      <w:r>
        <w:rPr>
          <w:rFonts w:ascii="Arial" w:hAnsi="Arial"/>
          <w:color w:val="212529"/>
          <w:sz w:val="20"/>
        </w:rPr>
        <w:t>, respectively, and an accumulated deficit of $335.5 million as of March 31, 2024.</w:t>
      </w:r>
    </w:p>
    <w:p>
      <w:pPr>
        <w:pStyle w:val="TextBody"/>
        <w:bidi w:val="0"/>
        <w:spacing w:before="240" w:after="283"/>
        <w:jc w:val="both"/>
        <w:rPr>
          <w:rFonts w:ascii="Times New Roman" w:hAnsi="Times New Roman"/>
          <w:sz w:val="20"/>
        </w:rPr>
      </w:pPr>
      <w:r>
        <w:rPr>
          <w:rFonts w:ascii="Arial" w:hAnsi="Arial"/>
          <w:color w:val="212529"/>
          <w:sz w:val="20"/>
        </w:rPr>
        <w:t xml:space="preserve">We have devoted most of our financial resources to research and development, including our clinical and nonclinical development </w:t>
      </w:r>
      <w:r>
        <w:rPr>
          <w:rFonts w:ascii="Arial" w:hAnsi="Arial"/>
          <w:color w:val="000000"/>
          <w:sz w:val="20"/>
        </w:rPr>
        <w:t>activities. To date, we have financed our operations primarily with proceeds from the sale and issuance of common stock, convertible preferred stock, common stock warrants, and convertible notes, and to a lesser extent from grant income and stock option exercises.</w:t>
      </w:r>
    </w:p>
    <w:p>
      <w:pPr>
        <w:pStyle w:val="TextBody"/>
        <w:bidi w:val="0"/>
        <w:spacing w:before="240" w:after="283"/>
        <w:jc w:val="both"/>
        <w:rPr>
          <w:rFonts w:ascii="Times New Roman" w:hAnsi="Times New Roman"/>
          <w:sz w:val="20"/>
        </w:rPr>
      </w:pPr>
      <w:r>
        <w:rPr>
          <w:rFonts w:ascii="Arial" w:hAnsi="Arial"/>
          <w:color w:val="000000"/>
          <w:sz w:val="20"/>
        </w:rPr>
        <w:t>We expect to incur significant expenses and increasing operating losses for the foreseeable future as we: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continue our research and nonclinical and clinical development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expand the scope of our clinical studies for our current and prospective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initiate additional nonclinical, clinical or other studies for our drug candidates, including any potentially pivotal trials with respect to fosgonimeton for the treatment of mild-to-moderate AD in addition to LIFT-AD, and continue the open label extension of the ACT-AD and LIFT-AD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 or add additional manufacturers or suppliers and manufacture drug supply and drug product for clinical trials and commercialization;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seek regulatory and marketing approvals for any of our drug candidates that successfully complete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attract, hire and retain additional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operate as a public company;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continue to expand our facilities and lab space;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seek to identify and validate additional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acquire or in-license other drug candidates and technologies or engage in other strategic transactions;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make milestone or other payments under our in-license or other agreements;</w:t>
      </w:r>
    </w:p>
    <w:p>
      <w:pPr>
        <w:pStyle w:val="TextBody"/>
        <w:bidi w:val="0"/>
        <w:spacing w:before="240" w:after="283"/>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maintain, protect and expand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establish a sales, marketing and distribution infrastructure to commercialize any drug products for which we may obtain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create additional infrastructure to support our operations and our drug product development and planned future commercialization efforts;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incur expenses in connection with legal proceedings, and addressing potential stockholder activism;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experience any delays or encounter issues with any of the above.</w:t>
      </w:r>
    </w:p>
    <w:p>
      <w:pPr>
        <w:pStyle w:val="TextBody"/>
        <w:bidi w:val="0"/>
        <w:spacing w:before="240" w:after="283"/>
        <w:jc w:val="both"/>
        <w:rPr>
          <w:rFonts w:ascii="Times New Roman" w:hAnsi="Times New Roman"/>
          <w:sz w:val="20"/>
        </w:rPr>
      </w:pPr>
      <w:r>
        <w:rPr>
          <w:rFonts w:ascii="Arial" w:hAnsi="Arial"/>
          <w:color w:val="000000"/>
          <w:sz w:val="20"/>
        </w:rPr>
        <w:t xml:space="preserve">Our expenses could increase beyond expectations for a variety of reasons, including if we are required by the FDA, the European Medicines Agency, or EMA, or other regulatory agencies, domestic or foreign, to perform clinical and other </w:t>
      </w:r>
      <w:r>
        <w:rPr>
          <w:rFonts w:ascii="Arial" w:hAnsi="Arial"/>
          <w:color w:val="212529"/>
          <w:sz w:val="20"/>
        </w:rPr>
        <w:t xml:space="preserve">studies </w:t>
      </w:r>
      <w:r>
        <w:rPr>
          <w:rFonts w:ascii="Arial" w:hAnsi="Arial"/>
          <w:color w:val="000000"/>
          <w:sz w:val="20"/>
        </w:rPr>
        <w:t>in addition to those that we currently anticipate. Our prior losses, combined with expected future losses, have had and will continue to have an adverse effect on our stockholders’ equity.</w:t>
      </w:r>
    </w:p>
    <w:p>
      <w:pPr>
        <w:pStyle w:val="TextBody"/>
        <w:bidi w:val="0"/>
        <w:spacing w:before="240" w:after="283"/>
        <w:jc w:val="both"/>
        <w:rPr>
          <w:rFonts w:ascii="Times New Roman" w:hAnsi="Times New Roman"/>
          <w:sz w:val="20"/>
        </w:rPr>
      </w:pPr>
      <w:r>
        <w:rPr>
          <w:rFonts w:ascii="Arial" w:hAnsi="Arial"/>
          <w:b/>
          <w:i/>
          <w:color w:val="000000"/>
          <w:sz w:val="20"/>
        </w:rPr>
        <w:t>We will require substantial additional funding to finance our operations, complete the development and commercialization of fosgonimeton, and develop and commercialize other and future drug candidates. If we are unable to raise this funding when needed, we may be forced to delay, reduce, or eliminate our drug product development programs or other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 xml:space="preserve">Since our inception, we have used substantial amounts of cash to fund our operations, and we expect our expenses to increase substantially in the foreseeable future in connection with our ongoing activities, particularly as we continue the research and development of, initiate clinical trials of, and seek marketing approval for, fosgonimeton. Developing fosgonimeton and conducting clinical trials for the treatment of AD, PDD, DLB, and any other indications that we may pursue in the future will require substantial amounts of capital. In addition, if we </w:t>
      </w:r>
      <w:r>
        <w:rPr>
          <w:rFonts w:ascii="Arial" w:hAnsi="Arial"/>
          <w:color w:val="212529"/>
          <w:sz w:val="20"/>
        </w:rPr>
        <w:t xml:space="preserve">obtain marketing approval for fosgonimeton or any future </w:t>
      </w:r>
      <w:r>
        <w:rPr>
          <w:rFonts w:ascii="Arial" w:hAnsi="Arial"/>
          <w:color w:val="000000"/>
          <w:sz w:val="20"/>
        </w:rPr>
        <w:t>drug</w:t>
      </w:r>
      <w:r>
        <w:rPr>
          <w:rFonts w:ascii="Times New Roman" w:hAnsi="Times New Roman"/>
          <w:color w:val="212529"/>
          <w:sz w:val="20"/>
        </w:rPr>
        <w:t xml:space="preserve"> </w:t>
      </w:r>
      <w:r>
        <w:rPr>
          <w:rFonts w:ascii="Arial" w:hAnsi="Arial"/>
          <w:color w:val="212529"/>
          <w:sz w:val="20"/>
        </w:rPr>
        <w:t>candidates, we expect to incur significant commercialization expenses related to sales, marketing, manufacturing, and distribution. Furthermore, we expect to continue to incur additional costs associated with operating as a public company.</w:t>
      </w:r>
      <w:r>
        <w:rPr>
          <w:rFonts w:ascii="Times New Roman" w:hAnsi="Times New Roman"/>
          <w:color w:val="212529"/>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Accordingly, we will need to obtain substantial additional funding in connection with our continuing operations. As of March 31, 2024, we had cash, cash equivalents and investments of $122.1 million. Based upon our current operating plan, we estimate that our existing cash, cash equivalents and investments will be sufficient to fund our operating expenses and capital expenditure requirements through at least the next 12 months following the date of this report. However,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pStyle w:val="TextBody"/>
        <w:bidi w:val="0"/>
        <w:spacing w:before="240" w:after="283"/>
        <w:jc w:val="both"/>
        <w:rPr>
          <w:rFonts w:ascii="Times New Roman" w:hAnsi="Times New Roman"/>
          <w:sz w:val="20"/>
        </w:rPr>
      </w:pPr>
      <w:r>
        <w:rPr>
          <w:rFonts w:ascii="Arial" w:hAnsi="Arial"/>
          <w:color w:val="212529"/>
          <w:sz w:val="20"/>
        </w:rPr>
        <w:t xml:space="preserve">The </w:t>
      </w:r>
      <w:r>
        <w:rPr>
          <w:rFonts w:ascii="Arial" w:hAnsi="Arial"/>
          <w:color w:val="000000"/>
          <w:sz w:val="20"/>
        </w:rPr>
        <w:t>amount and timing of our future funding requirements depends on many factors, some of which are outside of our control, including but not limited to:</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progress, costs, clinical trial design, results of and timing of our LIFT-AD trial and other clinical trials of fosgonimeton, including for potential additional indications that we are pursuing beyond AD, such as PDD, DLB, and the continuation of the open label extension of the ACT-AD and LIFT-AD trials;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willingness of the FDA and EMA to accept our LIFT-AD trial, as well as data from our completed and planned clinical and nonclinical studies and other work, as the basis for review and approval of fosgonimeton for AD and the potential need for additional clinical trials (including potential confirmatory or Phase 3 registrational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outcome, costs and timing of seeking and obtaining FDA, EMA and any other regulatory approvals;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number and characteristics of drug candidates that we pursue;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ability to manufacture sufficient quantities of our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need to expand our research and development activities;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costs associated with securing and establishing commercialization and manufacturing capabilities;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costs of acquiring, licensing or investing in businesses, drug candidates and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 timing and outcomes of any litigation involving our company, including securities class actions and government investigations which we may be or may in the future become involved in;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 </w:t>
      </w:r>
    </w:p>
    <w:p>
      <w:pPr>
        <w:pStyle w:val="TextBody"/>
        <w:bidi w:val="0"/>
        <w:spacing w:before="240" w:after="283"/>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need and ability to retain management and hire scientific, clinical and other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effect of competing drugs and drug candidates and other market developments;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need to implement additional internal systems and infrastructure, including financial and reporting systems;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economic and other terms, timing of and success of any collaboration, licensing or other arrangements into which we may enter in the future.</w:t>
      </w:r>
    </w:p>
    <w:p>
      <w:pPr>
        <w:pStyle w:val="TextBody"/>
        <w:bidi w:val="0"/>
        <w:spacing w:before="240" w:after="283"/>
        <w:jc w:val="both"/>
        <w:rPr>
          <w:rFonts w:ascii="Times New Roman" w:hAnsi="Times New Roman"/>
          <w:sz w:val="20"/>
        </w:rPr>
      </w:pPr>
      <w:r>
        <w:rPr>
          <w:rFonts w:ascii="Arial" w:hAnsi="Arial"/>
          <w:color w:val="000000"/>
          <w:sz w:val="20"/>
        </w:rPr>
        <w:t xml:space="preserve">In January 2023, we entered into a sales agreement with Cantor Fitzgerald &amp; Co., or Cantor Fitzgerald, and BTIG, LLC, or BTIG, to sell shares of our common stock having aggregate sales proceeds of up to $75.0 million, from time to time, through an at-the-market, or ATM, equity offering program under which Cantor Fitzgerald and BTIG are acting as sales agents. We have not sold any securities pursuant to this ATM offering. However, additional funding may not be available to us on acceptable terms or at all. Any such funding may result in dilution to stockholders, imposition of debt covenants and repayment obligations, or other restrictions that may affect our business. If we are </w:t>
      </w:r>
      <w:r>
        <w:rPr>
          <w:rFonts w:ascii="Arial" w:hAnsi="Arial"/>
          <w:color w:val="212529"/>
          <w:sz w:val="20"/>
        </w:rPr>
        <w:t xml:space="preserve">unable </w:t>
      </w:r>
      <w:r>
        <w:rPr>
          <w:rFonts w:ascii="Arial" w:hAnsi="Arial"/>
          <w:color w:val="000000"/>
          <w:sz w:val="20"/>
        </w:rPr>
        <w:t>to obtain funding on a timely basis, we may be required to significantly curtail or abandon one or more of our research or development programs. We also could be required to seek funds through arrangements with collaborative partners or otherwise that may require us to relinquish rights to some of our technologies or drug candidates or otherwise agree to terms unfavorable to us.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expect to finance our cash needs through a combination of public or private equity offerings, debt financings, collaborations, strategic alliances, licensing arrangements and other marketing or distribution arrangements. In addition, we may seek additional capital to take advantage of favorable market conditions or strategic opportunities even if we believe we have sufficient funds for our current or future operating plans.</w:t>
      </w:r>
    </w:p>
    <w:p>
      <w:pPr>
        <w:pStyle w:val="TextBody"/>
        <w:bidi w:val="0"/>
        <w:spacing w:before="240" w:after="283"/>
        <w:jc w:val="both"/>
        <w:rPr>
          <w:rFonts w:ascii="Arial" w:hAnsi="Arial"/>
          <w:color w:val="000000"/>
          <w:sz w:val="20"/>
        </w:rPr>
      </w:pPr>
      <w:r>
        <w:rPr>
          <w:rFonts w:ascii="Arial" w:hAnsi="Arial"/>
          <w:color w:val="000000"/>
          <w:sz w:val="20"/>
        </w:rPr>
        <w:t>Our ability to raise additional funds will depend on financial, economic and other factors, many of which are beyond our control. For example, the current inflationary economic environment, health epidemics, and rising interest rates have resulted in a disruption of global financial markets. If the disruption persists or deepens, we could be unable to access additional capital, which could negatively affect our ability to consummate certain corporate development transactions or other important, beneficial or opportunistic investments. If additional funds are not available to us when we need them, on terms that are acceptable to us, or at all, we may be required to take steps that could adversely impact our business, including delaying, limiting, reducing or terminating nonclinical studies, clinical trials or other research and development activities or eliminating one or more of our development programs altogether, or delaying, limiting or reducing or terminating efforts to prepare for commercialization of any future approved drug products. We currently have a shelf registration statement effective and an existing ATM equity offering program, however, our ability to raise capital under this registration statement and through our ATM equity offering program may be limited by, among other things, SEC rules and regulations impacting the eligibility of smaller companies to use Form S-3 for primary offerings of securities.</w:t>
      </w:r>
    </w:p>
    <w:p>
      <w:pPr>
        <w:pStyle w:val="TextBody"/>
        <w:bidi w:val="0"/>
        <w:spacing w:before="240" w:after="283"/>
        <w:jc w:val="both"/>
        <w:rPr>
          <w:rFonts w:ascii="Arial" w:hAnsi="Arial"/>
          <w:b/>
          <w:i/>
          <w:color w:val="000000"/>
          <w:sz w:val="20"/>
        </w:rPr>
      </w:pPr>
      <w:r>
        <w:rPr>
          <w:rFonts w:ascii="Arial" w:hAnsi="Arial"/>
          <w:b/>
          <w:i/>
          <w:color w:val="000000"/>
          <w:sz w:val="20"/>
        </w:rPr>
        <w:t>Adverse events or perceptions affecting the financial services industry could adversely affect our operating results, liquidity, financial condition and prospects.</w:t>
      </w:r>
    </w:p>
    <w:p>
      <w:pPr>
        <w:pStyle w:val="TextBody"/>
        <w:bidi w:val="0"/>
        <w:spacing w:before="240" w:after="283"/>
        <w:jc w:val="both"/>
        <w:rPr>
          <w:rFonts w:ascii="Arial" w:hAnsi="Arial"/>
          <w:color w:val="000000"/>
          <w:sz w:val="20"/>
        </w:rPr>
      </w:pPr>
      <w:r>
        <w:rPr>
          <w:rFonts w:ascii="Arial" w:hAnsi="Arial"/>
          <w:color w:val="000000"/>
          <w:sz w:val="20"/>
        </w:rPr>
        <w:t>Limited liquidity, defaults, non-performance or other adverse developments affecting financial institutions or parties with which we do business, or perceptions regarding these or similar risks, have in the past and may in the future lead to market-wide liquidity problems. For example, in March 2023, Silicon Valley Bank, or SVB, was closed and placed in receivership and subsequently, additional financial institutions have been placed into receivership. We did not hold cash deposits or other accounts with SVB and did not, and as of the date of this report do not, otherwise have a direct business relationship with SVB or similarly situated financial institutions. However, companies that did have a business relationship with SVB faced: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delayed access to deposits or other financial assets or the uninsured loss of deposits or other financial assets;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loss of access to revolving existing credit facilities or other working capital sources or the inability to refund, roll over or extend the maturity of, or enter into new credit facilities or other working capital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potential or actual breach of obligations, including U.S. federal and state wage laws and contracts that required them to maintain letters or credit or other credit support arrangements;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termination of cash management arrangements or delays in accessing or actual loss of funds subject to cash management arrangements.</w:t>
      </w:r>
    </w:p>
    <w:p>
      <w:pPr>
        <w:pStyle w:val="TextBody"/>
        <w:bidi w:val="0"/>
        <w:spacing w:before="240" w:after="283"/>
        <w:jc w:val="both"/>
        <w:rPr>
          <w:rFonts w:ascii="Times New Roman" w:hAnsi="Times New Roman"/>
          <w:sz w:val="20"/>
        </w:rPr>
      </w:pPr>
      <w:r>
        <w:rPr>
          <w:rFonts w:ascii="Arial" w:hAnsi="Arial"/>
          <w:color w:val="000000"/>
          <w:sz w:val="20"/>
        </w:rPr>
        <w:t>As a result of U.S. government intervention, account holders subsequently regained access to their accounts, including the uninsured portion of deposit accounts; however, borrowers under credit agreements, letters of credit and certain other financial instruments with SVB and similarly situated financial institutions were unable to access to such sources of liquidity. There is no guarantee that the U.S. government will intervene to provide access to uninsured funds in the future in the event of the failure of other financial institutions, or that they would do so in a timely fashion. In such an event, parties with which</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we have commercial agreements may be unable to satisfy their obligations to, or enter into new commercial arrangements with, us.</w:t>
      </w:r>
    </w:p>
    <w:p>
      <w:pPr>
        <w:pStyle w:val="TextBody"/>
        <w:bidi w:val="0"/>
        <w:spacing w:before="240" w:after="283"/>
        <w:jc w:val="both"/>
        <w:rPr>
          <w:rFonts w:ascii="Times New Roman" w:hAnsi="Times New Roman"/>
          <w:sz w:val="20"/>
        </w:rPr>
      </w:pPr>
      <w:r>
        <w:rPr>
          <w:rFonts w:ascii="Arial" w:hAnsi="Arial"/>
          <w:color w:val="000000"/>
          <w:sz w:val="20"/>
        </w:rPr>
        <w:t>Concerns regarding the U.S. or international financial systems could impact the availability and cost of financing, thereby making it more difficult for us to acquire financing on acceptable terms or at all.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Any of these risks could materially impact our operating results, liquidity, financial condition and prospects.</w:t>
      </w:r>
      <w:r>
        <w:rPr>
          <w:rFonts w:ascii="Times New Roman" w:hAnsi="Times New Roman"/>
          <w:color w:val="000000"/>
          <w:sz w:val="20"/>
        </w:rPr>
        <w:t xml:space="preserve"> </w:t>
      </w:r>
    </w:p>
    <w:p>
      <w:pPr>
        <w:pStyle w:val="TextBody"/>
        <w:bidi w:val="0"/>
        <w:spacing w:before="240" w:after="283"/>
        <w:jc w:val="both"/>
        <w:rPr>
          <w:rFonts w:ascii="Arial" w:hAnsi="Arial"/>
          <w:b/>
          <w:i/>
          <w:color w:val="212529"/>
          <w:sz w:val="20"/>
        </w:rPr>
      </w:pPr>
      <w:r>
        <w:rPr>
          <w:rFonts w:ascii="Arial" w:hAnsi="Arial"/>
          <w:b/>
          <w:i/>
          <w:color w:val="212529"/>
          <w:sz w:val="20"/>
        </w:rPr>
        <w:t>The value of our investments is subject to significant capital markets risk related to changes in interest rates and credit spreads as well as other investment risks, which may adversely affect our operating results, liquidity, financial condition and prospects.</w:t>
      </w:r>
    </w:p>
    <w:p>
      <w:pPr>
        <w:pStyle w:val="TextBody"/>
        <w:bidi w:val="0"/>
        <w:spacing w:before="240" w:after="283"/>
        <w:jc w:val="both"/>
        <w:rPr>
          <w:rFonts w:ascii="Arial" w:hAnsi="Arial"/>
          <w:color w:val="212529"/>
          <w:sz w:val="20"/>
        </w:rPr>
      </w:pPr>
      <w:r>
        <w:rPr>
          <w:rFonts w:ascii="Arial" w:hAnsi="Arial"/>
          <w:color w:val="212529"/>
          <w:sz w:val="20"/>
        </w:rPr>
        <w:t>Our results of operations are affected by the performance of our investment portfolio. Our excess cash is invested by an external investment management service provider, under the direction of our management in accordance with our investment policy. The investment policy defines constraints and guidelines that restrict the asset classes that we may invest in by type, duration, quality and value. Our investments are subject to market-wide risks, and fluctuations, as well as to risks inherent in particular securities. The failure of any of the investment risk strategies that we employ could have a material adverse effect on our operating results, liquidity, financial condition and prospects.</w:t>
      </w:r>
    </w:p>
    <w:p>
      <w:pPr>
        <w:pStyle w:val="TextBody"/>
        <w:bidi w:val="0"/>
        <w:spacing w:before="240" w:after="283"/>
        <w:jc w:val="both"/>
        <w:rPr>
          <w:rFonts w:ascii="Arial" w:hAnsi="Arial"/>
          <w:color w:val="212529"/>
          <w:sz w:val="20"/>
        </w:rPr>
      </w:pPr>
      <w:r>
        <w:rPr>
          <w:rFonts w:ascii="Arial" w:hAnsi="Arial"/>
          <w:color w:val="212529"/>
          <w:sz w:val="20"/>
        </w:rPr>
        <w:t>The value of our investments is exposed to capital market risks, and our results of operations, liquidity, financial condition or cash flows could be adversely affected by realized losses, impairments and changes in unrealized positions as a result of: significant market volatility, changes in interest rates, changes in credit spreads and defaults, a lack of pricing transparency, a reduction in market liquidity, declines in equity prices, changes in national, state/provincial or local laws and the strengthening or weakening of foreign currencies against the U.S. dollar. Levels of write-down or impairment are impacted by our assessment of the intent to sell securities that have declined in value as well as actual losses as a result of defaults or deterioration in estimates of cash flows. If we reposition or realign portions of the investment portfolio and sell securities in an unrealized loss position, we will incur realized losses. Any such charge may have a material adverse effect on our results of operations and business.</w:t>
      </w:r>
    </w:p>
    <w:p>
      <w:pPr>
        <w:pStyle w:val="TextBody"/>
        <w:bidi w:val="0"/>
        <w:spacing w:before="240" w:after="283"/>
        <w:jc w:val="both"/>
        <w:rPr>
          <w:rFonts w:ascii="Times New Roman" w:hAnsi="Times New Roman"/>
          <w:sz w:val="20"/>
        </w:rPr>
      </w:pPr>
      <w:r>
        <w:rPr>
          <w:rFonts w:ascii="Arial" w:hAnsi="Arial"/>
          <w:b/>
          <w:i/>
          <w:color w:val="212529"/>
          <w:sz w:val="20"/>
        </w:rPr>
        <w:t xml:space="preserve">Our ability to use net operating </w:t>
      </w:r>
      <w:r>
        <w:rPr>
          <w:rFonts w:ascii="Arial" w:hAnsi="Arial"/>
          <w:b/>
          <w:i/>
          <w:color w:val="000000"/>
          <w:sz w:val="20"/>
        </w:rPr>
        <w:t>losses</w:t>
      </w:r>
      <w:r>
        <w:rPr>
          <w:rFonts w:ascii="Times New Roman" w:hAnsi="Times New Roman"/>
          <w:color w:val="212529"/>
          <w:sz w:val="20"/>
        </w:rPr>
        <w:t xml:space="preserve"> </w:t>
      </w:r>
      <w:r>
        <w:rPr>
          <w:rFonts w:ascii="Arial" w:hAnsi="Arial"/>
          <w:b/>
          <w:i/>
          <w:color w:val="212529"/>
          <w:sz w:val="20"/>
        </w:rPr>
        <w:t>to offset future taxable income may be subject to certain limitations.</w:t>
      </w:r>
      <w:r>
        <w:rPr>
          <w:rFonts w:ascii="Times New Roman" w:hAnsi="Times New Roman"/>
          <w:color w:val="212529"/>
          <w:sz w:val="20"/>
        </w:rPr>
        <w:t xml:space="preserve"> </w:t>
      </w:r>
    </w:p>
    <w:p>
      <w:pPr>
        <w:pStyle w:val="TextBody"/>
        <w:bidi w:val="0"/>
        <w:spacing w:before="240" w:after="283"/>
        <w:jc w:val="both"/>
        <w:rPr>
          <w:rFonts w:ascii="Arial" w:hAnsi="Arial"/>
          <w:color w:val="212529"/>
          <w:sz w:val="20"/>
        </w:rPr>
      </w:pPr>
      <w:r>
        <w:rPr>
          <w:rFonts w:ascii="Arial" w:hAnsi="Arial"/>
          <w:color w:val="212529"/>
          <w:sz w:val="20"/>
        </w:rPr>
        <w:t>As of December 31, 2023, we had federal net operating loss carryforwards, or NOLs, to offset future taxable income of approximately $9.5 million and federal tax credit carryforwards of approximately $12.4 million, which expire over a period of 8 to 14 years. Federal NOLs of $138.7 million were generated after 2017, and therefore do not expire. At December 31, 2023, we also had state NOLs of $3.3 million, which expire over a period of 18 to 20 years. A lack of future taxable income would adversely affect our ability to utilize these NOLs. In addition, under Section 382 of the Internal Revenue Code of 1986, as amended, or the Code, a corporation that undergoes an “ownership change” is subject to limitations on its ability to utilize its NOLs to offset future taxable income. We may have already experienced one or more ownership changes. Depending on the timing of any future utilization of our NOLs and tax credit carryforwards, we may be limited as to the amount that can be utilized each year as a result of such previous ownership changes. However, we do not believe such limitations will cause our NOL and tax credit carryforwards to expire unutilized. In addition, future changes in our stock ownership as well as other changes that may be outside of our control, could result in additional ownership changes under Section 382 of the Code. Our NOLs may also be impaired under similar provisions of state law or limited pursuant to provisions of the Tax Cuts and Jobs Act amendments to the Code, as modified by the Coronavirus Aid, Relief, and Economic Security Act. We have recorded a full valuation allowance related to our NOLs and other deferred tax assets due to the uncertainty of the ultimate realization of the future benefits of those assets.</w:t>
      </w:r>
    </w:p>
    <w:p>
      <w:pPr>
        <w:pStyle w:val="TextBody"/>
        <w:bidi w:val="0"/>
        <w:spacing w:before="240" w:after="283"/>
        <w:jc w:val="both"/>
        <w:rPr>
          <w:rFonts w:ascii="Arial" w:hAnsi="Arial"/>
          <w:b/>
          <w:i/>
          <w:color w:val="212529"/>
          <w:sz w:val="20"/>
        </w:rPr>
      </w:pPr>
      <w:r>
        <w:rPr>
          <w:rFonts w:ascii="Arial" w:hAnsi="Arial"/>
          <w:b/>
          <w:i/>
          <w:color w:val="212529"/>
          <w:sz w:val="20"/>
        </w:rPr>
        <w:t>Changes in tax laws could have a material adverse effect on our business, cash flows, results of operations or financial condition.</w:t>
      </w:r>
    </w:p>
    <w:p>
      <w:pPr>
        <w:pStyle w:val="TextBody"/>
        <w:bidi w:val="0"/>
        <w:spacing w:before="240" w:after="283"/>
        <w:jc w:val="both"/>
        <w:rPr>
          <w:rFonts w:ascii="Times New Roman" w:hAnsi="Times New Roman"/>
          <w:sz w:val="20"/>
        </w:rPr>
      </w:pPr>
      <w:r>
        <w:rPr>
          <w:rFonts w:ascii="Arial" w:hAnsi="Arial"/>
          <w:color w:val="212529"/>
          <w:sz w:val="20"/>
        </w:rPr>
        <w:t xml:space="preserve">We </w:t>
      </w:r>
      <w:r>
        <w:rPr>
          <w:rFonts w:ascii="Arial" w:hAnsi="Arial"/>
          <w:color w:val="000000"/>
          <w:sz w:val="20"/>
        </w:rPr>
        <w:t>are subject to the tax laws, regulations, and policies of several taxing jurisdictions. Changes in tax laws, as well as other factors, could cause us to experience fluctuations in our tax obligations and effective tax rates and otherwise adversely affect our tax positions or our tax liabilities. For example, many countries and local jurisdictions and organizations such as the Organization for Economic Cooperation and Development have proposed or implemented new tax laws or changes to existing tax laws, including additional taxes on payroll or employees. Any new or changes to tax laws could adversely affect our effective tax rate, operating results, tax credits or incentives or tax payments, which could have a material adverse effect on our business, cash flows, results of operations or financial condition</w:t>
      </w:r>
      <w:r>
        <w:rPr>
          <w:rFonts w:ascii="Arial" w:hAnsi="Arial"/>
          <w:color w:val="212529"/>
          <w:sz w:val="20"/>
        </w:rPr>
        <w:t>.</w:t>
      </w:r>
    </w:p>
    <w:p>
      <w:pPr>
        <w:pStyle w:val="TextBody"/>
        <w:bidi w:val="0"/>
        <w:spacing w:before="240" w:after="283"/>
        <w:jc w:val="both"/>
        <w:rPr>
          <w:rFonts w:ascii="Arial" w:hAnsi="Arial"/>
          <w:b/>
          <w:color w:val="000000"/>
          <w:sz w:val="20"/>
        </w:rPr>
      </w:pPr>
      <w:r>
        <w:rPr>
          <w:rFonts w:ascii="Arial" w:hAnsi="Arial"/>
          <w:b/>
          <w:color w:val="000000"/>
          <w:sz w:val="20"/>
        </w:rPr>
        <w:t>Risks Relating to Regulatory Approval and Other Legal Compliance Matters</w:t>
      </w:r>
    </w:p>
    <w:p>
      <w:pPr>
        <w:pStyle w:val="TextBody"/>
        <w:bidi w:val="0"/>
        <w:spacing w:before="240" w:after="283"/>
        <w:jc w:val="both"/>
        <w:rPr>
          <w:rFonts w:ascii="Times New Roman" w:hAnsi="Times New Roman"/>
          <w:sz w:val="20"/>
        </w:rPr>
      </w:pPr>
      <w:r>
        <w:rPr>
          <w:rFonts w:ascii="Arial" w:hAnsi="Arial"/>
          <w:b/>
          <w:i/>
          <w:color w:val="000000"/>
          <w:sz w:val="20"/>
        </w:rPr>
        <w:t>The regulatory approval processes of the FDA and other comparable foreign regulatory authorities are lengthy, time consuming and inherently unpredictable. If we are not able to obtain, or if there are delays in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obtaining, required regulatory approvals for our drug candidates, we will not be able to commercialize, or will be delayed in commercializing, our drug candidates, and our ability to generate revenue will be materially impaired.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drug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drug candidates, we must obtain marketing approval.</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Obtaining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Further, securing regulatory approval also requires the submission of information about the drug manufacturing process to, and inspection of manufacturing facilities by, the relevant regulatory authority. Regulatory authorities have substantial discretion in the approval process and may refuse to accept any application or may decide that our data are insufficient for approval and require additional nonclinical, clinical or other data. Even if we eventually complete clinical testing and receive approval for our drug candidates, the FDA and other comparable foreign regulatory authorities may approve our drug candidates for a more limited indication or a narrower patient population than we originally requested or may impose other prescribing limitations or warnings that limit the drug product’s commercial potential. We have not submitted for, or obtained, regulatory approval for any drug candidate, and it is possible that none of our drug candidates will ever obtain regulatory approval. Further, development of our drug candidates or regulatory approval may be delayed for reasons beyond our control.</w:t>
      </w:r>
    </w:p>
    <w:p>
      <w:pPr>
        <w:pStyle w:val="TextBody"/>
        <w:bidi w:val="0"/>
        <w:spacing w:before="240" w:after="283"/>
        <w:jc w:val="both"/>
        <w:rPr>
          <w:rFonts w:ascii="Arial" w:hAnsi="Arial"/>
          <w:color w:val="000000"/>
          <w:sz w:val="20"/>
        </w:rPr>
      </w:pPr>
      <w:r>
        <w:rPr>
          <w:rFonts w:ascii="Arial" w:hAnsi="Arial"/>
          <w:color w:val="000000"/>
          <w:sz w:val="20"/>
        </w:rPr>
        <w:t>Applications for our drug candidates could fail to receive regulatory approval for many reasons,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FDA or other comparable foreign regulatory authorities may disagree with the design, implementation or results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FDA or other comparable foreign regulatory authorities may determine that our drug candidates are not safe and effective or have undesirable or unintended side effects, toxicities or other characteristics that preclude our obtaining marketing approval or prevent or limit commercial use;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population studied in the clinical trial may not be sufficiently broad or representative to assure efficacy and safety in the full population for which we seek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FDA or other comparable foreign regulatory authorities may disagree with our interpretation of data from nonclinical studies or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may be unable to demonstrate to the FDA or other comparable foreign regulatory authorities that our drug candidate’s risk-benefit ratio for its proposed indication is acceptable;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FDA or other comparable foreign regulatory authorities may fail to approve the manufacturing processes, test procedures and specifications or facilities of third-party manufacturers with which we contract for clinical and commercial supplies;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approval policies or regulations of the FDA or other comparable foreign regulatory authorities may significantly change in a manner rendering our clinical data insufficient for approval or resulting in delays in our regulatory approval, including, for example, legislation or agency policies that aim to reform the accelerated approval process and FDA’s increased scrutiny of post-approval confirmatory studies, which can result in withdrawal of accelerated approval if such studies fail to confirm a clinical benefit.</w:t>
      </w:r>
    </w:p>
    <w:p>
      <w:pPr>
        <w:pStyle w:val="TextBody"/>
        <w:bidi w:val="0"/>
        <w:spacing w:before="240" w:after="283"/>
        <w:jc w:val="both"/>
        <w:rPr>
          <w:rFonts w:ascii="Arial" w:hAnsi="Arial"/>
          <w:color w:val="000000"/>
          <w:sz w:val="20"/>
        </w:rPr>
      </w:pPr>
      <w:r>
        <w:rPr>
          <w:rFonts w:ascii="Arial" w:hAnsi="Arial"/>
          <w:color w:val="000000"/>
          <w:sz w:val="20"/>
        </w:rPr>
        <w:t>This lengthy approval process, as well as the unpredictability of the results of clinical trials, may result in our failing to obtain regulatory approval to market any of our drug candidates, which would significantly harm our business, results of operations and prospects. In addition, even if we obtain approval of our drug candidates, regulatory authorities may approve any of our drug candidates for fewer or more limited indications than we request, may impose significant limitations in the form of narrow indications, warnings, or a REMS. Regulatory authorities may not approve the price we intend to charge for drug products we may develop,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seriously harm our business.</w:t>
      </w:r>
    </w:p>
    <w:p>
      <w:pPr>
        <w:pStyle w:val="TextBody"/>
        <w:bidi w:val="0"/>
        <w:spacing w:before="240" w:after="283"/>
        <w:jc w:val="both"/>
        <w:rPr>
          <w:rFonts w:ascii="Arial" w:hAnsi="Arial"/>
          <w:color w:val="000000"/>
          <w:sz w:val="20"/>
        </w:rPr>
      </w:pPr>
      <w:r>
        <w:rPr>
          <w:rFonts w:ascii="Arial" w:hAnsi="Arial"/>
          <w:color w:val="000000"/>
          <w:sz w:val="20"/>
        </w:rPr>
        <w:t>Of the large number of drugs in development, only a small percentage successfully complete the FDA or comparable foreign regulatory approval processes and are commercialized. The lengthy approval processes as well as the unpredictability of future clinical trial results may result in our failing to obtain regulatory approval to market our drug candidates, which would significantly harm our business, results of operations and prospects.</w:t>
      </w:r>
    </w:p>
    <w:p>
      <w:pPr>
        <w:pStyle w:val="TextBody"/>
        <w:bidi w:val="0"/>
        <w:spacing w:before="240" w:after="283"/>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Our current or future drug candidates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is the case with pharmaceuticals generally, it is likely that there may be side effects and adverse events associated with our drug candidates’ use. Results of our clinical trials could reveal a high and unacceptable severity and prevalence of side effects or unexpected characteristics. Undesirable side effects caused by our drug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clinical trial or result in potential product liability claims. Any of these occurrences may harm our business, financial condition and prospects significantly.</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If our drug candidates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clinical trial, or result in potential product liability claims. Any of these occurrences may prevent us from achieving or maintaining market acceptance of the affected drug candidate and may harm our business, financial condition and prospects significantly.</w:t>
      </w:r>
    </w:p>
    <w:p>
      <w:pPr>
        <w:pStyle w:val="TextBody"/>
        <w:bidi w:val="0"/>
        <w:spacing w:before="240" w:after="283"/>
        <w:jc w:val="both"/>
        <w:rPr>
          <w:rFonts w:ascii="Times New Roman" w:hAnsi="Times New Roman"/>
          <w:sz w:val="20"/>
        </w:rPr>
      </w:pPr>
      <w:r>
        <w:rPr>
          <w:rFonts w:ascii="Arial" w:hAnsi="Arial"/>
          <w:color w:val="000000"/>
          <w:sz w:val="20"/>
        </w:rPr>
        <w:t>Patients in our clinical trials may in the future suffer significant adverse events or other side effects not observed in our nonclinical studies or previous clinical trials. Some of our drug candidates may be used as chronic therapies or be used in populations for which safety concerns may be particularly scrutinized by regulatory agencies. In addition, if our drug candidates are used in combination with other therapies, our drug candidates may exacerbate adverse events associated with the therapy. Patients treated with our drug candidates may also be undergoing separate treatments which can cause side effects or adverse events that are unrelated to our drug candidate, but may still impact the success of our clinical trials, including, for example, by interfering with the effects of our drug candidates. A pre-specified group analysis of patients in our ACT-AD clinical trial identified a potential diminished effect of the combination of background AChEIs and fosgonimeton. While more clinical studies are needed to determine the safety and efficacy of fosgonimeton, to the extent background AChEIs impact the effects of fosgonimeton and if a significant portion of the patient population has already been treated with AChEIs, the potential target patient population or the indication we seek for fosgonimeton may be significantly smaller than we had anticipated, which could materially harm our business and prospects.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inclusion of elderly patients in our clinical trials may result in deaths or other adverse medical events due to other therapies or medications that such patients may be using. If significant adverse events or other side effects are observed in any of our current or future clinical trials, we may have difficulty recruiting patients to the clinical trials, patients may drop out of our clinical trials, or we may be required to abandon the clinical trials or our development efforts of that drug candidate altogether. We, the FDA other comparable regulatory authorities or an IRB may suspend clinical trials of a drug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clinical trials have later been found to cause side effects that prevented their further development. Even if the side effects do not preclude the drug candidate from obtaining or maintaining marketing approval, undesirable side effects may inhibit market acceptance due to its tolerability versus other therapies. Any of these developments could materially harm our business, financial condition and prospects.</w:t>
      </w:r>
    </w:p>
    <w:p>
      <w:pPr>
        <w:pStyle w:val="TextBody"/>
        <w:bidi w:val="0"/>
        <w:spacing w:before="240" w:after="283"/>
        <w:jc w:val="both"/>
        <w:rPr>
          <w:rFonts w:ascii="Arial" w:hAnsi="Arial"/>
          <w:color w:val="000000"/>
          <w:sz w:val="20"/>
        </w:rPr>
      </w:pPr>
      <w:r>
        <w:rPr>
          <w:rFonts w:ascii="Arial" w:hAnsi="Arial"/>
          <w:color w:val="000000"/>
          <w:sz w:val="20"/>
        </w:rPr>
        <w:t>Further, if any of our drug candidates obtains marketing approval, toxicities associated with such drug candidates and not seen during clinical testing may also develop after such approval and lead to a requirement to conduct additional clinical safety trials, additional contraindications, warnings and precautions being added to the drug label, significant restrictions on the use of the drug product or the withdrawal of the drug product from the market. We cannot predict whether our drug candidates will cause toxicities in humans that would preclude or lead to the revocation of regulatory approval based on nonclinical studies or early-stage clinical trials.</w:t>
      </w:r>
    </w:p>
    <w:p>
      <w:pPr>
        <w:pStyle w:val="TextBody"/>
        <w:bidi w:val="0"/>
        <w:spacing w:before="240" w:after="283"/>
        <w:jc w:val="both"/>
        <w:rPr>
          <w:rFonts w:ascii="Times New Roman" w:hAnsi="Times New Roman"/>
          <w:sz w:val="20"/>
        </w:rPr>
      </w:pPr>
      <w:r>
        <w:rPr>
          <w:rFonts w:ascii="Arial" w:hAnsi="Arial"/>
          <w:b/>
          <w:i/>
          <w:color w:val="000000"/>
          <w:sz w:val="20"/>
        </w:rPr>
        <w:t>Obtaining and maintaining regulatory approval of our drug candidates in one jurisdiction does not mean that we will be successful in obtaining regulatory approval of our drug candidates in other jurisdictions.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Obtaining and maintaining regulatory approval of our drug candidates in one jurisdiction does not guarantee that we will be able to obtain or maintain regulatory approval in any other jurisdiction. For example, even if the FDA grants marketing approval of a drug candidate, comparable regulatory authorities in foreign jurisdictions must also approve the manufacturing, marketing and promotion and reimbursement of the drug candidate in those countries. However, a failure or delay in obtaining regulatory approval in one jurisdiction may have a negative effect on the regulatory approval process in others.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drug candidate must be approved for reimbursement before it can be approved for sale in that jurisdiction. In some cases, the price that we intend to charge for our drug products is also subject to approval.</w:t>
      </w:r>
    </w:p>
    <w:p>
      <w:pPr>
        <w:pStyle w:val="TextBody"/>
        <w:bidi w:val="0"/>
        <w:spacing w:before="240" w:after="283"/>
        <w:jc w:val="both"/>
        <w:rPr>
          <w:rFonts w:ascii="Arial" w:hAnsi="Arial"/>
          <w:color w:val="000000"/>
          <w:sz w:val="20"/>
        </w:rPr>
      </w:pPr>
      <w:r>
        <w:rPr>
          <w:rFonts w:ascii="Arial" w:hAnsi="Arial"/>
          <w:color w:val="000000"/>
          <w:sz w:val="20"/>
        </w:rPr>
        <w:t>We may also submit marketing applications in other countries. Regulatory authorities in jurisdictions outside of the United States have requirements for approval of drug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drug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drug candidates will be harmed.</w:t>
      </w:r>
    </w:p>
    <w:p>
      <w:pPr>
        <w:pStyle w:val="TextBody"/>
        <w:bidi w:val="0"/>
        <w:spacing w:before="240" w:after="283"/>
        <w:jc w:val="both"/>
        <w:rPr>
          <w:rFonts w:ascii="Times New Roman" w:hAnsi="Times New Roman"/>
          <w:sz w:val="20"/>
        </w:rPr>
      </w:pPr>
      <w:r>
        <w:rPr>
          <w:rFonts w:ascii="Arial" w:hAnsi="Arial"/>
          <w:b/>
          <w:i/>
          <w:color w:val="000000"/>
          <w:sz w:val="20"/>
        </w:rPr>
        <w:t>Even if we receive regulatory approval of our drug candidates, we will be subject to ongoing regulatory obligations and continued regulatory review, which may result in significant additional expense and we may be subject to penalties if we fail to comply with regulatory requirements or experience unanticipated problems with our drug candidates.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Any regulatory approvals that we receive for our drug candidates will require surveillance to monitor the safety and efficacy of the drug candidate. The FDA may also require a REMS in order to approve our drug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drug candidates, the manufacturing processes, labeling, packaging, distribution, adverse event reporting, storage, advertising, promotion, import, export and recordkeeping for our drug candidates will be subject to extensive and ongoing regulatory requirements. These requirements include submissions of safety and other post-marketing information and reports, registration, as well as continued compliance with cGMP regulations, GLP regulations and GCP regulations for any clinical trials that we conduct post-approval. Later discovery of previously unknown problems with our drug candidates, including adverse events of unanticipated severity or frequency, or with our third-party manufacturers or manufacturing processes, or failure to comply with regulatory requirements, may result in,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restrictions on the marketing or manufacturing of our drug candidates, withdrawal of the drug product from the market or voluntary or mandatory product recalls;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manufacturing delays and supply disruptions where regulatory inspections identify observations of noncompliance requiring remediation;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revisions to the labeling, including limitation on approved uses or the addition of additional warnings, contraindications or other safety information, including boxed warnings;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imposition of a REMS, which may include distribution or use restrictions;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requirements to conduct additional post-market clinical trials to assess the safety of the drug product;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fines, warning letters or holds on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refusal by the FDA to approve pending applications or supplements to approved applications filed by us or suspension or revocation of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product seizure or detention, or refusal to permit the import or export of our drug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injunctions or the imposition of civil or criminal penalties.</w:t>
      </w:r>
    </w:p>
    <w:p>
      <w:pPr>
        <w:pStyle w:val="TextBody"/>
        <w:bidi w:val="0"/>
        <w:spacing w:before="240" w:after="283"/>
        <w:jc w:val="both"/>
        <w:rPr>
          <w:rFonts w:ascii="Times New Roman" w:hAnsi="Times New Roman"/>
          <w:sz w:val="20"/>
        </w:rPr>
      </w:pPr>
      <w:r>
        <w:rPr>
          <w:rFonts w:ascii="Arial" w:hAnsi="Arial"/>
          <w:color w:val="000000"/>
          <w:sz w:val="20"/>
        </w:rPr>
        <w:t>The FDA’s and other regulatory authorities’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 It is difficult to predict how current and future legislation, executive actions, and litigation, including the executive orders, will be implemented, and the extent to which they will impact our business, our clinical development, and the FDA’s and other agencies’ ability to exercise their regulatory authority, including FDA’s pre-approval inspections and timely review of any regulatory filings or applications we submit to the FDA. To the extent any executive actions impose constraints on FDA’s ability to engage in oversight and implementation activities in the normal course, our business may be negatively impacted. In addition, if the Supreme Court reverses or curtails the Chevron doctrine, which gives deference to regulatory agencies in litigation against FDA and other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agencies, more companies may bring lawsuits against FDA to challenge longstanding decisions and policies of FDA, which could undermine FDA’s authority, lead to uncertainties in the industry, and disrupt FDA’s normal operations, which could delay FDA’s review of our marketing applications.</w:t>
      </w:r>
    </w:p>
    <w:p>
      <w:pPr>
        <w:pStyle w:val="TextBody"/>
        <w:bidi w:val="0"/>
        <w:spacing w:before="240" w:after="283"/>
        <w:jc w:val="both"/>
        <w:rPr>
          <w:rFonts w:ascii="Times New Roman" w:hAnsi="Times New Roman"/>
          <w:sz w:val="20"/>
        </w:rPr>
      </w:pPr>
      <w:r>
        <w:rPr>
          <w:rFonts w:ascii="Arial" w:hAnsi="Arial"/>
          <w:color w:val="000000"/>
          <w:sz w:val="20"/>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The occurrence of any event or penalty described above may inhibit our ability to commercialize our drug candidates and generate revenue and could require us to expend significant time and resources in response and could generate negative publicity.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Disruptions at the FDA, the SEC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240" w:after="283"/>
        <w:jc w:val="both"/>
        <w:rPr>
          <w:rFonts w:ascii="Arial" w:hAnsi="Arial"/>
          <w:color w:val="000000"/>
          <w:sz w:val="20"/>
        </w:rPr>
      </w:pPr>
      <w:r>
        <w:rPr>
          <w:rFonts w:ascii="Arial" w:hAnsi="Arial"/>
          <w:color w:val="000000"/>
          <w:sz w:val="20"/>
        </w:rPr>
        <w:t>To the extent the FDA’s normal operations are disrupted or delayed, for example due to travel restrictions, public health or geopolitical issues, staffing shortages, or lack of funding, the FDA may not be able to complete the necessary inspections or provide feedback in a timely manner during our clinical development or review period. If any such delays or disruptions were to occur, it could significantly impact the ability of the FDA or other regulatory authorities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pStyle w:val="TextBody"/>
        <w:bidi w:val="0"/>
        <w:spacing w:before="240" w:after="283"/>
        <w:jc w:val="both"/>
        <w:rPr>
          <w:rFonts w:ascii="Times New Roman" w:hAnsi="Times New Roman"/>
          <w:sz w:val="20"/>
        </w:rPr>
      </w:pPr>
      <w:r>
        <w:rPr>
          <w:rFonts w:ascii="Arial" w:hAnsi="Arial"/>
          <w:b/>
          <w:i/>
          <w:color w:val="000000"/>
          <w:sz w:val="20"/>
        </w:rPr>
        <w:t>We may attempt to secure approval from the FDA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may seek an accelerated approval for one or more of our drug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pStyle w:val="TextBody"/>
        <w:bidi w:val="0"/>
        <w:spacing w:before="240" w:after="283"/>
        <w:jc w:val="both"/>
        <w:rPr>
          <w:rFonts w:ascii="Times New Roman" w:hAnsi="Times New Roman"/>
          <w:sz w:val="20"/>
        </w:rPr>
      </w:pPr>
      <w:r>
        <w:rPr>
          <w:rFonts w:ascii="Arial" w:hAnsi="Arial"/>
          <w:color w:val="000000"/>
          <w:sz w:val="20"/>
        </w:rPr>
        <w:t>Prior to seeking accelerated approval for any of our drug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drug candidates, there can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drug candidate would result in a longer time period to commercialization of such drug candidate, could increase the cost of development of such drug candidate and could harm our competitive position in the marketplace.</w:t>
      </w:r>
    </w:p>
    <w:p>
      <w:pPr>
        <w:pStyle w:val="TextBody"/>
        <w:bidi w:val="0"/>
        <w:spacing w:before="240" w:after="283"/>
        <w:jc w:val="both"/>
        <w:rPr>
          <w:rFonts w:ascii="Arial" w:hAnsi="Arial"/>
          <w:color w:val="000000"/>
          <w:sz w:val="20"/>
        </w:rPr>
      </w:pPr>
      <w:r>
        <w:rPr>
          <w:rFonts w:ascii="Arial" w:hAnsi="Arial"/>
          <w:color w:val="000000"/>
          <w:sz w:val="20"/>
        </w:rPr>
        <w:t>Further, to the extent the FDA materially changes its policies or regulatory requirements with respect to the accelerated approval program or its internal review process for such program, our clinical development plans and regulatory approval under such program could be materially impacted or delayed. On December 29, 2022, the Consolidated Appropriations Act, 2023, including the Food and Drug Omnibus Reform Act, or 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 It is unclear how these proposals, future policy changes, and changes in FDA regulation will impact new drug applications in the treatment of AD and our clinical development programs.</w:t>
      </w:r>
    </w:p>
    <w:p>
      <w:pPr>
        <w:pStyle w:val="TextBody"/>
        <w:bidi w:val="0"/>
        <w:spacing w:before="240" w:after="283"/>
        <w:jc w:val="both"/>
        <w:rPr>
          <w:rFonts w:ascii="Times New Roman" w:hAnsi="Times New Roman"/>
          <w:sz w:val="20"/>
        </w:rPr>
      </w:pPr>
      <w:r>
        <w:rPr>
          <w:rFonts w:ascii="Arial" w:hAnsi="Arial"/>
          <w:b/>
          <w:i/>
          <w:color w:val="000000"/>
          <w:sz w:val="20"/>
        </w:rPr>
        <w:t>We may face difficulties from changes to current regulations and future legislation. Healthcare legislative measures aimed at reducing healthcare costs may have a material adverse effect on our business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United States and many foreign jurisdictions have enacted or proposed legislative and regulatory changes affecting the healthcare system that could prevent or delay marketing approval of our drug candidates or any future drug candidates, restrict or regulate post-approval activities and affect our ability to profitably sell a drug product for which we obtain marketing approval. Changes in regulations, statutes or the interpretation of existing regulations could impact our business in the future by requiring, for example: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changes to our manufacturing arrangements;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additions or modifications to drug product labeling;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recall or discontinuation of our drug products; or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additional record-keeping requirements. If any such changes were to be imposed, they could adversely affect the operation of our business.</w:t>
      </w:r>
    </w:p>
    <w:p>
      <w:pPr>
        <w:pStyle w:val="TextBody"/>
        <w:bidi w:val="0"/>
        <w:spacing w:before="240" w:after="283"/>
        <w:jc w:val="both"/>
        <w:rPr>
          <w:rFonts w:ascii="Arial" w:hAnsi="Arial"/>
          <w:color w:val="000000"/>
          <w:sz w:val="20"/>
        </w:rPr>
      </w:pPr>
      <w:r>
        <w:rPr>
          <w:rFonts w:ascii="Arial" w:hAnsi="Arial"/>
          <w:color w:val="000000"/>
          <w:sz w:val="20"/>
        </w:rPr>
        <w:t>In the United States, there have been and continue to be a number of legislative initiatives to contain healthcare costs. For example, in March 2010, the Patient Protection and Affordable Care Act, as amended by the Health Care and Education Reconciliation Act of 2010, or collectively, ACA, was passed, which substantially changed the way healthcare is financed by both governmental and private insurers, and significantly impacted the U.S. pharmaceutical industry. The ACA contained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Medicaid Drug Rebate Program requires pharmaceutical manufacturers to enter into and have in effect a national rebate agreement with the U.S. Department of Health and Human Services Secretary, or HHS Secretary, as a condition for states to receive federal matching funds for the manufacturer’s outpatient drugs furnished to Medicaid patients. The ACA made several changes to the Medicaid Drug Rebate Program, including increasing the minimum Medicaid rebates owed by manufacturers under the Medicaid Drug Rebate Program, extending the rebate program to individuals enrolled in Medicaid managed care organizations. The ACA also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In December 2020, CMS issued a final rule implementing significant manufacturer price reporting changes under the Medicaid Drug Rebate Program, including regulations that affect manufacturer-sponsored patient assistance programs subject to pharmacy benefit manager accumulator programs and Best Price reporting related to certain value-based purchasing arrangements.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w:t>
      </w:r>
    </w:p>
    <w:p>
      <w:pPr>
        <w:pStyle w:val="TextBody"/>
        <w:bidi w:val="0"/>
        <w:spacing w:before="240" w:after="283"/>
        <w:jc w:val="both"/>
        <w:rPr>
          <w:rFonts w:ascii="Times New Roman" w:hAnsi="Times New Roman"/>
          <w:sz w:val="20"/>
        </w:rPr>
      </w:pPr>
      <w:r>
        <w:rPr>
          <w:rFonts w:ascii="Arial" w:hAnsi="Arial"/>
          <w:color w:val="000000"/>
          <w:sz w:val="20"/>
        </w:rPr>
        <w:t>As discussed above, since its enactment, there have been judicial and Congressional challenges to certain aspects of the ACA. On January 28, 2021, President Biden issued an executive order to initiate a special enrollment period for purposes of obtaining health insurance coverage through the ACA marketplace, which also instructs certain governmental</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agencies to review and reconsider their existing policies and rules that limit access to healthcare. In June 2021, the United States Supreme Court held that Texas and other challengers had no legal standing to challenge the ACA, dismissing the case without specifically ruling on the constitutionality of the ACA. Further,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possible that the ACA will be subject to judicial or Congressional challenges in the future. It is unclear how additional challenges and healthcare reform measures of the Biden administration will impact the ACA. Complying with any new legislation and regulatory requirements could be time-intensive and expensive, resulting in a material adverse effect on our business.</w:t>
      </w:r>
    </w:p>
    <w:p>
      <w:pPr>
        <w:pStyle w:val="TextBody"/>
        <w:bidi w:val="0"/>
        <w:spacing w:before="240" w:after="283"/>
        <w:jc w:val="both"/>
        <w:rPr>
          <w:rFonts w:ascii="Arial" w:hAnsi="Arial"/>
          <w:color w:val="000000"/>
          <w:sz w:val="20"/>
        </w:rPr>
      </w:pPr>
      <w:r>
        <w:rPr>
          <w:rFonts w:ascii="Arial" w:hAnsi="Arial"/>
          <w:color w:val="000000"/>
          <w:sz w:val="20"/>
        </w:rPr>
        <w:t>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published a final rule to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 or ATRA, among other things, reduced Medicare payments to several providers, including hospitals, and increased the statute of limitations period for the government to recover overpayments to providers from three to five years. Other legislative changes include aggregate reductions to Medicare payments to providers of up to 2% per fiscal year pursuant to the Budget Control Act of 2011, which began in 2013 and will remain in effect through 2032 with the exception of a temporary suspension implemented under various COVID-19 relief legislation.</w:t>
      </w:r>
    </w:p>
    <w:p>
      <w:pPr>
        <w:pStyle w:val="TextBody"/>
        <w:bidi w:val="0"/>
        <w:spacing w:before="240" w:after="283"/>
        <w:jc w:val="both"/>
        <w:rPr>
          <w:rFonts w:ascii="Arial" w:hAnsi="Arial"/>
          <w:color w:val="000000"/>
          <w:sz w:val="20"/>
        </w:rPr>
      </w:pPr>
      <w:r>
        <w:rPr>
          <w:rFonts w:ascii="Arial" w:hAnsi="Arial"/>
          <w:color w:val="000000"/>
          <w:sz w:val="20"/>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in July 2021, the Biden administration released an executive order, “Promoting Competition in the American Economy,” with multiple provisions aimed at increasing competition for prescription drugs. In August 2022, Congress passed the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Further, the Biden administration released an additional executive order on October 14, 2022, directing the U.S. Department of Health and Human Services, or HHS, to submit a report within ninety (90) days on how the Center for Medicare and Medicaid Innovation can be further leveraged to test new models for lowering drug costs for Medicare and Medicaid beneficiaries. Various industry stakeholders, including pharmaceutical companies, the U.S. Chamber of Commerce, the National Infusion Center Association, the Global Colon Cancer Association, and the Pharmaceutical Research and Manufacturers of America, have initiated lawsuits against the federal government asserting that the price negotiation provisions of IRA are unconstitutional. The impact of these judicial challenges as well as other legislative, executive, and administrative actions and any future healthcare measures and agency rules implemented by the government on us and the pharmaceutical industry as a whole is unclear. The implementation of cost containment measures or other healthcare reforms may prevent us from being able to generate revenue, attain profitability, or commercialize our drug candidates if approved.</w:t>
      </w:r>
    </w:p>
    <w:p>
      <w:pPr>
        <w:pStyle w:val="TextBody"/>
        <w:bidi w:val="0"/>
        <w:spacing w:before="240" w:after="283"/>
        <w:jc w:val="both"/>
        <w:rPr>
          <w:rFonts w:ascii="Times New Roman" w:hAnsi="Times New Roman"/>
          <w:sz w:val="20"/>
        </w:rPr>
      </w:pPr>
      <w:r>
        <w:rPr>
          <w:rFonts w:ascii="Arial" w:hAnsi="Arial"/>
          <w:color w:val="000000"/>
          <w:sz w:val="20"/>
        </w:rPr>
        <w:t>In April 2022, CMS released a finalized national policy for coverage of aducanumab, or Aduhelm, and any future monoclonal antibodies directed against amyloid approved by the FDA with an indication for use in treating AD. According to the two-part National Coverage Determination, or NCD, Medicare will cover monoclonal antibodies that target amyloid (or plaque) for the treatment of AD that receive traditional approval from the FDA when furnished in accordance with the coverage criteria specified under coverage with evidence development. CMS will also provide enhanced access and coverage for Medicare patients participating in CMS-approved studies, such as data collection through routine clinical practice or registries. Additionally, for drugs that FDA has not determined to have shown a clinical benefit or that received an accelerated approval, Medicare will provide coverage in FDA or NIH approved clinical trials. In June 2023, CMS announced that Medicare will cover new Alzheimer’s drugs with traditional FDA approval when a physician and clinical team participate in CMS’ registry to collect evidence about how these drugs work in the real world. Current and future CMS coverage restrictions on classes of drugs that encompass our drug candidates could have a material adverse impact on our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ability to commercialize our drug candidates, if approved, generate revenue and attain profitability. It is unclear how future CMS coverage decisions and policies will impact our business.</w:t>
      </w:r>
    </w:p>
    <w:p>
      <w:pPr>
        <w:pStyle w:val="TextBody"/>
        <w:bidi w:val="0"/>
        <w:spacing w:before="240" w:after="283"/>
        <w:jc w:val="both"/>
        <w:rPr>
          <w:rFonts w:ascii="Arial" w:hAnsi="Arial"/>
          <w:color w:val="000000"/>
          <w:sz w:val="20"/>
        </w:rPr>
      </w:pPr>
      <w:r>
        <w:rPr>
          <w:rFonts w:ascii="Arial" w:hAnsi="Arial"/>
          <w:color w:val="000000"/>
          <w:sz w:val="20"/>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drug products, once approved, or put pressure on our drug product pricing.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drug products. Further, FDA recently authorized the state of Florida to import certain prescription drugs from Canada for a period of two years to help reduce drug costs, provided that Florida’s Agency for Health Care Administration meets the requirements set forth by the FDA. Other states may follow Florida.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additional pricing pressures.</w:t>
      </w:r>
    </w:p>
    <w:p>
      <w:pPr>
        <w:pStyle w:val="TextBody"/>
        <w:bidi w:val="0"/>
        <w:spacing w:before="240" w:after="283"/>
        <w:jc w:val="both"/>
        <w:rPr>
          <w:rFonts w:ascii="Arial" w:hAnsi="Arial"/>
          <w:color w:val="000000"/>
          <w:sz w:val="20"/>
        </w:rPr>
      </w:pPr>
      <w:r>
        <w:rPr>
          <w:rFonts w:ascii="Arial" w:hAnsi="Arial"/>
          <w:color w:val="000000"/>
          <w:sz w:val="20"/>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pStyle w:val="TextBody"/>
        <w:bidi w:val="0"/>
        <w:spacing w:before="240" w:after="283"/>
        <w:jc w:val="both"/>
        <w:rPr>
          <w:rFonts w:ascii="Arial" w:hAnsi="Arial"/>
          <w:color w:val="000000"/>
          <w:sz w:val="20"/>
        </w:rPr>
      </w:pPr>
      <w:r>
        <w:rPr>
          <w:rFonts w:ascii="Arial" w:hAnsi="Arial"/>
          <w:color w:val="000000"/>
          <w:sz w:val="20"/>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or impose price controls may adversely affect: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demand for our drug candidates, if we obtain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set a price that we believe is fair for our drug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obtain coverage and reimbursement approval for a drug product;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generate revenue and achieve or maintain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level of taxes that we are required to pay;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availability of capital.</w:t>
      </w:r>
    </w:p>
    <w:p>
      <w:pPr>
        <w:pStyle w:val="TextBody"/>
        <w:bidi w:val="0"/>
        <w:spacing w:before="240" w:after="283"/>
        <w:jc w:val="both"/>
        <w:rPr>
          <w:rFonts w:ascii="Arial" w:hAnsi="Arial"/>
          <w:color w:val="000000"/>
          <w:sz w:val="20"/>
        </w:rPr>
      </w:pPr>
      <w:r>
        <w:rPr>
          <w:rFonts w:ascii="Arial" w:hAnsi="Arial"/>
          <w:color w:val="000000"/>
          <w:sz w:val="20"/>
        </w:rPr>
        <w:t>Any reduction in reimbursement from Medicare or other government programs may result in a similar reduction in payments from private payors, which may adversely affect our future profitability.</w:t>
      </w:r>
    </w:p>
    <w:p>
      <w:pPr>
        <w:pStyle w:val="TextBody"/>
        <w:bidi w:val="0"/>
        <w:spacing w:before="240" w:after="283"/>
        <w:jc w:val="both"/>
        <w:rPr>
          <w:rFonts w:ascii="Arial" w:hAnsi="Arial"/>
          <w:color w:val="000000"/>
          <w:sz w:val="20"/>
        </w:rPr>
      </w:pPr>
      <w:r>
        <w:rPr>
          <w:rFonts w:ascii="Arial" w:hAnsi="Arial"/>
          <w:color w:val="000000"/>
          <w:sz w:val="20"/>
        </w:rPr>
        <w:t>We expect that other healthcare reform measures that may be adopted in the future, may result in more rigorous coverage criteria and in additional downward pressure on the price that we receive for any approved drug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 candidates. Legislative and regulatory proposals have been made to expand post-approval requirements and restrict sales and promotional activities for biotechnology products. We cannot be sure to what extent the trajectory of these legislative and regulatory proposals will be implemented by the federal and state governments, whether additional legislative changes will be enacted, whether FDA regulations, guidance or interpretations will be changed, or what the impact of such changes on the marketing approvals of our drug candidates, if any, may be. In addition, increased scrutiny by Congress of the FDA’s approval process may significantly delay or prevent marketing approval, as well as subject us to more stringent product labeling and post-marketing testing and other requirements.</w:t>
      </w:r>
    </w:p>
    <w:p>
      <w:pPr>
        <w:pStyle w:val="TextBody"/>
        <w:bidi w:val="0"/>
        <w:spacing w:before="240" w:after="283"/>
        <w:jc w:val="both"/>
        <w:rPr>
          <w:rFonts w:ascii="Times New Roman" w:hAnsi="Times New Roman"/>
          <w:sz w:val="20"/>
        </w:rPr>
      </w:pPr>
      <w:r>
        <w:rPr>
          <w:rFonts w:ascii="Arial" w:hAnsi="Arial"/>
          <w:b/>
          <w:i/>
          <w:color w:val="000000"/>
          <w:sz w:val="20"/>
        </w:rPr>
        <w:t>Our relationships with healthcare professionals, clinical investigators, CROs and third party payors in connection with our current and future business activities, and our participation in the federal health care programs and acceptance of federal grant funding, such as funding from the NIH, may be subject to federal and state healthcare fraud and abuse laws, false claims laws, transparency laws, government price reporting, and health information privacy and security laws, which could expose us to, among other things, criminal sanctions, civil</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penalties, contractual damages, exclusion from governmental healthcare programs, reputational harm, administrative burdens and diminished profits and future earnings.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Healthcare providers and third-party payors play a primary role in the recommendation and prescription of any drug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drug products for which we obtain marketing approval. Similarly, our participation in the federal health care programs and acceptance of federal grant funding from the NIH may subject us to federal false claims laws, civil penalties and assessments, criminal prosecution, and other administrative, civil, and criminal remedies.</w:t>
      </w:r>
    </w:p>
    <w:p>
      <w:pPr>
        <w:pStyle w:val="TextBody"/>
        <w:bidi w:val="0"/>
        <w:spacing w:before="240" w:after="283"/>
        <w:jc w:val="both"/>
        <w:rPr>
          <w:rFonts w:ascii="Arial" w:hAnsi="Arial"/>
          <w:color w:val="000000"/>
          <w:sz w:val="20"/>
        </w:rPr>
      </w:pPr>
      <w:r>
        <w:rPr>
          <w:rFonts w:ascii="Arial" w:hAnsi="Arial"/>
          <w:color w:val="000000"/>
          <w:sz w:val="20"/>
        </w:rPr>
        <w:t>The laws that may affect our ability to operate include, but are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False Claims Act, or FCA. There are a number of statutory exceptions and regulatory safe harbors protecting some common activities from prosecution, but the exceptions and safe harbors are drawn narrowly and require strict compliance in order to offer protection.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federal civil and criminal false claims laws, including the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 Under the FCA, a “claim” also includes any request (including grant request) or demand for money or property made to the United States or to a contractor, recipient, if the Federal government provides or will reimburse any portion of the funds claimed. “Funds” include money that the NIH awards as part of research grants. Even if a federal grant is not awarded, the grant applicant may be subject to FCA liability if the information contained in or submitted as part of a grant application, including its certifications and assurances, is found to be false, fictitious, or fraudulent.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w:t>
      </w:r>
    </w:p>
    <w:p>
      <w:pPr>
        <w:pStyle w:val="TextBody"/>
        <w:bidi w:val="0"/>
        <w:spacing w:before="240" w:after="283"/>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gave state attorneys general new authority to file civil actions for damages or injunctions in federal courts to enforce the federal HIPAA laws and seek attorneys’ fees and costs associated with pursuing federal civil actions.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federal consumer protection and unfair competition laws, which broadly regulate marketplace activities and activities that potentially harm consumers.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pStyle w:val="TextBody"/>
        <w:bidi w:val="0"/>
        <w:spacing w:before="240" w:after="283"/>
        <w:jc w:val="both"/>
        <w:rPr>
          <w:rFonts w:ascii="Arial" w:hAnsi="Arial"/>
          <w:color w:val="000000"/>
          <w:sz w:val="20"/>
        </w:rPr>
      </w:pPr>
      <w:r>
        <w:rPr>
          <w:rFonts w:ascii="Arial" w:hAnsi="Arial"/>
          <w:color w:val="000000"/>
          <w:sz w:val="20"/>
        </w:rPr>
        <w:t>Because of the breadth of these laws and the narrowness of available statutory exceptions and regulatory safe harbors, it is possible that some of our business activities, including our advisory board arrangements with physicians, some of whom receive stock or stock options as compensation for services provided, and any sales and marketing activities after a drug candidate has been approved for marketing in the United States, could be subject to legal challenge and enforcement actions. If our operations are found to be in violation of any of the federal and state laws described above or any other governmental regulations that apply to us, we may be subject to significant civil, criminal, and administrative penalties, including, without limitation, damages, fines, disgorgement, imprisonment, exclusion from participation in government healthcare programs,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pStyle w:val="TextBody"/>
        <w:bidi w:val="0"/>
        <w:spacing w:before="240" w:after="283"/>
        <w:jc w:val="both"/>
        <w:rPr>
          <w:rFonts w:ascii="Times New Roman" w:hAnsi="Times New Roman"/>
          <w:sz w:val="20"/>
        </w:rPr>
      </w:pPr>
      <w:r>
        <w:rPr>
          <w:rFonts w:ascii="Arial" w:hAnsi="Arial"/>
          <w:b/>
          <w:i/>
          <w:color w:val="000000"/>
          <w:sz w:val="20"/>
        </w:rPr>
        <w:t>Our employees, independent contractors, consultants, commercial collaborators, principal investigators, CROs, suppliers and vendors may engage in misconduct or other improper activities, including noncompliance with regulatory standards and requirements.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addition to the risks relating to the outcome of the independent special committee’s investigation noted above, 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pStyle w:val="TextBody"/>
        <w:bidi w:val="0"/>
        <w:spacing w:before="240" w:after="283"/>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If we fail to comply with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before="240" w:after="283"/>
        <w:jc w:val="both"/>
        <w:rPr>
          <w:rFonts w:ascii="Arial" w:hAnsi="Arial"/>
          <w:color w:val="000000"/>
          <w:sz w:val="20"/>
        </w:rPr>
      </w:pPr>
      <w:r>
        <w:rPr>
          <w:rFonts w:ascii="Arial" w:hAnsi="Arial"/>
          <w:color w:val="000000"/>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before="240" w:after="283"/>
        <w:jc w:val="both"/>
        <w:rPr>
          <w:rFonts w:ascii="Times New Roman" w:hAnsi="Times New Roman"/>
          <w:sz w:val="20"/>
        </w:rPr>
      </w:pPr>
      <w:r>
        <w:rPr>
          <w:rFonts w:ascii="Arial" w:hAnsi="Arial"/>
          <w:b/>
          <w:i/>
          <w:color w:val="000000"/>
          <w:sz w:val="20"/>
        </w:rPr>
        <w:t>We are subject to certain U.S. and foreign anti-corruption, anti-money laundering, export control, sanctions, and other trade laws and regulations. We can face serious consequences for violations.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pStyle w:val="TextBody"/>
        <w:bidi w:val="0"/>
        <w:spacing w:before="240" w:after="283"/>
        <w:jc w:val="both"/>
        <w:rPr>
          <w:rFonts w:ascii="Arial" w:hAnsi="Arial"/>
          <w:b/>
          <w:color w:val="000000"/>
          <w:sz w:val="20"/>
        </w:rPr>
      </w:pPr>
      <w:r>
        <w:rPr>
          <w:rFonts w:ascii="Arial" w:hAnsi="Arial"/>
          <w:b/>
          <w:color w:val="000000"/>
          <w:sz w:val="20"/>
        </w:rPr>
        <w:t>Risks Relating to Our Reliance on Third Parties</w:t>
      </w:r>
    </w:p>
    <w:p>
      <w:pPr>
        <w:pStyle w:val="TextBody"/>
        <w:bidi w:val="0"/>
        <w:spacing w:before="240" w:after="283"/>
        <w:jc w:val="both"/>
        <w:rPr>
          <w:rFonts w:ascii="Times New Roman" w:hAnsi="Times New Roman"/>
          <w:sz w:val="20"/>
        </w:rPr>
      </w:pPr>
      <w:r>
        <w:rPr>
          <w:rFonts w:ascii="Arial" w:hAnsi="Arial"/>
          <w:b/>
          <w:i/>
          <w:color w:val="000000"/>
          <w:sz w:val="20"/>
        </w:rPr>
        <w:t>We rely on third parties to conduct our nonclinical studies and clinical trials. If these third parties do not properly and successfully carry out their contractual duties or meet expected deadlines, we may not be able to obtain regulatory approval of or commercialize our drug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utilize and depend upon independent investigators and collaborators, such as medical institutions, CROs, CMOs, and strategic partners to conduct and support our nonclinical studies and clinical trials under agreements with us.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expect to have to negotiate budgets and contracts with CROs, clinical trial sites and CMOs and we may not be able to do so on favorable terms, which may result in delays to our development timelines and increased costs. We will rely heavily on these third parties over the course of our nonclinical studies and clinical trials, and we control only certain aspects of their activities. As a result, we will have less direct control over the conduct, timing and completion of these nonclinical studies and clinical trials and the management of data developed through nonclinical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drug candidates in clinical development. Regulatory authorities enforce these GCPs through periodic inspections of clinical trial sponsors, principal investigators and clinical trial sites. For example, in connection with our preparation activities for the completion and readout of LIFT-AD that we expect in the second half of 2024, we currently are completing systematic blinded data review and data cleaning from the LIFT-AD trial.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In particular, protocol deviations or non-compliance with GCP requirements, or other data integrity reasons, can cause us or the FDA or other regulatory authorities to exclude data from non-compliant sites or investigators, which may cause the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trial to be underpowered to meet the endpoints. We cannot assure you that, upon inspection, such regulatory authorities will determine that any of our clinical trials comply with the GCP regulations. In addition, our clinical trials must be conducted with pharmaceutical drug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pStyle w:val="TextBody"/>
        <w:bidi w:val="0"/>
        <w:spacing w:before="240" w:after="283"/>
        <w:jc w:val="both"/>
        <w:rPr>
          <w:rFonts w:ascii="Arial" w:hAnsi="Arial"/>
          <w:color w:val="000000"/>
          <w:sz w:val="20"/>
        </w:rPr>
      </w:pPr>
      <w:r>
        <w:rPr>
          <w:rFonts w:ascii="Arial" w:hAnsi="Arial"/>
          <w:color w:val="000000"/>
          <w:sz w:val="20"/>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non-clinical drug candidates. These third parties may also have relationships with other commercial entities, including our competitors, for whom they may also be conducting clinical trials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drug candidates. As a result, our financial results and the commercial prospects for our drug candidates would be harmed, our costs could increase and our ability to generate revenue could be delayed.</w:t>
      </w:r>
    </w:p>
    <w:p>
      <w:pPr>
        <w:pStyle w:val="TextBody"/>
        <w:bidi w:val="0"/>
        <w:spacing w:before="240" w:after="283"/>
        <w:jc w:val="both"/>
        <w:rPr>
          <w:rFonts w:ascii="Arial" w:hAnsi="Arial"/>
          <w:color w:val="000000"/>
          <w:sz w:val="20"/>
        </w:rPr>
      </w:pPr>
      <w:r>
        <w:rPr>
          <w:rFonts w:ascii="Arial" w:hAnsi="Arial"/>
          <w:color w:val="000000"/>
          <w:sz w:val="20"/>
        </w:rPr>
        <w:t>Switching or adding third parties to conduct our nonclinical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pStyle w:val="TextBody"/>
        <w:bidi w:val="0"/>
        <w:spacing w:before="240" w:after="283"/>
        <w:jc w:val="both"/>
        <w:rPr>
          <w:rFonts w:ascii="Arial" w:hAnsi="Arial"/>
          <w:b/>
          <w:i/>
          <w:color w:val="000000"/>
          <w:sz w:val="20"/>
        </w:rPr>
      </w:pPr>
      <w:r>
        <w:rPr>
          <w:rFonts w:ascii="Arial" w:hAnsi="Arial"/>
          <w:b/>
          <w:i/>
          <w:color w:val="000000"/>
          <w:sz w:val="20"/>
        </w:rPr>
        <w:t>We contract with third parties for the manufacture of our drug candidates for nonclinical studies and our clinical trials, and expect to continue to do so for additional clinical trials and ultimately for commercialization. This reliance on third parties increases the risk that we will not have sufficient quantities of our drug candidates or drugs or such quantities at an acceptable cost, which could delay, prevent or impair our development or commercialization efforts.</w:t>
      </w:r>
    </w:p>
    <w:p>
      <w:pPr>
        <w:pStyle w:val="TextBody"/>
        <w:bidi w:val="0"/>
        <w:spacing w:before="240" w:after="283"/>
        <w:jc w:val="both"/>
        <w:rPr>
          <w:rFonts w:ascii="Arial" w:hAnsi="Arial"/>
          <w:color w:val="000000"/>
          <w:sz w:val="20"/>
        </w:rPr>
      </w:pPr>
      <w:r>
        <w:rPr>
          <w:rFonts w:ascii="Arial" w:hAnsi="Arial"/>
          <w:color w:val="000000"/>
          <w:sz w:val="20"/>
        </w:rPr>
        <w:t>We do not currently have the infrastructure or internal capability to manufacture supplies of our drug candidates for use in development and commercialization. We rely, and expect to continue to rely, on third-party manufacturers for the production of our drug candidates for nonclinical studies and clinical trials under the guidance of members of our organization. We do not have long-term supply agreements. Furthermore, the raw materials for our drug candidates are sourced, in some cases, from a single-source supplier and sometimes involve long lead times from order to receipt of the materials. If we were to experience an unexpected loss of supply of any of our drug candidates or any of our future drug candidates for any reason, whether as a result of manufacturing, supply or storage issues or otherwise, we could experience delays, disruptions, suspensions or terminations of, or be required to restart or repeat, any pending or ongoing clinical trials. We expect to continue to rely on third-party manufacturers for the commercial supply of any of our drug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failure of the third party to manufacture our drug candidates according to our schedule, or at all, including if our third-party contractors give greater priority to the supply of other products over our drug candidates or otherwise do not satisfactorily perform according to the terms of the agreements between us and them;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reduction or termination of production or deliveries by suppliers, or the raising of prices or renegotiation of terms;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termination or nonrenewal of arrangements or agreements by our third-party contractors at a time that is costly or inconvenient for us;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breach by the third-party contractors of our agreements with them;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failure of third-party contractors to comply with applicable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failure of the third party to manufacture our drug candidates according to our specifications;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mislabeling of clinical supplies, potentially resulting in the wrong dose amounts being supplied or active drug or placebo not being properly identified;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clinical supplies not being delivered to clinical sites on time, leading to clinical trial interruptions, or of drug supplies not being distributed to commercial vendors in a timely manner, resulting in lost sales; and</w:t>
      </w:r>
    </w:p>
    <w:p>
      <w:pPr>
        <w:pStyle w:val="TextBody"/>
        <w:bidi w:val="0"/>
        <w:spacing w:before="240" w:after="283"/>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misappropriation of our proprietary information, including our trade secrets and know-how.</w:t>
      </w:r>
    </w:p>
    <w:p>
      <w:pPr>
        <w:pStyle w:val="TextBody"/>
        <w:bidi w:val="0"/>
        <w:spacing w:before="240" w:after="283"/>
        <w:jc w:val="both"/>
        <w:rPr>
          <w:rFonts w:ascii="Arial" w:hAnsi="Arial"/>
          <w:color w:val="000000"/>
          <w:sz w:val="20"/>
        </w:rPr>
      </w:pPr>
      <w:r>
        <w:rPr>
          <w:rFonts w:ascii="Arial" w:hAnsi="Arial"/>
          <w:color w:val="000000"/>
          <w:sz w:val="20"/>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marketing approval for or market our drug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drug candidates or drugs, operating restrictions and criminal prosecutions, any of which could significantly and adversely affect supplies of our drug candidates or drugs and harm our business and results of operations. Our current and anticipated future dependence upon others for the manufacture of our drug candidates or drugs may adversely affect our future profit margins and our ability to commercialize any drug candidates that receive marketing approval on a timely and competitive basis.</w:t>
      </w:r>
    </w:p>
    <w:p>
      <w:pPr>
        <w:pStyle w:val="TextBody"/>
        <w:bidi w:val="0"/>
        <w:spacing w:before="240" w:after="283"/>
        <w:jc w:val="both"/>
        <w:rPr>
          <w:rFonts w:ascii="Times New Roman" w:hAnsi="Times New Roman"/>
          <w:sz w:val="20"/>
        </w:rPr>
      </w:pPr>
      <w:r>
        <w:rPr>
          <w:rFonts w:ascii="Arial" w:hAnsi="Arial"/>
          <w:color w:val="000000"/>
          <w:sz w:val="20"/>
        </w:rPr>
        <w:t>In addition, there is currently significant uncertainty about the future relationship between the United States and various other countries, most significantly China, with respect to trade policies, treaties, tariffs, taxes, and other limitations on cross-border operations.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Although we do not currently use equipment or services produced or provided by such Chinese biotechnology companies, such changes in applicable trade policy may result in us being unable to obtain or use necessary equipment or services or may cause significant industry-wide supply delays or capacity limitations that could materially disrupt our operations, supply chain, and ability to produce, sell and distribute our drug candidates. Furthermore, the U.S. government has made and continues to make significant additional changes in U.S. trade policy and may continue to take future actions that could negatively impact U.S. trade. We cannot predict what actions may ultimately be taken with respect to trade relations between the United States and China or other countries, including countries which the U.S. government has identified as a foreign adversary that poses national security risks to the United States, and what products and services may be subject to such actions or what actions may be taken by the other countries in retaliation, any of which may materially and adversely affect our business, financial condition, results of operations, and cash flows.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Our manufacturing process needs to comply with FDA regulations relating to the quality and reliability of such processes. Any failure to comply with relevant regulations could result in delays in or termination of our clinical programs and suspension or withdrawal of any regulatory approvals.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order to commercially produce our drug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drug candidates, including leading to significant delays in the availability of our precision medicines for our clinical trials or the termination of or suspension of a clinical trial, or the delay or prevention of a filing or approval of marketing applications for our drug candidates. Significant non-compliance could also result in the imposition of sanctions, including warning or untitled letters, fines, injunctions, civil penalties, failure of regulatory authorities to grant marketing approvals for our drug candidates, delays, suspension or withdrawal of approvals, license revocation, seizures or recalls of products, operating restrictions and criminal prosecutions, any of which could damage our reputation and our business.</w:t>
      </w:r>
    </w:p>
    <w:p>
      <w:pPr>
        <w:pStyle w:val="TextBody"/>
        <w:bidi w:val="0"/>
        <w:spacing w:before="240" w:after="283"/>
        <w:jc w:val="both"/>
        <w:rPr>
          <w:rFonts w:ascii="Arial" w:hAnsi="Arial"/>
          <w:b/>
          <w:i/>
          <w:color w:val="000000"/>
          <w:sz w:val="20"/>
        </w:rPr>
      </w:pPr>
      <w:r>
        <w:rPr>
          <w:rFonts w:ascii="Arial" w:hAnsi="Arial"/>
          <w:b/>
          <w:i/>
          <w:color w:val="000000"/>
          <w:sz w:val="20"/>
        </w:rPr>
        <w:t>If our third-party manufacturers use hazardous materials in a manner that causes injury or violates applicable law, we may be liable for damages.</w:t>
      </w:r>
    </w:p>
    <w:p>
      <w:pPr>
        <w:pStyle w:val="TextBody"/>
        <w:bidi w:val="0"/>
        <w:spacing w:before="240" w:after="283"/>
        <w:jc w:val="both"/>
        <w:rPr>
          <w:rFonts w:ascii="Times New Roman" w:hAnsi="Times New Roman"/>
          <w:sz w:val="20"/>
        </w:rPr>
      </w:pPr>
      <w:r>
        <w:rPr>
          <w:rFonts w:ascii="Arial" w:hAnsi="Arial"/>
          <w:color w:val="000000"/>
          <w:sz w:val="20"/>
        </w:rPr>
        <w:t>Our research and development activities involve the controlled use of potentially hazardous substances, including chemical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pStyle w:val="TextBody"/>
        <w:bidi w:val="0"/>
        <w:spacing w:before="240" w:after="283"/>
        <w:jc w:val="both"/>
        <w:rPr>
          <w:rFonts w:ascii="Times New Roman" w:hAnsi="Times New Roman"/>
          <w:sz w:val="20"/>
        </w:rPr>
      </w:pPr>
      <w:r>
        <w:rPr>
          <w:rFonts w:ascii="Arial" w:hAnsi="Arial"/>
          <w:b/>
          <w:i/>
          <w:color w:val="000000"/>
          <w:sz w:val="20"/>
        </w:rPr>
        <w:t>We may use strategic collaborations, licensing arrangements or partnerships to accelerate the development and maximize the commercial potential of our programs,</w:t>
      </w:r>
      <w:r>
        <w:rPr>
          <w:rFonts w:ascii="Times New Roman" w:hAnsi="Times New Roman"/>
          <w:color w:val="000000"/>
          <w:sz w:val="20"/>
        </w:rPr>
        <w:t xml:space="preserve"> </w:t>
      </w:r>
      <w:r>
        <w:rPr>
          <w:rFonts w:ascii="Arial" w:hAnsi="Arial"/>
          <w:b/>
          <w:i/>
          <w:color w:val="000000"/>
          <w:sz w:val="20"/>
        </w:rPr>
        <w:t>and we may not realize the benefits of such collaborations, arrangements or partnerships.</w:t>
      </w:r>
    </w:p>
    <w:p>
      <w:pPr>
        <w:pStyle w:val="TextBody"/>
        <w:bidi w:val="0"/>
        <w:spacing w:before="240" w:after="283"/>
        <w:jc w:val="both"/>
        <w:rPr>
          <w:rFonts w:ascii="Arial" w:hAnsi="Arial"/>
          <w:color w:val="000000"/>
          <w:sz w:val="20"/>
        </w:rPr>
      </w:pPr>
      <w:r>
        <w:rPr>
          <w:rFonts w:ascii="Arial" w:hAnsi="Arial"/>
          <w:color w:val="000000"/>
          <w:sz w:val="20"/>
        </w:rPr>
        <w:t>We own worldwide rights to fosgonimeton as well as our pipeline of small molecule candidates. Where appropriate, we may use strategic collaborations, licensing arrangements or partnerships to accelerate the development and maximize the commercial potential of our programs. Any of these relationships may require us to incur non-recurring and other charges, increase our near and long-term expenditures, issue securities that dilute our existing stockholders or disrupt our management and business.</w:t>
      </w:r>
    </w:p>
    <w:p>
      <w:pPr>
        <w:pStyle w:val="TextBody"/>
        <w:bidi w:val="0"/>
        <w:spacing w:before="240" w:after="283"/>
        <w:jc w:val="both"/>
        <w:rPr>
          <w:rFonts w:ascii="Times New Roman" w:hAnsi="Times New Roman"/>
          <w:sz w:val="20"/>
        </w:rPr>
      </w:pPr>
      <w:r>
        <w:rPr>
          <w:rFonts w:ascii="Arial" w:hAnsi="Arial"/>
          <w:color w:val="000000"/>
          <w:sz w:val="20"/>
        </w:rPr>
        <w:t>We face significant competition in seeking appropriate strategic partners and the negotiation process is time-consuming and complex. Moreover, we may not be successful in our efforts to establish a strategic partnership or other alternative arrangements for our drug candidates because they may be deemed to be at too early of a stage of development for collaborative effort and third parties may not view our drug candidates as having the requisite potential to demonstrate safety and efficacy and obtain marketing approval. In addition, the effects to our business and reputation discussed in “</w:t>
      </w:r>
      <w:r>
        <w:rPr>
          <w:rFonts w:ascii="Times New Roman" w:hAnsi="Times New Roman"/>
          <w:color w:val="000000"/>
          <w:sz w:val="20"/>
        </w:rPr>
        <w:t>—</w:t>
      </w:r>
      <w:r>
        <w:rPr>
          <w:rFonts w:ascii="Arial" w:hAnsi="Arial"/>
          <w:i/>
          <w:color w:val="000000"/>
          <w:sz w:val="20"/>
        </w:rPr>
        <w:t>An independent special committee of our board of directors engaged in a review of papers co-authored by our former chief executive officer in connection with her doctoral research at WSU. The special committee’s findings included that (1) our former chief executive officer altered images in her 2011 doctoral dissertation and at least four research papers that she co-authored while a graduate student at WSU, and published from 2011 to 2014, (2) that we cited challenged research papers in certain communications and applications, and (3) that WSU’s dihexa patent, exclusively licensed to us, incorporated certain of these altered images</w:t>
      </w:r>
      <w:r>
        <w:rPr>
          <w:rFonts w:ascii="Arial" w:hAnsi="Arial"/>
          <w:color w:val="000000"/>
          <w:sz w:val="20"/>
        </w:rPr>
        <w:t>,” may discourage potential counterparties from entering into relationships with us.</w:t>
      </w:r>
    </w:p>
    <w:p>
      <w:pPr>
        <w:pStyle w:val="TextBody"/>
        <w:bidi w:val="0"/>
        <w:spacing w:before="240" w:after="283"/>
        <w:jc w:val="both"/>
        <w:rPr>
          <w:rFonts w:ascii="Arial" w:hAnsi="Arial"/>
          <w:color w:val="000000"/>
          <w:sz w:val="20"/>
        </w:rPr>
      </w:pPr>
      <w:r>
        <w:rPr>
          <w:rFonts w:ascii="Arial" w:hAnsi="Arial"/>
          <w:color w:val="000000"/>
          <w:sz w:val="20"/>
        </w:rPr>
        <w:t>If and when we seek to enter into collaborations, we may not be able to negotiate collaborations on a timely basis, on acceptable terms, or at all. If we are unable to do so, we may have to curtail the development of a drug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product revenue.</w:t>
      </w:r>
    </w:p>
    <w:p>
      <w:pPr>
        <w:pStyle w:val="TextBody"/>
        <w:bidi w:val="0"/>
        <w:spacing w:before="240" w:after="283"/>
        <w:jc w:val="both"/>
        <w:rPr>
          <w:rFonts w:ascii="Arial" w:hAnsi="Arial"/>
          <w:color w:val="000000"/>
          <w:sz w:val="20"/>
        </w:rPr>
      </w:pPr>
      <w:r>
        <w:rPr>
          <w:rFonts w:ascii="Arial" w:hAnsi="Arial"/>
          <w:color w:val="000000"/>
          <w:sz w:val="20"/>
        </w:rPr>
        <w:t>Even if we are successful in entering into collaborations involving our drug candidates, these relationships are subject to numerous risks, which may include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collaborators have significant discretion in determining the efforts and resources that they will apply to a collaboration;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collaborators may not pursue development and commercialization of our drug candidates or may elect not to continue or renew development or commercialization of our drug candidates based on clinical trial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collaborators may delay clinical trials, provide insufficient funding for a clinical trial, stop a clinical trial, abandon a drug candidate, repeat or conduct new clinical trials or require a new formulation of a drug candidate for clinical testing;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collaborators could independently develop, or develop with third parties, products that compete directly or indirectly with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 collaborator with marketing and distribution rights to one or more drug products may not commit sufficient resources to their marketing and distribution;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240" w:after="283"/>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disputes may arise between us and a collaborator that cause the delay or termination of the research, development or commercialization of our drug candidates, or that result in costly litigation or arbitration that diverts management attention and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collaborations may be terminated and, if terminated, may result in a need for additional capital to pursue further development or commercialization of the applicable drug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collaborators may own or co-own intellectual property covering our drug products that results from our collaborating with them, and in such cases, we would not have the exclusive right to commercialize such intellectual property.</w:t>
      </w:r>
    </w:p>
    <w:p>
      <w:pPr>
        <w:pStyle w:val="TextBody"/>
        <w:bidi w:val="0"/>
        <w:spacing w:before="240" w:after="283"/>
        <w:jc w:val="both"/>
        <w:rPr>
          <w:rFonts w:ascii="Arial" w:hAnsi="Arial"/>
          <w:color w:val="000000"/>
          <w:sz w:val="20"/>
        </w:rPr>
      </w:pPr>
      <w:r>
        <w:rPr>
          <w:rFonts w:ascii="Arial" w:hAnsi="Arial"/>
          <w:color w:val="000000"/>
          <w:sz w:val="20"/>
        </w:rPr>
        <w:t>As a result, if we enter into additional strategic collaborations, licensing arrangements or partnerships,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collaboration, licensing arrangement or partnership, we will achieve the revenue or specific net income that justifies such transaction. Any delays in entering into new strategic collaborations, licensing arrangements or partnerships related to our drug candidates could delay the development and commercialization of our drug candidates in certain geographies for certain indications, which would harm our business prospects, financial condition and results of operations.</w:t>
      </w:r>
    </w:p>
    <w:p>
      <w:pPr>
        <w:pStyle w:val="TextBody"/>
        <w:bidi w:val="0"/>
        <w:spacing w:before="240" w:after="283"/>
        <w:jc w:val="both"/>
        <w:rPr>
          <w:rFonts w:ascii="Arial" w:hAnsi="Arial"/>
          <w:b/>
          <w:i/>
          <w:color w:val="000000"/>
          <w:sz w:val="20"/>
        </w:rPr>
      </w:pPr>
      <w:r>
        <w:rPr>
          <w:rFonts w:ascii="Arial" w:hAnsi="Arial"/>
          <w:b/>
          <w:i/>
          <w:color w:val="000000"/>
          <w:sz w:val="20"/>
        </w:rPr>
        <w:t>If we engage in future acquisitions or strategic partnerships, this may increase our capital requirements, dilute our stockholders, cause us to incur debt or assume contingent liabilities, and subject us to other risks.</w:t>
      </w:r>
    </w:p>
    <w:p>
      <w:pPr>
        <w:pStyle w:val="TextBody"/>
        <w:bidi w:val="0"/>
        <w:spacing w:before="240" w:after="283"/>
        <w:jc w:val="both"/>
        <w:rPr>
          <w:rFonts w:ascii="Arial" w:hAnsi="Arial"/>
          <w:color w:val="000000"/>
          <w:sz w:val="20"/>
        </w:rPr>
      </w:pPr>
      <w:r>
        <w:rPr>
          <w:rFonts w:ascii="Arial" w:hAnsi="Arial"/>
          <w:color w:val="000000"/>
          <w:sz w:val="20"/>
        </w:rPr>
        <w:t>From time to time, we evaluate various acquisition opportunities and strategic transactions and partnerships, including licensing or acquiring complementary products, intellectual property rights, technologies or businesses. Any potential acquisition or strategic partnership may entail numerous risks,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increased operating expenses and cash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assumption of additional indebtedness or contingent liabilities;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issuance of our equity securities;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assimilation of operations, intellectual property and products of an acquired company, including difficulties associated with integrating new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diversion of our management’s attention from our existing programs and initiatives in pursuing such a strategic merger or acquisition;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retention of key employees, the loss of key personnel and uncertainties in our ability to maintain key business relationships;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risks and uncertainties associated with the other party to such a transaction, including the prospects of that party and their existing products or product candidates and marketing approvals;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inability to generate revenue from acquired technology or products sufficient to meet our objectives in undertaking the acquisition or even to offset the associated acquisition and maintenance costs.</w:t>
      </w:r>
    </w:p>
    <w:p>
      <w:pPr>
        <w:pStyle w:val="TextBody"/>
        <w:bidi w:val="0"/>
        <w:spacing w:before="240" w:after="283"/>
        <w:jc w:val="both"/>
        <w:rPr>
          <w:rFonts w:ascii="Arial" w:hAnsi="Arial"/>
          <w:color w:val="000000"/>
          <w:sz w:val="20"/>
        </w:rPr>
      </w:pPr>
      <w:r>
        <w:rPr>
          <w:rFonts w:ascii="Arial" w:hAnsi="Arial"/>
          <w:color w:val="000000"/>
          <w:sz w:val="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pStyle w:val="TextBody"/>
        <w:bidi w:val="0"/>
        <w:spacing w:before="240" w:after="283"/>
        <w:jc w:val="both"/>
        <w:rPr>
          <w:rFonts w:ascii="Arial" w:hAnsi="Arial"/>
          <w:b/>
          <w:color w:val="000000"/>
          <w:sz w:val="20"/>
        </w:rPr>
      </w:pPr>
      <w:r>
        <w:rPr>
          <w:rFonts w:ascii="Arial" w:hAnsi="Arial"/>
          <w:b/>
          <w:color w:val="000000"/>
          <w:sz w:val="20"/>
        </w:rPr>
        <w:t>Risks Relating to Our Ability to Commercialize our Drug Product</w:t>
      </w:r>
    </w:p>
    <w:p>
      <w:pPr>
        <w:pStyle w:val="TextBody"/>
        <w:bidi w:val="0"/>
        <w:spacing w:before="240" w:after="283"/>
        <w:jc w:val="both"/>
        <w:rPr>
          <w:rFonts w:ascii="Times New Roman" w:hAnsi="Times New Roman"/>
          <w:sz w:val="20"/>
        </w:rPr>
      </w:pPr>
      <w:r>
        <w:rPr>
          <w:rFonts w:ascii="Arial" w:hAnsi="Arial"/>
          <w:b/>
          <w:i/>
          <w:color w:val="000000"/>
          <w:sz w:val="20"/>
        </w:rPr>
        <w:t>Even if approved, our drug candidates may not achieve adequate market acceptance among physicians, patients, healthcare payors and others in the medical community necessary for commercial success.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Even if our drug candidates receive regulatory approval, they may not gain adequate market acceptance among physicians, patients, healthcare payors and others in the medical community. The degree of market acceptance or reimbursement of any of our approved drug candidates will depend on a number of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efficacy and safety profile as demonstrated in clinical trials compared to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timing of market introduction of the drug candidate as well as competitive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clinical indications for which the drug candidate is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extent of physician acceptance of FDA-approved therapies for AD or other target indications; </w:t>
      </w:r>
    </w:p>
    <w:p>
      <w:pPr>
        <w:pStyle w:val="TextBody"/>
        <w:bidi w:val="0"/>
        <w:spacing w:before="240" w:after="283"/>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restrictions on the use of our drug candidates, such as boxed warnings or contraindications in labeling, or a REMS, if any, which may not be required of alternative treatments and competitor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potential and perceived advantages of our drug candidates over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 of treatment in relation to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pricing and the availability of coverage and adequate reimbursement by third-party payors, including government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availability of the approved drug candidate for use as a combination therapy;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relative convenience and ease of administration;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willingness of the target patient population to try new therapies and of physicians to prescribe these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effectiveness of sales and marketing efforts;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unfavorable publicity relating to our drug products or drug candidates or similar approved products or product candidates in development by third parties;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approval of other new therapies for the same indications.</w:t>
      </w:r>
    </w:p>
    <w:p>
      <w:pPr>
        <w:pStyle w:val="TextBody"/>
        <w:bidi w:val="0"/>
        <w:spacing w:before="240" w:after="283"/>
        <w:jc w:val="both"/>
        <w:rPr>
          <w:rFonts w:ascii="Times New Roman" w:hAnsi="Times New Roman"/>
          <w:sz w:val="20"/>
        </w:rPr>
      </w:pPr>
      <w:r>
        <w:rPr>
          <w:rFonts w:ascii="Arial" w:hAnsi="Arial"/>
          <w:color w:val="000000"/>
          <w:sz w:val="20"/>
        </w:rPr>
        <w:t xml:space="preserve">If any of our drug candidates are approved but do not achieve an adequate level of acceptance by physicians, hospitals, healthcare payors and patients, we may not generate or derive sufficient revenue from such drug candidates and our financial </w:t>
      </w:r>
      <w:r>
        <w:rPr>
          <w:rFonts w:ascii="Arial" w:hAnsi="Arial"/>
          <w:color w:val="212529"/>
          <w:sz w:val="20"/>
        </w:rPr>
        <w:t xml:space="preserve">results </w:t>
      </w:r>
      <w:r>
        <w:rPr>
          <w:rFonts w:ascii="Arial" w:hAnsi="Arial"/>
          <w:color w:val="000000"/>
          <w:sz w:val="20"/>
        </w:rPr>
        <w:t>could be negatively impacted.</w:t>
      </w:r>
    </w:p>
    <w:p>
      <w:pPr>
        <w:pStyle w:val="TextBody"/>
        <w:bidi w:val="0"/>
        <w:spacing w:before="240" w:after="283"/>
        <w:jc w:val="both"/>
        <w:rPr>
          <w:rFonts w:ascii="Times New Roman" w:hAnsi="Times New Roman"/>
          <w:sz w:val="20"/>
        </w:rPr>
      </w:pPr>
      <w:r>
        <w:rPr>
          <w:rFonts w:ascii="Arial" w:hAnsi="Arial"/>
          <w:b/>
          <w:i/>
          <w:color w:val="000000"/>
          <w:sz w:val="20"/>
        </w:rPr>
        <w:t>We have never commercialized a drug candidate before and may lack the necessary expertise, personnel and resources to successfully commercialize any drug products on our own or together with suitable collaborators.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have never commercialized a drug candidate. We may license certain rights with respect to our drug candidates to collaborators, and, if so, we will rely on the assistance and guidance of those collaborators. For drug candidates for which we retain commercialization rights and marketing approval, we will have to develop our own sales, marketing and supply organization or outsource these activities to a third party</w:t>
      </w:r>
      <w:r>
        <w:rPr>
          <w:rFonts w:ascii="Arial" w:hAnsi="Arial"/>
          <w:color w:val="212529"/>
          <w:sz w:val="20"/>
        </w:rPr>
        <w:t>.</w:t>
      </w:r>
    </w:p>
    <w:p>
      <w:pPr>
        <w:pStyle w:val="TextBody"/>
        <w:bidi w:val="0"/>
        <w:spacing w:before="240" w:after="283"/>
        <w:jc w:val="both"/>
        <w:rPr>
          <w:rFonts w:ascii="Times New Roman" w:hAnsi="Times New Roman"/>
          <w:sz w:val="20"/>
        </w:rPr>
      </w:pPr>
      <w:r>
        <w:rPr>
          <w:rFonts w:ascii="Arial" w:hAnsi="Arial"/>
          <w:color w:val="212529"/>
          <w:sz w:val="20"/>
        </w:rPr>
        <w:t>Factors that may affect our ability to commercialize our drug candidates, if approved, on our own include recruiting and retaining adequate numbers of effective sales and marketing personnel, developing adequate educational and marketing programs to increase public acceptance of our approved drug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drug candidates upon approval. We may not be able to build an effective sales and marketing organization. If we are unable to build our own distribution and marketing capabilities or to find suitable partners for the commercialization of our drug candidates, we may not generate revenues from them or be able to reach or sustain profitability</w:t>
      </w:r>
      <w:r>
        <w:rPr>
          <w:rFonts w:ascii="Arial" w:hAnsi="Arial"/>
          <w:color w:val="000000"/>
          <w:sz w:val="20"/>
        </w:rPr>
        <w:t>.</w:t>
      </w:r>
    </w:p>
    <w:p>
      <w:pPr>
        <w:pStyle w:val="TextBody"/>
        <w:bidi w:val="0"/>
        <w:spacing w:before="240" w:after="283"/>
        <w:jc w:val="both"/>
        <w:rPr>
          <w:rFonts w:ascii="Arial" w:hAnsi="Arial"/>
          <w:b/>
          <w:i/>
          <w:color w:val="000000"/>
          <w:sz w:val="20"/>
        </w:rPr>
      </w:pPr>
      <w:r>
        <w:rPr>
          <w:rFonts w:ascii="Arial" w:hAnsi="Arial"/>
          <w:b/>
          <w:i/>
          <w:color w:val="000000"/>
          <w:sz w:val="20"/>
        </w:rPr>
        <w:t>If the market opportunity for any drug candidate that we develop is smaller than we believe, our revenue may be adversely affected and our business may suffer.</w:t>
      </w:r>
    </w:p>
    <w:p>
      <w:pPr>
        <w:pStyle w:val="TextBody"/>
        <w:bidi w:val="0"/>
        <w:spacing w:before="240" w:after="283"/>
        <w:jc w:val="both"/>
        <w:rPr>
          <w:rFonts w:ascii="Arial" w:hAnsi="Arial"/>
          <w:color w:val="000000"/>
          <w:sz w:val="20"/>
        </w:rPr>
      </w:pPr>
      <w:r>
        <w:rPr>
          <w:rFonts w:ascii="Arial" w:hAnsi="Arial"/>
          <w:color w:val="000000"/>
          <w:sz w:val="20"/>
        </w:rPr>
        <w:t>We intend to initially focus our drug candidate development on treatments for various CNS and PNS disorder indications. The addressable patient populations that may benefit from treatment with our drug candidates, if approved, are based on our estimates. These estimates, which have been derived from a variety of sources, including scientific literature, surveys of clinics, patient foundations and market research, may prove to be incorrect. Further, new studies may change the estimated incidence or prevalence of these CNS and PNS disorders. Any regulatory approval of our drug candidates would be limited to the therapeutic indications examined in our clinical trials and as determined by the FDA, which would not permit us to market our drug products for any other therapeutic indications not expressly approved by the FDA. Additionally, the potentially addressable patient population for our drug candidates may not ultimately be amenable to treatment with our drug candidates. For example, pre-specified subgroup analysis based on topline data from our ACT-AD clinical trial identified a potential diminished effect of the combination of background AChEIs and fosgonimeton. If such hypothesis is supported by additional research, patients receiving AChEIs could be excluded from the addressable patient population for fosgonimeton. Even if we receive regulatory approval for any of our drug candidates, such approval could be conditioned upon label restrictions that materially limit the addressable patient population. Our market opportunity may also be limited by future competitor treatments that enter the market. If any of our estimates prove to be inaccurate, the market opportunity for any drug candidate that we or our strategic partners develop could be significantly diminished and have an adverse material impact on our business.</w:t>
      </w:r>
    </w:p>
    <w:p>
      <w:pPr>
        <w:pStyle w:val="TextBody"/>
        <w:bidi w:val="0"/>
        <w:spacing w:before="240" w:after="283"/>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If product liability lawsuits are brought against us, we may incur substantial liabilities and may be required to limit commercialization of our drug candidates.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face an inherent risk of product liability as a result of the planned clinical testing of our drug candidates and will face an even greater risk if we commercialize any drug products. For example, we may be sued if our drug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drug candidates. Even successful defense would require significant financial and management resources. Regardless of the merits or eventual outcome, liability claims may result in: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decreased demand for our drug candidates or drug products that we may develop;</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injury to our reputation;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withdrawal of clinical trial participants;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initiation of investigations by regulators;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costs to defend the related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diversion of management’s time and our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substantial monetary awards to clinical trial participants or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drug product recalls, withdrawals or labeling, marketing or promotional restrictions;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loss of revenue;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exhaustion of any available insurance and our capital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inability to commercialize any drug candidate;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 decline in our share price.</w:t>
      </w:r>
    </w:p>
    <w:p>
      <w:pPr>
        <w:pStyle w:val="TextBody"/>
        <w:bidi w:val="0"/>
        <w:spacing w:before="240" w:after="283"/>
        <w:jc w:val="both"/>
        <w:rPr>
          <w:rFonts w:ascii="Times New Roman" w:hAnsi="Times New Roman"/>
          <w:sz w:val="20"/>
        </w:rPr>
      </w:pPr>
      <w:r>
        <w:rPr>
          <w:rFonts w:ascii="Arial" w:hAnsi="Arial"/>
          <w:color w:val="000000"/>
          <w:sz w:val="20"/>
        </w:rPr>
        <w:t xml:space="preserve">Failure to obtain or retain sufficient product liability insurance at an acceptable cost to protect against potential product liability claims could prevent or inhibit the commercialization of drug products we develop, alone or with corporate </w:t>
      </w:r>
      <w:r>
        <w:rPr>
          <w:rFonts w:ascii="Arial" w:hAnsi="Arial"/>
          <w:color w:val="212529"/>
          <w:sz w:val="20"/>
        </w:rPr>
        <w:t>collaborators</w:t>
      </w:r>
      <w:r>
        <w:rPr>
          <w:rFonts w:ascii="Arial" w:hAnsi="Arial"/>
          <w:color w:val="000000"/>
          <w:sz w:val="20"/>
        </w:rPr>
        <w:t>.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The insurance coverage and reimbursement status of newly approved products is uncertain. Our drug candidates may become subject to unfavorable pricing regulations, third-party coverage and reimbursement practices, or healthcare reform initiatives, which would harm our business. Failure to obtain or maintain adequate coverage and reimbursement for new or current drug products could limit our ability to market those drug products and decrease our ability to generate revenue.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regulations that govern marketing approvals, pricing, coverage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drug product in a particular country, but then be subject to price regulations that delay our commercial launch of the drug product, possibly for lengthy time periods, and negatively impact the revenue we are able to generate from the sale of the drug product in that country. Adverse pricing limitations may hinder our ability to recoup our investment in one or more drug candidates, even if any drug candidates we may develop obtain marketing approval.</w:t>
      </w:r>
    </w:p>
    <w:p>
      <w:pPr>
        <w:pStyle w:val="TextBody"/>
        <w:bidi w:val="0"/>
        <w:spacing w:before="240" w:after="283"/>
        <w:jc w:val="both"/>
        <w:rPr>
          <w:rFonts w:ascii="Times New Roman" w:hAnsi="Times New Roman"/>
          <w:sz w:val="20"/>
        </w:rPr>
      </w:pPr>
      <w:r>
        <w:rPr>
          <w:rFonts w:ascii="Arial" w:hAnsi="Arial"/>
          <w:color w:val="000000"/>
          <w:sz w:val="20"/>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drug candidates will depend in part on the extent to which coverage and adequate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reimbursement for these drug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other future drug candidates that we may identify will depend substantially, both domestically and abroad, on the extent to which the costs of our drug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drug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 covered benefit under its health plan;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safe, effective and medically necessary;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appropriate for the specific patient;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cost-effective;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neither experimental nor investigational.</w:t>
      </w:r>
    </w:p>
    <w:p>
      <w:pPr>
        <w:pStyle w:val="TextBody"/>
        <w:bidi w:val="0"/>
        <w:spacing w:before="240" w:after="283"/>
        <w:jc w:val="both"/>
        <w:rPr>
          <w:rFonts w:ascii="Times New Roman" w:hAnsi="Times New Roman"/>
          <w:sz w:val="20"/>
        </w:rPr>
      </w:pPr>
      <w:r>
        <w:rPr>
          <w:rFonts w:ascii="Arial" w:hAnsi="Arial"/>
          <w:color w:val="000000"/>
          <w:sz w:val="20"/>
        </w:rPr>
        <w:t xml:space="preserve">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w:t>
      </w:r>
      <w:r>
        <w:rPr>
          <w:rFonts w:ascii="Arial" w:hAnsi="Arial"/>
          <w:color w:val="212529"/>
          <w:sz w:val="20"/>
        </w:rPr>
        <w:t>prices</w:t>
      </w:r>
      <w:r>
        <w:rPr>
          <w:rFonts w:ascii="Times New Roman" w:hAnsi="Times New Roman"/>
          <w:color w:val="000000"/>
          <w:sz w:val="20"/>
        </w:rPr>
        <w:t xml:space="preserve"> </w:t>
      </w:r>
      <w:r>
        <w:rPr>
          <w:rFonts w:ascii="Arial" w:hAnsi="Arial"/>
          <w:color w:val="000000"/>
          <w:sz w:val="20"/>
        </w:rPr>
        <w:t>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drug candidates. Accordingly, in markets outside the United States, the reimbursement for products may be reduced compared with the United States and may be insufficient to generate commercially reasonable revenue and profits.</w:t>
      </w:r>
    </w:p>
    <w:p>
      <w:pPr>
        <w:pStyle w:val="TextBody"/>
        <w:bidi w:val="0"/>
        <w:spacing w:before="240" w:after="283"/>
        <w:jc w:val="both"/>
        <w:rPr>
          <w:rFonts w:ascii="Times New Roman" w:hAnsi="Times New Roman"/>
          <w:sz w:val="20"/>
        </w:rPr>
      </w:pPr>
      <w:r>
        <w:rPr>
          <w:rFonts w:ascii="Arial" w:hAnsi="Arial"/>
          <w:color w:val="000000"/>
          <w:sz w:val="20"/>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drug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drug products we may develop could have a material adverse effect on our operating results, our ability to raise capital needed to commercialize drug candidates, and our overall financial condition</w:t>
      </w:r>
      <w:r>
        <w:rPr>
          <w:rFonts w:ascii="Arial" w:hAnsi="Arial"/>
          <w:color w:val="212529"/>
          <w:sz w:val="20"/>
        </w:rPr>
        <w:t>.</w:t>
      </w:r>
    </w:p>
    <w:p>
      <w:pPr>
        <w:pStyle w:val="TextBody"/>
        <w:bidi w:val="0"/>
        <w:spacing w:before="240" w:after="283"/>
        <w:jc w:val="both"/>
        <w:rPr>
          <w:rFonts w:ascii="Arial" w:hAnsi="Arial"/>
          <w:color w:val="212529"/>
          <w:sz w:val="20"/>
        </w:rPr>
      </w:pPr>
      <w:r>
        <w:rPr>
          <w:rFonts w:ascii="Arial" w:hAnsi="Arial"/>
          <w:color w:val="212529"/>
          <w:sz w:val="20"/>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drug products that we develop could have a material adverse effect on our operating results, our ability to raise capital needed to commercialize drug products and our overall financial condition.</w:t>
      </w:r>
    </w:p>
    <w:p>
      <w:pPr>
        <w:pStyle w:val="TextBody"/>
        <w:bidi w:val="0"/>
        <w:spacing w:before="240" w:after="283"/>
        <w:jc w:val="both"/>
        <w:rPr>
          <w:rFonts w:ascii="Times New Roman" w:hAnsi="Times New Roman"/>
          <w:sz w:val="20"/>
        </w:rPr>
      </w:pPr>
      <w:r>
        <w:rPr>
          <w:rFonts w:ascii="Arial" w:hAnsi="Arial"/>
          <w:color w:val="212529"/>
          <w:sz w:val="20"/>
        </w:rPr>
        <w:t>Increasingly, third-party payors are requiring that drug companies provide them with predetermined discounts from list prices and are challenging the prices charged for medical products. We cannot be sure that reimbursement will be available for any drug candidate that we commercialize and, if reimbursement is available, the level of reimbursement. Reimbursement may impact the demand for, or the price of, any drug candidate for which we obtain marketing approval. In order to obtain reimbursement, physicians may need to show that patients have superior treatment outcomes with our drug</w:t>
      </w:r>
      <w:r>
        <w:rPr>
          <w:rFonts w:ascii="Times New Roman" w:hAnsi="Times New Roman"/>
          <w:color w:val="212529"/>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212529"/>
          <w:sz w:val="20"/>
        </w:rPr>
        <w:t>products compared to standard of care drugs, including lower-priced generic versions of standard of care drugs. We expect to experience pricing pressures in connection with the sale of any of our drug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r>
        <w:rPr>
          <w:rFonts w:ascii="Arial" w:hAnsi="Arial"/>
          <w:color w:val="000000"/>
          <w:sz w:val="20"/>
        </w:rPr>
        <w:t>.</w:t>
      </w:r>
    </w:p>
    <w:p>
      <w:pPr>
        <w:pStyle w:val="TextBody"/>
        <w:bidi w:val="0"/>
        <w:spacing w:before="240" w:after="283"/>
        <w:jc w:val="both"/>
        <w:rPr>
          <w:rFonts w:ascii="Times New Roman" w:hAnsi="Times New Roman"/>
          <w:sz w:val="20"/>
        </w:rPr>
      </w:pPr>
      <w:r>
        <w:rPr>
          <w:rFonts w:ascii="Arial" w:hAnsi="Arial"/>
          <w:b/>
          <w:i/>
          <w:color w:val="000000"/>
          <w:sz w:val="20"/>
        </w:rPr>
        <w:t>A variety of risks associated with marketing our drug candidates internationally may materially adversely affect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 xml:space="preserve">We plan to eventually seek regulatory approval of our drug candidates outside of the United States and, accordingly, we </w:t>
      </w:r>
      <w:r>
        <w:rPr>
          <w:rFonts w:ascii="Arial" w:hAnsi="Arial"/>
          <w:color w:val="212529"/>
          <w:sz w:val="20"/>
        </w:rPr>
        <w:t xml:space="preserve">expect </w:t>
      </w:r>
      <w:r>
        <w:rPr>
          <w:rFonts w:ascii="Arial" w:hAnsi="Arial"/>
          <w:color w:val="000000"/>
          <w:sz w:val="20"/>
        </w:rPr>
        <w:t>that we will be subject to additional risks related to operating in foreign countries if we obtain the necessary approvals,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differing regulatory requirements in foreign countries, such as the lack of pathways for accelerated drug approval, may result in foreign regulatory approvals taking longer and being more costly than obtaining approval in the United States;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foreign regulatory authorities may disagree with the design, implementation or results of our clinical trials or our interpretation of data from nonclinical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approval policies or regulations of foreign regulatory authorities may significantly change in a manner rendering our clinical data insufficient for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impact of health epidemics, including COVID-19, on our ability to produce our drug candidates and conduct clinical trials in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unexpected changes in tariffs, trade barriers, price and exchange controls and other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economic weakness, including inflation, or political instability in particular foreign economies and markets;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compliance with legal requirements applicable to privacy, data protection, information security and other matters;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compliance with tax, employment, immigration and labor laws for employees living or traveling abroad;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foreign taxes, including withholding of payroll taxes;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foreign currency fluctuations, which could result in increased operating expenses and reduced revenue, and other obligations incident to doing business in another country;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difficulties staffing and managing foreign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complexities associated with managing multiple payor reimbursement regimes and government payors in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workforce uncertainty in countries where labor unrest is more common than in the United States;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potential liability under the Foreign Corrupt Practices Act of 1977 or comparable foreign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production shortages resulting from any events affecting raw material supply or manufacturing capabilities abroad;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business interruptions resulting from geo-political actions, including war and terrorism.</w:t>
      </w:r>
    </w:p>
    <w:p>
      <w:pPr>
        <w:pStyle w:val="TextBody"/>
        <w:bidi w:val="0"/>
        <w:spacing w:before="240" w:after="283"/>
        <w:jc w:val="both"/>
        <w:rPr>
          <w:rFonts w:ascii="Times New Roman" w:hAnsi="Times New Roman"/>
          <w:sz w:val="20"/>
        </w:rPr>
      </w:pPr>
      <w:r>
        <w:rPr>
          <w:rFonts w:ascii="Arial" w:hAnsi="Arial"/>
          <w:color w:val="000000"/>
          <w:sz w:val="20"/>
        </w:rPr>
        <w:t xml:space="preserve">These and other risks associated with international operations may materially adversely affect our ability to attain or maintain </w:t>
      </w:r>
      <w:r>
        <w:rPr>
          <w:rFonts w:ascii="Arial" w:hAnsi="Arial"/>
          <w:color w:val="212529"/>
          <w:sz w:val="20"/>
        </w:rPr>
        <w:t xml:space="preserve">profitable </w:t>
      </w:r>
      <w:r>
        <w:rPr>
          <w:rFonts w:ascii="Arial" w:hAnsi="Arial"/>
          <w:color w:val="000000"/>
          <w:sz w:val="20"/>
        </w:rPr>
        <w:t>operations.</w:t>
      </w:r>
    </w:p>
    <w:p>
      <w:pPr>
        <w:pStyle w:val="TextBody"/>
        <w:bidi w:val="0"/>
        <w:spacing w:before="240" w:after="283"/>
        <w:jc w:val="both"/>
        <w:rPr>
          <w:rFonts w:ascii="Arial" w:hAnsi="Arial"/>
          <w:b/>
          <w:color w:val="000000"/>
          <w:sz w:val="20"/>
        </w:rPr>
      </w:pPr>
      <w:r>
        <w:rPr>
          <w:rFonts w:ascii="Arial" w:hAnsi="Arial"/>
          <w:b/>
          <w:color w:val="000000"/>
          <w:sz w:val="20"/>
        </w:rPr>
        <w:t>Risks Relating to Our Intellectual Property</w:t>
      </w:r>
    </w:p>
    <w:p>
      <w:pPr>
        <w:pStyle w:val="TextBody"/>
        <w:bidi w:val="0"/>
        <w:spacing w:before="240" w:after="283"/>
        <w:jc w:val="both"/>
        <w:rPr>
          <w:rFonts w:ascii="Times New Roman" w:hAnsi="Times New Roman"/>
          <w:sz w:val="20"/>
        </w:rPr>
      </w:pPr>
      <w:r>
        <w:rPr>
          <w:rFonts w:ascii="Arial" w:hAnsi="Arial"/>
          <w:b/>
          <w:i/>
          <w:color w:val="000000"/>
          <w:sz w:val="20"/>
        </w:rPr>
        <w:t>Our success depends on our ability to protect our intellectual property and our proprietary technologies.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commercial success depends in part on our ability to obtain and maintain patent protection and trade secret protection for our drug candidates, proprietary technologies and their uses as well as our ability to operate without infringing upon the proprietary rights of others. We generally seek to protect our proprietary position by filing patent applications in the United States and abroad related to our drug candidates, proprietary technologies and their uses that are important to our business. We may also seek to protect our proprietary position by acquiring or in-licensing relevant issued patents or pending applications from third parties.</w:t>
      </w:r>
    </w:p>
    <w:p>
      <w:pPr>
        <w:pStyle w:val="TextBody"/>
        <w:bidi w:val="0"/>
        <w:spacing w:before="240" w:after="283"/>
        <w:jc w:val="center"/>
        <w:rPr>
          <w:rFonts w:ascii="Arial" w:hAnsi="Arial"/>
          <w:color w:val="000000"/>
          <w:sz w:val="20"/>
        </w:rPr>
      </w:pPr>
      <w:r>
        <w:rPr>
          <w:rFonts w:ascii="Arial" w:hAnsi="Arial"/>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any current or future licensors will result in additional patents being issued or that issued patents will afford sufficient protection against competitors with similar technology, nor can there be any assurance that the patents issued will not be infringed, designed around, found unenforceable or invalidated by third parties.</w:t>
      </w:r>
    </w:p>
    <w:p>
      <w:pPr>
        <w:pStyle w:val="TextBody"/>
        <w:bidi w:val="0"/>
        <w:spacing w:before="240" w:after="283"/>
        <w:jc w:val="both"/>
        <w:rPr>
          <w:rFonts w:ascii="Arial" w:hAnsi="Arial"/>
          <w:color w:val="000000"/>
          <w:sz w:val="20"/>
        </w:rPr>
      </w:pPr>
      <w:r>
        <w:rPr>
          <w:rFonts w:ascii="Arial" w:hAnsi="Arial"/>
          <w:color w:val="000000"/>
          <w:sz w:val="20"/>
        </w:rPr>
        <w:t>Even issued patents may later be found invalid or unenforceable or may be modified or revoked in proceedings instituted by third parties or the patent owner before various patent offices or in courts. Thus, the degree of future protection for our and any current or future licensors’ proprietary rights is uncertain. Only limited protection may be available and may not adequately protect our rights or permit us to gain or keep any competitive advantage. These uncertainties or limitations in our ability to properly protect the intellectual property rights relating to our drug candidates could have a material adverse effect on our financial condition and results of operations.</w:t>
      </w:r>
    </w:p>
    <w:p>
      <w:pPr>
        <w:pStyle w:val="TextBody"/>
        <w:bidi w:val="0"/>
        <w:spacing w:before="240" w:after="283"/>
        <w:jc w:val="both"/>
        <w:rPr>
          <w:rFonts w:ascii="Arial" w:hAnsi="Arial"/>
          <w:color w:val="000000"/>
          <w:sz w:val="20"/>
        </w:rPr>
      </w:pPr>
      <w:r>
        <w:rPr>
          <w:rFonts w:ascii="Arial" w:hAnsi="Arial"/>
          <w:color w:val="000000"/>
          <w:sz w:val="20"/>
        </w:rPr>
        <w:t>We cannot be certain that the claims in our pending patent applications or those of any current or future licensors will be considered patentable by the United States Patent and Trademark Office, or USPTO, courts in the United States or by the patent offices and courts in foreign countries, nor can we be certain that the claims in our owned or in-licensed patents will not be found invalid or unenforceable if challenged.</w:t>
      </w:r>
    </w:p>
    <w:p>
      <w:pPr>
        <w:pStyle w:val="TextBody"/>
        <w:bidi w:val="0"/>
        <w:spacing w:before="240" w:after="283"/>
        <w:jc w:val="both"/>
        <w:rPr>
          <w:rFonts w:ascii="Arial" w:hAnsi="Arial"/>
          <w:color w:val="000000"/>
          <w:sz w:val="20"/>
        </w:rPr>
      </w:pPr>
      <w:r>
        <w:rPr>
          <w:rFonts w:ascii="Arial" w:hAnsi="Arial"/>
          <w:color w:val="000000"/>
          <w:sz w:val="20"/>
        </w:rPr>
        <w:t>The patent application process is subject to numerous risks and uncertainties, and there can be no assurance that we or any of our potential future collaborators will be successful in protecting our drug candidates by obtaining and defending patents. These risks and uncertainties include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patent applications may not result in any patents being issued;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patents and patent applications may be challenged, invalidated, modified, revoked, circumvented, found to be unenforceable or otherwise may not provide any competitive advantage;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to patent laws in the United States or in other countries may limit the ability to obtain, defend or enforce patents, or may apply retroactively to affect the terms or scope of patents;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there may be significant pressure on the U.S. government and international governmental bodies to limit the scope or term of patent protection both inside and outside the United States for disease treatments that prove successful, as a matter of public policy regarding worldwide health concerns;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countries other than the United States may have patent laws less favorable to patentees than those upheld by U.S. courts, allowing foreign competitors a better opportunity to create, develop and market competing product candidates.</w:t>
      </w:r>
    </w:p>
    <w:p>
      <w:pPr>
        <w:pStyle w:val="TextBody"/>
        <w:bidi w:val="0"/>
        <w:spacing w:before="240" w:after="283"/>
        <w:jc w:val="both"/>
        <w:rPr>
          <w:rFonts w:ascii="Arial" w:hAnsi="Arial"/>
          <w:color w:val="000000"/>
          <w:sz w:val="20"/>
        </w:rPr>
      </w:pPr>
      <w:r>
        <w:rPr>
          <w:rFonts w:ascii="Arial" w:hAnsi="Arial"/>
          <w:color w:val="000000"/>
          <w:sz w:val="20"/>
        </w:rPr>
        <w:t>The patent prosecution process is also expensive and time-consuming, and we and any current or future licensors may not be able to file and prosecute all necessary or desirable patent applications at a reasonable cost or in a timely manner or in all jurisdictions where protection may be commercially advantageous. It is also possible that we or any current or future licensors will fail to identify patentable aspects of our research and development output before it is too late to obtain patent protection.</w:t>
      </w:r>
    </w:p>
    <w:p>
      <w:pPr>
        <w:pStyle w:val="TextBody"/>
        <w:bidi w:val="0"/>
        <w:spacing w:before="240" w:after="283"/>
        <w:jc w:val="both"/>
        <w:rPr>
          <w:rFonts w:ascii="Arial" w:hAnsi="Arial"/>
          <w:color w:val="000000"/>
          <w:sz w:val="20"/>
        </w:rPr>
      </w:pPr>
      <w:r>
        <w:rPr>
          <w:rFonts w:ascii="Arial" w:hAnsi="Arial"/>
          <w:color w:val="000000"/>
          <w:sz w:val="20"/>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Certain of these parties may also be subject to public information disclosure statutes and could determine to disclose patentable aspects of our research and development output pursuant to a request thereunder, notwithstanding the existence of a non-disclosure and confidentiality agreement. Any of these actions could jeopardize our ability to seek patent protection.</w:t>
      </w:r>
    </w:p>
    <w:p>
      <w:pPr>
        <w:pStyle w:val="TextBody"/>
        <w:bidi w:val="0"/>
        <w:spacing w:before="240" w:after="283"/>
        <w:jc w:val="both"/>
        <w:rPr>
          <w:rFonts w:ascii="Times New Roman" w:hAnsi="Times New Roman"/>
          <w:sz w:val="20"/>
        </w:rPr>
      </w:pPr>
      <w:r>
        <w:rPr>
          <w:rFonts w:ascii="Arial" w:hAnsi="Arial"/>
          <w:color w:val="000000"/>
          <w:sz w:val="20"/>
        </w:rPr>
        <w:t>Given the amount of time required for the development, testing and regulatory review of new drug candidates, patents protecting such candidates or their use might expire before or shortly after such candidates are commercialized. As a result,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our intellectual property may not provide us with sufficient rights to exclude others from commercializing products similar or identical to ours.</w:t>
      </w:r>
    </w:p>
    <w:p>
      <w:pPr>
        <w:pStyle w:val="TextBody"/>
        <w:bidi w:val="0"/>
        <w:spacing w:before="240" w:after="283"/>
        <w:jc w:val="both"/>
        <w:rPr>
          <w:rFonts w:ascii="Times New Roman" w:hAnsi="Times New Roman"/>
          <w:sz w:val="20"/>
        </w:rPr>
      </w:pPr>
      <w:r>
        <w:rPr>
          <w:rFonts w:ascii="Arial" w:hAnsi="Arial"/>
          <w:b/>
          <w:i/>
          <w:color w:val="000000"/>
          <w:sz w:val="20"/>
        </w:rPr>
        <w:t>If the scope of any patent protection we obtain is not sufficiently broad, or if we lose any of our patent protection, our ability to prevent our competitors from commercializing similar or identical product candidates would be adversely affected.</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any current or future licensors may not result in patents being issued which protect our drug candidates or their use or which effectively prevent others from commercializing competitive product candidates.</w:t>
      </w:r>
    </w:p>
    <w:p>
      <w:pPr>
        <w:pStyle w:val="TextBody"/>
        <w:bidi w:val="0"/>
        <w:spacing w:before="240" w:after="283"/>
        <w:jc w:val="both"/>
        <w:rPr>
          <w:rFonts w:ascii="Arial" w:hAnsi="Arial"/>
          <w:color w:val="000000"/>
          <w:sz w:val="20"/>
        </w:rPr>
      </w:pPr>
      <w:r>
        <w:rPr>
          <w:rFonts w:ascii="Arial" w:hAnsi="Arial"/>
          <w:color w:val="000000"/>
          <w:sz w:val="20"/>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invalidated or rendered unenforceable as a result of challenges by third parties. Consequently, we do not know whether our drug candidates will be protectable or remain protected by valid and enforceable patents. Our competitors or other third parties may be able to circumvent our patents or the patents of any current or future licensors by developing similar or alternative technologies or products in a non-infringing manner which could materially adversely affect our business, financial condition, results of operations and prospects.</w:t>
      </w:r>
    </w:p>
    <w:p>
      <w:pPr>
        <w:pStyle w:val="TextBody"/>
        <w:bidi w:val="0"/>
        <w:spacing w:before="240" w:after="283"/>
        <w:jc w:val="both"/>
        <w:rPr>
          <w:rFonts w:ascii="Times New Roman" w:hAnsi="Times New Roman"/>
          <w:sz w:val="20"/>
        </w:rPr>
      </w:pPr>
      <w:r>
        <w:rPr>
          <w:rFonts w:ascii="Arial" w:hAnsi="Arial"/>
          <w:color w:val="000000"/>
          <w:sz w:val="20"/>
        </w:rPr>
        <w:t xml:space="preserve">The issuance of a patent is not conclusive as to its inventorship, scope, validity, or enforceability, and our patents or the patents of any current or future licensors may be challenged in the courts or patent offices in the United States and abroad. We may be subject to a third-party pre-issuance submission of prior art to the USPTO, or become involved in opposition, derivation, revocation, reexamination, post-grant review, or PGR, and </w:t>
      </w:r>
      <w:r>
        <w:rPr>
          <w:rFonts w:ascii="Arial" w:hAnsi="Arial"/>
          <w:i/>
          <w:color w:val="000000"/>
          <w:sz w:val="20"/>
        </w:rPr>
        <w:t xml:space="preserve">inter partes </w:t>
      </w:r>
      <w:r>
        <w:rPr>
          <w:rFonts w:ascii="Arial" w:hAnsi="Arial"/>
          <w:color w:val="000000"/>
          <w:sz w:val="20"/>
        </w:rPr>
        <w:t>review, or IPR, or other similar proceedings challenging our patent rights. An adverse determination in any such submission, proceeding or litigation could reduce the scope of, or invalidate or render unenforceable, our patent rights, allow third parties to commercialize our drug candidates and compete directly with us, without payment to us, or result in our inability to manufacture or commercialize products without infringing third-party patent rights.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Moreover, our patents or the patents of any current or future licensors may become subject to post-grant challenge proceedings, such as oppositions in a foreign patent office, that challenge our claim of priority of invention, scope, validity or patentability with respect to our patents and patent applications and those of any current or future licensors.</w:t>
      </w:r>
    </w:p>
    <w:p>
      <w:pPr>
        <w:pStyle w:val="TextBody"/>
        <w:bidi w:val="0"/>
        <w:spacing w:before="240" w:after="283"/>
        <w:jc w:val="both"/>
        <w:rPr>
          <w:rFonts w:ascii="Times New Roman" w:hAnsi="Times New Roman"/>
          <w:sz w:val="20"/>
        </w:rPr>
      </w:pPr>
      <w:r>
        <w:rPr>
          <w:rFonts w:ascii="Arial" w:hAnsi="Arial"/>
          <w:color w:val="000000"/>
          <w:sz w:val="20"/>
        </w:rPr>
        <w:t>For example, in view of the lawsuits disclosed elsewhere in this report including in this “Risk Factors” section under the heading “</w:t>
      </w:r>
      <w:r>
        <w:rPr>
          <w:rFonts w:ascii="Times New Roman" w:hAnsi="Times New Roman"/>
          <w:color w:val="000000"/>
          <w:sz w:val="20"/>
        </w:rPr>
        <w:t>—</w:t>
      </w:r>
      <w:r>
        <w:rPr>
          <w:rFonts w:ascii="Arial" w:hAnsi="Arial"/>
          <w:i/>
          <w:color w:val="000000"/>
          <w:sz w:val="20"/>
        </w:rPr>
        <w:t>We and certain of our directors and executive officers have been, and may in the future be, named as defendants in lawsuits that could result in substantial costs and divert management’s attention</w:t>
      </w:r>
      <w:r>
        <w:rPr>
          <w:rFonts w:ascii="Arial" w:hAnsi="Arial"/>
          <w:color w:val="000000"/>
          <w:sz w:val="20"/>
        </w:rPr>
        <w:t>,” and in “Part II, Item 1—Legal Proceedings,” third parties may challenge the validity or enforceability of our in-licensed patents and patent applications. The outcome following legal assertions of invalidity and unenforceability is unpredictable. Such challenges may result in loss of patent rights, loss of exclusivity or in patent claims being narrowed, invalidated or held unenforceable, which could limit our ability to stop others from using or commercializing similar technology and drug products such as other modifications to dihexa not covered by our issued patents. Such proceedings also may result in substantial cost and require significant time from our scientists and management, even if the eventual outcome is favorable to us. In addition, if the breadth or strength of protection provided by our in-licensed patents and patent applications is threatened, regardless of the outcome, it could dissuade companies from collaborating with us to license, develop, or commercialize current or future drug candidates. Further, these proceedings could have a material adverse effect on our business, results of operations and financial condition.</w:t>
      </w:r>
    </w:p>
    <w:p>
      <w:pPr>
        <w:pStyle w:val="TextBody"/>
        <w:bidi w:val="0"/>
        <w:spacing w:before="240" w:after="283"/>
        <w:jc w:val="both"/>
        <w:rPr>
          <w:rFonts w:ascii="Arial" w:hAnsi="Arial"/>
          <w:color w:val="000000"/>
          <w:sz w:val="20"/>
        </w:rPr>
      </w:pPr>
      <w:r>
        <w:rPr>
          <w:rFonts w:ascii="Arial" w:hAnsi="Arial"/>
          <w:color w:val="000000"/>
          <w:sz w:val="20"/>
        </w:rPr>
        <w:t>Even though we own patents and patent applications covering fosgonimeton and its use, our patents and any future patents we obtain may not effectively prevent others from developing or commercializing products similar to our drug candidates. While the fosgonimeton patent family is distinct from, and not part of the same patent family as, the dihexa patent licensed from WSU, and therefore is not implicated in the allegations that Dr. Kawas altered images in connection with her doctoral studies, third parties may use these allegations to cast doubt on the validity and enforceability of our owned patents or patent applications. Such events may result in substantial cost and require significant time from our scientists and management, and could dissuade companies from collaborating with us to license, develop, or commercialize current or future drug candidates, even if the eventual outcome is favorable to us.</w:t>
      </w:r>
    </w:p>
    <w:p>
      <w:pPr>
        <w:pStyle w:val="TextBody"/>
        <w:bidi w:val="0"/>
        <w:spacing w:before="240" w:after="283"/>
        <w:jc w:val="both"/>
        <w:rPr>
          <w:rFonts w:ascii="Times New Roman" w:hAnsi="Times New Roman"/>
          <w:sz w:val="20"/>
        </w:rPr>
      </w:pPr>
      <w:r>
        <w:rPr>
          <w:rFonts w:ascii="Arial" w:hAnsi="Arial"/>
          <w:color w:val="000000"/>
          <w:sz w:val="20"/>
        </w:rPr>
        <w:t>We or WSU may in the future file one or more requests for supplemental examination of certain patents for the USPTO to reconsider the enforceability and validity of the patents (including any patents relating to dihexa) in view of the allegations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that Dr. Kawas altered images in connection with her doctoral studies. The outcome of any supplemental examination procedure is unpredictable. If a substantial new question of patentability is found, the USPTO Director will order supplemental examination of the patent. An adverse determination in such a proceeding could reduce the scope of, or invalidate or render unenforceable, the affected patent rights. While supplemental examination proceedings that result in our favor would bolster the presumption of validity and enforceability of the examined patents, third parties may still challenge the patents and patent applications in litigation or other legal proceedings.</w:t>
      </w:r>
    </w:p>
    <w:p>
      <w:pPr>
        <w:pStyle w:val="TextBody"/>
        <w:bidi w:val="0"/>
        <w:spacing w:before="240" w:after="283"/>
        <w:jc w:val="both"/>
        <w:rPr>
          <w:rFonts w:ascii="Times New Roman" w:hAnsi="Times New Roman"/>
          <w:sz w:val="20"/>
        </w:rPr>
      </w:pPr>
      <w:r>
        <w:rPr>
          <w:rFonts w:ascii="Arial" w:hAnsi="Arial"/>
          <w:b/>
          <w:i/>
          <w:color w:val="000000"/>
          <w:sz w:val="20"/>
        </w:rPr>
        <w:t>Intellectual property rights do not necessarily address all potential threats to our competitive advantage.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others may be able to develop products that are similar to our drug candidates but that are not covered by the claims of the patents that we own or license;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or any current or future licensors or collaborators might not have been the first to make the inventions covered by the issued patents or patent application that we own or license;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or any current or future licensors or collaborators might not have been the first to file patent applications covering certain of our or their inventions;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others may independently develop similar or alternative technologies or duplicate any of our technologies without infringing our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it is possible that the pending patent applications we own or license will not lead to issued patents;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issued patents that we own or license may be held invalid or unenforceable, as a result of legal challenges by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may not develop additional proprietary technologies that are patentable;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patents of others may have an adverse effect on our business;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may choose not to file a patent application in order to maintain certain trade secrets or know-how, and a third party may subsequently file a patent application covering such intellectual property.</w:t>
      </w:r>
    </w:p>
    <w:p>
      <w:pPr>
        <w:pStyle w:val="TextBody"/>
        <w:bidi w:val="0"/>
        <w:spacing w:before="240" w:after="283"/>
        <w:jc w:val="both"/>
        <w:rPr>
          <w:rFonts w:ascii="Arial" w:hAnsi="Arial"/>
          <w:color w:val="000000"/>
          <w:sz w:val="20"/>
        </w:rPr>
      </w:pPr>
      <w:r>
        <w:rPr>
          <w:rFonts w:ascii="Arial" w:hAnsi="Arial"/>
          <w:color w:val="000000"/>
          <w:sz w:val="20"/>
        </w:rPr>
        <w:t>Should any of these events occur, it could significantly harm our business, results of operations and prospects.</w:t>
      </w:r>
    </w:p>
    <w:p>
      <w:pPr>
        <w:pStyle w:val="TextBody"/>
        <w:bidi w:val="0"/>
        <w:spacing w:before="240" w:after="283"/>
        <w:jc w:val="both"/>
        <w:rPr>
          <w:rFonts w:ascii="Arial" w:hAnsi="Arial"/>
          <w:b/>
          <w:i/>
          <w:color w:val="000000"/>
          <w:sz w:val="20"/>
        </w:rPr>
      </w:pPr>
      <w:r>
        <w:rPr>
          <w:rFonts w:ascii="Arial" w:hAnsi="Arial"/>
          <w:b/>
          <w:i/>
          <w:color w:val="000000"/>
          <w:sz w:val="20"/>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pStyle w:val="TextBody"/>
        <w:bidi w:val="0"/>
        <w:spacing w:before="240" w:after="283"/>
        <w:jc w:val="both"/>
        <w:rPr>
          <w:rFonts w:ascii="Arial" w:hAnsi="Arial"/>
          <w:color w:val="000000"/>
          <w:sz w:val="20"/>
        </w:rPr>
      </w:pPr>
      <w:r>
        <w:rPr>
          <w:rFonts w:ascii="Arial" w:hAnsi="Arial"/>
          <w:color w:val="000000"/>
          <w:sz w:val="20"/>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drug candidates and drug products that may be approved in the future, or impair our competitive position. There is a substantial amount of litigation and other legal actions, both within and outside the United States, involving patent and other intellectual property rights in the biopharmaceutical industry, including patent infringement lawsuits, reexaminations, IPR proceedings and PGR proceedings and oppositions before the USPTO and/or corresponding foreign patent offices. Numerous third-party U.S. and foreign issued patents and pending patent applications exist in the fields in which we are developing drug candidates. There may be third-party patents or patent applications with claims to compositions, materials, formulations, methods of manufacture or methods for treatment related to the use or manufacture of our drug candidates.</w:t>
      </w:r>
    </w:p>
    <w:p>
      <w:pPr>
        <w:pStyle w:val="TextBody"/>
        <w:bidi w:val="0"/>
        <w:spacing w:before="240" w:after="283"/>
        <w:jc w:val="both"/>
        <w:rPr>
          <w:rFonts w:ascii="Times New Roman" w:hAnsi="Times New Roman"/>
          <w:sz w:val="20"/>
        </w:rPr>
      </w:pPr>
      <w:r>
        <w:rPr>
          <w:rFonts w:ascii="Arial" w:hAnsi="Arial"/>
          <w:color w:val="000000"/>
          <w:sz w:val="20"/>
        </w:rPr>
        <w:t>As the biopharmaceutical industry expands and more patents are issued, the risk increases that our drug candidates may be subject to claims of infringement of the patent rights of third parties. Because patent applications are maintained as confidential for a certain period of time, until the relevant application is published, we may be unaware of third-party patents or patent applications that may be infringed by commercialization of any of our drug candidates, and we cannot be certain that we were the first to file a patent application related to a drug candidate, its use, or our technology. Moreover, because patent applications can take many years to issue, there may be currently-pending patent applications that may later result in issued patents that our drug candidates or their use may infringe. In addition, identification of third-party patent rights that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drug candidates that may be approved in the future, or impair our competitive position. In addition, third parties may obtain patents in the future and claim that use of our technologies infringes upon these patents. Any defense to claims of patent infringement asserted by third parties would be time consuming and could: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result in costly litigation that may cause negative publicity;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divert the time and attention of our technical personnel and management;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cause development delays;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prevent us from commercializing any of our drug candidates until the asserted patent expires or is held finally invalid or not infringed in a court of law;</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require us to develop non-infringing technology, which may not be possible on a cost-effective basis;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subject us to significant liability to third parties; or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require us to enter into royalty or licensing agreements, which may not be available on commercially reasonable terms, or at all, or which might be non-exclusive, which could result in our competitors gaining access to the same technology.</w:t>
      </w:r>
    </w:p>
    <w:p>
      <w:pPr>
        <w:pStyle w:val="TextBody"/>
        <w:bidi w:val="0"/>
        <w:spacing w:before="240" w:after="283"/>
        <w:jc w:val="both"/>
        <w:rPr>
          <w:rFonts w:ascii="Arial" w:hAnsi="Arial"/>
          <w:color w:val="000000"/>
          <w:sz w:val="20"/>
        </w:rPr>
      </w:pPr>
      <w:r>
        <w:rPr>
          <w:rFonts w:ascii="Arial" w:hAnsi="Arial"/>
          <w:color w:val="000000"/>
          <w:sz w:val="20"/>
        </w:rPr>
        <w:t>Although no third party has asserted a claim of patent infringement against us as of the date of this report, others may hold proprietary rights that could prevent our drug candidates from being marketed. Any patent-related legal action against us claiming damages and seeking to enjoin commercial activities relating to our drug candidates, treatment indications, or processes could subject us to significant liability for damages, including treble damages if we were determined to willfully infringe, and require us to obtain a license to manufacture or market our drug candidates. Defense of these claims, regardless of their merit, would involve substantial litigation expense and would be a substantial diversion for management and other personnel.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our drug candidates, our treatment indications, or processes to avoid infringement, if necessary. Accordingly, an adverse determination in a judicial or administrative proceeding, or the failure to obtain necessary licenses, could prevent us from developing and commercializing our drug candidates, which could harm our business, financial condition and operating results. In addition, intellectual property litigation, regardless of its outcome, may cause negative publicity and could prohibit us from marketing or otherwise commercializing our drug candidates and technology.</w:t>
      </w:r>
    </w:p>
    <w:p>
      <w:pPr>
        <w:pStyle w:val="TextBody"/>
        <w:bidi w:val="0"/>
        <w:spacing w:before="240" w:after="283"/>
        <w:jc w:val="both"/>
        <w:rPr>
          <w:rFonts w:ascii="Arial" w:hAnsi="Arial"/>
          <w:color w:val="000000"/>
          <w:sz w:val="20"/>
        </w:rPr>
      </w:pPr>
      <w:r>
        <w:rPr>
          <w:rFonts w:ascii="Arial" w:hAnsi="Arial"/>
          <w:color w:val="000000"/>
          <w:sz w:val="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pStyle w:val="TextBody"/>
        <w:bidi w:val="0"/>
        <w:spacing w:before="240" w:after="283"/>
        <w:jc w:val="both"/>
        <w:rPr>
          <w:rFonts w:ascii="Times New Roman" w:hAnsi="Times New Roman"/>
          <w:sz w:val="20"/>
        </w:rPr>
      </w:pPr>
      <w:r>
        <w:rPr>
          <w:rFonts w:ascii="Arial" w:hAnsi="Arial"/>
          <w:b/>
          <w:i/>
          <w:color w:val="000000"/>
          <w:sz w:val="20"/>
        </w:rPr>
        <w:t>We may not be successful in obtaining or maintaining necessary rights to our drug candidates through acquisitions and in-licenses.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drug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or if we are unable to maintain the existing intellectual property rights we have, we may have to abandon development of the relevant program or drug candidate, which could have a material adverse effect on our business, financial condition, results of operations, and prospects.</w:t>
      </w:r>
    </w:p>
    <w:p>
      <w:pPr>
        <w:pStyle w:val="TextBody"/>
        <w:bidi w:val="0"/>
        <w:spacing w:before="240" w:after="283"/>
        <w:jc w:val="center"/>
        <w:rPr>
          <w:rFonts w:ascii="Arial" w:hAnsi="Arial"/>
          <w:color w:val="000000"/>
          <w:sz w:val="20"/>
        </w:rPr>
      </w:pPr>
      <w:r>
        <w:rPr>
          <w:rFonts w:ascii="Arial" w:hAnsi="Arial"/>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We may be involved in lawsuits to protect or enforce our patents or any current or future licensors’ patents, which could be expensive, time consuming and unsuccessful. Further, our issued patents or any current or future licensors’ patents could be found invalid or unenforceable if challenged in court.</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or is not infringed. If we or any of our potential future collaborators were to initiate legal proceedings against a third party to enforce a patent directed at one of our drug candidates or their method of use, the defendant could counterclaim that our patent or the patent of any current or future licensors is invalid or unenforceable in whole or in part. In patent litigation in the United States, defendant counterclaims alleging invalidity or unenforceability are commonplace. Grounds for a validity challenge include an alleged failure to meet any of several statutory requirements, including allegations of a lack of novelty, obviousness, lack of sufficient written description, non-enablement, or obviousness-type double patenting. Grounds for an unenforceability assertion could include an allegation that someone connected with prosecution of the patent application misrepresented or fraudulently withheld relevant information from the USPTO or made a misleading statement during prosecution.</w:t>
      </w:r>
    </w:p>
    <w:p>
      <w:pPr>
        <w:pStyle w:val="TextBody"/>
        <w:bidi w:val="0"/>
        <w:spacing w:before="240" w:after="283"/>
        <w:jc w:val="both"/>
        <w:rPr>
          <w:rFonts w:ascii="Arial" w:hAnsi="Arial"/>
          <w:color w:val="000000"/>
          <w:sz w:val="20"/>
        </w:rPr>
      </w:pPr>
      <w:r>
        <w:rPr>
          <w:rFonts w:ascii="Arial" w:hAnsi="Arial"/>
          <w:color w:val="000000"/>
          <w:sz w:val="20"/>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any current or future licensors’ patents in such a way that they no longer cover our technology or any drug candidates that we may develop. The outcome following legal assertions of invalidity and unenforceability is unpredictable. With respect to a validity claim,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any drug candidates that we may develop. Such a loss of patent protection would have a material adverse impact on our business, financial condition, results of operations and prospects.</w:t>
      </w:r>
    </w:p>
    <w:p>
      <w:pPr>
        <w:pStyle w:val="TextBody"/>
        <w:bidi w:val="0"/>
        <w:spacing w:before="240" w:after="283"/>
        <w:jc w:val="both"/>
        <w:rPr>
          <w:rFonts w:ascii="Arial" w:hAnsi="Arial"/>
          <w:color w:val="000000"/>
          <w:sz w:val="20"/>
        </w:rPr>
      </w:pPr>
      <w:r>
        <w:rPr>
          <w:rFonts w:ascii="Arial" w:hAnsi="Arial"/>
          <w:color w:val="000000"/>
          <w:sz w:val="20"/>
        </w:rPr>
        <w:t>The outcome following legal assertions of invalidity or unenforceability is unpredictable, and prior art could render our patents or any current or future licensors’ patents invalid. There is no assurance that all potentially relevant prior art relating to our patents and patents applications or the patents and patent applications of any current or future licensors has been found. There is also no assurance that there is not prior art of which we are aware, but which we do not believe affects the validity or enforceability of a claim in our patents and patent applications or the patents and patent applications of any current or future licensors, which may, nonetheless, ultimately be found to affect the validity or enforceability of a claim. Additionally, a finding that issued claims lack sufficient written description or are not enabled could render our patent or any current or future licensors’ patent invalid.</w:t>
      </w:r>
    </w:p>
    <w:p>
      <w:pPr>
        <w:pStyle w:val="TextBody"/>
        <w:bidi w:val="0"/>
        <w:spacing w:before="240" w:after="283"/>
        <w:jc w:val="both"/>
        <w:rPr>
          <w:rFonts w:ascii="Arial" w:hAnsi="Arial"/>
          <w:color w:val="000000"/>
          <w:sz w:val="20"/>
        </w:rPr>
      </w:pPr>
      <w:r>
        <w:rPr>
          <w:rFonts w:ascii="Arial" w:hAnsi="Arial"/>
          <w:color w:val="000000"/>
          <w:sz w:val="20"/>
        </w:rPr>
        <w:t>If a third party were to prevail on a legal assertion of invalidity or unenforceability, we may lose at least part, and perhaps all, of the patent protection on such drug candidate. In addition, if the breadth or strength of protection provided by our patents and patent applications or the patents and patent applications of any current or future licensors is threatened, it could dissuade companies from collaborating with us to license, develop or commercialize current or future drug candidates. Such a loss of patent protection would have a material adverse impact on our business.</w:t>
      </w:r>
    </w:p>
    <w:p>
      <w:pPr>
        <w:pStyle w:val="TextBody"/>
        <w:bidi w:val="0"/>
        <w:spacing w:before="240" w:after="283"/>
        <w:jc w:val="both"/>
        <w:rPr>
          <w:rFonts w:ascii="Arial" w:hAnsi="Arial"/>
          <w:color w:val="000000"/>
          <w:sz w:val="20"/>
        </w:rPr>
      </w:pPr>
      <w:r>
        <w:rPr>
          <w:rFonts w:ascii="Arial" w:hAnsi="Arial"/>
          <w:color w:val="000000"/>
          <w:sz w:val="20"/>
        </w:rPr>
        <w:t>Even if resolved in our favor, litigation or other legal proceedings relating to our intellectual property rights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pStyle w:val="TextBody"/>
        <w:bidi w:val="0"/>
        <w:spacing w:before="240" w:after="283"/>
        <w:jc w:val="both"/>
        <w:rPr>
          <w:rFonts w:ascii="Arial" w:hAnsi="Arial"/>
          <w:color w:val="000000"/>
          <w:sz w:val="20"/>
        </w:rPr>
      </w:pPr>
      <w:r>
        <w:rPr>
          <w:rFonts w:ascii="Arial" w:hAnsi="Arial"/>
          <w:color w:val="000000"/>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TextBody"/>
        <w:bidi w:val="0"/>
        <w:spacing w:before="240" w:after="283"/>
        <w:jc w:val="both"/>
        <w:rPr>
          <w:rFonts w:ascii="Arial" w:hAnsi="Arial"/>
          <w:color w:val="000000"/>
          <w:sz w:val="20"/>
        </w:rPr>
      </w:pPr>
      <w:r>
        <w:rPr>
          <w:rFonts w:ascii="Arial" w:hAnsi="Arial"/>
          <w:color w:val="000000"/>
          <w:sz w:val="20"/>
        </w:rPr>
        <w:t>In addition, the issuance of a patent does not give us the right to practice the patented invention. Third parties may have blocking patents that could prevent us from marketing our own patented drug product and practicing our own patented technology.</w:t>
      </w:r>
    </w:p>
    <w:p>
      <w:pPr>
        <w:pStyle w:val="TextBody"/>
        <w:bidi w:val="0"/>
        <w:spacing w:before="240" w:after="283"/>
        <w:jc w:val="center"/>
        <w:rPr>
          <w:rFonts w:ascii="Arial" w:hAnsi="Arial"/>
          <w:color w:val="000000"/>
          <w:sz w:val="20"/>
        </w:rPr>
      </w:pPr>
      <w:r>
        <w:rPr>
          <w:rFonts w:ascii="Arial" w:hAnsi="Arial"/>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Intellectual property litigation or legal proceedings may lead to unfavorable publicity that harms our reputation and causes the market price of our common stock to decline.</w:t>
      </w:r>
    </w:p>
    <w:p>
      <w:pPr>
        <w:pStyle w:val="TextBody"/>
        <w:bidi w:val="0"/>
        <w:spacing w:before="240" w:after="283"/>
        <w:jc w:val="both"/>
        <w:rPr>
          <w:rFonts w:ascii="Arial" w:hAnsi="Arial"/>
          <w:color w:val="000000"/>
          <w:sz w:val="20"/>
        </w:rPr>
      </w:pPr>
      <w:r>
        <w:rPr>
          <w:rFonts w:ascii="Arial" w:hAnsi="Arial"/>
          <w:color w:val="000000"/>
          <w:sz w:val="20"/>
        </w:rPr>
        <w:t>During the course of any intellectual property litigation or legal proceeding, there could be public announcements of the initiation of the litigation or legal proceeding as well as results of hearings, rulings on motions, and other interim proceedings. If securities analysts or investors regard these announcements as negative, the perceived value of our existing drug candidates, programs or intellectual property could be diminished. Accordingly, the market price of shares of our common stock may decline. Such announcements could also harm our reputation or the market for our future drug products, which could have a material adverse effect on our business.</w:t>
      </w:r>
    </w:p>
    <w:p>
      <w:pPr>
        <w:pStyle w:val="TextBody"/>
        <w:bidi w:val="0"/>
        <w:spacing w:before="240" w:after="283"/>
        <w:jc w:val="both"/>
        <w:rPr>
          <w:rFonts w:ascii="Times New Roman" w:hAnsi="Times New Roman"/>
          <w:sz w:val="20"/>
        </w:rPr>
      </w:pPr>
      <w:r>
        <w:rPr>
          <w:rFonts w:ascii="Arial" w:hAnsi="Arial"/>
          <w:b/>
          <w:i/>
          <w:color w:val="000000"/>
          <w:sz w:val="20"/>
        </w:rPr>
        <w:t>Derivation proceedings may be necessary to determine priority of inventions, and an unfavorable outcome may require us to cease using the related technology or to attempt to license rights from the prevailing party.</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Derivation proceedings provoked by third parties or brought by us or declared by the USPTO may be necessary to determine the priority of inventions with respect to our patents or patent applications or those of any current or future licensors or of third parties.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personnel.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drug candidates to market.</w:t>
      </w:r>
    </w:p>
    <w:p>
      <w:pPr>
        <w:pStyle w:val="TextBody"/>
        <w:bidi w:val="0"/>
        <w:spacing w:before="240" w:after="283"/>
        <w:jc w:val="both"/>
        <w:rPr>
          <w:rFonts w:ascii="Times New Roman" w:hAnsi="Times New Roman"/>
          <w:sz w:val="20"/>
        </w:rPr>
      </w:pPr>
      <w:r>
        <w:rPr>
          <w:rFonts w:ascii="Arial" w:hAnsi="Arial"/>
          <w:b/>
          <w:i/>
          <w:color w:val="000000"/>
          <w:sz w:val="20"/>
        </w:rPr>
        <w:t>Patent reform legislation could increase the uncertainties and costs surrounding the prosecution of our patent applications or those of any current or future licensors and the enforcement or defense of our issued patents or those of any current or future licensors.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filed a patent application in the USPTO after March 2013 but before us could therefore be awarded a patent covering an invention of ours or our current or future licensors even if we or our current or future licensors had made the invention before it was made by such third party. This requires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any current or future licensors are the first to either (1) file any patent application related to our drug candidates, their use, or our technology or (2) invent any of the inventions claimed in the patents or patent applications.</w:t>
      </w:r>
    </w:p>
    <w:p>
      <w:pPr>
        <w:pStyle w:val="TextBody"/>
        <w:bidi w:val="0"/>
        <w:spacing w:before="240" w:after="283"/>
        <w:jc w:val="both"/>
        <w:rPr>
          <w:rFonts w:ascii="Arial" w:hAnsi="Arial"/>
          <w:color w:val="000000"/>
          <w:sz w:val="20"/>
        </w:rPr>
      </w:pPr>
      <w:r>
        <w:rPr>
          <w:rFonts w:ascii="Arial" w:hAnsi="Arial"/>
          <w:color w:val="000000"/>
          <w:sz w:val="20"/>
        </w:rPr>
        <w:t>The Leahy-Smith Act also included a number of significant changes that affect the way patent applications are prosecuted and also may affect patent litigation. These include allowing third-party submission of printed publications to the USPTO during patent prosecution and additional procedures to attack the validity or enforceability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pStyle w:val="TextBody"/>
        <w:bidi w:val="0"/>
        <w:spacing w:before="240" w:after="283"/>
        <w:jc w:val="both"/>
        <w:rPr>
          <w:rFonts w:ascii="Arial" w:hAnsi="Arial"/>
          <w:color w:val="000000"/>
          <w:sz w:val="20"/>
        </w:rPr>
      </w:pPr>
      <w:r>
        <w:rPr>
          <w:rFonts w:ascii="Arial" w:hAnsi="Arial"/>
          <w:color w:val="000000"/>
          <w:sz w:val="20"/>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or those of our current or future licensors that would not have been invalidated if first challenged by the third party in a district court action. Thus, the Leahy-Smith Act and its implementation could increase the uncertainties and costs surrounding the prosecution of our patent applications or those of any current or future licensors and the enforcement or defense of our issued patents or those of any current or future licensors, all of which could have a material adverse effect on our business, financial condition, results of operations and prospects.</w:t>
      </w:r>
    </w:p>
    <w:p>
      <w:pPr>
        <w:pStyle w:val="TextBody"/>
        <w:bidi w:val="0"/>
        <w:spacing w:before="240" w:after="283"/>
        <w:jc w:val="center"/>
        <w:rPr>
          <w:rFonts w:ascii="Arial" w:hAnsi="Arial"/>
          <w:color w:val="000000"/>
          <w:sz w:val="20"/>
        </w:rPr>
      </w:pPr>
      <w:r>
        <w:rPr>
          <w:rFonts w:ascii="Arial" w:hAnsi="Arial"/>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Changes in U.S. patent law, or laws in other countries, could diminish the value of patents in general, thereby impairing our ability to protect our drug candidates.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pStyle w:val="TextBody"/>
        <w:bidi w:val="0"/>
        <w:spacing w:before="240" w:after="283"/>
        <w:jc w:val="both"/>
        <w:rPr>
          <w:rFonts w:ascii="Times New Roman" w:hAnsi="Times New Roman"/>
          <w:sz w:val="20"/>
        </w:rPr>
      </w:pPr>
      <w:r>
        <w:rPr>
          <w:rFonts w:ascii="Arial" w:hAnsi="Arial"/>
          <w:color w:val="000000"/>
          <w:sz w:val="20"/>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As an example, European patent applications now provide the option, upon grant of a patent, of becoming a Unitary Patent, which is subject to the jurisdiction of the Unitary Patent Court, or UPC, in member states that have acceded to and ratified the EU Patent Package. The option of a Unitary Patent is a significant change in European patent practice. As the UPC is a new court system, there is no precedent for the court, increasing the uncertainty of any litigation in the UPC. We currently have one European patent and four pending European applications. European patents granted on such applications or on applications we may file in the future may be subject to loss or revocation via the UPC, which could have a material adverse effect on our business and our ability to commercialize or license our technology and products. Moreover, the controlling laws and regulations of the UPC will develop over time and may adversely affect our ability to enforce or defend the validity of any European patents obtained. We filed to opt out of the UPC with respect to our European patent, and we may decide to opt out of the UPC with respect to any future European patent applications that we may file and any patents we may obtain. If certain formalities and requirements are not met, however, such European patents and patent applications could be challenged for non-compliance and brought under the jurisdiction of the UPC. We cannot be certain that future European patents and patent applications will avoid falling under the jurisdiction of the UPC, even if we decide to opt out of the UPC.</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may be subject to claims challenging the inventorship or ownership of our patents and other intellectual property.</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pStyle w:val="TextBody"/>
        <w:bidi w:val="0"/>
        <w:spacing w:before="240" w:after="283"/>
        <w:jc w:val="both"/>
        <w:rPr>
          <w:rFonts w:ascii="Times New Roman" w:hAnsi="Times New Roman"/>
          <w:sz w:val="20"/>
        </w:rPr>
      </w:pPr>
      <w:r>
        <w:rPr>
          <w:rFonts w:ascii="Arial" w:hAnsi="Arial"/>
          <w:b/>
          <w:i/>
          <w:color w:val="000000"/>
          <w:sz w:val="20"/>
        </w:rPr>
        <w:t>Patent terms may be inadequate to protect our competitive position on our drug candidates for an adequate amount of time.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drug candidates or their use are obtained, once the patent life has expired, we may be open to competition from competitive products, including generic versions of our drug products.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drug products similar or identical to ours.</w:t>
      </w:r>
    </w:p>
    <w:p>
      <w:pPr>
        <w:pStyle w:val="TextBody"/>
        <w:bidi w:val="0"/>
        <w:spacing w:before="240" w:after="283"/>
        <w:jc w:val="both"/>
        <w:rPr>
          <w:rFonts w:ascii="Times New Roman" w:hAnsi="Times New Roman"/>
          <w:sz w:val="20"/>
        </w:rPr>
      </w:pPr>
      <w:r>
        <w:rPr>
          <w:rFonts w:ascii="Arial" w:hAnsi="Arial"/>
          <w:b/>
          <w:i/>
          <w:color w:val="000000"/>
          <w:sz w:val="20"/>
        </w:rPr>
        <w:t>If we do not obtain patent term extension for our drug candidates, our business may be materially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Depending upon the timing, duration and specifics of FDA marketing approval of our drug candidates, one or more of our U.S. patents or those of any current or future licensors may be eligible for limited patent term restoration under the Drug Price Competition and Patent Term Restoration Act of 1984, or Hatch-Waxman Amendments. The Hatch-Waxman Amendments permit a patent restoration term of up to five years as compensation for patent term lost during product development and the FDA regulatory review process. A maximum of one patent may be extended per FDA approved product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as compensation for the patent term lost during clinical trials and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drug candidates, although the requirements and terms of such extensions vary country-by-country.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or launch generic versions of our drug products following our patent expiration, and our revenue could be reduced, possibly materially. Further, if this occurs, our competitors may take advantage of our investment in development and clinical trials by referencing our clinical and nonclinical data and launch their drug product earlier than might otherwise be the case.</w:t>
      </w:r>
    </w:p>
    <w:p>
      <w:pPr>
        <w:pStyle w:val="TextBody"/>
        <w:bidi w:val="0"/>
        <w:spacing w:before="240" w:after="283"/>
        <w:jc w:val="both"/>
        <w:rPr>
          <w:rFonts w:ascii="Times New Roman" w:hAnsi="Times New Roman"/>
          <w:sz w:val="20"/>
        </w:rPr>
      </w:pPr>
      <w:r>
        <w:rPr>
          <w:rFonts w:ascii="Arial" w:hAnsi="Arial"/>
          <w:b/>
          <w:i/>
          <w:color w:val="000000"/>
          <w:sz w:val="20"/>
        </w:rPr>
        <w:t>We will not be able to protect our intellectual property rights throughout the world.</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own and in-license patents and pending patent applications in the United States and in jurisdictions outside of the United States. However, 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drug products made using our inventions in and into the United States or other jurisdictions. Competitors may use our inventions in jurisdictions where we have not obtained patent protection to develop their own drug products and, further, may export otherwise infringing drug products to territories where we have patent protection, but enforcement is not as strong as that in the United States. These drug products may compete with our drug candidates, and our patents, the patents of any current or future licensors, or other intellectual property rights may not be effective or sufficient to prevent them from competing.</w:t>
      </w:r>
    </w:p>
    <w:p>
      <w:pPr>
        <w:pStyle w:val="TextBody"/>
        <w:bidi w:val="0"/>
        <w:spacing w:before="240" w:after="283"/>
        <w:jc w:val="both"/>
        <w:rPr>
          <w:rFonts w:ascii="Arial" w:hAnsi="Arial"/>
          <w:color w:val="000000"/>
          <w:sz w:val="20"/>
        </w:rPr>
      </w:pPr>
      <w:r>
        <w:rPr>
          <w:rFonts w:ascii="Arial" w:hAnsi="Arial"/>
          <w:color w:val="000000"/>
          <w:sz w:val="20"/>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any current or future licensors’ patents or marketing of competing drug products in violation of our proprietary rights. Proceedings to enforce our patent rights in foreign jurisdictions could result in substantial costs and divert our efforts and attention from other aspects of our business, could put our patents or the patents of any current or future licensors at risk of being invalidated or interpreted narrowly and our patent applications or the patent applications of any current or future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240" w:after="283"/>
        <w:jc w:val="both"/>
        <w:rPr>
          <w:rFonts w:ascii="Arial" w:hAnsi="Arial"/>
          <w:color w:val="000000"/>
          <w:sz w:val="20"/>
        </w:rPr>
      </w:pPr>
      <w:r>
        <w:rPr>
          <w:rFonts w:ascii="Arial" w:hAnsi="Arial"/>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patents.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240" w:after="283"/>
        <w:jc w:val="left"/>
        <w:rPr>
          <w:rFonts w:ascii="Arial" w:hAnsi="Arial"/>
          <w:color w:val="000000"/>
          <w:sz w:val="20"/>
        </w:rPr>
      </w:pPr>
      <w:r>
        <w:rPr>
          <w:rFonts w:ascii="Arial" w:hAnsi="Arial"/>
          <w:color w:val="000000"/>
          <w:sz w:val="20"/>
        </w:rPr>
        <w:t>Geopolitical actions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before="240" w:after="283"/>
        <w:jc w:val="center"/>
        <w:rPr>
          <w:rFonts w:ascii="Arial" w:hAnsi="Arial"/>
          <w:color w:val="000000"/>
          <w:sz w:val="20"/>
        </w:rPr>
      </w:pPr>
      <w:r>
        <w:rPr>
          <w:rFonts w:ascii="Arial" w:hAnsi="Arial"/>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pStyle w:val="TextBody"/>
        <w:bidi w:val="0"/>
        <w:spacing w:before="240" w:after="283"/>
        <w:jc w:val="both"/>
        <w:rPr>
          <w:rFonts w:ascii="Arial" w:hAnsi="Arial"/>
          <w:color w:val="000000"/>
          <w:sz w:val="20"/>
        </w:rPr>
      </w:pPr>
      <w:r>
        <w:rPr>
          <w:rFonts w:ascii="Arial" w:hAnsi="Arial"/>
          <w:color w:val="000000"/>
          <w:sz w:val="20"/>
        </w:rPr>
        <w:t>Periodic maintenance fees, renewal fees, annuity fees and various other governmental fees on patents or applications will be due to the USPTO and various foreign patent offices at various points over the lifetime of our patents or applications and those of any current or future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pStyle w:val="TextBody"/>
        <w:bidi w:val="0"/>
        <w:spacing w:before="240" w:after="283"/>
        <w:jc w:val="both"/>
        <w:rPr>
          <w:rFonts w:ascii="Times New Roman" w:hAnsi="Times New Roman"/>
          <w:sz w:val="20"/>
        </w:rPr>
      </w:pPr>
      <w:r>
        <w:rPr>
          <w:rFonts w:ascii="Arial" w:hAnsi="Arial"/>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intend to use registered or unregistered trademarks or trade names to brand and market ourselves and our drug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and it may be difficult and costly to register, maintain or protect our rights to these trademarks and trade names in jurisdictions in and outside of the United States.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names, copyrights or other intellectual property may be ineffective and could result in substantial costs and diversion of resources and could adversely affect our financial condition or results of operations.</w:t>
      </w:r>
    </w:p>
    <w:p>
      <w:pPr>
        <w:pStyle w:val="TextBody"/>
        <w:bidi w:val="0"/>
        <w:spacing w:before="240" w:after="283"/>
        <w:jc w:val="both"/>
        <w:rPr>
          <w:rFonts w:ascii="Times New Roman" w:hAnsi="Times New Roman"/>
          <w:sz w:val="20"/>
        </w:rPr>
      </w:pPr>
      <w:r>
        <w:rPr>
          <w:rFonts w:ascii="Arial" w:hAnsi="Arial"/>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our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improperly disclosed or misappropriated a trade secret is difficult, expensive and time-consuming, and the outcome is unpredictable. In addition, some courts inside and outside the United States are less willing or unwilling to protect trade secrets.</w:t>
      </w:r>
    </w:p>
    <w:p>
      <w:pPr>
        <w:pStyle w:val="TextBody"/>
        <w:bidi w:val="0"/>
        <w:spacing w:before="240" w:after="283"/>
        <w:jc w:val="both"/>
        <w:rPr>
          <w:rFonts w:ascii="Arial" w:hAnsi="Arial"/>
          <w:color w:val="000000"/>
          <w:sz w:val="20"/>
        </w:rPr>
      </w:pPr>
      <w:r>
        <w:rPr>
          <w:rFonts w:ascii="Arial" w:hAnsi="Arial"/>
          <w:color w:val="000000"/>
          <w:sz w:val="20"/>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pStyle w:val="TextBody"/>
        <w:bidi w:val="0"/>
        <w:spacing w:before="240" w:after="283"/>
        <w:jc w:val="both"/>
        <w:rPr>
          <w:rFonts w:ascii="Times New Roman" w:hAnsi="Times New Roman"/>
          <w:sz w:val="20"/>
        </w:rPr>
      </w:pPr>
      <w:r>
        <w:rPr>
          <w:rFonts w:ascii="Arial" w:hAnsi="Arial"/>
          <w:b/>
          <w:i/>
          <w:color w:val="000000"/>
          <w:sz w:val="20"/>
        </w:rPr>
        <w:t>We may be subject to claims that we or our employees have wrongfully used or disclosed alleged confidential information or trade secrets of third parties.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their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regardless of its outcome, may cause negative publicity and could prohibit us from marketing or otherwise commercializing our drug candidates.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pStyle w:val="TextBody"/>
        <w:bidi w:val="0"/>
        <w:spacing w:before="240" w:after="283"/>
        <w:jc w:val="both"/>
        <w:rPr>
          <w:rFonts w:ascii="Arial" w:hAnsi="Arial"/>
          <w:color w:val="000000"/>
          <w:sz w:val="20"/>
        </w:rPr>
      </w:pPr>
      <w:r>
        <w:rPr>
          <w:rFonts w:ascii="Arial" w:hAnsi="Arial"/>
          <w:color w:val="000000"/>
          <w:sz w:val="20"/>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operating results, financial condition and prospects.</w:t>
      </w:r>
    </w:p>
    <w:p>
      <w:pPr>
        <w:pStyle w:val="TextBody"/>
        <w:bidi w:val="0"/>
        <w:spacing w:before="240" w:after="283"/>
        <w:jc w:val="both"/>
        <w:rPr>
          <w:rFonts w:ascii="Times New Roman" w:hAnsi="Times New Roman"/>
          <w:sz w:val="20"/>
        </w:rPr>
      </w:pPr>
      <w:r>
        <w:rPr>
          <w:rFonts w:ascii="Arial" w:hAnsi="Arial"/>
          <w:b/>
          <w:i/>
          <w:color w:val="000000"/>
          <w:sz w:val="20"/>
        </w:rPr>
        <w:t>We may be subject to claims that we have wrongfully hired an employee from a competitor or that we or our employees have wrongfully used or disclosed alleged confidential information or trade secrets of their former employers.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As is common in the biopharmaceutical industry, in addition to our employees, we engage the services of consultants to assist us in the development of our drug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pStyle w:val="TextBody"/>
        <w:bidi w:val="0"/>
        <w:spacing w:before="240" w:after="283"/>
        <w:jc w:val="both"/>
        <w:rPr>
          <w:rFonts w:ascii="Times New Roman" w:hAnsi="Times New Roman"/>
          <w:sz w:val="20"/>
        </w:rPr>
      </w:pPr>
      <w:r>
        <w:rPr>
          <w:rFonts w:ascii="Arial" w:hAnsi="Arial"/>
          <w:b/>
          <w:i/>
          <w:color w:val="000000"/>
          <w:sz w:val="20"/>
        </w:rPr>
        <w:t>Our rights to develop and commercialize our drug candidates may be subject, in part, to the terms and conditions of licenses granted to us by others.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have entered into license agreements with third parties and we may enter into additional license agreements in the future with others to advance our research and development or allow commercialization of drug candidates. These and other licenses may not provide exclusive rights to use such intellectual property and other rights in all relevant fields of use and in all territories in which we may wish to develop or commercialize our drug candidates in the future. Further, these and other licenses may also include certain restrictions or obligations that limit our ability to engage with third parties, including potential restrictions on sublicensing or outsourcing certain activities.</w:t>
      </w:r>
    </w:p>
    <w:p>
      <w:pPr>
        <w:pStyle w:val="TextBody"/>
        <w:bidi w:val="0"/>
        <w:spacing w:before="240" w:after="283"/>
        <w:jc w:val="both"/>
        <w:rPr>
          <w:rFonts w:ascii="Arial" w:hAnsi="Arial"/>
          <w:color w:val="000000"/>
          <w:sz w:val="20"/>
        </w:rPr>
      </w:pPr>
      <w:r>
        <w:rPr>
          <w:rFonts w:ascii="Arial" w:hAnsi="Arial"/>
          <w:color w:val="000000"/>
          <w:sz w:val="20"/>
        </w:rPr>
        <w:t>In addition, subject to the terms of any such license agreements, we may not have the right to control the preparation, filing, prosecution, maintenance, enforcement, and defense of patents and patent applications covering our drug candidates that we license from third parties. In such an event, we cannot be certain that these patents and patent applications will be prepared, filed, prosecuted, maintained, enforced, and defended in a manner consistent with the best interests of our business. If any of our current or future licensors fail to prosecute, maintain, enforce, and defend such patents, or lose rights to those patents or patent applications, the rights we have licensed may be reduced or eliminated, and our right to develop and commercialize any of our drug candidates that are subject of such licensed rights could be adversely affected.</w:t>
      </w:r>
    </w:p>
    <w:p>
      <w:pPr>
        <w:pStyle w:val="TextBody"/>
        <w:bidi w:val="0"/>
        <w:spacing w:before="240" w:after="283"/>
        <w:jc w:val="both"/>
        <w:rPr>
          <w:rFonts w:ascii="Arial" w:hAnsi="Arial"/>
          <w:color w:val="000000"/>
          <w:sz w:val="20"/>
        </w:rPr>
      </w:pPr>
      <w:r>
        <w:rPr>
          <w:rFonts w:ascii="Arial" w:hAnsi="Arial"/>
          <w:color w:val="000000"/>
          <w:sz w:val="20"/>
        </w:rPr>
        <w:t>Our licensors and any future licensors may have relied on third party consultants or collaborators or on funds from third parties such that our licensors are not the sole and exclusive owners of the patents we in-license. If it is later determined that third parties own the rights to our in-licensed patents, or if other third parties have ownership rights to our in-licensed patents, such third parties may be able to license such patents to our competitors, and our competitors could market drug products similar or identical to our drug candidates. This could have a material adverse effect on our competitive position, business, financial condition, results of operations, and prospects.</w:t>
      </w:r>
    </w:p>
    <w:p>
      <w:pPr>
        <w:pStyle w:val="TextBody"/>
        <w:bidi w:val="0"/>
        <w:spacing w:before="240" w:after="283"/>
        <w:jc w:val="both"/>
        <w:rPr>
          <w:rFonts w:ascii="Arial" w:hAnsi="Arial"/>
          <w:color w:val="000000"/>
          <w:sz w:val="20"/>
        </w:rPr>
      </w:pPr>
      <w:r>
        <w:rPr>
          <w:rFonts w:ascii="Arial" w:hAnsi="Arial"/>
          <w:color w:val="000000"/>
          <w:sz w:val="20"/>
        </w:rPr>
        <w:t>It is possible that we may be unable to obtain additional licenses at a reasonable cost or on reasonable terms, if at all. Even if we are able to obtain a license, it may be non-exclusive, thereby giving our competitors access to the same rights licensed to us. In that event, we may be required to expend significant time and resources to redesign our drug candidates, or the methods for manufacturing them or to develop or license replacement technology, all of which may not be feasible on a technical or commercial basis. If we are unable to do so, we may be unable to develop or commercialize the affected drug candidates, which could harm our business, financial condition, results of operations, and prospects significantly. We cannot provide any assurances that third party patents do not exist which might be enforced against our current manufacturing methods, drug candidates, methods of use, or future methods or drug candidates resulting in either an injunction prohibiting our manufacture or future sales, or, with respect to our future sales, an obligation on our part to pay royalties or other forms of compensation to third parties, which could be significant.</w:t>
      </w:r>
    </w:p>
    <w:p>
      <w:pPr>
        <w:pStyle w:val="TextBody"/>
        <w:bidi w:val="0"/>
        <w:spacing w:before="240" w:after="283"/>
        <w:jc w:val="center"/>
        <w:rPr>
          <w:rFonts w:ascii="Arial" w:hAnsi="Arial"/>
          <w:color w:val="000000"/>
          <w:sz w:val="20"/>
        </w:rPr>
      </w:pPr>
      <w:r>
        <w:rPr>
          <w:rFonts w:ascii="Arial" w:hAnsi="Arial"/>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If we fail to comply with our obligations in the agreements under which we license intellectual property rights or other rights from third parties or otherwise experience disruptions to our business relationships with our licensors, we could lose license rights that are important to our business.</w:t>
      </w:r>
    </w:p>
    <w:p>
      <w:pPr>
        <w:pStyle w:val="TextBody"/>
        <w:bidi w:val="0"/>
        <w:spacing w:before="240" w:after="283"/>
        <w:jc w:val="both"/>
        <w:rPr>
          <w:rFonts w:ascii="Arial" w:hAnsi="Arial"/>
          <w:color w:val="000000"/>
          <w:sz w:val="20"/>
        </w:rPr>
      </w:pPr>
      <w:r>
        <w:rPr>
          <w:rFonts w:ascii="Arial" w:hAnsi="Arial"/>
          <w:color w:val="000000"/>
          <w:sz w:val="20"/>
        </w:rPr>
        <w:t>Disputes may arise between us and our current or future licensors regarding intellectual property and other rights subject to a license agreement,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scope of rights granted under the license agreement and other interpretation-related issues;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whether and the extent to which our drug candidates infringe on intellectual property of the licensor that is not subject to the licensing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right to sublicense to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diligence obligations under the license agreement and what activities satisfy those diligence obligations;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right to transfer or assign the license;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inventorship and ownership of inventions and know-how resulting from the joint creation or use of intellectual property by our licensors and us and our partners;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priority of invention of patented technology.</w:t>
      </w:r>
    </w:p>
    <w:p>
      <w:pPr>
        <w:pStyle w:val="TextBody"/>
        <w:bidi w:val="0"/>
        <w:spacing w:before="240" w:after="283"/>
        <w:jc w:val="both"/>
        <w:rPr>
          <w:rFonts w:ascii="Arial" w:hAnsi="Arial"/>
          <w:color w:val="000000"/>
          <w:sz w:val="20"/>
        </w:rPr>
      </w:pPr>
      <w:r>
        <w:rPr>
          <w:rFonts w:ascii="Arial" w:hAnsi="Arial"/>
          <w:color w:val="000000"/>
          <w:sz w:val="20"/>
        </w:rPr>
        <w:t>In addition, the agreements under which we license intellectual property or other rights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other rights, or increase what we believe to be our financial or other obligations under the relevant agreement, either of which could have a material adverse effect on our business, financial condition, results of operations, and prospects. Moreover, if disputes over intellectual property or other rights that we have licensed prevent or impair our ability to maintain our current licensing arrangements on commercially acceptable terms, we may be unable to successfully develop and commercialize the affected drug candidates, which could have a material adverse effect on our business, financial condition, results of operations, and prospects.</w:t>
      </w:r>
    </w:p>
    <w:p>
      <w:pPr>
        <w:pStyle w:val="TextBody"/>
        <w:bidi w:val="0"/>
        <w:spacing w:before="240" w:after="283"/>
        <w:jc w:val="both"/>
        <w:rPr>
          <w:rFonts w:ascii="Arial" w:hAnsi="Arial"/>
          <w:color w:val="000000"/>
          <w:sz w:val="20"/>
        </w:rPr>
      </w:pPr>
      <w:r>
        <w:rPr>
          <w:rFonts w:ascii="Arial" w:hAnsi="Arial"/>
          <w:color w:val="000000"/>
          <w:sz w:val="20"/>
        </w:rPr>
        <w:t>In spite of our best efforts, our licensors might conclude that we have materially breached our license agreements and might therefore terminate the license agreements, thereby removing our ability to develop and commercialize drug candidates covered by these license agreements. If these in-licenses are terminated, or if the underlying patents fail to provide the intended exclusivity, competitors would have the freedom to seek regulatory approval of, and to market, drug products identical to ours. This could have a material adverse effect on our competitive position, business, financial condition, results of operations, and prospects.</w:t>
      </w:r>
    </w:p>
    <w:p>
      <w:pPr>
        <w:pStyle w:val="TextBody"/>
        <w:bidi w:val="0"/>
        <w:spacing w:before="240" w:after="283"/>
        <w:jc w:val="both"/>
        <w:rPr>
          <w:rFonts w:ascii="Times New Roman" w:hAnsi="Times New Roman"/>
          <w:sz w:val="20"/>
        </w:rPr>
      </w:pPr>
      <w:r>
        <w:rPr>
          <w:rFonts w:ascii="Arial" w:hAnsi="Arial"/>
          <w:b/>
          <w:i/>
          <w:color w:val="000000"/>
          <w:sz w:val="20"/>
        </w:rPr>
        <w:t>The patent protection and patent prosecution for some of our drug candidates may be dependent on third parties.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While we normally seek to obtain the right to control prosecution, maintenance and enforcement of the patent applications and patents relating to our drug candidates and their use, there may be times when the filing and prosecution activities for patent applications and patents relating to our drug candidates are controlled by licensors or collaboration partners. If a licensor or collaboration partner fails to prosecute, maintain and enforce such patents and patent applications in a manner consistent with the best interests of our business, including by payment of all applicable fees for patent applications and patents covering our drug candidates, we could lose our rights to the intellectual property or our exclusivity with respect to those rights, our ability to develop and commercialize those drug candidates may be adversely affected and we may not be able to prevent competitors from making, using and selling drug products similar or identical to our drug candidates.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pStyle w:val="TextBody"/>
        <w:bidi w:val="0"/>
        <w:spacing w:before="240" w:after="283"/>
        <w:jc w:val="both"/>
        <w:rPr>
          <w:rFonts w:ascii="Times New Roman" w:hAnsi="Times New Roman"/>
          <w:sz w:val="20"/>
        </w:rPr>
      </w:pPr>
      <w:r>
        <w:rPr>
          <w:rFonts w:ascii="Arial" w:hAnsi="Arial"/>
          <w:b/>
          <w:i/>
          <w:color w:val="000000"/>
          <w:sz w:val="20"/>
        </w:rPr>
        <w:t>Intellectual property discovered or developed through government funded programs may be subject to federal regulations such as “march-in” rights, certain reporting requirements and a manufacturing preference for U.S.-based companies. Compliance with such regulations may limit our exclusive rights and limit our ability to contract with non-U.S. manufacturers, which could adversely affect our ability to successfully develop and commercialize our drug products.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entered an exclusive license agreement with WSU for certain licensed patents that include intellectual property that was generated through the use of U.S. government funding, and we received a grant from the NIA of the NIH to support our ACT-AD clinical trial. Pursuant to the Bayh-Dole Act of 1980, or the Bayh-Dole Act, the U.S. government may have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certain rights in any invention developed or reduced to practice with government funding. In addition, in the future we may discover, develop, acquire, or license new intellectual property that has been generated through the use of U.S. government funding or grants in which the U.S. government may have certain rights pursuant to the Bayh-Dole Act.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exercises its march-in rights in our intellectual property rights that are generated through the use of U.S. government funding or grants, we could be required to license or sublicense intellectual property discovered or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Reporting of a subject invention and compliance with the Bayh-Dole Act requirements were delayed for the patent family directed to methods of treating AD with fosgonimeton. As such, this patent family may be subject to U.S. government action which may include loss of rights in the subject invention, suspending or terminating the grant or future awards, or withholding further awards. Should any of these events occur, it could significantly harm our business, results of operations and prospects. In addition, the Bayh-Dole Act requires that, in certain circumstances, any products embodying intellectual property generated with the use of U.S. government funds or produced through the use of any such intellectual property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which could adversely affect our ability to successfully develop and commercialize our drug products and have a material adverse effect on our business, financial condition, results of operations, and prospects.</w:t>
      </w:r>
    </w:p>
    <w:p>
      <w:pPr>
        <w:pStyle w:val="TextBody"/>
        <w:bidi w:val="0"/>
        <w:spacing w:before="240" w:after="283"/>
        <w:jc w:val="both"/>
        <w:rPr>
          <w:rFonts w:ascii="Arial" w:hAnsi="Arial"/>
          <w:b/>
          <w:color w:val="000000"/>
          <w:sz w:val="20"/>
        </w:rPr>
      </w:pPr>
      <w:r>
        <w:rPr>
          <w:rFonts w:ascii="Arial" w:hAnsi="Arial"/>
          <w:b/>
          <w:color w:val="000000"/>
          <w:sz w:val="20"/>
        </w:rPr>
        <w:t>Risks Relating to Cybersecurity</w:t>
      </w:r>
    </w:p>
    <w:p>
      <w:pPr>
        <w:pStyle w:val="TextBody"/>
        <w:bidi w:val="0"/>
        <w:spacing w:before="240" w:after="283"/>
        <w:jc w:val="both"/>
        <w:rPr>
          <w:rFonts w:ascii="Times New Roman" w:hAnsi="Times New Roman"/>
          <w:sz w:val="20"/>
        </w:rPr>
      </w:pPr>
      <w:r>
        <w:rPr>
          <w:rFonts w:ascii="Arial" w:hAnsi="Arial"/>
          <w:b/>
          <w:i/>
          <w:color w:val="000000"/>
          <w:sz w:val="20"/>
        </w:rPr>
        <w:t>We are dependent on networks, infrastructure and data, which exposes us to data security risks, including security failures or breaches of our systems or those used by our CROs or other contractors or consultants. We are dependent upon our own or third-party information technology systems, infrastructure and data, including mobile technologies, to operate our business. The multitude and complexity of our computer systems may fail or suffer security breaches.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As discussed in the section titled "Part 1, Item 1.C—Cybersecurity," in our Annual Report on Form 10-K filed with the SEC on February 22, 2024, we have implemented various processes and policies for identifying, assessing, and managing material risks from cybersecurity threats. However, despite the implementation of such safeguards and security measures, our internal computer systems and those of our CROs and other contractors and consultants may nevertheless be vulnerable to damage from computer viruses and unauthorized access. Likewise, data privacy or security incidents or breaches by employees or others may pose a risk that sensitive data, including our intellectual property, trade secrets or personal information of our employees, patients, customers or other business partners may be exposed to unauthorized persons or to the public or may otherwise be misused. Cyberattacks, malicious internet-based activity, online and offline fraud, and other similar activities threaten the confidentiality, integrity, and availability of our personal, sensitive, confidential or proprietary information and information technology systems, and those of the third parties upon which we rely. For example, in April 2023, CRO Evotec SE faced a cybersecurity attack that temporarily disrupted its systems and operations.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may be vulnerable to a heightened risk of these attacks, including retaliatory cyber-attacks, that could materially disrupt our systems and operations, supply chain, and ability to produce, sell and distribute our goods and services.</w:t>
      </w:r>
    </w:p>
    <w:p>
      <w:pPr>
        <w:pStyle w:val="TextBody"/>
        <w:bidi w:val="0"/>
        <w:spacing w:before="240" w:after="283"/>
        <w:jc w:val="both"/>
        <w:rPr>
          <w:rFonts w:ascii="Times New Roman" w:hAnsi="Times New Roman"/>
          <w:sz w:val="20"/>
        </w:rPr>
      </w:pPr>
      <w:r>
        <w:rPr>
          <w:rFonts w:ascii="Arial" w:hAnsi="Arial"/>
          <w:color w:val="000000"/>
          <w:sz w:val="20"/>
        </w:rPr>
        <w:t>We and the third parties upon which we rely may be subject to a variety of evolving threats, including but not limited to social-engineering attacks (including through phishing attacks), malicious code (such as viruses and worms), malware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 Increases in remote work impacting how our employees work and access our systems could lead to additional opportunities for bad actors to launch cyberattacks or for employees to cause inadvertent security risks or incidents and may amplify the impacts of any security breach or incident. 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pStyle w:val="TextBody"/>
        <w:bidi w:val="0"/>
        <w:spacing w:before="240" w:after="283"/>
        <w:jc w:val="both"/>
        <w:rPr>
          <w:rFonts w:ascii="Arial" w:hAnsi="Arial"/>
          <w:color w:val="000000"/>
          <w:sz w:val="20"/>
        </w:rPr>
      </w:pPr>
      <w:r>
        <w:rPr>
          <w:rFonts w:ascii="Arial" w:hAnsi="Arial"/>
          <w:color w:val="000000"/>
          <w:sz w:val="20"/>
        </w:rPr>
        <w:t>We may rely on third-party service providers and technologies to operate critical business systems to process sensitive information and other company data in a variety of contexts. We may also rely on third-party service providers to provide certain products or services, or otherwise to operate our business. Our ability to monitor these third parties' information security practices is limited, and these third parties may not have adequate information security measures in place. Security incidents or other interruptions suffered by our third-party service providers could cause us to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bidi w:val="0"/>
        <w:spacing w:before="240" w:after="283"/>
        <w:jc w:val="both"/>
        <w:rPr>
          <w:rFonts w:ascii="Arial" w:hAnsi="Arial"/>
          <w:color w:val="000000"/>
          <w:sz w:val="20"/>
        </w:rPr>
      </w:pPr>
      <w:r>
        <w:rPr>
          <w:rFonts w:ascii="Arial" w:hAnsi="Arial"/>
          <w:color w:val="000000"/>
          <w:sz w:val="20"/>
        </w:rPr>
        <w:t>Our business partners face similar risks, and any security breach of, or security incident impacting, their systems or that they otherwise suffer could adversely affect our security posture. A security breach or incident or privacy violation that leads to loss of or unauthorized use, disclosure or modification of, or access to trade secrets, company resources, personal, sensitive, confidential or proprietary information, including protected health information or other patient information, or that prevents access to patient information, as well as the perception that any of the foregoing has occurred, could harm our reputation, compel us to comply with federal or state breach notification laws and foreign law equivalents, subject us to mandatory corrective action, cause us to provide other notification or take other steps in response to such breach or violation, require us to verify the correctness of database contents and otherwise subject us to litigation, claims, investigations, penalties or other liability under laws and regulations, any of which could disrupt our business or result in increased costs or loss of revenue or company resources. Moreover, the prevalent use of mobile devices that access confidential information, increase the risk of security breaches and incidents.</w:t>
      </w:r>
    </w:p>
    <w:p>
      <w:pPr>
        <w:pStyle w:val="TextBody"/>
        <w:bidi w:val="0"/>
        <w:spacing w:before="240" w:after="283"/>
        <w:jc w:val="both"/>
        <w:rPr>
          <w:rFonts w:ascii="Times New Roman" w:hAnsi="Times New Roman"/>
          <w:sz w:val="20"/>
        </w:rPr>
      </w:pPr>
      <w:r>
        <w:rPr>
          <w:rFonts w:ascii="Arial" w:hAnsi="Arial"/>
          <w:color w:val="000000"/>
          <w:sz w:val="20"/>
        </w:rPr>
        <w:t>Despite efforts to create security barriers to the above-described threats, it is impossible for us to entirely mitigate these risks. To date, we have not experienced any material impact to our business, financial position or results of operations resulting from cyberattacks or other information security incidents such as phishing, social engineering, ransomware or malware attacks; however, because of the frequently changing attack techniques, along with the increased volume and sophistication of such attacks, our business, financial position or results of operations could be adversely impacted in the future. We may be unable to anticipate or prevent techniques used to obtain unauthorized access or to compromise our systems because they change frequently and are generally not detected until after an incident has occurred. If a compromise or other security breach or incident were to occur and cause the loss or corruption of data or interruptions in our operations, it could result in a material disruption of our development programs and our business operations. For example, the loss, unavailability, or corruption of clinical trial data from completed, ongoing or future clinical trials could result in delays in our regulatory approval efforts and significantly increase our costs to recover or reproduce the data. Any disruption or security breach or incident resulting in loss or unavailability of, or damage to, our data or systems, or inappropriate use, disclosure or modification of personal, sensitive, confidential or proprietary information, could result in us incurring liability and in delays to further development and commercialization of our drug candidates could be delayed. While we have invested, and continue to invest, in the protection of our data and information technology infrastructure, there can be no assurance that our efforts will prevent service interruptions, or prevent or identify vulnerabilities or security breaches or incidents, that could adversely affect our business and operations or result in the loss, unavailability, or corruption of, or inappropriate access to or use of, critical or sensitive information or company resources. Any such interruptions, breaches or incidents, or the perception any have occurred, could result in financial, legal, business or reputational harm to us. In addition, our liability insurance may not be sufficient in type or amount to cover us against claims related to security breaches, cyberattacks and other privacy and security breaches or incidents.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240" w:after="283"/>
        <w:jc w:val="center"/>
        <w:rPr>
          <w:rFonts w:ascii="Arial" w:hAnsi="Arial"/>
          <w:color w:val="000000"/>
          <w:sz w:val="20"/>
        </w:rPr>
      </w:pPr>
      <w:r>
        <w:rPr>
          <w:rFonts w:ascii="Arial" w:hAnsi="Arial"/>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Data collection is governed by restrictive regulations governing the use, processing and cross-border transfer of personal information.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we conduct our clinical trials and continue to enroll patients in our current and future clinical trials, we may be subject to additional restrictions relating to privacy, data protection and data security. The collection, use, storage, disclosure, transfer, or other processing of personal data, including personal health data, regarding individuals in the European Economic Area, or EEA, is subject to the EU General Data Protection Regulation, or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Certain aspects of cross-border data transfers under the GDPR are subject to uncertainty, including as the result of legal proceedings in the EU. For example, in 2020, the Court of Justice for the EU invalidated the EU-U.S. Privacy Shield and imposed additional obligations in connection with the use of standard contractual clauses approved by the EU Commission. These and other developments with respect to cross-border data transfers may increase the complexity of transferring personal data across borders and may require us to review and amend our mechanisms relating to cross-border data transfer.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Further, the exit of the United Kingdom, or UK, from the EU has created uncertainty regarding data protection regulation in the UK. The UK has implemented legislation similar to the GDPR, referred to as the UK GDPR, which provides for fines of up to the greater of up to the greater of £17.5 million or 4% of global turnover. The GDPR and UK GDPR increased our responsibility and liability in relation to personal data that we process where subject to these regimes, and we may be required to put in place or modify policies and measures to ensure compliance with the GDPR, including as implemented by individual countries, and the UK GDPR, each of which may require us to modify our policies and procedures and engage in additional contractual negotiations, and which may cause us to incur liabilities, expenses, costs, and operational losses. Compliance with the GDPR and UK GDPR will be a rigorous and time-intensive process that may increase our cost of doing business or require us to change our business practices, and despite our efforts, there is a risk that we may be subject to fines and penalties, litigation, and reputational harm in connection with our activities in the EEA and the UK.</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addition, 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California has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California Privacy Rights Act of 2020 (CPRA), which became operative January 1, 2023, expands the CCPA’s requirements, including applying to personal information of business representatives and employees and establishing a new regulatory agency to implement and enforce the law. Although the CCPA exempts some data processed in the context of clinical trials, the CCPA and CPRA may increase compliance costs and potential liability with respect to other personal data we maintain about California residents. Additionally, numerous other states have proposed or enacted laws addressing privacy and security, including Washington's My Health, My Data Act, and several laws imposing obligations similar to those of the CCPA. The U.S. federal government also is contemplating federal privacy legislation. The CCPA, CPRA, and other evolving legislation relating to privacy, data protection, and information security may impact our business activities and exemplify the vulnerability of our business to the evolving regulatory environment related to personal data and protected health information.</w:t>
      </w:r>
    </w:p>
    <w:p>
      <w:pPr>
        <w:pStyle w:val="TextBody"/>
        <w:bidi w:val="0"/>
        <w:spacing w:before="240" w:after="283"/>
        <w:jc w:val="both"/>
        <w:rPr>
          <w:rFonts w:ascii="Arial" w:hAnsi="Arial"/>
          <w:color w:val="000000"/>
          <w:sz w:val="20"/>
        </w:rPr>
      </w:pPr>
      <w:r>
        <w:rPr>
          <w:rFonts w:ascii="Arial" w:hAnsi="Arial"/>
          <w:color w:val="000000"/>
          <w:sz w:val="20"/>
        </w:rPr>
        <w:t>We may also be bound by contractual obligations related to data privacy and security, and our efforts to comply with such obligations may not be successful. For example, certain privacy laws, such as the GDPR and the CCPA/CPRA, require us to impose specific contractual restrictions on our service providers, and we may also be subject to use and disclosure limitations in our contracts with providers who share information with us for clinical trials. Additionally, 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before="240" w:after="283"/>
        <w:jc w:val="center"/>
        <w:rPr>
          <w:rFonts w:ascii="Arial" w:hAnsi="Arial"/>
          <w:color w:val="000000"/>
          <w:sz w:val="20"/>
        </w:rPr>
      </w:pPr>
      <w:r>
        <w:rPr>
          <w:rFonts w:ascii="Arial" w:hAnsi="Arial"/>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These obligations may necessitate changes to our business model, information technologies, systems, and practices and to those of any third parties that process personal data on our behalf. 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Compliance with U.S. and international data protection laws and regulations could require us to take on more onerous obligations in our contracts, restrict our ability to collect, use and disclose data, or in some cases, impact our ability to operate in certain jurisdictions. Any actual or alleged failure to comply with U.S. or international laws and regulations relating to privacy, data protection, and information security could result in governmental investigations, proceedings and enforcement actions (which could result in civil or criminal penalties), private litigation or adverse publicity, harm to our reputation,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or impose other obligations or restrictions in connection with our use, retention, and other processing of information, and we may otherwise face contractual restrictions applicable to our use, retention, and other processing of information. Claims that we have violated individuals’ privacy rights, failed to comply with laws relating to privacy, data protection, or information security, or breached our contractual obligations, even if we are not found liable, could be expensive and time consuming to defend and could result in adverse publicity that could harm our business.</w:t>
      </w:r>
    </w:p>
    <w:p>
      <w:pPr>
        <w:pStyle w:val="TextBody"/>
        <w:bidi w:val="0"/>
        <w:spacing w:before="240" w:after="283"/>
        <w:jc w:val="both"/>
        <w:rPr>
          <w:rFonts w:ascii="Arial" w:hAnsi="Arial"/>
          <w:b/>
          <w:color w:val="000000"/>
          <w:sz w:val="20"/>
        </w:rPr>
      </w:pPr>
      <w:r>
        <w:rPr>
          <w:rFonts w:ascii="Arial" w:hAnsi="Arial"/>
          <w:b/>
          <w:color w:val="000000"/>
          <w:sz w:val="20"/>
        </w:rPr>
        <w:t>Risks Relating to Ownership of Our Common Stock</w:t>
      </w:r>
    </w:p>
    <w:p>
      <w:pPr>
        <w:pStyle w:val="TextBody"/>
        <w:bidi w:val="0"/>
        <w:spacing w:before="240" w:after="283"/>
        <w:jc w:val="both"/>
        <w:rPr>
          <w:rFonts w:ascii="Times New Roman" w:hAnsi="Times New Roman"/>
          <w:sz w:val="20"/>
        </w:rPr>
      </w:pPr>
      <w:r>
        <w:rPr>
          <w:rFonts w:ascii="Arial" w:hAnsi="Arial"/>
          <w:b/>
          <w:i/>
          <w:color w:val="000000"/>
          <w:sz w:val="20"/>
        </w:rPr>
        <w:t>We and certain of our directors and executive officers have been, and may in the future be, named as defendants in lawsuits that could result in substantial costs and divert management’s attention.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described elsewhere in this report in “Part II, Item 1—Legal Proceedings,” we and certain of our executive officers and directors have been named as defendants in a class action lawsuit that generally alleges that we and certain of our officers and directors violated Sections 10(b) and 20(a) of the Exchange Act and Rule 10b-5 promulgated thereunder and Sections 11, 12, and 15 of the Securities Act by making allegedly false or misleading statements and omitting material adverse facts regarding our business. Certain of our executive officers and directors have also been named as defendants in derivative actions, which are based on similar allegations, and generally allege that defendants breached their fiduciary duties to us, among other things. We are named as a nominal defendant in these derivative proceedings. These complaints seek unspecified compensatory and punitive damages, and reasonable costs and expenses, including attorneys’ fees, and other relief. As of the date of this report, we are unable to predict the outcome of these matters. Although we have insurance, it provides for a substantial retention of liability and is subject to limitations and may not cover a significant portion, or any, of the expenses or liabilities we may incur or be subject to in connection with class action lawsuit or other litigation to which we are party.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has caused and will continue to cause our management and board of directors to divert time and attention to the litigation and could adversely impact our reputation and further divert management and our board of directors’ attention and resources from other priorities, including the execution of our operating plan and strategies that are important to our ability to grow our business and advance our drug candidates, any of which could have a material adverse effect on our business. In addition, additional lawsuits may be filed, the conclusion of which in a manner adverse to us and for which we incur substantial costs or damages not covered by our directors’ and officers’ liability insurance would have a material adverse effect on our financial condition and business.</w:t>
      </w:r>
      <w:r>
        <w:rPr>
          <w:rFonts w:ascii="Times New Roman" w:hAnsi="Times New Roman"/>
          <w:color w:val="000000"/>
          <w:sz w:val="20"/>
        </w:rPr>
        <w:t xml:space="preserve"> </w:t>
      </w:r>
    </w:p>
    <w:p>
      <w:pPr>
        <w:pStyle w:val="TextBody"/>
        <w:bidi w:val="0"/>
        <w:spacing w:before="240" w:after="283"/>
        <w:jc w:val="left"/>
        <w:rPr>
          <w:rFonts w:ascii="Arial" w:hAnsi="Arial"/>
          <w:b/>
          <w:i/>
          <w:color w:val="000000"/>
          <w:sz w:val="20"/>
        </w:rPr>
      </w:pPr>
      <w:r>
        <w:rPr>
          <w:rFonts w:ascii="Arial" w:hAnsi="Arial"/>
          <w:b/>
          <w:i/>
          <w:color w:val="000000"/>
          <w:sz w:val="20"/>
        </w:rPr>
        <w:t>Actions by activist stockholders have in the past been, and may in the future be, disruptive and could cause uncertainty about the strategic direction of our business.</w:t>
      </w:r>
    </w:p>
    <w:p>
      <w:pPr>
        <w:pStyle w:val="TextBody"/>
        <w:bidi w:val="0"/>
        <w:spacing w:before="240" w:after="283"/>
        <w:jc w:val="both"/>
        <w:rPr>
          <w:rFonts w:ascii="Times New Roman" w:hAnsi="Times New Roman"/>
          <w:sz w:val="20"/>
        </w:rPr>
      </w:pPr>
      <w:r>
        <w:rPr>
          <w:rFonts w:ascii="Arial" w:hAnsi="Arial"/>
          <w:color w:val="000000"/>
          <w:sz w:val="20"/>
        </w:rPr>
        <w:t>Our business could be negatively affected as a result of stockholder activism, which could be disruptive and cause uncertainty about the strategic direction of our business. For example, in February 2022, an activist stockholder announced his intention to nominate himself and one other candidate for election to our board of directors at our 2022 annual meeting of stockholders. While this proxy contest was unsuccessful, stockholder activism could recur and have an adverse effect on our business, results of operations, and financial condition. For example, at times our market capitalization has been less than the aggregate value of our cash, cash equivalents and investments. Other biotechnology companies in this situation have received proposals from shareholder activists to liquidate and return capital to investors.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We strive to maintain constructive communications with our stockholders and welcome their views and opinions with the goal of enhancing value for all stockholders. However, a proxy contest or other activist behaviors could have an adverse effect on us because: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responding to actions by activist stockholders can disrupt our operations, is costly and time-consuming, and diverts the attention of our board of directors and senior management team from the pursuit of business strategies, each of which could adversely affect our results of operations and financial condition;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perceived uncertainties as to our future direction as a result of changes to the composition of our board of directors may lead to the perception of a change in the direction of our business, as well as instability or lack of continuity, all of which may be exploited by our competitors, may result in the loss of potential business opportunities, may cause concern for those enrolling in our clinical trials, and make it more difficult to attract and retain qualified personnel and business partners;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actions by activist stockholders may interfere with any efforts that we undertake in the future to raise capital;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actions by activist stockholders could cause significant fluctuations in our stock price based on temporary or speculative market perceptions or other factors that do not necessarily reflect the underlying fundamentals and prospects of our business;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if individuals are elected to our board of directors with a specific agenda as a result of a proxy contest, it may adversely affect our ability to effectively implement our business strategy and to create additional value for our stockholders.</w:t>
      </w:r>
    </w:p>
    <w:p>
      <w:pPr>
        <w:pStyle w:val="TextBody"/>
        <w:bidi w:val="0"/>
        <w:spacing w:before="240" w:after="283"/>
        <w:jc w:val="left"/>
        <w:rPr>
          <w:rFonts w:ascii="Arial" w:hAnsi="Arial"/>
          <w:color w:val="000000"/>
          <w:sz w:val="20"/>
        </w:rPr>
      </w:pPr>
      <w:r>
        <w:rPr>
          <w:rFonts w:ascii="Arial" w:hAnsi="Arial"/>
          <w:color w:val="000000"/>
          <w:sz w:val="20"/>
        </w:rPr>
        <w:t>Even if a proxy contest or other activist efforts are not successful, the increased costs that we would bear and the distraction of our board of directors and senior management could negatively impact our business, although we cannot predict with certainty the extent of such negative impacts.</w:t>
      </w:r>
    </w:p>
    <w:p>
      <w:pPr>
        <w:pStyle w:val="TextBody"/>
        <w:bidi w:val="0"/>
        <w:spacing w:before="240" w:after="283"/>
        <w:jc w:val="both"/>
        <w:rPr>
          <w:rFonts w:ascii="Times New Roman" w:hAnsi="Times New Roman"/>
          <w:sz w:val="20"/>
        </w:rPr>
      </w:pPr>
      <w:r>
        <w:rPr>
          <w:rFonts w:ascii="Arial" w:hAnsi="Arial"/>
          <w:b/>
          <w:i/>
          <w:color w:val="000000"/>
          <w:sz w:val="20"/>
        </w:rPr>
        <w:t>We do not know whether an active market for our common stock will be sustained, and, as a result, it may be difficult for you to sell your shares of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an active market for our common stock is not sustained, it may be difficult for you to sell your shares of common stock at an attractive price or at all. We cannot predict the prices at which our common stock will trade. It is possible that in one or more future periods our results of operations and progression of our drug product pipeline may not meet the expectations of public market analysts and investors, and, as a result of these and other factors, the price of our common stock may fall.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The market price of our common stock has been and may continue to be volatile, which could result in substantial losses for investors.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market price of our common stock may be volatile. As a result, you may not be able to sell your common stock at or above the price that you paid for such shares. Some of the factors that may cause the market price of our common stock to fluctuate include: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results of nonclinical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success of existing or new competitive products or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timing and results of clinical trials for our current drug candidates and any future drug candidates that we may develop;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commencement or termination of collaborations for our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failure or discontinuation of any of our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results of nonclinical studies, clinical trials or regulatory approvals of drug candidates of our competitors, or announcements about new research programs or drug candidates of our competitors;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investor reactions to other companies’ drug development results, including product failures or negative responses from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regulatory or legal developments in the United States and other countries;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developments or disputes concerning patent applications, issued patents or other proprietary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recruitment or departure of key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negative press coverage;</w:t>
      </w:r>
    </w:p>
    <w:p>
      <w:pPr>
        <w:pStyle w:val="TextBody"/>
        <w:bidi w:val="0"/>
        <w:spacing w:before="240" w:after="283"/>
        <w:jc w:val="center"/>
        <w:rPr>
          <w:rFonts w:ascii="Arial" w:hAnsi="Arial"/>
          <w:color w:val="000000"/>
          <w:sz w:val="20"/>
        </w:rPr>
      </w:pPr>
      <w:r>
        <w:rPr>
          <w:rFonts w:ascii="Arial" w:hAnsi="Arial"/>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status of ongoing litigation and government investigations and potential commencement of additional litigation or investigations;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results of the investigation by the independent special committee of the board of directors and the separate investigation by WSU;</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level of expenses related to any of our research programs, drug candidates that we may develop;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results of our efforts to develop additional drug candidates or drug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actual or anticipated changes in estimates as to financial results, development timelines or recommendations by securities analysts;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announcement or expectation of additional financing efforts, including, but not limited to, under our ATM offering;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sales of our common stock by us, our insiders, or other stockholders;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variations in our financial results or those of companies that are perceived to be similar to us;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changes in estimates or recommendations by securities analysts, if any, that cover our stock;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changes in the structure of healthcare payment systems;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market conditions in the pharmaceutical and biotechnology sectors;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volatility with the banking system;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potential impact of health epidemics, including COVID-19, on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direct or indirect impacts on our business, our suppliers and other third parties and our clinical sites as a result of geopolitical events, including the Russia-Ukraine war;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general economic, industry, and market conditions;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other factors described in this “Part II, Item 1A—Risk Factors” section. </w:t>
      </w:r>
    </w:p>
    <w:p>
      <w:pPr>
        <w:pStyle w:val="TextBody"/>
        <w:bidi w:val="0"/>
        <w:spacing w:before="240" w:after="283"/>
        <w:jc w:val="both"/>
        <w:rPr>
          <w:rFonts w:ascii="Times New Roman" w:hAnsi="Times New Roman"/>
          <w:sz w:val="20"/>
        </w:rPr>
      </w:pPr>
      <w:r>
        <w:rPr>
          <w:rFonts w:ascii="Arial" w:hAnsi="Arial"/>
          <w:color w:val="000000"/>
          <w:sz w:val="20"/>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A significant portion of our total outstanding shares may be sold into the market in the near future, which could cause the market price of our common stock to decline significantly, even if our business is doing well.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In addition, shares issued upon the exercise of stock options outstanding under our equity incentive plans or pursuant to future awards granted under those plans will become available-for-sale in the public market to the extent permitted by the provisions of applicable vesting schedules, any applicable market standoff and lock-up agreements, and Rule 144 and Rule 701 under the Securities Act.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also register shares of common stock that we may issue under our equity compensation plans. Once we register these shares, they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Our directors, executive officers and significant stockholders own a substantial percentage of our common stock, which could limit your ability to affect the outcome of key transactions, including a change of control.</w:t>
      </w:r>
    </w:p>
    <w:p>
      <w:pPr>
        <w:pStyle w:val="TextBody"/>
        <w:bidi w:val="0"/>
        <w:spacing w:before="240" w:after="283"/>
        <w:jc w:val="both"/>
        <w:rPr>
          <w:rFonts w:ascii="Times New Roman" w:hAnsi="Times New Roman"/>
          <w:sz w:val="20"/>
        </w:rPr>
      </w:pPr>
      <w:r>
        <w:rPr>
          <w:rFonts w:ascii="Arial" w:hAnsi="Arial"/>
          <w:color w:val="000000"/>
          <w:sz w:val="20"/>
        </w:rPr>
        <w:t>Our directors, executive officers, significant holders of our outstanding common stock and their respective affiliates beneficially own a substantial amount of our outstanding common stock as of March 31, 2024. As a result, these stockholders, if they act together, will be able to influence our management and affairs and all matters requiring stockholder approval, including the election of directors and approval of significant corporate transactions. This concentration of</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ownership may have the effect of delaying or preventing a change in control of our company and might affect the market price of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are an “emerging growth company,” and the reduced disclosure requirements applicable to emerging growth companies may make our common stock less attractive to investors.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are an “emerging growth company,” as defined in the Jumpstart Our Business Startups Act of 2012, or the JOBS Act.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or the Sarbanes-Oxley Act,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Failure to build and maintain our finance infrastructure and improve our accounting systems and controls could impair our ability to comply with the financial reporting and internal controls requirements for publicly traded companies.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As a public company, we operate in an increasingly demanding regulatory environment, which requires us to comply with the Sarbanes-Oxley Act, the regulations of The Nasdaq Global Select Market, the rules and regulations of the SEC,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We must perform system and process evaluation and testing of our internal controls over financial reporting to allow management to report on the effectiveness of our internal controls over financial reporting, as required by Section 404 of the Sarbanes-Oxley Act. We may experience difficulty in meeting these reporting requirements in the future.</w:t>
      </w:r>
    </w:p>
    <w:p>
      <w:pPr>
        <w:pStyle w:val="TextBody"/>
        <w:bidi w:val="0"/>
        <w:spacing w:before="240" w:after="283"/>
        <w:jc w:val="both"/>
        <w:rPr>
          <w:rFonts w:ascii="Arial" w:hAnsi="Arial"/>
          <w:color w:val="000000"/>
          <w:sz w:val="20"/>
        </w:rPr>
      </w:pPr>
      <w:r>
        <w:rPr>
          <w:rFonts w:ascii="Arial" w:hAnsi="Arial"/>
          <w:color w:val="000000"/>
          <w:sz w:val="20"/>
        </w:rPr>
        <w:t>The process of building and maintaining our accounting and financial functions and infrastructure has required and will continue to require significant additional professional fees, internal costs and management efforts. Any disruptions or difficulties in implementing or using such a system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240" w:after="283"/>
        <w:jc w:val="both"/>
        <w:rPr>
          <w:rFonts w:ascii="Arial" w:hAnsi="Arial"/>
          <w:color w:val="000000"/>
          <w:sz w:val="20"/>
        </w:rPr>
      </w:pPr>
      <w:r>
        <w:rPr>
          <w:rFonts w:ascii="Arial" w:hAnsi="Arial"/>
          <w:color w:val="000000"/>
          <w:sz w:val="20"/>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pStyle w:val="TextBody"/>
        <w:bidi w:val="0"/>
        <w:spacing w:before="240" w:after="283"/>
        <w:jc w:val="both"/>
        <w:rPr>
          <w:rFonts w:ascii="Times New Roman" w:hAnsi="Times New Roman"/>
          <w:sz w:val="20"/>
        </w:rPr>
      </w:pPr>
      <w:r>
        <w:rPr>
          <w:rFonts w:ascii="Arial" w:hAnsi="Arial"/>
          <w:b/>
          <w:i/>
          <w:color w:val="000000"/>
          <w:sz w:val="20"/>
        </w:rPr>
        <w:t>Anti-takeover provisions in our charter documents and under Delaware or Washington law could make an acquisition of us difficult, limit attempts by our stockholders to replace or remove our current management and limit our stock price.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Provisions of our amended and restated certificate of incorporation and amended and restated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common stock. Among other things, the amended and restated certificate of incorporation and amended and restated bylaws: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permit the board of directors to issue up to 100,000,000 shares of preferred stock, with any rights, preferences and privileges as they may designate;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the authorized number of directors may be changed only by resolution of the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all vacancies, including newly-created directorships, may, except as otherwise required by law, be filled by the affirmative vote of a majority of directors then in office, even if less than a quorum;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divide the board of directors into three classes;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a director may only be removed from the board of directors by the stockholders for cause;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require that any action to be taken by our stockholders must be effected at a duly called annual or special meeting of stockholders and may not be taken by written consent;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stockholders seeking to present proposals before a meeting of stockholders or to nominate candidates for election as directors at a meeting of stockholders must provide notice in writing in a timely manner, and meet specific requirements as to the form and content of a stockholder’s notice;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prevent cumulative voting rights (therefore allowing the holders of a plurality of the shares of common stock entitled to vote in any election of directors to elect all of the directors standing for election, if they should so choose);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special meetings of our stockholders may be called only by the chairman of the board, our chief executive officer or by the board of directors;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stockholders are permitted to amend the bylaws only upon receiving at least two-thirds of the total votes entitled to be cast by holders of all outstanding shares then entitled to vote generally in the election of directors, voting together as a single class.</w:t>
      </w:r>
    </w:p>
    <w:p>
      <w:pPr>
        <w:pStyle w:val="TextBody"/>
        <w:bidi w:val="0"/>
        <w:spacing w:before="240" w:after="283"/>
        <w:jc w:val="both"/>
        <w:rPr>
          <w:rFonts w:ascii="Arial" w:hAnsi="Arial"/>
          <w:color w:val="000000"/>
          <w:sz w:val="20"/>
        </w:rPr>
      </w:pPr>
      <w:r>
        <w:rPr>
          <w:rFonts w:ascii="Arial" w:hAnsi="Arial"/>
          <w:color w:val="000000"/>
          <w:sz w:val="20"/>
        </w:rPr>
        <w:t>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Likewise, because our principal executive offices are located in Washington, the anti-takeover provisions of the Washington Business Corporation Act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pStyle w:val="TextBody"/>
        <w:bidi w:val="0"/>
        <w:spacing w:before="240" w:after="283"/>
        <w:jc w:val="both"/>
        <w:rPr>
          <w:rFonts w:ascii="Times New Roman" w:hAnsi="Times New Roman"/>
          <w:sz w:val="20"/>
        </w:rPr>
      </w:pPr>
      <w:r>
        <w:rPr>
          <w:rFonts w:ascii="Arial" w:hAnsi="Arial"/>
          <w:b/>
          <w:i/>
          <w:color w:val="000000"/>
          <w:sz w:val="20"/>
        </w:rPr>
        <w:t>Our amended and restated bylaws provide that the Court of Chancery of the State of Delaware and the federal district courts of the United States are the exclusive forums for substantially all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amended and restated bylaws provide that the Court of Chancery of the State of Delaware (or, if the Court of Chancery does not have jurisdiction, another state court in Delaware or the federal district court for the District of Delaware) will be the exclusive forum for any derivative action or proceeding brought on our behalf; any action asserting a breach of fiduciary duty; any action asserting a claim against us arising under the Delaware General Corporation Law, our certificate of incorporation or our amended and restated bylaws; any action to interpret, apply, enforce or determine the validity of our certificate of incorporation or our amended and restated bylaws; and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pStyle w:val="TextBody"/>
        <w:bidi w:val="0"/>
        <w:spacing w:before="240" w:after="283"/>
        <w:jc w:val="both"/>
        <w:rPr>
          <w:rFonts w:ascii="Arial" w:hAnsi="Arial"/>
          <w:color w:val="000000"/>
          <w:sz w:val="20"/>
        </w:rPr>
      </w:pPr>
      <w:r>
        <w:rPr>
          <w:rFonts w:ascii="Arial" w:hAnsi="Arial"/>
          <w:color w:val="000000"/>
          <w:sz w:val="20"/>
        </w:rPr>
        <w:t>Our amended and restated bylaws further provide that the federal district courts of the United States will be the exclusive forum for resolving any complaint asserting a cause of action arising under the Securities Act. The enforceability of similar exclusive federal forum provisions in other companies’ organizational documents has been challenged in legal proceedings, and while the Delaware Supreme Court has ruled that this type of exclusive federal forum provision is facially valid under Delaware law, there is uncertainty as to whether other courts would enforce such provisions and that investors cannot waive compliance with the federal securities laws and the rules and regulations thereunder.</w:t>
      </w:r>
    </w:p>
    <w:p>
      <w:pPr>
        <w:pStyle w:val="TextBody"/>
        <w:bidi w:val="0"/>
        <w:spacing w:before="240" w:after="283"/>
        <w:jc w:val="both"/>
        <w:rPr>
          <w:rFonts w:ascii="Times New Roman" w:hAnsi="Times New Roman"/>
          <w:sz w:val="20"/>
        </w:rPr>
      </w:pPr>
      <w:r>
        <w:rPr>
          <w:rFonts w:ascii="Arial" w:hAnsi="Arial"/>
          <w:color w:val="000000"/>
          <w:sz w:val="20"/>
        </w:rPr>
        <w:t>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either exclusive forum provision in our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amended and restated bylaws to be inapplicable or unenforceable in an action, we may incur further significant additional costs associated with resolving such action in other jurisdictions, all of which could have a material adverse effect on our business, financial condition, and results of operations.</w:t>
      </w:r>
    </w:p>
    <w:p>
      <w:pPr>
        <w:pStyle w:val="TextBody"/>
        <w:bidi w:val="0"/>
        <w:spacing w:before="240" w:after="283"/>
        <w:jc w:val="both"/>
        <w:rPr>
          <w:rFonts w:ascii="Arial" w:hAnsi="Arial"/>
          <w:b/>
          <w:color w:val="000000"/>
          <w:sz w:val="20"/>
        </w:rPr>
      </w:pPr>
      <w:r>
        <w:rPr>
          <w:rFonts w:ascii="Arial" w:hAnsi="Arial"/>
          <w:b/>
          <w:color w:val="000000"/>
          <w:sz w:val="20"/>
        </w:rPr>
        <w:t>General Risk Factors</w:t>
      </w:r>
    </w:p>
    <w:p>
      <w:pPr>
        <w:pStyle w:val="TextBody"/>
        <w:bidi w:val="0"/>
        <w:spacing w:before="240" w:after="283"/>
        <w:jc w:val="both"/>
        <w:rPr>
          <w:rFonts w:ascii="Arial" w:hAnsi="Arial"/>
          <w:b/>
          <w:i/>
          <w:color w:val="212529"/>
          <w:sz w:val="20"/>
        </w:rPr>
      </w:pPr>
      <w:r>
        <w:rPr>
          <w:rFonts w:ascii="Arial" w:hAnsi="Arial"/>
          <w:b/>
          <w:i/>
          <w:color w:val="212529"/>
          <w:sz w:val="20"/>
        </w:rPr>
        <w:t>The loss of any of our key personnel could significantly harm our business, results of operations and competitive position.</w:t>
      </w:r>
    </w:p>
    <w:p>
      <w:pPr>
        <w:pStyle w:val="TextBody"/>
        <w:bidi w:val="0"/>
        <w:spacing w:before="240" w:after="283"/>
        <w:jc w:val="both"/>
        <w:rPr>
          <w:rFonts w:ascii="Arial" w:hAnsi="Arial"/>
          <w:color w:val="000000"/>
          <w:sz w:val="20"/>
        </w:rPr>
      </w:pPr>
      <w:r>
        <w:rPr>
          <w:rFonts w:ascii="Arial" w:hAnsi="Arial"/>
          <w:color w:val="000000"/>
          <w:sz w:val="20"/>
        </w:rPr>
        <w:t>In order to compete, we must attract, retain, and motivate executives and other key employees. Hiring and retaining qualified executives, scientists, technical and legal and accounting staff are critical to our business, and competition for experienced employees in our industry can be high. The loss of one or more of these key employees, or our inability to hire additional key personnel when needed, could have a material adverse effect on our business and prospects.</w:t>
      </w:r>
    </w:p>
    <w:p>
      <w:pPr>
        <w:pStyle w:val="TextBody"/>
        <w:bidi w:val="0"/>
        <w:spacing w:before="240" w:after="283"/>
        <w:jc w:val="both"/>
        <w:rPr>
          <w:rFonts w:ascii="Arial" w:hAnsi="Arial"/>
          <w:b/>
          <w:i/>
          <w:color w:val="212529"/>
          <w:sz w:val="20"/>
        </w:rPr>
      </w:pPr>
      <w:r>
        <w:rPr>
          <w:rFonts w:ascii="Arial" w:hAnsi="Arial"/>
          <w:b/>
          <w:i/>
          <w:color w:val="212529"/>
          <w:sz w:val="20"/>
        </w:rPr>
        <w:t>Our advisors and consultants are classified as independent contractors, and we can face consequences if it is determined that they are misclassified as such.</w:t>
      </w:r>
    </w:p>
    <w:p>
      <w:pPr>
        <w:pStyle w:val="TextBody"/>
        <w:bidi w:val="0"/>
        <w:spacing w:before="240" w:after="283"/>
        <w:jc w:val="both"/>
        <w:rPr>
          <w:rFonts w:ascii="Times New Roman" w:hAnsi="Times New Roman"/>
          <w:sz w:val="20"/>
        </w:rPr>
      </w:pPr>
      <w:r>
        <w:rPr>
          <w:rFonts w:ascii="Arial" w:hAnsi="Arial"/>
          <w:color w:val="212529"/>
          <w:sz w:val="20"/>
        </w:rPr>
        <w:t xml:space="preserve">There is often uncertainty in the application of worker classification laws, and consequently there is risk to us that our independent contractors could be deemed to be misclassified under applicable law. The tests governing whether a service provider is an independent contractor or an employee are typically highly fact sensitive and can vary by governing law. Laws and regulations that govern the status and misclassification of independent contractors are also subject to </w:t>
      </w:r>
      <w:r>
        <w:rPr>
          <w:rFonts w:ascii="Arial" w:hAnsi="Arial"/>
          <w:color w:val="000000"/>
          <w:sz w:val="20"/>
        </w:rPr>
        <w:t>divergent</w:t>
      </w:r>
      <w:r>
        <w:rPr>
          <w:rFonts w:ascii="Times New Roman" w:hAnsi="Times New Roman"/>
          <w:color w:val="212529"/>
          <w:sz w:val="20"/>
        </w:rPr>
        <w:t xml:space="preserve"> </w:t>
      </w:r>
      <w:r>
        <w:rPr>
          <w:rFonts w:ascii="Arial" w:hAnsi="Arial"/>
          <w:color w:val="212529"/>
          <w:sz w:val="20"/>
        </w:rPr>
        <w:t>interpretations by various authorities, which can create uncertainty and unpredictability.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(including but not limited to wage-based damages or restitution, compensatory damages, liquidated damages, and punitive damages), interest, fines, penalties, costs, fees (including but not limited to attorneys’ fees), criminal and other liability, assessment, or settlement. Such an allegation, claim, adverse determination, including but not limited to with respect to advisors and consultants that provide services to us could also harm our brand and reputation, which could adversely impact our business.</w:t>
      </w:r>
    </w:p>
    <w:p>
      <w:pPr>
        <w:pStyle w:val="TextBody"/>
        <w:bidi w:val="0"/>
        <w:spacing w:before="240" w:after="283"/>
        <w:jc w:val="both"/>
        <w:rPr>
          <w:rFonts w:ascii="Times New Roman" w:hAnsi="Times New Roman"/>
          <w:sz w:val="20"/>
        </w:rPr>
      </w:pPr>
      <w:r>
        <w:rPr>
          <w:rFonts w:ascii="Arial" w:hAnsi="Arial"/>
          <w:b/>
          <w:i/>
          <w:color w:val="000000"/>
          <w:sz w:val="20"/>
        </w:rPr>
        <w:t xml:space="preserve">If </w:t>
      </w:r>
      <w:r>
        <w:rPr>
          <w:rFonts w:ascii="Arial" w:hAnsi="Arial"/>
          <w:b/>
          <w:i/>
          <w:color w:val="212529"/>
          <w:sz w:val="20"/>
        </w:rPr>
        <w:t>securities</w:t>
      </w:r>
      <w:r>
        <w:rPr>
          <w:rFonts w:ascii="Times New Roman" w:hAnsi="Times New Roman"/>
          <w:color w:val="000000"/>
          <w:sz w:val="20"/>
        </w:rPr>
        <w:t xml:space="preserve"> </w:t>
      </w:r>
      <w:r>
        <w:rPr>
          <w:rFonts w:ascii="Arial" w:hAnsi="Arial"/>
          <w:b/>
          <w:i/>
          <w:color w:val="000000"/>
          <w:sz w:val="20"/>
        </w:rPr>
        <w:t>analysts do not publish research or reports about our business or if they publish negative evaluations of our stock, the price of our stock could decline.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trading market for our common stock will rely in part on the research and reports that industry or financial analysts publish about us or our business. If no or few analysts commence coverage of us, the trading price of our stock could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will continue to incur increased costs as a result of operating as a public company, and our management will be required to devote substantial time to new compliance initiatives and corporate governance practices.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a public company, and particularly after we are no longer an emerging growth company, we will incur significant legal, accounting, and other expenses that we did not incur as a private company.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We have hired, and we expect that we will continue to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continue to evaluate and monitor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uncertainty regarding compliance matters and higher costs necessitated by ongoing revisions to disclosure and governance practices.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If we are unable to maintain effective internal controls, our business, financial position and results of operations could be adversely affected.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a public company, we are subject to reporting and other obligations under the Exchange Act, including the requirements of Section 404 of the Sarbanes-Oxley Act, which require annual management assessments of the effectiveness of our internal control over financial reporting.</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These reporting and other obligations place significant demands on our management and administrative and operational resources, including accounting resources.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Attention to ESG (environmental, social and governance) matters may cause us to incur additional costs or expose us to additional risks.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 variety of stakeholder groups, including investors, governmental and nongovernmental organizations, are focused on corporate environmental, social and governance, or ESG, practices. Our ESG practices may not meet the standards of our investors or other stakeholders, and they as well as advocacy groups may campaign for us to change our business, operations or practices to better address ESG-related concerns. A failure, or perceived failure, of us to respond to any such campaigns could harm our business and reputation and have a negative impact on the market price of our common stock. Moreover, if ESG best practices, reporting standards and disclosure requirements continue to develop, we may incur increasing costs related to ESG monitoring and reporting.</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80" w:after="283"/>
        <w:jc w:val="both"/>
        <w:rPr>
          <w:rFonts w:ascii="Arial" w:hAnsi="Arial"/>
          <w:b/>
          <w:color w:val="000000"/>
          <w:sz w:val="20"/>
        </w:rPr>
      </w:pPr>
      <w:bookmarkStart w:id="16" w:name="item_2_unregistered_sales_equity_securit"/>
      <w:bookmarkEnd w:id="16"/>
      <w:r>
        <w:rPr>
          <w:rFonts w:ascii="Arial" w:hAnsi="Arial"/>
          <w:b/>
          <w:color w:val="000000"/>
          <w:sz w:val="20"/>
        </w:rPr>
        <w:t>Item 2. Unregistered Sales of Equity Securities and Use of Proceeds.</w:t>
      </w:r>
    </w:p>
    <w:p>
      <w:pPr>
        <w:pStyle w:val="TextBody"/>
        <w:bidi w:val="0"/>
        <w:spacing w:before="280" w:after="283"/>
        <w:jc w:val="both"/>
        <w:rPr>
          <w:rFonts w:ascii="Arial" w:hAnsi="Arial"/>
          <w:b/>
          <w:i/>
          <w:color w:val="000000"/>
          <w:sz w:val="20"/>
        </w:rPr>
      </w:pPr>
      <w:r>
        <w:rPr>
          <w:rFonts w:ascii="Arial" w:hAnsi="Arial"/>
          <w:b/>
          <w:i/>
          <w:color w:val="000000"/>
          <w:sz w:val="20"/>
        </w:rPr>
        <w:t>Recent Sales of Unregistered Equity Securities</w:t>
      </w:r>
    </w:p>
    <w:p>
      <w:pPr>
        <w:pStyle w:val="TextBody"/>
        <w:bidi w:val="0"/>
        <w:spacing w:before="280" w:after="283"/>
        <w:jc w:val="both"/>
        <w:rPr>
          <w:rFonts w:ascii="Arial" w:hAnsi="Arial"/>
          <w:color w:val="000000"/>
          <w:sz w:val="20"/>
        </w:rPr>
      </w:pPr>
      <w:r>
        <w:rPr>
          <w:rFonts w:ascii="Arial" w:hAnsi="Arial"/>
          <w:color w:val="000000"/>
          <w:sz w:val="20"/>
        </w:rPr>
        <w:t>None.</w:t>
      </w:r>
    </w:p>
    <w:p>
      <w:pPr>
        <w:pStyle w:val="TextBody"/>
        <w:bidi w:val="0"/>
        <w:spacing w:before="280" w:after="283"/>
        <w:jc w:val="both"/>
        <w:rPr>
          <w:rFonts w:ascii="Arial" w:hAnsi="Arial"/>
          <w:b/>
          <w:color w:val="000000"/>
          <w:sz w:val="20"/>
        </w:rPr>
      </w:pPr>
      <w:bookmarkStart w:id="17" w:name="item_3_defaults_upon_senior_securities"/>
      <w:bookmarkEnd w:id="17"/>
      <w:r>
        <w:rPr>
          <w:rFonts w:ascii="Arial" w:hAnsi="Arial"/>
          <w:b/>
          <w:color w:val="000000"/>
          <w:sz w:val="20"/>
        </w:rPr>
        <w:t>Item 3. Defaults Upon Senior Securities.</w:t>
      </w:r>
    </w:p>
    <w:p>
      <w:pPr>
        <w:pStyle w:val="TextBody"/>
        <w:bidi w:val="0"/>
        <w:spacing w:before="280" w:after="283"/>
        <w:jc w:val="both"/>
        <w:rPr>
          <w:rFonts w:ascii="Arial" w:hAnsi="Arial"/>
          <w:color w:val="000000"/>
          <w:sz w:val="20"/>
        </w:rPr>
      </w:pPr>
      <w:r>
        <w:rPr>
          <w:rFonts w:ascii="Arial" w:hAnsi="Arial"/>
          <w:color w:val="000000"/>
          <w:sz w:val="20"/>
        </w:rPr>
        <w:t>Not applicable.</w:t>
      </w:r>
    </w:p>
    <w:p>
      <w:pPr>
        <w:pStyle w:val="TextBody"/>
        <w:bidi w:val="0"/>
        <w:spacing w:before="280" w:after="283"/>
        <w:jc w:val="both"/>
        <w:rPr>
          <w:rFonts w:ascii="Arial" w:hAnsi="Arial"/>
          <w:b/>
          <w:color w:val="000000"/>
          <w:sz w:val="20"/>
        </w:rPr>
      </w:pPr>
      <w:bookmarkStart w:id="18" w:name="item_4_mine_safety_disclosures"/>
      <w:bookmarkEnd w:id="18"/>
      <w:r>
        <w:rPr>
          <w:rFonts w:ascii="Arial" w:hAnsi="Arial"/>
          <w:b/>
          <w:color w:val="000000"/>
          <w:sz w:val="20"/>
        </w:rPr>
        <w:t>Item 4. Mine Safety Disclosures.</w:t>
      </w:r>
    </w:p>
    <w:p>
      <w:pPr>
        <w:pStyle w:val="TextBody"/>
        <w:bidi w:val="0"/>
        <w:spacing w:before="280" w:after="283"/>
        <w:jc w:val="both"/>
        <w:rPr>
          <w:rFonts w:ascii="Arial" w:hAnsi="Arial"/>
          <w:color w:val="000000"/>
          <w:sz w:val="20"/>
        </w:rPr>
      </w:pPr>
      <w:r>
        <w:rPr>
          <w:rFonts w:ascii="Arial" w:hAnsi="Arial"/>
          <w:color w:val="000000"/>
          <w:sz w:val="20"/>
        </w:rPr>
        <w:t>Not applicable.</w:t>
      </w:r>
    </w:p>
    <w:p>
      <w:pPr>
        <w:pStyle w:val="TextBody"/>
        <w:bidi w:val="0"/>
        <w:spacing w:before="280" w:after="283"/>
        <w:jc w:val="both"/>
        <w:rPr>
          <w:rFonts w:ascii="Arial" w:hAnsi="Arial"/>
          <w:b/>
          <w:color w:val="000000"/>
          <w:sz w:val="20"/>
        </w:rPr>
      </w:pPr>
      <w:bookmarkStart w:id="19" w:name="item_5_or_information"/>
      <w:bookmarkEnd w:id="19"/>
      <w:r>
        <w:rPr>
          <w:rFonts w:ascii="Arial" w:hAnsi="Arial"/>
          <w:b/>
          <w:color w:val="000000"/>
          <w:sz w:val="20"/>
        </w:rPr>
        <w:t>Item 5. Other Information.</w:t>
      </w:r>
    </w:p>
    <w:p>
      <w:pPr>
        <w:pStyle w:val="TextBody"/>
        <w:bidi w:val="0"/>
        <w:spacing w:before="280" w:after="283"/>
        <w:jc w:val="both"/>
        <w:rPr>
          <w:rFonts w:ascii="Times New Roman" w:hAnsi="Times New Roman"/>
          <w:sz w:val="20"/>
        </w:rPr>
      </w:pPr>
      <w:r>
        <w:rPr>
          <w:rFonts w:ascii="Arial" w:hAnsi="Arial"/>
          <w:color w:val="000000"/>
          <w:sz w:val="20"/>
        </w:rPr>
        <w:t>During our last fiscal quarter, no director or officer, as defined in Rule 16a-1(f) of the Exchange Act, adopted</w:t>
      </w:r>
      <w:r>
        <w:rPr>
          <w:rFonts w:ascii="Times New Roman" w:hAnsi="Times New Roman"/>
          <w:color w:val="000000"/>
          <w:sz w:val="20"/>
        </w:rPr>
        <w:t xml:space="preserve"> </w:t>
      </w:r>
      <w:r>
        <w:rPr>
          <w:rFonts w:ascii="Arial" w:hAnsi="Arial"/>
          <w:color w:val="000000"/>
          <w:sz w:val="20"/>
        </w:rPr>
        <w:t>or terminated</w:t>
      </w:r>
      <w:r>
        <w:rPr>
          <w:rFonts w:ascii="Times New Roman" w:hAnsi="Times New Roman"/>
          <w:color w:val="000000"/>
          <w:sz w:val="20"/>
        </w:rPr>
        <w:t xml:space="preserve"> </w:t>
      </w:r>
      <w:r>
        <w:rPr>
          <w:rFonts w:ascii="Arial" w:hAnsi="Arial"/>
          <w:color w:val="000000"/>
          <w:sz w:val="20"/>
        </w:rPr>
        <w:t>a “Rule 10b5-1 trading arrangement” or any “non-Rule 10b5-1 trading arrangement,” each as defined in Item 408 of Regulation S-K.</w:t>
      </w:r>
    </w:p>
    <w:p>
      <w:pPr>
        <w:pStyle w:val="TextBody"/>
        <w:bidi w:val="0"/>
        <w:spacing w:before="240" w:after="283"/>
        <w:jc w:val="center"/>
        <w:rPr>
          <w:rFonts w:ascii="Arial" w:hAnsi="Arial"/>
          <w:color w:val="000000"/>
          <w:sz w:val="20"/>
        </w:rPr>
      </w:pPr>
      <w:r>
        <w:rPr>
          <w:rFonts w:ascii="Arial" w:hAnsi="Arial"/>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color w:val="000000"/>
          <w:sz w:val="20"/>
        </w:rPr>
      </w:pPr>
      <w:bookmarkStart w:id="20" w:name="item_6_exhibits"/>
      <w:bookmarkEnd w:id="20"/>
      <w:r>
        <w:rPr>
          <w:rFonts w:ascii="Arial" w:hAnsi="Arial"/>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0"/>
        <w:gridCol w:w="146"/>
        <w:gridCol w:w="6103"/>
        <w:gridCol w:w="526"/>
        <w:gridCol w:w="729"/>
        <w:gridCol w:w="661"/>
        <w:gridCol w:w="1250"/>
      </w:tblGrid>
      <w:tr>
        <w:trPr/>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0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6" w:type="dxa"/>
            <w:gridSpan w:val="4"/>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Incorporated by Reference</w:t>
            </w:r>
          </w:p>
        </w:tc>
      </w:tr>
      <w:tr>
        <w:trPr/>
        <w:tc>
          <w:tcPr>
            <w:tcW w:w="790" w:type="dxa"/>
            <w:tcBorders>
              <w:bottom w:val="single" w:sz="6" w:space="0" w:color="000000"/>
            </w:tcBorders>
            <w:shd w:fill="FFFFFF" w:val="clear"/>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Exhibit</w:t>
            </w:r>
          </w:p>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14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103"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Description</w:t>
            </w:r>
          </w:p>
        </w:tc>
        <w:tc>
          <w:tcPr>
            <w:tcW w:w="52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Form</w:t>
            </w:r>
          </w:p>
        </w:tc>
        <w:tc>
          <w:tcPr>
            <w:tcW w:w="729"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File No.</w:t>
            </w:r>
          </w:p>
        </w:tc>
        <w:tc>
          <w:tcPr>
            <w:tcW w:w="66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Exhibit</w:t>
            </w:r>
          </w:p>
        </w:tc>
        <w:tc>
          <w:tcPr>
            <w:tcW w:w="1250"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Filing Date</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FF"/>
                  <w:sz w:val="20"/>
                  <w:u w:val="single"/>
                </w:rPr>
                <w:t>Amended and Restated Certificate of Incorporation of the Company</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10-Q</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001-39503</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November 12, 2020</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Arial" w:hAnsi="Arial"/>
                  <w:color w:val="0000FF"/>
                  <w:sz w:val="20"/>
                  <w:u w:val="single"/>
                </w:rPr>
                <w:t>Amended and Restated Bylaws of the Company</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001-39503</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November 18, 2022</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Arial" w:hAnsi="Arial"/>
                  <w:color w:val="0000FF"/>
                  <w:sz w:val="20"/>
                  <w:u w:val="single"/>
                </w:rPr>
                <w:t>Executive Transition Agreement between the Registrant and Hans Moebius dated January 5, 2024</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001-39503</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January 8, 2024</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Arial" w:hAnsi="Arial"/>
                  <w:color w:val="0000FF"/>
                  <w:sz w:val="20"/>
                  <w:u w:val="single"/>
                </w:rPr>
                <w:t>2024 Inducement Equity Incentive Plan and related form agreements</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001-39503</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February 22, 2024</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tha-ex31_1.htm">
              <w:r>
                <w:rPr>
                  <w:rStyle w:val="InternetLink"/>
                  <w:rFonts w:ascii="Arial" w:hAnsi="Arial"/>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tha-ex31_2.htm">
              <w:r>
                <w:rPr>
                  <w:rStyle w:val="InternetLink"/>
                  <w:rFonts w:ascii="Arial" w:hAnsi="Arial"/>
                  <w:color w:val="0000FF"/>
                  <w:sz w:val="20"/>
                  <w:u w:val="single"/>
                </w:rPr>
                <w:t>Certification of Principal Accounting and Financial Officer Pursuant to Rules 13a-14(a) and 15d-14(a) under the Securities Exchange Act of 1934, as Adopted Pursuant to Section 302 of the Sarbanes-Oxley Act of 2002.</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tha-ex32_1.htm">
              <w:r>
                <w:rPr>
                  <w:rStyle w:val="InternetLink"/>
                  <w:rFonts w:ascii="Arial" w:hAnsi="Arial"/>
                  <w:color w:val="0000FF"/>
                  <w:sz w:val="20"/>
                  <w:u w:val="single"/>
                </w:rPr>
                <w:t>Certification of Principal Executive Officer Pursuant to 18 U.S.C. Section 1350, as Adopted Pursuant to Section 906 of the Sarbanes-Oxley Act of 2002.</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tha-ex32_2.htm">
              <w:r>
                <w:rPr>
                  <w:rStyle w:val="InternetLink"/>
                  <w:rFonts w:ascii="Arial" w:hAnsi="Arial"/>
                  <w:color w:val="0000FF"/>
                  <w:sz w:val="20"/>
                  <w:u w:val="single"/>
                </w:rPr>
                <w:t>Certification of Principal Accounting and Financial Officer Pursuant to 18 U.S.C. Section 1350, as Adopted Pursuant to Section 906 of the Sarbanes-Oxley Act of 2002.</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Document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Calculation Linkbase Document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Definition Linkbase Document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Label Linkbase Document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Presentation Linkbase Document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(formatted in Inline XBRL and included in Exhibit 101)</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40" w:after="283"/>
        <w:jc w:val="both"/>
        <w:rPr>
          <w:rFonts w:ascii="Arial" w:hAnsi="Arial"/>
          <w:color w:val="000000"/>
          <w:sz w:val="16"/>
        </w:rPr>
      </w:pPr>
      <w:r>
        <w:rPr>
          <w:rFonts w:ascii="Arial" w:hAnsi="Arial"/>
          <w:color w:val="000000"/>
          <w:sz w:val="16"/>
        </w:rPr>
        <w:t>* Indicates a management contract or compensatory plan.</w:t>
      </w:r>
    </w:p>
    <w:p>
      <w:pPr>
        <w:pStyle w:val="TextBody"/>
        <w:bidi w:val="0"/>
        <w:spacing w:before="40" w:after="283"/>
        <w:jc w:val="both"/>
        <w:rPr>
          <w:rFonts w:ascii="Arial" w:hAnsi="Arial"/>
          <w:color w:val="000000"/>
          <w:sz w:val="16"/>
        </w:rPr>
      </w:pPr>
      <w:r>
        <w:rPr>
          <w:rFonts w:ascii="Arial" w:hAnsi="Arial"/>
          <w:color w:val="000000"/>
          <w:sz w:val="16"/>
        </w:rPr>
        <w:t>** The certifications filed as Exhibits 32.1 and 32.2 are not deemed “filed” for purposes of Section 18 of the Securities Exchange Act of 1934 and are not to be incorporated by reference into any filing of the Company under the Securities Exchange Act of 1933 or the Securities Exchange Act of 1934, whether made before or after the date hereof irrespective of any general incorporation by reference language contained in any such filing, except to the extent that the registrant specifically incorporates it by reference.</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21" w:name="signatures"/>
      <w:bookmarkEnd w:id="21"/>
      <w:r>
        <w:rPr>
          <w:rFonts w:ascii="Arial" w:hAnsi="Arial"/>
          <w:b/>
          <w:color w:val="000000"/>
          <w:sz w:val="20"/>
        </w:rPr>
        <w:t>SIGNATURES</w:t>
      </w:r>
    </w:p>
    <w:p>
      <w:pPr>
        <w:pStyle w:val="TextBody"/>
        <w:bidi w:val="0"/>
        <w:spacing w:before="280" w:after="283"/>
        <w:jc w:val="both"/>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64"/>
        <w:gridCol w:w="109"/>
        <w:gridCol w:w="402"/>
        <w:gridCol w:w="7930"/>
      </w:tblGrid>
      <w:tr>
        <w:trPr/>
        <w:tc>
          <w:tcPr>
            <w:tcW w:w="1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7930" w:type="dxa"/>
            <w:tcBorders/>
            <w:vAlign w:val="center"/>
          </w:tcPr>
          <w:p>
            <w:pPr>
              <w:pStyle w:val="TableContents"/>
              <w:bidi w:val="0"/>
              <w:spacing w:before="0" w:after="283"/>
              <w:jc w:val="left"/>
              <w:rPr>
                <w:sz w:val="4"/>
                <w:szCs w:val="4"/>
              </w:rPr>
            </w:pPr>
            <w:r>
              <w:rPr>
                <w:sz w:val="4"/>
                <w:szCs w:val="4"/>
              </w:rPr>
            </w:r>
          </w:p>
        </w:tc>
      </w:tr>
      <w:tr>
        <w:trPr/>
        <w:tc>
          <w:tcPr>
            <w:tcW w:w="17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Athira Pharma, Inc.</w:t>
            </w:r>
          </w:p>
        </w:tc>
      </w:tr>
      <w:tr>
        <w:trPr/>
        <w:tc>
          <w:tcPr>
            <w:tcW w:w="17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May 15,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793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Mark Litton</w:t>
            </w:r>
          </w:p>
        </w:tc>
      </w:tr>
      <w:tr>
        <w:trPr/>
        <w:tc>
          <w:tcPr>
            <w:tcW w:w="17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 Litton</w:t>
            </w:r>
          </w:p>
        </w:tc>
      </w:tr>
      <w:tr>
        <w:trPr/>
        <w:tc>
          <w:tcPr>
            <w:tcW w:w="17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Arial" w:hAnsi="Arial"/>
                <w:color w:val="000000"/>
                <w:sz w:val="20"/>
              </w:rPr>
              <w:t>President and Chief Executive Officer (</w:t>
            </w:r>
            <w:r>
              <w:rPr>
                <w:rFonts w:ascii="Arial" w:hAnsi="Arial"/>
                <w:i/>
                <w:color w:val="000000"/>
                <w:sz w:val="20"/>
              </w:rPr>
              <w:t>Principal Executive Officer</w:t>
            </w:r>
            <w:r>
              <w:rPr>
                <w:rFonts w:ascii="Arial" w:hAnsi="Arial"/>
                <w:color w:val="000000"/>
                <w:sz w:val="20"/>
              </w:rPr>
              <w:t>)</w:t>
            </w:r>
            <w:r>
              <w:rPr>
                <w:rFonts w:ascii="Times New Roman" w:hAnsi="Times New Roman"/>
                <w:color w:val="000000"/>
                <w:sz w:val="24"/>
              </w:rPr>
              <w:t xml:space="preserve"> </w:t>
            </w:r>
          </w:p>
        </w:tc>
      </w:tr>
      <w:tr>
        <w:trPr/>
        <w:tc>
          <w:tcPr>
            <w:tcW w:w="1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May 15,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793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Andrew Gengos</w:t>
            </w:r>
          </w:p>
        </w:tc>
      </w:tr>
      <w:tr>
        <w:trPr/>
        <w:tc>
          <w:tcPr>
            <w:tcW w:w="17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Andrew Gengos</w:t>
            </w:r>
          </w:p>
        </w:tc>
      </w:tr>
      <w:tr>
        <w:trPr/>
        <w:tc>
          <w:tcPr>
            <w:tcW w:w="17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Chief Financial Officer and Chief Business Officer (</w:t>
            </w:r>
            <w:r>
              <w:rPr>
                <w:rFonts w:ascii="Arial" w:hAnsi="Arial"/>
                <w:i/>
                <w:color w:val="000000"/>
                <w:sz w:val="20"/>
              </w:rPr>
              <w:t>Principal Financial and Accounting Officer</w:t>
            </w:r>
            <w:r>
              <w:rPr>
                <w:rFonts w:ascii="Arial" w:hAnsi="Arial"/>
                <w:color w:val="000000"/>
                <w:sz w:val="20"/>
              </w:rPr>
              <w:t>)</w:t>
            </w:r>
          </w:p>
        </w:tc>
      </w:tr>
    </w:tbl>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bookmarkStart w:id="22" w:name="atha-ex31_1.htm"/>
      <w:bookmarkStart w:id="23" w:name="ksathaex31_1"/>
      <w:bookmarkEnd w:id="22"/>
      <w:bookmarkEnd w:id="2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THE PRINCIPAL EXECUTIVE OFFICER PURSUANT TO EXCHANGE ACT RULE 13a-14(a)/15d-14(a)</w:t>
        <w:b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Mark Litton,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Athira Pharma,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 xml:space="preserve">Date: May 15, 2024 </w:t>
      </w:r>
    </w:p>
    <w:tbl>
      <w:tblPr>
        <w:tblW w:w="3402" w:type="dxa"/>
        <w:jc w:val="left"/>
        <w:tblInd w:w="0" w:type="dxa"/>
        <w:tblLayout w:type="fixed"/>
        <w:tblCellMar>
          <w:top w:w="28" w:type="dxa"/>
          <w:left w:w="28" w:type="dxa"/>
          <w:bottom w:w="28" w:type="dxa"/>
          <w:right w:w="28" w:type="dxa"/>
        </w:tblCellMar>
      </w:tblPr>
      <w:tblGrid>
        <w:gridCol w:w="3211"/>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Mark Litton</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Mark Litton</w:t>
            </w:r>
          </w:p>
        </w:tc>
        <w:tc>
          <w:tcPr>
            <w:tcW w:w="191" w:type="dxa"/>
            <w:tcBorders/>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President and Chief Executive Officer</w:t>
            </w:r>
          </w:p>
        </w:tc>
        <w:tc>
          <w:tcPr>
            <w:tcW w:w="191" w:type="dxa"/>
            <w:tcBorders/>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Executive Officer)</w:t>
            </w:r>
          </w:p>
        </w:tc>
        <w:tc>
          <w:tcPr>
            <w:tcW w:w="19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atha-ex31_2.htm"/>
      <w:bookmarkStart w:id="25" w:name="ksathaex31_2"/>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THE PRINCIPAL FINANCIAL OFFICER PURSUANT TO EXCHANGE ACT RULE 13a-14(a)/15d-14(a)</w:t>
        <w:b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Andrew Gengos,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Athira Pharma,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Date: May 15, 2024</w:t>
      </w:r>
    </w:p>
    <w:tbl>
      <w:tblPr>
        <w:tblW w:w="4452" w:type="dxa"/>
        <w:jc w:val="left"/>
        <w:tblInd w:w="0" w:type="dxa"/>
        <w:tblLayout w:type="fixed"/>
        <w:tblCellMar>
          <w:top w:w="28" w:type="dxa"/>
          <w:left w:w="28" w:type="dxa"/>
          <w:bottom w:w="28" w:type="dxa"/>
          <w:right w:w="28" w:type="dxa"/>
        </w:tblCellMar>
      </w:tblPr>
      <w:tblGrid>
        <w:gridCol w:w="4261"/>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Andrew Gengos</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26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Andrew Gengos</w:t>
            </w:r>
          </w:p>
        </w:tc>
        <w:tc>
          <w:tcPr>
            <w:tcW w:w="191" w:type="dxa"/>
            <w:tcBorders/>
            <w:vAlign w:val="center"/>
          </w:tcPr>
          <w:p>
            <w:pPr>
              <w:pStyle w:val="TableContents"/>
              <w:bidi w:val="0"/>
              <w:spacing w:before="0" w:after="283"/>
              <w:jc w:val="left"/>
              <w:rPr/>
            </w:pPr>
            <w:r>
              <w:rPr/>
              <w:t> </w:t>
            </w:r>
          </w:p>
        </w:tc>
      </w:tr>
      <w:tr>
        <w:trPr/>
        <w:tc>
          <w:tcPr>
            <w:tcW w:w="426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Chief Financial Officer and Chief Business Officer</w:t>
            </w:r>
          </w:p>
        </w:tc>
        <w:tc>
          <w:tcPr>
            <w:tcW w:w="191" w:type="dxa"/>
            <w:tcBorders/>
            <w:vAlign w:val="center"/>
          </w:tcPr>
          <w:p>
            <w:pPr>
              <w:pStyle w:val="TableContents"/>
              <w:bidi w:val="0"/>
              <w:spacing w:before="0" w:after="283"/>
              <w:jc w:val="left"/>
              <w:rPr/>
            </w:pPr>
            <w:r>
              <w:rPr/>
              <w:t> </w:t>
            </w:r>
          </w:p>
        </w:tc>
      </w:tr>
      <w:tr>
        <w:trPr/>
        <w:tc>
          <w:tcPr>
            <w:tcW w:w="426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Financial and Accounting Officer)</w:t>
            </w:r>
          </w:p>
        </w:tc>
        <w:tc>
          <w:tcPr>
            <w:tcW w:w="19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atha-ex32_1.htm"/>
      <w:bookmarkStart w:id="27" w:name="ksathaex32_1"/>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ATHIRA PHARMA,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In connection with the Quarterly Report on Form 10-Q of Athira Pharma, Inc. (the “Company”) for the quarter ended March 31, 2024, as filed with the Securities and Exchange Commission on the date hereof (the “Report”), I, Mark Litton, President and Chief Executive Officer </w:t>
      </w:r>
      <w:r>
        <w:rPr>
          <w:rFonts w:ascii="Times New Roman" w:hAnsi="Times New Roman"/>
          <w:i/>
          <w:color w:val="000000"/>
          <w:sz w:val="20"/>
        </w:rPr>
        <w:t>(Principal Executive Officer)</w:t>
      </w:r>
      <w:r>
        <w:rPr>
          <w:rFonts w:ascii="Times New Roman" w:hAnsi="Times New Roman"/>
          <w:color w:val="000000"/>
          <w:sz w:val="20"/>
        </w:rPr>
        <w:t xml:space="preserve"> of the Company, certify, pursuant to 18 U.S.C. Section 1350, as adopted pursuant to Section 906 of the Sarbanes-Oxley Act of 2002, that, to my knowledge: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Report fully complies with the requirements of Section 13(a) or 15(d), as applicable, of the Securities Exchange Act of 1934; and</w:t>
      </w:r>
    </w:p>
    <w:p>
      <w:pPr>
        <w:pStyle w:val="TextBody"/>
        <w:bidi w:val="0"/>
        <w:spacing w:before="0" w:after="3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34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0" w:after="340"/>
        <w:jc w:val="left"/>
        <w:rPr>
          <w:rFonts w:ascii="Times New Roman" w:hAnsi="Times New Roman"/>
          <w:color w:val="000000"/>
          <w:sz w:val="20"/>
        </w:rPr>
      </w:pPr>
      <w:r>
        <w:rPr>
          <w:rFonts w:ascii="Times New Roman" w:hAnsi="Times New Roman"/>
          <w:color w:val="000000"/>
          <w:sz w:val="20"/>
        </w:rPr>
        <w:t>Date: May 15, 2024</w:t>
      </w:r>
    </w:p>
    <w:tbl>
      <w:tblPr>
        <w:tblW w:w="3402" w:type="dxa"/>
        <w:jc w:val="left"/>
        <w:tblInd w:w="0" w:type="dxa"/>
        <w:tblLayout w:type="fixed"/>
        <w:tblCellMar>
          <w:top w:w="28" w:type="dxa"/>
          <w:left w:w="28" w:type="dxa"/>
          <w:bottom w:w="28" w:type="dxa"/>
          <w:right w:w="28" w:type="dxa"/>
        </w:tblCellMar>
      </w:tblPr>
      <w:tblGrid>
        <w:gridCol w:w="3211"/>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Mark Litton</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Mark Litton</w:t>
            </w:r>
          </w:p>
        </w:tc>
        <w:tc>
          <w:tcPr>
            <w:tcW w:w="191" w:type="dxa"/>
            <w:tcBorders/>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President and Chief Executive Officer</w:t>
            </w:r>
          </w:p>
        </w:tc>
        <w:tc>
          <w:tcPr>
            <w:tcW w:w="191" w:type="dxa"/>
            <w:tcBorders/>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Executive Officer)</w:t>
            </w:r>
          </w:p>
        </w:tc>
        <w:tc>
          <w:tcPr>
            <w:tcW w:w="191" w:type="dxa"/>
            <w:tcBorders/>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Athira Pharma,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atha-ex32_2.htm"/>
      <w:bookmarkStart w:id="29" w:name="ksathaex32_2"/>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ATHIRA PHARMA,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In connection with the Quarterly Report on Form 10-Q of Athira Pharma, Inc. (the “Company”) for the quarter ended March 31, 2024, as filed with the Securities and Exchange Commission on the date hereof (the “Report”), I, Andrew Gengos, Chief Financial Officer and Chief Business Officer </w:t>
      </w:r>
      <w:r>
        <w:rPr>
          <w:rFonts w:ascii="Times New Roman" w:hAnsi="Times New Roman"/>
          <w:i/>
          <w:color w:val="000000"/>
          <w:sz w:val="20"/>
        </w:rPr>
        <w:t xml:space="preserve">(Principal Financial and Accounting Officer) </w:t>
      </w:r>
      <w:r>
        <w:rPr>
          <w:rFonts w:ascii="Times New Roman" w:hAnsi="Times New Roman"/>
          <w:color w:val="000000"/>
          <w:sz w:val="20"/>
        </w:rPr>
        <w:t xml:space="preserve">of the Company, certify, pursuant to 18 U.S.C. Section 1350, as adopted pursuant to Section 906 of the Sarbanes-Oxley Act of 2002, that, to my knowledge: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Report fully complies with the requirements of Section 13(a) or 15(d), as applicable, of the Securities Exchange Act of 1934; and</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Date: May 15, 2024</w:t>
      </w:r>
    </w:p>
    <w:tbl>
      <w:tblPr>
        <w:tblW w:w="4306" w:type="dxa"/>
        <w:jc w:val="left"/>
        <w:tblInd w:w="0" w:type="dxa"/>
        <w:tblLayout w:type="fixed"/>
        <w:tblCellMar>
          <w:top w:w="28" w:type="dxa"/>
          <w:left w:w="28" w:type="dxa"/>
          <w:bottom w:w="28" w:type="dxa"/>
          <w:right w:w="28" w:type="dxa"/>
        </w:tblCellMar>
      </w:tblPr>
      <w:tblGrid>
        <w:gridCol w:w="4306"/>
      </w:tblGrid>
      <w:tr>
        <w:trPr/>
        <w:tc>
          <w:tcPr>
            <w:tcW w:w="4306" w:type="dxa"/>
            <w:tcBorders/>
            <w:vAlign w:val="center"/>
          </w:tcPr>
          <w:p>
            <w:pPr>
              <w:pStyle w:val="TableContents"/>
              <w:bidi w:val="0"/>
              <w:spacing w:before="0" w:after="283"/>
              <w:jc w:val="left"/>
              <w:rPr>
                <w:sz w:val="4"/>
                <w:szCs w:val="4"/>
              </w:rPr>
            </w:pPr>
            <w:r>
              <w:rPr>
                <w:sz w:val="4"/>
                <w:szCs w:val="4"/>
              </w:rPr>
            </w:r>
          </w:p>
        </w:tc>
      </w:tr>
      <w:tr>
        <w:trPr/>
        <w:tc>
          <w:tcPr>
            <w:tcW w:w="4306"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Andrew Gengos</w:t>
            </w:r>
          </w:p>
        </w:tc>
      </w:tr>
      <w:tr>
        <w:trPr/>
        <w:tc>
          <w:tcPr>
            <w:tcW w:w="4306"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Andrew Gengos</w:t>
            </w:r>
          </w:p>
        </w:tc>
      </w:tr>
      <w:tr>
        <w:trPr/>
        <w:tc>
          <w:tcPr>
            <w:tcW w:w="430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Chief Financial Officer and Chief Business Officer</w:t>
            </w:r>
          </w:p>
        </w:tc>
      </w:tr>
      <w:tr>
        <w:trPr/>
        <w:tc>
          <w:tcPr>
            <w:tcW w:w="430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Athira Pharma,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 w:name="Helvetica LT Pr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620463/000156459020053574/atha-ex31_153.htm" TargetMode="External"/><Relationship Id="rId4" Type="http://schemas.openxmlformats.org/officeDocument/2006/relationships/hyperlink" Target="https://www.sec.gov/Archives/edgar/data/1620463/000095017022025442/atha-ex3_1.htm" TargetMode="External"/><Relationship Id="rId5" Type="http://schemas.openxmlformats.org/officeDocument/2006/relationships/hyperlink" Target="https://www.sec.gov/Archives/edgar/data/1620463/000095017024002686/atha-ex10_1.htm" TargetMode="External"/><Relationship Id="rId6" Type="http://schemas.openxmlformats.org/officeDocument/2006/relationships/hyperlink" Target="https://www.sec.gov/Archives/edgar/data/1620463/000095017024018764/atha-ex10_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65926</Words>
  <Characters>368722</Characters>
  <CharactersWithSpaces>434310</CharactersWithSpaces>
  <Paragraphs>4599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