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-233680</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5266690</wp:posOffset>
            </wp:positionH>
            <wp:positionV relativeFrom="paragraph">
              <wp:posOffset>-626110</wp:posOffset>
            </wp:positionV>
            <wp:extent cx="58420" cy="6394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3980815</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23495</wp:posOffset>
            </wp:positionV>
            <wp:extent cx="7046595" cy="49218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6595" cy="492188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60" w:space="300"/>
            <w:col w:w="8520"/>
          </w:cols>
          <w:pgMar w:left="460" w:top="217" w:right="35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Kosacz Barbara</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ATHIRA PHARMA, INC.</w:t>
      </w:r>
    </w:p>
    <w:p>
      <w:pPr>
        <w:spacing w:after="0" w:line="6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18706 NORTH CREEK PARKWAY, SUITE 104</w:t>
      </w:r>
    </w:p>
    <w:p>
      <w:pPr>
        <w:spacing w:after="0" w:line="282"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02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BOTHELL</w:t>
            </w:r>
          </w:p>
        </w:tc>
        <w:tc>
          <w:tcPr>
            <w:tcW w:w="104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WA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98011</w:t>
            </w:r>
          </w:p>
        </w:tc>
      </w:tr>
      <w:tr>
        <w:trPr>
          <w:trHeight w:val="149"/>
        </w:trPr>
        <w:tc>
          <w:tcPr>
            <w:tcW w:w="20" w:type="dxa"/>
            <w:vAlign w:val="bottom"/>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020" w:type="dxa"/>
            <w:vAlign w:val="bottom"/>
          </w:tcPr>
          <w:p>
            <w:pPr>
              <w:ind w:left="20"/>
              <w:spacing w:after="0"/>
              <w:rPr>
                <w:sz w:val="20"/>
                <w:szCs w:val="20"/>
                <w:color w:val="auto"/>
              </w:rPr>
            </w:pPr>
            <w:r>
              <w:rPr>
                <w:rFonts w:ascii="Arial" w:cs="Arial" w:eastAsia="Arial" w:hAnsi="Arial"/>
                <w:sz w:val="13"/>
                <w:szCs w:val="13"/>
                <w:color w:val="auto"/>
              </w:rPr>
              <w:t>(City)</w:t>
            </w:r>
          </w:p>
        </w:tc>
        <w:tc>
          <w:tcPr>
            <w:tcW w:w="1040" w:type="dxa"/>
            <w:vAlign w:val="bottom"/>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3760" w:type="dxa"/>
            <w:vAlign w:val="bottom"/>
            <w:gridSpan w:val="3"/>
          </w:tcPr>
          <w:p>
            <w:pPr>
              <w:spacing w:after="0" w:line="142"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Athira Pharma,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ATHA</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4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500" w:type="dxa"/>
            <w:vAlign w:val="bottom"/>
          </w:tcPr>
          <w:p>
            <w:pPr>
              <w:spacing w:after="0"/>
              <w:rPr>
                <w:sz w:val="3"/>
                <w:szCs w:val="3"/>
                <w:color w:val="auto"/>
              </w:rPr>
            </w:pPr>
          </w:p>
        </w:tc>
        <w:tc>
          <w:tcPr>
            <w:tcW w:w="2140" w:type="dxa"/>
            <w:vAlign w:val="bottom"/>
          </w:tcPr>
          <w:p>
            <w:pPr>
              <w:spacing w:after="0"/>
              <w:rPr>
                <w:sz w:val="3"/>
                <w:szCs w:val="3"/>
                <w:color w:val="auto"/>
              </w:rPr>
            </w:pPr>
          </w:p>
        </w:tc>
        <w:tc>
          <w:tcPr>
            <w:tcW w:w="184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7"/>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500" w:type="dxa"/>
            <w:vAlign w:val="bottom"/>
            <w:tcBorders>
              <w:bottom w:val="single" w:sz="8" w:color="0000EE"/>
            </w:tcBorders>
          </w:tcPr>
          <w:p>
            <w:pPr>
              <w:spacing w:after="0"/>
              <w:rPr>
                <w:sz w:val="3"/>
                <w:szCs w:val="3"/>
                <w:color w:val="auto"/>
              </w:rPr>
            </w:pPr>
          </w:p>
        </w:tc>
        <w:tc>
          <w:tcPr>
            <w:tcW w:w="21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660" w:type="dxa"/>
            <w:vAlign w:val="bottom"/>
            <w:vMerge w:val="restart"/>
          </w:tcPr>
          <w:p>
            <w:pPr>
              <w:ind w:left="80"/>
              <w:spacing w:after="0" w:line="159" w:lineRule="exact"/>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8"/>
        </w:trPr>
        <w:tc>
          <w:tcPr>
            <w:tcW w:w="8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1500" w:type="dxa"/>
            <w:vAlign w:val="bottom"/>
            <w:tcBorders>
              <w:bottom w:val="single" w:sz="8" w:color="2C2C2C"/>
            </w:tcBorders>
          </w:tcPr>
          <w:p>
            <w:pPr>
              <w:spacing w:after="0"/>
              <w:rPr>
                <w:sz w:val="11"/>
                <w:szCs w:val="11"/>
                <w:color w:val="auto"/>
              </w:rPr>
            </w:pPr>
          </w:p>
        </w:tc>
        <w:tc>
          <w:tcPr>
            <w:tcW w:w="2140" w:type="dxa"/>
            <w:vAlign w:val="bottom"/>
            <w:tcBorders>
              <w:bottom w:val="single" w:sz="8" w:color="2C2C2C"/>
            </w:tcBorders>
          </w:tcPr>
          <w:p>
            <w:pPr>
              <w:spacing w:after="0"/>
              <w:rPr>
                <w:sz w:val="11"/>
                <w:szCs w:val="11"/>
                <w:color w:val="auto"/>
              </w:rPr>
            </w:pPr>
          </w:p>
        </w:tc>
        <w:tc>
          <w:tcPr>
            <w:tcW w:w="180" w:type="dxa"/>
            <w:vAlign w:val="bottom"/>
          </w:tcPr>
          <w:p>
            <w:pPr>
              <w:spacing w:after="0"/>
              <w:rPr>
                <w:sz w:val="11"/>
                <w:szCs w:val="11"/>
                <w:color w:val="auto"/>
              </w:rPr>
            </w:pPr>
          </w:p>
        </w:tc>
        <w:tc>
          <w:tcPr>
            <w:tcW w:w="16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93"/>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16"/>
                <w:szCs w:val="16"/>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17"/>
        </w:trPr>
        <w:tc>
          <w:tcPr>
            <w:tcW w:w="170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05/24/2024</w:t>
            </w:r>
          </w:p>
        </w:tc>
        <w:tc>
          <w:tcPr>
            <w:tcW w:w="2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8"/>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500" w:type="dxa"/>
            <w:vAlign w:val="bottom"/>
            <w:tcBorders>
              <w:bottom w:val="single" w:sz="8" w:color="2C2C2C"/>
            </w:tcBorders>
          </w:tcPr>
          <w:p>
            <w:pPr>
              <w:spacing w:after="0"/>
              <w:rPr>
                <w:sz w:val="8"/>
                <w:szCs w:val="8"/>
                <w:color w:val="auto"/>
              </w:rPr>
            </w:pPr>
          </w:p>
        </w:tc>
        <w:tc>
          <w:tcPr>
            <w:tcW w:w="214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3"/>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30" w:lineRule="auto"/>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0"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34"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11" w:lineRule="exact"/>
        <w:rPr>
          <w:sz w:val="24"/>
          <w:szCs w:val="24"/>
          <w:color w:val="auto"/>
        </w:rPr>
      </w:pPr>
    </w:p>
    <w:p>
      <w:pPr>
        <w:ind w:left="320" w:right="640"/>
        <w:spacing w:after="0" w:line="246"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93" w:lineRule="exact"/>
        <w:rPr>
          <w:sz w:val="24"/>
          <w:szCs w:val="24"/>
          <w:color w:val="auto"/>
        </w:rPr>
      </w:pPr>
    </w:p>
    <w:p>
      <w:pPr>
        <w:sectPr>
          <w:pgSz w:w="11900" w:h="16838" w:orient="portrait"/>
          <w:cols w:equalWidth="0" w:num="2">
            <w:col w:w="3760" w:space="80"/>
            <w:col w:w="724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0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4"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4"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1"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r>
      <w:tr>
        <w:trPr>
          <w:trHeight w:val="167"/>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r>
      <w:tr>
        <w:trPr>
          <w:trHeight w:val="181"/>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93"/>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2.64</w:t>
            </w:r>
          </w:p>
        </w:tc>
        <w:tc>
          <w:tcPr>
            <w:tcW w:w="1080" w:type="dxa"/>
            <w:vAlign w:val="bottom"/>
          </w:tcPr>
          <w:p>
            <w:pPr>
              <w:jc w:val="right"/>
              <w:ind w:right="180"/>
              <w:spacing w:after="0"/>
              <w:rPr>
                <w:sz w:val="20"/>
                <w:szCs w:val="20"/>
                <w:color w:val="auto"/>
              </w:rPr>
            </w:pPr>
            <w:r>
              <w:rPr>
                <w:rFonts w:ascii="Times New Roman" w:cs="Times New Roman" w:eastAsia="Times New Roman" w:hAnsi="Times New Roman"/>
                <w:sz w:val="13"/>
                <w:szCs w:val="13"/>
                <w:color w:val="0000FF"/>
              </w:rPr>
              <w:t>05/24/2024</w:t>
            </w:r>
          </w:p>
        </w:tc>
        <w:tc>
          <w:tcPr>
            <w:tcW w:w="1100" w:type="dxa"/>
            <w:vAlign w:val="bottom"/>
          </w:tcPr>
          <w:p>
            <w:pPr>
              <w:spacing w:after="0"/>
              <w:rPr>
                <w:sz w:val="16"/>
                <w:szCs w:val="16"/>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52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20,900</w:t>
            </w:r>
          </w:p>
        </w:tc>
        <w:tc>
          <w:tcPr>
            <w:tcW w:w="280" w:type="dxa"/>
            <w:vAlign w:val="bottom"/>
          </w:tcPr>
          <w:p>
            <w:pPr>
              <w:spacing w:after="0"/>
              <w:rPr>
                <w:sz w:val="16"/>
                <w:szCs w:val="16"/>
                <w:color w:val="auto"/>
              </w:rPr>
            </w:pPr>
          </w:p>
        </w:tc>
        <w:tc>
          <w:tcPr>
            <w:tcW w:w="80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7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05/23/2034</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20,900</w:t>
            </w:r>
          </w:p>
        </w:tc>
        <w:tc>
          <w:tcPr>
            <w:tcW w:w="680" w:type="dxa"/>
            <w:vAlign w:val="bottom"/>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tcPr>
          <w:p>
            <w:pPr>
              <w:ind w:left="300"/>
              <w:spacing w:after="0"/>
              <w:rPr>
                <w:sz w:val="20"/>
                <w:szCs w:val="20"/>
                <w:color w:val="auto"/>
              </w:rPr>
            </w:pPr>
            <w:r>
              <w:rPr>
                <w:rFonts w:ascii="Times New Roman" w:cs="Times New Roman" w:eastAsia="Times New Roman" w:hAnsi="Times New Roman"/>
                <w:sz w:val="13"/>
                <w:szCs w:val="13"/>
                <w:color w:val="0000FF"/>
              </w:rPr>
              <w:t>20,900</w:t>
            </w:r>
          </w:p>
        </w:tc>
        <w:tc>
          <w:tcPr>
            <w:tcW w:w="72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6"/>
                <w:szCs w:val="16"/>
                <w:color w:val="auto"/>
              </w:rPr>
            </w:pPr>
          </w:p>
        </w:tc>
      </w:tr>
      <w:tr>
        <w:trPr>
          <w:trHeight w:val="104"/>
        </w:trPr>
        <w:tc>
          <w:tcPr>
            <w:tcW w:w="68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7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ind w:left="16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9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60" w:type="dxa"/>
            <w:vAlign w:val="bottom"/>
          </w:tcPr>
          <w:p>
            <w:pPr>
              <w:spacing w:after="0"/>
              <w:rPr>
                <w:sz w:val="9"/>
                <w:szCs w:val="9"/>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40" w:right="320" w:firstLine="2"/>
        <w:spacing w:after="0" w:line="248"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subject to the option will vest on the earlier of (i) May 24, 2025, or (ii) the day immediately before the date of the next annual meeting of the Issuer's stockholders that occurs after May 24, 2024. The option reported was granted pursuant to the terms of the Issuer's Outside Director Compensation Policy.</w:t>
      </w:r>
    </w:p>
    <w:p>
      <w:pPr>
        <w:ind w:left="6600"/>
        <w:spacing w:after="0" w:line="180" w:lineRule="auto"/>
        <w:rPr>
          <w:sz w:val="20"/>
          <w:szCs w:val="20"/>
          <w:color w:val="auto"/>
        </w:rPr>
      </w:pPr>
      <w:r>
        <w:rPr>
          <w:rFonts w:ascii="Times New Roman" w:cs="Times New Roman" w:eastAsia="Times New Roman" w:hAnsi="Times New Roman"/>
          <w:sz w:val="16"/>
          <w:szCs w:val="16"/>
          <w:color w:val="0000FF"/>
        </w:rPr>
        <w:t xml:space="preserve">/s/ Mark Worthington, Attorney </w:t>
      </w:r>
      <w:r>
        <w:rPr>
          <w:rFonts w:ascii="Times New Roman" w:cs="Times New Roman" w:eastAsia="Times New Roman" w:hAnsi="Times New Roman"/>
          <w:sz w:val="32"/>
          <w:szCs w:val="32"/>
          <w:color w:val="0000FF"/>
          <w:vertAlign w:val="subscript"/>
        </w:rPr>
        <w:t>05/24/2024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-26670</wp:posOffset>
            </wp:positionV>
            <wp:extent cx="13512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5128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in fact for Barbara Kosacz</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-20320</wp:posOffset>
            </wp:positionV>
            <wp:extent cx="11226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122680" cy="8255"/>
                    </a:xfrm>
                    <a:prstGeom prst="rect">
                      <a:avLst/>
                    </a:prstGeom>
                    <a:noFill/>
                  </pic:spPr>
                </pic:pic>
              </a:graphicData>
            </a:graphic>
          </wp:anchor>
        </w:drawing>
        <w:drawing>
          <wp:anchor simplePos="0" relativeHeight="251657728" behindDoc="1" locked="0" layoutInCell="0" allowOverlap="1">
            <wp:simplePos x="0" y="0"/>
            <wp:positionH relativeFrom="column">
              <wp:posOffset>5586730</wp:posOffset>
            </wp:positionH>
            <wp:positionV relativeFrom="paragraph">
              <wp:posOffset>-85725</wp:posOffset>
            </wp:positionV>
            <wp:extent cx="4851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85140" cy="8255"/>
                    </a:xfrm>
                    <a:prstGeom prst="rect">
                      <a:avLst/>
                    </a:prstGeom>
                    <a:noFill/>
                  </pic:spPr>
                </pic:pic>
              </a:graphicData>
            </a:graphic>
          </wp:anchor>
        </w:drawing>
      </w:r>
    </w:p>
    <w:p>
      <w:pPr>
        <w:spacing w:after="0" w:line="24"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763316" TargetMode="External"/><Relationship Id="rId13" Type="http://schemas.openxmlformats.org/officeDocument/2006/relationships/hyperlink" Target="http://www.sec.gov/cgi-bin/browse-edgar?action=getcompany&amp;CIK=000162046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2024-05-24T18:03:09Z</dcterms:created>
  <dcterms:modified xsi:type="dcterms:W3CDTF">2024-05-24T18:03:09Z</dcterms:modified>
</cp:coreProperties>
</file>