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February 27, 2025</w:t>
      </w:r>
    </w:p>
    <w:p>
      <w:pPr>
        <w:spacing w:after="0" w:line="28" w:lineRule="exact"/>
        <w:rPr>
          <w:sz w:val="24"/>
          <w:szCs w:val="24"/>
          <w:color w:val="auto"/>
        </w:rPr>
      </w:pPr>
    </w:p>
    <w:p>
      <w:pPr>
        <w:ind w:left="9280"/>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368"/>
        </w:trPr>
        <w:tc>
          <w:tcPr>
            <w:tcW w:w="2000" w:type="dxa"/>
            <w:vAlign w:val="bottom"/>
          </w:tcPr>
          <w:p>
            <w:pPr>
              <w:spacing w:after="0"/>
              <w:rPr>
                <w:sz w:val="24"/>
                <w:szCs w:val="24"/>
                <w:color w:val="auto"/>
              </w:rPr>
            </w:pPr>
          </w:p>
        </w:tc>
        <w:tc>
          <w:tcPr>
            <w:tcW w:w="7100" w:type="dxa"/>
            <w:vAlign w:val="bottom"/>
            <w:gridSpan w:val="3"/>
          </w:tcPr>
          <w:p>
            <w:pPr>
              <w:jc w:val="center"/>
              <w:ind w:left="4"/>
              <w:spacing w:after="0"/>
              <w:rPr>
                <w:sz w:val="20"/>
                <w:szCs w:val="20"/>
                <w:color w:val="auto"/>
              </w:rPr>
            </w:pPr>
            <w:r>
              <w:rPr>
                <w:rFonts w:ascii="Times New Roman" w:cs="Times New Roman" w:eastAsia="Times New Roman" w:hAnsi="Times New Roman"/>
                <w:sz w:val="32"/>
                <w:szCs w:val="32"/>
                <w:b w:val="1"/>
                <w:bCs w:val="1"/>
                <w:color w:val="auto"/>
              </w:rPr>
              <w:t>UNITED STATES</w:t>
            </w:r>
          </w:p>
        </w:tc>
        <w:tc>
          <w:tcPr>
            <w:tcW w:w="0" w:type="dxa"/>
            <w:vAlign w:val="bottom"/>
          </w:tcPr>
          <w:p>
            <w:pPr>
              <w:spacing w:after="0"/>
              <w:rPr>
                <w:sz w:val="1"/>
                <w:szCs w:val="1"/>
                <w:color w:val="auto"/>
              </w:rPr>
            </w:pPr>
          </w:p>
        </w:tc>
      </w:tr>
      <w:tr>
        <w:trPr>
          <w:trHeight w:val="380"/>
        </w:trPr>
        <w:tc>
          <w:tcPr>
            <w:tcW w:w="2000" w:type="dxa"/>
            <w:vAlign w:val="bottom"/>
          </w:tcPr>
          <w:p>
            <w:pPr>
              <w:spacing w:after="0"/>
              <w:rPr>
                <w:sz w:val="24"/>
                <w:szCs w:val="24"/>
                <w:color w:val="auto"/>
              </w:rPr>
            </w:pPr>
          </w:p>
        </w:tc>
        <w:tc>
          <w:tcPr>
            <w:tcW w:w="7100" w:type="dxa"/>
            <w:vAlign w:val="bottom"/>
            <w:gridSpan w:val="3"/>
          </w:tcPr>
          <w:p>
            <w:pPr>
              <w:jc w:val="center"/>
              <w:ind w:left="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tc>
        <w:tc>
          <w:tcPr>
            <w:tcW w:w="0" w:type="dxa"/>
            <w:vAlign w:val="bottom"/>
          </w:tcPr>
          <w:p>
            <w:pPr>
              <w:spacing w:after="0"/>
              <w:rPr>
                <w:sz w:val="1"/>
                <w:szCs w:val="1"/>
                <w:color w:val="auto"/>
              </w:rPr>
            </w:pPr>
          </w:p>
        </w:tc>
      </w:tr>
      <w:tr>
        <w:trPr>
          <w:trHeight w:val="286"/>
        </w:trPr>
        <w:tc>
          <w:tcPr>
            <w:tcW w:w="20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620" w:type="dxa"/>
            <w:vAlign w:val="bottom"/>
            <w:gridSpan w:val="2"/>
          </w:tcPr>
          <w:p>
            <w:pPr>
              <w:jc w:val="center"/>
              <w:ind w:right="2308"/>
              <w:spacing w:after="0"/>
              <w:rPr>
                <w:sz w:val="20"/>
                <w:szCs w:val="20"/>
                <w:color w:val="auto"/>
              </w:rPr>
            </w:pPr>
            <w:r>
              <w:rPr>
                <w:rFonts w:ascii="Times New Roman" w:cs="Times New Roman" w:eastAsia="Times New Roman" w:hAnsi="Times New Roman"/>
                <w:sz w:val="22"/>
                <w:szCs w:val="22"/>
                <w:b w:val="1"/>
                <w:bCs w:val="1"/>
                <w:color w:val="auto"/>
                <w:w w:val="98"/>
              </w:rPr>
              <w:t>Washington, D.C. 20549</w:t>
            </w:r>
          </w:p>
        </w:tc>
        <w:tc>
          <w:tcPr>
            <w:tcW w:w="0" w:type="dxa"/>
            <w:vAlign w:val="bottom"/>
          </w:tcPr>
          <w:p>
            <w:pPr>
              <w:spacing w:after="0"/>
              <w:rPr>
                <w:sz w:val="1"/>
                <w:szCs w:val="1"/>
                <w:color w:val="auto"/>
              </w:rPr>
            </w:pPr>
          </w:p>
        </w:tc>
      </w:tr>
      <w:tr>
        <w:trPr>
          <w:trHeight w:val="83"/>
        </w:trPr>
        <w:tc>
          <w:tcPr>
            <w:tcW w:w="2000" w:type="dxa"/>
            <w:vAlign w:val="bottom"/>
          </w:tcPr>
          <w:p>
            <w:pPr>
              <w:spacing w:after="0"/>
              <w:rPr>
                <w:sz w:val="7"/>
                <w:szCs w:val="7"/>
                <w:color w:val="auto"/>
              </w:rPr>
            </w:pPr>
          </w:p>
        </w:tc>
        <w:tc>
          <w:tcPr>
            <w:tcW w:w="248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23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20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40" w:type="dxa"/>
            <w:vAlign w:val="bottom"/>
          </w:tcPr>
          <w:p>
            <w:pPr>
              <w:jc w:val="center"/>
              <w:spacing w:after="0" w:line="368" w:lineRule="exact"/>
              <w:rPr>
                <w:sz w:val="20"/>
                <w:szCs w:val="20"/>
                <w:color w:val="auto"/>
              </w:rPr>
            </w:pPr>
            <w:r>
              <w:rPr>
                <w:rFonts w:ascii="Times New Roman" w:cs="Times New Roman" w:eastAsia="Times New Roman" w:hAnsi="Times New Roman"/>
                <w:sz w:val="32"/>
                <w:szCs w:val="32"/>
                <w:b w:val="1"/>
                <w:bCs w:val="1"/>
                <w:color w:val="auto"/>
              </w:rPr>
              <w:t>FORM S</w:t>
            </w:r>
            <w:r>
              <w:rPr>
                <w:rFonts w:ascii="MS PGothic" w:cs="MS PGothic" w:eastAsia="MS PGothic" w:hAnsi="MS PGothic"/>
                <w:sz w:val="32"/>
                <w:szCs w:val="32"/>
                <w:color w:val="auto"/>
                <w:strike w:val="1"/>
              </w:rPr>
              <w:t>‑</w:t>
            </w:r>
            <w:r>
              <w:rPr>
                <w:rFonts w:ascii="Times New Roman" w:cs="Times New Roman" w:eastAsia="Times New Roman" w:hAnsi="Times New Roman"/>
                <w:sz w:val="32"/>
                <w:szCs w:val="32"/>
                <w:b w:val="1"/>
                <w:bCs w:val="1"/>
                <w:color w:val="auto"/>
              </w:rPr>
              <w:t>8</w:t>
            </w:r>
          </w:p>
        </w:tc>
        <w:tc>
          <w:tcPr>
            <w:tcW w:w="2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00" w:type="dxa"/>
            <w:vAlign w:val="bottom"/>
          </w:tcPr>
          <w:p>
            <w:pPr>
              <w:spacing w:after="0"/>
              <w:rPr>
                <w:sz w:val="24"/>
                <w:szCs w:val="24"/>
                <w:color w:val="auto"/>
              </w:rPr>
            </w:pPr>
          </w:p>
        </w:tc>
        <w:tc>
          <w:tcPr>
            <w:tcW w:w="7100" w:type="dxa"/>
            <w:vAlign w:val="bottom"/>
            <w:gridSpan w:val="3"/>
          </w:tcPr>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620" w:type="dxa"/>
            <w:vAlign w:val="bottom"/>
            <w:gridSpan w:val="2"/>
          </w:tcPr>
          <w:p>
            <w:pPr>
              <w:jc w:val="center"/>
              <w:ind w:right="2288"/>
              <w:spacing w:after="0" w:line="243" w:lineRule="exact"/>
              <w:rPr>
                <w:sz w:val="20"/>
                <w:szCs w:val="20"/>
                <w:color w:val="auto"/>
              </w:rPr>
            </w:pPr>
            <w:r>
              <w:rPr>
                <w:rFonts w:ascii="Times New Roman" w:cs="Times New Roman" w:eastAsia="Times New Roman" w:hAnsi="Times New Roman"/>
                <w:sz w:val="22"/>
                <w:szCs w:val="22"/>
                <w:b w:val="1"/>
                <w:bCs w:val="1"/>
                <w:color w:val="auto"/>
                <w:w w:val="96"/>
              </w:rPr>
              <w:t>Under</w:t>
            </w:r>
          </w:p>
        </w:tc>
        <w:tc>
          <w:tcPr>
            <w:tcW w:w="0" w:type="dxa"/>
            <w:vAlign w:val="bottom"/>
          </w:tcPr>
          <w:p>
            <w:pPr>
              <w:spacing w:after="0"/>
              <w:rPr>
                <w:sz w:val="1"/>
                <w:szCs w:val="1"/>
                <w:color w:val="auto"/>
              </w:rPr>
            </w:pPr>
          </w:p>
        </w:tc>
      </w:tr>
      <w:tr>
        <w:trPr>
          <w:trHeight w:val="286"/>
        </w:trPr>
        <w:tc>
          <w:tcPr>
            <w:tcW w:w="2000" w:type="dxa"/>
            <w:vAlign w:val="bottom"/>
          </w:tcPr>
          <w:p>
            <w:pPr>
              <w:spacing w:after="0"/>
              <w:rPr>
                <w:sz w:val="24"/>
                <w:szCs w:val="24"/>
                <w:color w:val="auto"/>
              </w:rPr>
            </w:pPr>
          </w:p>
        </w:tc>
        <w:tc>
          <w:tcPr>
            <w:tcW w:w="7100" w:type="dxa"/>
            <w:vAlign w:val="bottom"/>
            <w:gridSpan w:val="3"/>
          </w:tcPr>
          <w:p>
            <w:pPr>
              <w:jc w:val="center"/>
              <w:ind w:left="4"/>
              <w:spacing w:after="0"/>
              <w:rPr>
                <w:sz w:val="20"/>
                <w:szCs w:val="20"/>
                <w:color w:val="auto"/>
              </w:rPr>
            </w:pPr>
            <w:r>
              <w:rPr>
                <w:rFonts w:ascii="Times New Roman" w:cs="Times New Roman" w:eastAsia="Times New Roman" w:hAnsi="Times New Roman"/>
                <w:sz w:val="22"/>
                <w:szCs w:val="22"/>
                <w:b w:val="1"/>
                <w:bCs w:val="1"/>
                <w:color w:val="auto"/>
                <w:w w:val="98"/>
              </w:rPr>
              <w:t>The Securities Act of 1933</w:t>
            </w:r>
          </w:p>
        </w:tc>
        <w:tc>
          <w:tcPr>
            <w:tcW w:w="0" w:type="dxa"/>
            <w:vAlign w:val="bottom"/>
          </w:tcPr>
          <w:p>
            <w:pPr>
              <w:spacing w:after="0"/>
              <w:rPr>
                <w:sz w:val="1"/>
                <w:szCs w:val="1"/>
                <w:color w:val="auto"/>
              </w:rPr>
            </w:pPr>
          </w:p>
        </w:tc>
      </w:tr>
      <w:tr>
        <w:trPr>
          <w:trHeight w:val="96"/>
        </w:trPr>
        <w:tc>
          <w:tcPr>
            <w:tcW w:w="20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9"/>
        </w:trPr>
        <w:tc>
          <w:tcPr>
            <w:tcW w:w="2000" w:type="dxa"/>
            <w:vAlign w:val="bottom"/>
          </w:tcPr>
          <w:p>
            <w:pPr>
              <w:spacing w:after="0"/>
              <w:rPr>
                <w:sz w:val="24"/>
                <w:szCs w:val="24"/>
                <w:color w:val="auto"/>
              </w:rPr>
            </w:pPr>
          </w:p>
        </w:tc>
        <w:tc>
          <w:tcPr>
            <w:tcW w:w="7100" w:type="dxa"/>
            <w:vAlign w:val="bottom"/>
            <w:gridSpan w:val="3"/>
          </w:tcPr>
          <w:p>
            <w:pPr>
              <w:jc w:val="center"/>
              <w:ind w:left="4"/>
              <w:spacing w:after="0"/>
              <w:rPr>
                <w:sz w:val="20"/>
                <w:szCs w:val="20"/>
                <w:color w:val="auto"/>
              </w:rPr>
            </w:pPr>
            <w:r>
              <w:rPr>
                <w:rFonts w:ascii="Times New Roman" w:cs="Times New Roman" w:eastAsia="Times New Roman" w:hAnsi="Times New Roman"/>
                <w:sz w:val="43"/>
                <w:szCs w:val="43"/>
                <w:b w:val="1"/>
                <w:bCs w:val="1"/>
                <w:color w:val="auto"/>
              </w:rPr>
              <w:t>ATHIRA PHARMA, INC.</w:t>
            </w: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7100" w:type="dxa"/>
            <w:vAlign w:val="bottom"/>
            <w:gridSpan w:val="3"/>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0" w:type="dxa"/>
            <w:vAlign w:val="bottom"/>
          </w:tcPr>
          <w:p>
            <w:pPr>
              <w:spacing w:after="0"/>
              <w:rPr>
                <w:sz w:val="1"/>
                <w:szCs w:val="1"/>
                <w:color w:val="auto"/>
              </w:rPr>
            </w:pPr>
          </w:p>
        </w:tc>
      </w:tr>
      <w:tr>
        <w:trPr>
          <w:trHeight w:val="78"/>
        </w:trPr>
        <w:tc>
          <w:tcPr>
            <w:tcW w:w="200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7100" w:type="dxa"/>
            <w:vAlign w:val="bottom"/>
            <w:gridSpan w:val="3"/>
          </w:tcPr>
          <w:p>
            <w:pPr>
              <w:ind w:left="5480"/>
              <w:spacing w:after="0"/>
              <w:rPr>
                <w:sz w:val="20"/>
                <w:szCs w:val="20"/>
                <w:color w:val="auto"/>
              </w:rPr>
            </w:pPr>
            <w:r>
              <w:rPr>
                <w:rFonts w:ascii="Times New Roman" w:cs="Times New Roman" w:eastAsia="Times New Roman" w:hAnsi="Times New Roman"/>
                <w:sz w:val="18"/>
                <w:szCs w:val="18"/>
                <w:b w:val="1"/>
                <w:bCs w:val="1"/>
                <w:color w:val="auto"/>
              </w:rPr>
              <w:t>45-3368487</w:t>
            </w: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38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2000" w:type="dxa"/>
            <w:vAlign w:val="bottom"/>
          </w:tcPr>
          <w:p>
            <w:pPr>
              <w:spacing w:after="0"/>
              <w:rPr>
                <w:sz w:val="24"/>
                <w:szCs w:val="24"/>
                <w:color w:val="auto"/>
              </w:rPr>
            </w:pPr>
          </w:p>
        </w:tc>
        <w:tc>
          <w:tcPr>
            <w:tcW w:w="710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18706 North Creek Parkway, Suite 104</w:t>
            </w:r>
          </w:p>
        </w:tc>
        <w:tc>
          <w:tcPr>
            <w:tcW w:w="0" w:type="dxa"/>
            <w:vAlign w:val="bottom"/>
          </w:tcPr>
          <w:p>
            <w:pPr>
              <w:spacing w:after="0"/>
              <w:rPr>
                <w:sz w:val="1"/>
                <w:szCs w:val="1"/>
                <w:color w:val="auto"/>
              </w:rPr>
            </w:pPr>
          </w:p>
        </w:tc>
      </w:tr>
      <w:tr>
        <w:trPr>
          <w:trHeight w:val="252"/>
        </w:trPr>
        <w:tc>
          <w:tcPr>
            <w:tcW w:w="20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620" w:type="dxa"/>
            <w:vAlign w:val="bottom"/>
            <w:gridSpan w:val="2"/>
          </w:tcPr>
          <w:p>
            <w:pPr>
              <w:jc w:val="center"/>
              <w:ind w:right="2288"/>
              <w:spacing w:after="0" w:line="251" w:lineRule="exact"/>
              <w:rPr>
                <w:sz w:val="20"/>
                <w:szCs w:val="20"/>
                <w:color w:val="auto"/>
              </w:rPr>
            </w:pPr>
            <w:r>
              <w:rPr>
                <w:rFonts w:ascii="Times New Roman" w:cs="Times New Roman" w:eastAsia="Times New Roman" w:hAnsi="Times New Roman"/>
                <w:sz w:val="22"/>
                <w:szCs w:val="22"/>
                <w:b w:val="1"/>
                <w:bCs w:val="1"/>
                <w:color w:val="auto"/>
                <w:w w:val="98"/>
              </w:rPr>
              <w:t>Bothell, WA 98011</w:t>
            </w:r>
          </w:p>
        </w:tc>
        <w:tc>
          <w:tcPr>
            <w:tcW w:w="0" w:type="dxa"/>
            <w:vAlign w:val="bottom"/>
          </w:tcPr>
          <w:p>
            <w:pPr>
              <w:spacing w:after="0"/>
              <w:rPr>
                <w:sz w:val="1"/>
                <w:szCs w:val="1"/>
                <w:color w:val="auto"/>
              </w:rPr>
            </w:pPr>
          </w:p>
        </w:tc>
      </w:tr>
      <w:tr>
        <w:trPr>
          <w:trHeight w:val="188"/>
        </w:trPr>
        <w:tc>
          <w:tcPr>
            <w:tcW w:w="2000" w:type="dxa"/>
            <w:vAlign w:val="bottom"/>
          </w:tcPr>
          <w:p>
            <w:pPr>
              <w:spacing w:after="0"/>
              <w:rPr>
                <w:sz w:val="16"/>
                <w:szCs w:val="16"/>
                <w:color w:val="auto"/>
              </w:rPr>
            </w:pPr>
          </w:p>
        </w:tc>
        <w:tc>
          <w:tcPr>
            <w:tcW w:w="7100" w:type="dxa"/>
            <w:vAlign w:val="bottom"/>
            <w:gridSpan w:val="3"/>
          </w:tcPr>
          <w:p>
            <w:pPr>
              <w:jc w:val="center"/>
              <w:ind w:left="4"/>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0" w:type="dxa"/>
            <w:vAlign w:val="bottom"/>
          </w:tcPr>
          <w:p>
            <w:pPr>
              <w:spacing w:after="0"/>
              <w:rPr>
                <w:sz w:val="1"/>
                <w:szCs w:val="1"/>
                <w:color w:val="auto"/>
              </w:rPr>
            </w:pPr>
          </w:p>
        </w:tc>
      </w:tr>
      <w:tr>
        <w:trPr>
          <w:trHeight w:val="91"/>
        </w:trPr>
        <w:tc>
          <w:tcPr>
            <w:tcW w:w="2000" w:type="dxa"/>
            <w:vAlign w:val="bottom"/>
          </w:tcPr>
          <w:p>
            <w:pPr>
              <w:spacing w:after="0"/>
              <w:rPr>
                <w:sz w:val="7"/>
                <w:szCs w:val="7"/>
                <w:color w:val="auto"/>
              </w:rPr>
            </w:pPr>
          </w:p>
        </w:tc>
        <w:tc>
          <w:tcPr>
            <w:tcW w:w="248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2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2000" w:type="dxa"/>
            <w:vAlign w:val="bottom"/>
          </w:tcPr>
          <w:p>
            <w:pPr>
              <w:spacing w:after="0"/>
              <w:rPr>
                <w:sz w:val="24"/>
                <w:szCs w:val="24"/>
                <w:color w:val="auto"/>
              </w:rPr>
            </w:pPr>
          </w:p>
        </w:tc>
        <w:tc>
          <w:tcPr>
            <w:tcW w:w="710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2020 Equity Incentive Plan</w:t>
            </w:r>
          </w:p>
        </w:tc>
        <w:tc>
          <w:tcPr>
            <w:tcW w:w="0" w:type="dxa"/>
            <w:vAlign w:val="bottom"/>
          </w:tcPr>
          <w:p>
            <w:pPr>
              <w:spacing w:after="0"/>
              <w:rPr>
                <w:sz w:val="1"/>
                <w:szCs w:val="1"/>
                <w:color w:val="auto"/>
              </w:rPr>
            </w:pPr>
          </w:p>
        </w:tc>
      </w:tr>
      <w:tr>
        <w:trPr>
          <w:trHeight w:val="286"/>
        </w:trPr>
        <w:tc>
          <w:tcPr>
            <w:tcW w:w="2000" w:type="dxa"/>
            <w:vAlign w:val="bottom"/>
          </w:tcPr>
          <w:p>
            <w:pPr>
              <w:spacing w:after="0"/>
              <w:rPr>
                <w:sz w:val="24"/>
                <w:szCs w:val="24"/>
                <w:color w:val="auto"/>
              </w:rPr>
            </w:pPr>
          </w:p>
        </w:tc>
        <w:tc>
          <w:tcPr>
            <w:tcW w:w="7100" w:type="dxa"/>
            <w:vAlign w:val="bottom"/>
            <w:gridSpan w:val="3"/>
          </w:tcPr>
          <w:p>
            <w:pPr>
              <w:jc w:val="center"/>
              <w:ind w:left="4"/>
              <w:spacing w:after="0"/>
              <w:rPr>
                <w:sz w:val="20"/>
                <w:szCs w:val="20"/>
                <w:color w:val="auto"/>
              </w:rPr>
            </w:pPr>
            <w:r>
              <w:rPr>
                <w:rFonts w:ascii="Times New Roman" w:cs="Times New Roman" w:eastAsia="Times New Roman" w:hAnsi="Times New Roman"/>
                <w:sz w:val="22"/>
                <w:szCs w:val="22"/>
                <w:b w:val="1"/>
                <w:bCs w:val="1"/>
                <w:color w:val="auto"/>
                <w:w w:val="97"/>
              </w:rPr>
              <w:t>2020 Employee Stock Purchase Plan</w:t>
            </w:r>
          </w:p>
        </w:tc>
        <w:tc>
          <w:tcPr>
            <w:tcW w:w="0" w:type="dxa"/>
            <w:vAlign w:val="bottom"/>
          </w:tcPr>
          <w:p>
            <w:pPr>
              <w:spacing w:after="0"/>
              <w:rPr>
                <w:sz w:val="1"/>
                <w:szCs w:val="1"/>
                <w:color w:val="auto"/>
              </w:rPr>
            </w:pPr>
          </w:p>
        </w:tc>
      </w:tr>
      <w:tr>
        <w:trPr>
          <w:trHeight w:val="397"/>
        </w:trPr>
        <w:tc>
          <w:tcPr>
            <w:tcW w:w="20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620" w:type="dxa"/>
            <w:vAlign w:val="bottom"/>
            <w:gridSpan w:val="2"/>
          </w:tcPr>
          <w:p>
            <w:pPr>
              <w:jc w:val="center"/>
              <w:ind w:right="2288"/>
              <w:spacing w:after="0"/>
              <w:rPr>
                <w:sz w:val="20"/>
                <w:szCs w:val="20"/>
                <w:color w:val="auto"/>
              </w:rPr>
            </w:pPr>
            <w:r>
              <w:rPr>
                <w:rFonts w:ascii="Times New Roman" w:cs="Times New Roman" w:eastAsia="Times New Roman" w:hAnsi="Times New Roman"/>
                <w:sz w:val="14"/>
                <w:szCs w:val="14"/>
                <w:color w:val="auto"/>
              </w:rPr>
              <w:t>(Full title of the plans)</w:t>
            </w:r>
          </w:p>
        </w:tc>
        <w:tc>
          <w:tcPr>
            <w:tcW w:w="0" w:type="dxa"/>
            <w:vAlign w:val="bottom"/>
          </w:tcPr>
          <w:p>
            <w:pPr>
              <w:spacing w:after="0"/>
              <w:rPr>
                <w:sz w:val="1"/>
                <w:szCs w:val="1"/>
                <w:color w:val="auto"/>
              </w:rPr>
            </w:pPr>
          </w:p>
        </w:tc>
      </w:tr>
      <w:tr>
        <w:trPr>
          <w:trHeight w:val="78"/>
        </w:trPr>
        <w:tc>
          <w:tcPr>
            <w:tcW w:w="200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20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620" w:type="dxa"/>
            <w:vAlign w:val="bottom"/>
            <w:gridSpan w:val="2"/>
          </w:tcPr>
          <w:p>
            <w:pPr>
              <w:jc w:val="center"/>
              <w:ind w:right="2288"/>
              <w:spacing w:after="0"/>
              <w:rPr>
                <w:sz w:val="20"/>
                <w:szCs w:val="20"/>
                <w:color w:val="auto"/>
              </w:rPr>
            </w:pPr>
            <w:r>
              <w:rPr>
                <w:rFonts w:ascii="Times New Roman" w:cs="Times New Roman" w:eastAsia="Times New Roman" w:hAnsi="Times New Roman"/>
                <w:sz w:val="22"/>
                <w:szCs w:val="22"/>
                <w:b w:val="1"/>
                <w:bCs w:val="1"/>
                <w:color w:val="auto"/>
                <w:w w:val="98"/>
              </w:rPr>
              <w:t>Mark Litton, Ph.D.</w:t>
            </w: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7100" w:type="dxa"/>
            <w:vAlign w:val="bottom"/>
            <w:gridSpan w:val="3"/>
          </w:tcPr>
          <w:p>
            <w:pPr>
              <w:jc w:val="center"/>
              <w:ind w:left="4"/>
              <w:spacing w:after="0" w:line="243" w:lineRule="exact"/>
              <w:rPr>
                <w:sz w:val="20"/>
                <w:szCs w:val="20"/>
                <w:color w:val="auto"/>
              </w:rPr>
            </w:pPr>
            <w:r>
              <w:rPr>
                <w:rFonts w:ascii="Times New Roman" w:cs="Times New Roman" w:eastAsia="Times New Roman" w:hAnsi="Times New Roman"/>
                <w:sz w:val="22"/>
                <w:szCs w:val="22"/>
                <w:b w:val="1"/>
                <w:bCs w:val="1"/>
                <w:color w:val="auto"/>
                <w:w w:val="98"/>
              </w:rPr>
              <w:t>President and Chief Executive Officer</w:t>
            </w: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620" w:type="dxa"/>
            <w:vAlign w:val="bottom"/>
            <w:gridSpan w:val="2"/>
          </w:tcPr>
          <w:p>
            <w:pPr>
              <w:jc w:val="center"/>
              <w:ind w:right="2308"/>
              <w:spacing w:after="0" w:line="243" w:lineRule="exact"/>
              <w:rPr>
                <w:sz w:val="20"/>
                <w:szCs w:val="20"/>
                <w:color w:val="auto"/>
              </w:rPr>
            </w:pPr>
            <w:r>
              <w:rPr>
                <w:rFonts w:ascii="Times New Roman" w:cs="Times New Roman" w:eastAsia="Times New Roman" w:hAnsi="Times New Roman"/>
                <w:sz w:val="22"/>
                <w:szCs w:val="22"/>
                <w:b w:val="1"/>
                <w:bCs w:val="1"/>
                <w:color w:val="auto"/>
                <w:w w:val="98"/>
              </w:rPr>
              <w:t>Athira Pharma, Inc.</w:t>
            </w: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7100" w:type="dxa"/>
            <w:vAlign w:val="bottom"/>
            <w:gridSpan w:val="3"/>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18706 North Creek Parkway, Suite 104</w:t>
            </w: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620" w:type="dxa"/>
            <w:vAlign w:val="bottom"/>
            <w:gridSpan w:val="2"/>
          </w:tcPr>
          <w:p>
            <w:pPr>
              <w:jc w:val="center"/>
              <w:ind w:right="2288"/>
              <w:spacing w:after="0" w:line="243" w:lineRule="exact"/>
              <w:rPr>
                <w:sz w:val="20"/>
                <w:szCs w:val="20"/>
                <w:color w:val="auto"/>
              </w:rPr>
            </w:pPr>
            <w:r>
              <w:rPr>
                <w:rFonts w:ascii="Times New Roman" w:cs="Times New Roman" w:eastAsia="Times New Roman" w:hAnsi="Times New Roman"/>
                <w:sz w:val="22"/>
                <w:szCs w:val="22"/>
                <w:b w:val="1"/>
                <w:bCs w:val="1"/>
                <w:color w:val="auto"/>
                <w:w w:val="98"/>
              </w:rPr>
              <w:t>Bothell, WA 98011</w:t>
            </w:r>
          </w:p>
        </w:tc>
        <w:tc>
          <w:tcPr>
            <w:tcW w:w="0" w:type="dxa"/>
            <w:vAlign w:val="bottom"/>
          </w:tcPr>
          <w:p>
            <w:pPr>
              <w:spacing w:after="0"/>
              <w:rPr>
                <w:sz w:val="1"/>
                <w:szCs w:val="1"/>
                <w:color w:val="auto"/>
              </w:rPr>
            </w:pPr>
          </w:p>
        </w:tc>
      </w:tr>
      <w:tr>
        <w:trPr>
          <w:trHeight w:val="252"/>
        </w:trPr>
        <w:tc>
          <w:tcPr>
            <w:tcW w:w="2000" w:type="dxa"/>
            <w:vAlign w:val="bottom"/>
          </w:tcPr>
          <w:p>
            <w:pPr>
              <w:spacing w:after="0"/>
              <w:rPr>
                <w:sz w:val="21"/>
                <w:szCs w:val="21"/>
                <w:color w:val="auto"/>
              </w:rPr>
            </w:pPr>
          </w:p>
        </w:tc>
        <w:tc>
          <w:tcPr>
            <w:tcW w:w="4720" w:type="dxa"/>
            <w:vAlign w:val="bottom"/>
            <w:gridSpan w:val="2"/>
          </w:tcPr>
          <w:p>
            <w:pPr>
              <w:jc w:val="center"/>
              <w:ind w:left="2364"/>
              <w:spacing w:after="0" w:line="251" w:lineRule="exact"/>
              <w:rPr>
                <w:sz w:val="20"/>
                <w:szCs w:val="20"/>
                <w:color w:val="auto"/>
              </w:rPr>
            </w:pPr>
            <w:r>
              <w:rPr>
                <w:rFonts w:ascii="Times New Roman" w:cs="Times New Roman" w:eastAsia="Times New Roman" w:hAnsi="Times New Roman"/>
                <w:sz w:val="22"/>
                <w:szCs w:val="22"/>
                <w:b w:val="1"/>
                <w:bCs w:val="1"/>
                <w:color w:val="auto"/>
                <w:w w:val="98"/>
              </w:rPr>
              <w:t>(425) 620-8501</w:t>
            </w: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000" w:type="dxa"/>
            <w:vAlign w:val="bottom"/>
          </w:tcPr>
          <w:p>
            <w:pPr>
              <w:spacing w:after="0"/>
              <w:rPr>
                <w:sz w:val="16"/>
                <w:szCs w:val="16"/>
                <w:color w:val="auto"/>
              </w:rPr>
            </w:pPr>
          </w:p>
        </w:tc>
        <w:tc>
          <w:tcPr>
            <w:tcW w:w="71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(Name, address and telephone number, including area code, of agent for service)</w:t>
            </w:r>
          </w:p>
        </w:tc>
        <w:tc>
          <w:tcPr>
            <w:tcW w:w="0" w:type="dxa"/>
            <w:vAlign w:val="bottom"/>
          </w:tcPr>
          <w:p>
            <w:pPr>
              <w:spacing w:after="0"/>
              <w:rPr>
                <w:sz w:val="1"/>
                <w:szCs w:val="1"/>
                <w:color w:val="auto"/>
              </w:rPr>
            </w:pPr>
          </w:p>
        </w:tc>
      </w:tr>
      <w:tr>
        <w:trPr>
          <w:trHeight w:val="78"/>
        </w:trPr>
        <w:tc>
          <w:tcPr>
            <w:tcW w:w="200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9"/>
        </w:trPr>
        <w:tc>
          <w:tcPr>
            <w:tcW w:w="20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620" w:type="dxa"/>
            <w:vAlign w:val="bottom"/>
            <w:gridSpan w:val="2"/>
          </w:tcPr>
          <w:p>
            <w:pPr>
              <w:jc w:val="center"/>
              <w:ind w:right="2308"/>
              <w:spacing w:after="0"/>
              <w:rPr>
                <w:sz w:val="20"/>
                <w:szCs w:val="20"/>
                <w:color w:val="auto"/>
              </w:rPr>
            </w:pPr>
            <w:r>
              <w:rPr>
                <w:rFonts w:ascii="Times New Roman" w:cs="Times New Roman" w:eastAsia="Times New Roman" w:hAnsi="Times New Roman"/>
                <w:sz w:val="22"/>
                <w:szCs w:val="22"/>
                <w:b w:val="1"/>
                <w:bCs w:val="1"/>
                <w:color w:val="auto"/>
                <w:w w:val="97"/>
              </w:rPr>
              <w:t>Copies to:</w:t>
            </w:r>
          </w:p>
        </w:tc>
        <w:tc>
          <w:tcPr>
            <w:tcW w:w="0" w:type="dxa"/>
            <w:vAlign w:val="bottom"/>
          </w:tcPr>
          <w:p>
            <w:pPr>
              <w:spacing w:after="0"/>
              <w:rPr>
                <w:sz w:val="1"/>
                <w:szCs w:val="1"/>
                <w:color w:val="auto"/>
              </w:rPr>
            </w:pPr>
          </w:p>
        </w:tc>
      </w:tr>
      <w:tr>
        <w:trPr>
          <w:trHeight w:val="281"/>
        </w:trPr>
        <w:tc>
          <w:tcPr>
            <w:tcW w:w="20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620" w:type="dxa"/>
            <w:vAlign w:val="bottom"/>
            <w:gridSpan w:val="2"/>
          </w:tcPr>
          <w:p>
            <w:pPr>
              <w:jc w:val="center"/>
              <w:ind w:right="2288"/>
              <w:spacing w:after="0"/>
              <w:rPr>
                <w:sz w:val="20"/>
                <w:szCs w:val="20"/>
                <w:color w:val="auto"/>
              </w:rPr>
            </w:pPr>
            <w:r>
              <w:rPr>
                <w:rFonts w:ascii="Times New Roman" w:cs="Times New Roman" w:eastAsia="Times New Roman" w:hAnsi="Times New Roman"/>
                <w:sz w:val="22"/>
                <w:szCs w:val="22"/>
                <w:b w:val="1"/>
                <w:bCs w:val="1"/>
                <w:color w:val="auto"/>
                <w:w w:val="97"/>
              </w:rPr>
              <w:t>Michael Nordtvedt</w:t>
            </w:r>
          </w:p>
        </w:tc>
        <w:tc>
          <w:tcPr>
            <w:tcW w:w="0" w:type="dxa"/>
            <w:vAlign w:val="bottom"/>
          </w:tcPr>
          <w:p>
            <w:pPr>
              <w:spacing w:after="0"/>
              <w:rPr>
                <w:sz w:val="1"/>
                <w:szCs w:val="1"/>
                <w:color w:val="auto"/>
              </w:rPr>
            </w:pPr>
          </w:p>
        </w:tc>
      </w:tr>
      <w:tr>
        <w:trPr>
          <w:trHeight w:val="247"/>
        </w:trPr>
        <w:tc>
          <w:tcPr>
            <w:tcW w:w="20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620" w:type="dxa"/>
            <w:vAlign w:val="bottom"/>
            <w:gridSpan w:val="2"/>
          </w:tcPr>
          <w:p>
            <w:pPr>
              <w:jc w:val="center"/>
              <w:ind w:right="2308"/>
              <w:spacing w:after="0" w:line="247" w:lineRule="exact"/>
              <w:rPr>
                <w:sz w:val="20"/>
                <w:szCs w:val="20"/>
                <w:color w:val="auto"/>
              </w:rPr>
            </w:pPr>
            <w:r>
              <w:rPr>
                <w:rFonts w:ascii="Times New Roman" w:cs="Times New Roman" w:eastAsia="Times New Roman" w:hAnsi="Times New Roman"/>
                <w:sz w:val="22"/>
                <w:szCs w:val="22"/>
                <w:b w:val="1"/>
                <w:bCs w:val="1"/>
                <w:color w:val="auto"/>
                <w:w w:val="98"/>
              </w:rPr>
              <w:t>Bryan D. King</w:t>
            </w: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7100" w:type="dxa"/>
            <w:vAlign w:val="bottom"/>
            <w:gridSpan w:val="3"/>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Wilson Sonsini Goodrich &amp; Rosati,</w:t>
            </w: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620" w:type="dxa"/>
            <w:vAlign w:val="bottom"/>
            <w:gridSpan w:val="2"/>
          </w:tcPr>
          <w:p>
            <w:pPr>
              <w:jc w:val="center"/>
              <w:ind w:right="2308"/>
              <w:spacing w:after="0" w:line="243" w:lineRule="exact"/>
              <w:rPr>
                <w:sz w:val="20"/>
                <w:szCs w:val="20"/>
                <w:color w:val="auto"/>
              </w:rPr>
            </w:pPr>
            <w:r>
              <w:rPr>
                <w:rFonts w:ascii="Times New Roman" w:cs="Times New Roman" w:eastAsia="Times New Roman" w:hAnsi="Times New Roman"/>
                <w:sz w:val="22"/>
                <w:szCs w:val="22"/>
                <w:color w:val="auto"/>
                <w:w w:val="97"/>
              </w:rPr>
              <w:t>Professional Corporation</w:t>
            </w: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7100" w:type="dxa"/>
            <w:vAlign w:val="bottom"/>
            <w:gridSpan w:val="3"/>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701 Fifth Avenue, Suite 5100</w:t>
            </w: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620" w:type="dxa"/>
            <w:vAlign w:val="bottom"/>
            <w:gridSpan w:val="2"/>
          </w:tcPr>
          <w:p>
            <w:pPr>
              <w:jc w:val="center"/>
              <w:ind w:right="2308"/>
              <w:spacing w:after="0" w:line="243" w:lineRule="exact"/>
              <w:rPr>
                <w:sz w:val="20"/>
                <w:szCs w:val="20"/>
                <w:color w:val="auto"/>
              </w:rPr>
            </w:pPr>
            <w:r>
              <w:rPr>
                <w:rFonts w:ascii="Times New Roman" w:cs="Times New Roman" w:eastAsia="Times New Roman" w:hAnsi="Times New Roman"/>
                <w:sz w:val="22"/>
                <w:szCs w:val="22"/>
                <w:color w:val="auto"/>
                <w:w w:val="97"/>
              </w:rPr>
              <w:t>Seattle, WA 98104</w:t>
            </w: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4"/>
                <w:szCs w:val="24"/>
                <w:color w:val="auto"/>
              </w:rPr>
            </w:pPr>
          </w:p>
        </w:tc>
        <w:tc>
          <w:tcPr>
            <w:tcW w:w="4720" w:type="dxa"/>
            <w:vAlign w:val="bottom"/>
            <w:gridSpan w:val="2"/>
          </w:tcPr>
          <w:p>
            <w:pPr>
              <w:jc w:val="center"/>
              <w:ind w:left="2364"/>
              <w:spacing w:after="0"/>
              <w:rPr>
                <w:sz w:val="20"/>
                <w:szCs w:val="20"/>
                <w:color w:val="auto"/>
              </w:rPr>
            </w:pPr>
            <w:r>
              <w:rPr>
                <w:rFonts w:ascii="Times New Roman" w:cs="Times New Roman" w:eastAsia="Times New Roman" w:hAnsi="Times New Roman"/>
                <w:sz w:val="22"/>
                <w:szCs w:val="22"/>
                <w:color w:val="auto"/>
                <w:w w:val="98"/>
              </w:rPr>
              <w:t>(206) 883-2500</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60960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4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404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5580" w:type="dxa"/>
            <w:vAlign w:val="bottom"/>
          </w:tcPr>
          <w:p>
            <w:pPr>
              <w:ind w:left="3860"/>
              <w:spacing w:after="0"/>
              <w:rPr>
                <w:sz w:val="20"/>
                <w:szCs w:val="20"/>
                <w:color w:val="auto"/>
              </w:rPr>
            </w:pPr>
            <w:r>
              <w:rPr>
                <w:rFonts w:ascii="Times New Roman" w:cs="Times New Roman" w:eastAsia="Times New Roman" w:hAnsi="Times New Roman"/>
                <w:sz w:val="15"/>
                <w:szCs w:val="15"/>
                <w:color w:val="auto"/>
              </w:rPr>
              <w:t>Accelerated filer</w:t>
            </w:r>
          </w:p>
        </w:tc>
        <w:tc>
          <w:tcPr>
            <w:tcW w:w="160" w:type="dxa"/>
            <w:vAlign w:val="bottom"/>
          </w:tcPr>
          <w:p>
            <w:pPr>
              <w:jc w:val="right"/>
              <w:spacing w:after="0" w:line="151" w:lineRule="exact"/>
              <w:rPr>
                <w:sz w:val="20"/>
                <w:szCs w:val="20"/>
                <w:color w:val="auto"/>
              </w:rPr>
            </w:pPr>
            <w:r>
              <w:rPr>
                <w:rFonts w:ascii="MS PGothic" w:cs="MS PGothic" w:eastAsia="MS PGothic" w:hAnsi="MS PGothic"/>
                <w:sz w:val="15"/>
                <w:szCs w:val="15"/>
                <w:color w:val="auto"/>
                <w:w w:val="93"/>
              </w:rPr>
              <w:t>☐</w:t>
            </w:r>
          </w:p>
        </w:tc>
      </w:tr>
      <w:tr>
        <w:trPr>
          <w:trHeight w:val="189"/>
        </w:trPr>
        <w:tc>
          <w:tcPr>
            <w:tcW w:w="14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4040" w:type="dxa"/>
            <w:vAlign w:val="bottom"/>
          </w:tcPr>
          <w:p>
            <w:pPr>
              <w:ind w:left="20"/>
              <w:spacing w:after="0" w:line="151" w:lineRule="exact"/>
              <w:rPr>
                <w:sz w:val="20"/>
                <w:szCs w:val="20"/>
                <w:color w:val="auto"/>
              </w:rPr>
            </w:pPr>
            <w:r>
              <w:rPr>
                <w:rFonts w:ascii="MS PGothic" w:cs="MS PGothic" w:eastAsia="MS PGothic" w:hAnsi="MS PGothic"/>
                <w:sz w:val="15"/>
                <w:szCs w:val="15"/>
                <w:color w:val="auto"/>
              </w:rPr>
              <w:t>☒</w:t>
            </w:r>
          </w:p>
        </w:tc>
        <w:tc>
          <w:tcPr>
            <w:tcW w:w="5580" w:type="dxa"/>
            <w:vAlign w:val="bottom"/>
          </w:tcPr>
          <w:p>
            <w:pPr>
              <w:ind w:left="386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60" w:type="dxa"/>
            <w:vAlign w:val="bottom"/>
          </w:tcPr>
          <w:p>
            <w:pPr>
              <w:jc w:val="right"/>
              <w:spacing w:after="0" w:line="151" w:lineRule="exact"/>
              <w:rPr>
                <w:sz w:val="20"/>
                <w:szCs w:val="20"/>
                <w:color w:val="auto"/>
              </w:rPr>
            </w:pPr>
            <w:r>
              <w:rPr>
                <w:rFonts w:ascii="MS PGothic" w:cs="MS PGothic" w:eastAsia="MS PGothic" w:hAnsi="MS PGothic"/>
                <w:sz w:val="15"/>
                <w:szCs w:val="15"/>
                <w:color w:val="auto"/>
                <w:w w:val="93"/>
              </w:rPr>
              <w:t>☒</w:t>
            </w:r>
          </w:p>
        </w:tc>
      </w:tr>
      <w:tr>
        <w:trPr>
          <w:trHeight w:val="258"/>
        </w:trPr>
        <w:tc>
          <w:tcPr>
            <w:tcW w:w="142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574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tc>
      </w:tr>
    </w:tbl>
    <w:p>
      <w:pPr>
        <w:spacing w:after="0" w:line="34" w:lineRule="exact"/>
        <w:rPr>
          <w:sz w:val="24"/>
          <w:szCs w:val="24"/>
          <w:color w:val="auto"/>
        </w:rPr>
      </w:pPr>
    </w:p>
    <w:p>
      <w:pPr>
        <w:ind w:right="600"/>
        <w:spacing w:after="0" w:line="213"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1160780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ADDITIONAL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GENERAL INSTRUCTION E</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Registration Statement on Form S-8 (the “Registration Statement”) is filed by Athira Pharma, Inc. (the “Registrant”) for the purpose of registering (1) 1,952,047 shares of common stock of the Registrant reserved for issuance under the Athira Pharma, Inc. 2020 Equity Incentive Plan (the “2020 Plan”), pursuant to the provision of the 2020 Plan providing for such automatic increase in the number of shares reserved for issuance, and (2) 390,409 shares of common stock of the Registrant reserved for issuance under the Athira Pharma, Inc. 2020 Employee Stock Purchase Plan (the “2020 ESPP”), pursuant to the provision of the 2020 ESPP providing for such automatic increase in the number of shares reserved for issuance. Accordingly, contents of the previous Registration Statements on Form S-8 filed by the Registrant with the Securities and Exchange Commission (the “Commission”), (1) September 18, 2020 (File No. 333-248910), (2) March 26, 2021 (File No. 333-254735), (3) March 28, 2022 (File No. 333-263907), (4) March 23, 2023 (File No. 333-270792), and (5) February 22, 2024 (File No. 333-277276) (together, the “Previous Forms S-8”), including the information incorporated by reference therein and the periodic reports filed after the Previous Forms S-8 to maintain current information about the Registrant, are incorporated by reference into this Registration Statement pursuant to General Instruction E of Form S-8.</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Incorporation of Documents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previously filed with the Commission:</w:t>
      </w:r>
    </w:p>
    <w:p>
      <w:pPr>
        <w:spacing w:after="0" w:line="225" w:lineRule="exact"/>
        <w:rPr>
          <w:sz w:val="20"/>
          <w:szCs w:val="20"/>
          <w:color w:val="auto"/>
        </w:rPr>
      </w:pPr>
    </w:p>
    <w:p>
      <w:pPr>
        <w:ind w:right="40" w:firstLine="8"/>
        <w:spacing w:after="0" w:line="282" w:lineRule="auto"/>
        <w:tabs>
          <w:tab w:leader="none" w:pos="2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fiscal year ended December 31, 2024, filed with the Commission on </w:t>
      </w:r>
      <w:hyperlink r:id="rId12">
        <w:r>
          <w:rPr>
            <w:rFonts w:ascii="Times New Roman" w:cs="Times New Roman" w:eastAsia="Times New Roman" w:hAnsi="Times New Roman"/>
            <w:sz w:val="18"/>
            <w:szCs w:val="18"/>
            <w:u w:val="single" w:color="auto"/>
            <w:color w:val="0000FF"/>
          </w:rPr>
          <w:t>February 27, 2025</w:t>
        </w:r>
      </w:hyperlink>
      <w:r>
        <w:rPr>
          <w:rFonts w:ascii="Times New Roman" w:cs="Times New Roman" w:eastAsia="Times New Roman" w:hAnsi="Times New Roman"/>
          <w:sz w:val="18"/>
          <w:szCs w:val="18"/>
          <w:color w:val="auto"/>
        </w:rPr>
        <w:t>. pursuant to Section 13(a) under the Securities Exchange Act of 1934, as amended (the “Exchange Act”);</w:t>
      </w:r>
    </w:p>
    <w:p>
      <w:pPr>
        <w:spacing w:after="0" w:line="161" w:lineRule="exact"/>
        <w:rPr>
          <w:rFonts w:ascii="Times New Roman" w:cs="Times New Roman" w:eastAsia="Times New Roman" w:hAnsi="Times New Roman"/>
          <w:sz w:val="18"/>
          <w:szCs w:val="18"/>
          <w:color w:val="auto"/>
        </w:rPr>
      </w:pPr>
    </w:p>
    <w:p>
      <w:pPr>
        <w:ind w:right="100" w:firstLine="8"/>
        <w:spacing w:after="0" w:line="282" w:lineRule="auto"/>
        <w:tabs>
          <w:tab w:leader="none" w:pos="2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with the Commission pursuant to Section 13(a) or 15(d) of the Exchange Act (other than the reports, or portions thereof, deemed to have been furnished and not filed with the Commission) since the end of the fiscal year covered by the Annual Report referred to in (1) above; and</w:t>
      </w:r>
    </w:p>
    <w:p>
      <w:pPr>
        <w:spacing w:after="0" w:line="161" w:lineRule="exact"/>
        <w:rPr>
          <w:rFonts w:ascii="Times New Roman" w:cs="Times New Roman" w:eastAsia="Times New Roman" w:hAnsi="Times New Roman"/>
          <w:sz w:val="18"/>
          <w:szCs w:val="18"/>
          <w:color w:val="auto"/>
        </w:rPr>
      </w:pPr>
    </w:p>
    <w:p>
      <w:pPr>
        <w:ind w:right="200" w:firstLine="8"/>
        <w:spacing w:after="0" w:line="266" w:lineRule="auto"/>
        <w:tabs>
          <w:tab w:leader="none" w:pos="2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Registrant’s Registration Statement on Form 8-A (File No. 001-39503) filed with the Commission on </w:t>
      </w:r>
      <w:hyperlink r:id="rId13">
        <w:r>
          <w:rPr>
            <w:rFonts w:ascii="Times New Roman" w:cs="Times New Roman" w:eastAsia="Times New Roman" w:hAnsi="Times New Roman"/>
            <w:sz w:val="18"/>
            <w:szCs w:val="18"/>
            <w:u w:val="single" w:color="auto"/>
            <w:color w:val="0563C1"/>
          </w:rPr>
          <w:t>September 9, 2020</w:t>
        </w:r>
      </w:hyperlink>
      <w:r>
        <w:rPr>
          <w:rFonts w:ascii="Times New Roman" w:cs="Times New Roman" w:eastAsia="Times New Roman" w:hAnsi="Times New Roman"/>
          <w:sz w:val="18"/>
          <w:szCs w:val="18"/>
          <w:color w:val="auto"/>
        </w:rPr>
        <w:t>, pursuant to Section 12(b) of the Exchange Act, including any amendment or report filed for the purpose of updating such description.</w:t>
      </w:r>
    </w:p>
    <w:p>
      <w:pPr>
        <w:spacing w:after="0" w:line="176" w:lineRule="exact"/>
        <w:rPr>
          <w:rFonts w:ascii="Times New Roman" w:cs="Times New Roman" w:eastAsia="Times New Roman" w:hAnsi="Times New Roman"/>
          <w:sz w:val="18"/>
          <w:szCs w:val="18"/>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a part hereof from the date of filing of such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4280" w:type="dxa"/>
            <w:vAlign w:val="bottom"/>
            <w:gridSpan w:val="17"/>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20" w:type="dxa"/>
            <w:vAlign w:val="bottom"/>
            <w:gridSpan w:val="1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0" w:type="dxa"/>
            <w:vAlign w:val="bottom"/>
          </w:tcPr>
          <w:p>
            <w:pPr>
              <w:spacing w:after="0"/>
              <w:rPr>
                <w:sz w:val="24"/>
                <w:szCs w:val="24"/>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tcPr>
          <w:p>
            <w:pPr>
              <w:spacing w:after="0"/>
              <w:rPr>
                <w:sz w:val="24"/>
                <w:szCs w:val="24"/>
                <w:color w:val="auto"/>
              </w:rPr>
            </w:pPr>
          </w:p>
        </w:tc>
        <w:tc>
          <w:tcPr>
            <w:tcW w:w="1860" w:type="dxa"/>
            <w:vAlign w:val="bottom"/>
          </w:tcPr>
          <w:p>
            <w:pPr>
              <w:jc w:val="center"/>
              <w:ind w:left="704"/>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62"/>
        </w:trPr>
        <w:tc>
          <w:tcPr>
            <w:tcW w:w="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1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Borders>
              <w:bottom w:val="single" w:sz="8" w:color="auto"/>
            </w:tcBorders>
          </w:tcPr>
          <w:p>
            <w:pPr>
              <w:jc w:val="center"/>
              <w:ind w:left="684"/>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320" w:type="dxa"/>
            <w:vAlign w:val="bottom"/>
          </w:tcPr>
          <w:p>
            <w:pPr>
              <w:spacing w:after="0"/>
              <w:rPr>
                <w:sz w:val="12"/>
                <w:szCs w:val="12"/>
                <w:color w:val="auto"/>
              </w:rPr>
            </w:pPr>
          </w:p>
        </w:tc>
        <w:tc>
          <w:tcPr>
            <w:tcW w:w="3860" w:type="dxa"/>
            <w:vAlign w:val="bottom"/>
            <w:gridSpan w:val="14"/>
            <w:vMerge w:val="restart"/>
          </w:tcPr>
          <w:p>
            <w:pPr>
              <w:spacing w:after="0"/>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Specimen common stock certificate of the Registrant</w:t>
              </w:r>
            </w:hyperlink>
          </w:p>
        </w:tc>
        <w:tc>
          <w:tcPr>
            <w:tcW w:w="100" w:type="dxa"/>
            <w:vAlign w:val="bottom"/>
            <w:gridSpan w:val="2"/>
            <w:vMerge w:val="restart"/>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S-1/A</w:t>
            </w:r>
          </w:p>
        </w:tc>
        <w:tc>
          <w:tcPr>
            <w:tcW w:w="220" w:type="dxa"/>
            <w:vAlign w:val="bottom"/>
          </w:tcPr>
          <w:p>
            <w:pPr>
              <w:spacing w:after="0"/>
              <w:rPr>
                <w:sz w:val="12"/>
                <w:szCs w:val="12"/>
                <w:color w:val="auto"/>
              </w:rPr>
            </w:pPr>
          </w:p>
        </w:tc>
        <w:tc>
          <w:tcPr>
            <w:tcW w:w="1860" w:type="dxa"/>
            <w:vAlign w:val="bottom"/>
            <w:tcBorders>
              <w:bottom w:val="single" w:sz="8" w:color="auto"/>
            </w:tcBorders>
          </w:tcPr>
          <w:p>
            <w:pPr>
              <w:ind w:left="680"/>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220" w:type="dxa"/>
            <w:vAlign w:val="bottom"/>
          </w:tcPr>
          <w:p>
            <w:pPr>
              <w:spacing w:after="0"/>
              <w:rPr>
                <w:sz w:val="12"/>
                <w:szCs w:val="12"/>
                <w:color w:val="auto"/>
              </w:rPr>
            </w:pPr>
          </w:p>
        </w:tc>
        <w:tc>
          <w:tcPr>
            <w:tcW w:w="56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2"/>
                <w:szCs w:val="12"/>
                <w:color w:val="auto"/>
              </w:rPr>
            </w:pPr>
          </w:p>
        </w:tc>
        <w:tc>
          <w:tcPr>
            <w:tcW w:w="2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September 14, 2020</w:t>
            </w:r>
          </w:p>
        </w:tc>
        <w:tc>
          <w:tcPr>
            <w:tcW w:w="0" w:type="dxa"/>
            <w:vAlign w:val="bottom"/>
          </w:tcPr>
          <w:p>
            <w:pPr>
              <w:spacing w:after="0"/>
              <w:rPr>
                <w:sz w:val="1"/>
                <w:szCs w:val="1"/>
                <w:color w:val="auto"/>
              </w:rPr>
            </w:pPr>
          </w:p>
        </w:tc>
      </w:tr>
      <w:tr>
        <w:trPr>
          <w:trHeight w:val="188"/>
        </w:trPr>
        <w:tc>
          <w:tcPr>
            <w:tcW w:w="6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3860" w:type="dxa"/>
            <w:vAlign w:val="bottom"/>
            <w:tcBorders>
              <w:bottom w:val="single" w:sz="8" w:color="0000FF"/>
            </w:tcBorders>
            <w:gridSpan w:val="14"/>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ind w:left="100"/>
              <w:spacing w:after="0" w:line="182" w:lineRule="exact"/>
              <w:rPr>
                <w:sz w:val="20"/>
                <w:szCs w:val="20"/>
                <w:color w:val="auto"/>
              </w:rPr>
            </w:pPr>
            <w:r>
              <w:rPr>
                <w:rFonts w:ascii="Times New Roman" w:cs="Times New Roman" w:eastAsia="Times New Roman" w:hAnsi="Times New Roman"/>
                <w:sz w:val="18"/>
                <w:szCs w:val="18"/>
                <w:color w:val="auto"/>
              </w:rPr>
              <w:t>333-248428</w:t>
            </w:r>
          </w:p>
        </w:tc>
        <w:tc>
          <w:tcPr>
            <w:tcW w:w="220" w:type="dxa"/>
            <w:vAlign w:val="bottom"/>
          </w:tcPr>
          <w:p>
            <w:pPr>
              <w:spacing w:after="0"/>
              <w:rPr>
                <w:sz w:val="15"/>
                <w:szCs w:val="15"/>
                <w:color w:val="auto"/>
              </w:rPr>
            </w:pPr>
          </w:p>
        </w:tc>
        <w:tc>
          <w:tcPr>
            <w:tcW w:w="560" w:type="dxa"/>
            <w:vAlign w:val="bottom"/>
          </w:tcPr>
          <w:p>
            <w:pPr>
              <w:ind w:left="100"/>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5"/>
                <w:szCs w:val="15"/>
                <w:color w:val="auto"/>
              </w:rPr>
            </w:pPr>
          </w:p>
        </w:tc>
        <w:tc>
          <w:tcPr>
            <w:tcW w:w="2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320" w:type="dxa"/>
            <w:vAlign w:val="bottom"/>
          </w:tcPr>
          <w:p>
            <w:pPr>
              <w:spacing w:after="0"/>
              <w:rPr>
                <w:sz w:val="24"/>
                <w:szCs w:val="24"/>
                <w:color w:val="auto"/>
              </w:rPr>
            </w:pPr>
          </w:p>
        </w:tc>
        <w:tc>
          <w:tcPr>
            <w:tcW w:w="20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2020 Equity Incentive Plan</w:t>
              </w:r>
            </w:hyperlink>
          </w:p>
        </w:tc>
        <w:tc>
          <w:tcPr>
            <w:tcW w:w="1960" w:type="dxa"/>
            <w:vAlign w:val="bottom"/>
            <w:gridSpan w:val="9"/>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S-1/A</w:t>
            </w:r>
          </w:p>
        </w:tc>
        <w:tc>
          <w:tcPr>
            <w:tcW w:w="20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333-248428</w:t>
            </w:r>
          </w:p>
        </w:tc>
        <w:tc>
          <w:tcPr>
            <w:tcW w:w="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24"/>
                <w:szCs w:val="24"/>
                <w:color w:val="auto"/>
              </w:rPr>
            </w:pPr>
          </w:p>
        </w:tc>
        <w:tc>
          <w:tcPr>
            <w:tcW w:w="2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September 8, 2020</w:t>
            </w:r>
          </w:p>
        </w:tc>
        <w:tc>
          <w:tcPr>
            <w:tcW w:w="0" w:type="dxa"/>
            <w:vAlign w:val="bottom"/>
          </w:tcPr>
          <w:p>
            <w:pPr>
              <w:spacing w:after="0"/>
              <w:rPr>
                <w:sz w:val="1"/>
                <w:szCs w:val="1"/>
                <w:color w:val="auto"/>
              </w:rPr>
            </w:pPr>
          </w:p>
        </w:tc>
      </w:tr>
      <w:tr>
        <w:trPr>
          <w:trHeight w:val="318"/>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99.3</w:t>
            </w:r>
          </w:p>
        </w:tc>
        <w:tc>
          <w:tcPr>
            <w:tcW w:w="320" w:type="dxa"/>
            <w:vAlign w:val="bottom"/>
          </w:tcPr>
          <w:p>
            <w:pPr>
              <w:spacing w:after="0"/>
              <w:rPr>
                <w:sz w:val="24"/>
                <w:szCs w:val="24"/>
                <w:color w:val="auto"/>
              </w:rPr>
            </w:pPr>
          </w:p>
        </w:tc>
        <w:tc>
          <w:tcPr>
            <w:tcW w:w="36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Form of Stock Option Agreement under the 2020</w:t>
              </w:r>
            </w:hyperlink>
          </w:p>
        </w:tc>
        <w:tc>
          <w:tcPr>
            <w:tcW w:w="36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Equity Incentive Plan</w:t>
              </w:r>
            </w:hyperlink>
          </w:p>
        </w:tc>
        <w:tc>
          <w:tcPr>
            <w:tcW w:w="2360" w:type="dxa"/>
            <w:vAlign w:val="bottom"/>
            <w:gridSpan w:val="11"/>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208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333-248428</w:t>
            </w:r>
          </w:p>
        </w:tc>
        <w:tc>
          <w:tcPr>
            <w:tcW w:w="78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17"/>
                <w:szCs w:val="17"/>
                <w:color w:val="auto"/>
              </w:rPr>
            </w:pPr>
          </w:p>
        </w:tc>
        <w:tc>
          <w:tcPr>
            <w:tcW w:w="24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September 8, 2020</w:t>
            </w:r>
          </w:p>
        </w:tc>
        <w:tc>
          <w:tcPr>
            <w:tcW w:w="0" w:type="dxa"/>
            <w:vAlign w:val="bottom"/>
          </w:tcPr>
          <w:p>
            <w:pPr>
              <w:spacing w:after="0"/>
              <w:rPr>
                <w:sz w:val="1"/>
                <w:szCs w:val="1"/>
                <w:color w:val="auto"/>
              </w:rPr>
            </w:pPr>
          </w:p>
        </w:tc>
      </w:tr>
      <w:tr>
        <w:trPr>
          <w:trHeight w:val="318"/>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99.4</w:t>
            </w:r>
          </w:p>
        </w:tc>
        <w:tc>
          <w:tcPr>
            <w:tcW w:w="320" w:type="dxa"/>
            <w:vAlign w:val="bottom"/>
          </w:tcPr>
          <w:p>
            <w:pPr>
              <w:spacing w:after="0"/>
              <w:rPr>
                <w:sz w:val="24"/>
                <w:szCs w:val="24"/>
                <w:color w:val="auto"/>
              </w:rPr>
            </w:pPr>
          </w:p>
        </w:tc>
        <w:tc>
          <w:tcPr>
            <w:tcW w:w="39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Form of Restricted Stock Award Agreement under the</w:t>
              </w:r>
            </w:hyperlink>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2020 Equity Incentive Plan</w:t>
              </w:r>
            </w:hyperlink>
          </w:p>
        </w:tc>
        <w:tc>
          <w:tcPr>
            <w:tcW w:w="1960" w:type="dxa"/>
            <w:vAlign w:val="bottom"/>
            <w:gridSpan w:val="9"/>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208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333-248428</w:t>
            </w:r>
          </w:p>
        </w:tc>
        <w:tc>
          <w:tcPr>
            <w:tcW w:w="78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17"/>
                <w:szCs w:val="17"/>
                <w:color w:val="auto"/>
              </w:rPr>
            </w:pPr>
          </w:p>
        </w:tc>
        <w:tc>
          <w:tcPr>
            <w:tcW w:w="24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September 8, 2020</w:t>
            </w:r>
          </w:p>
        </w:tc>
        <w:tc>
          <w:tcPr>
            <w:tcW w:w="0" w:type="dxa"/>
            <w:vAlign w:val="bottom"/>
          </w:tcPr>
          <w:p>
            <w:pPr>
              <w:spacing w:after="0"/>
              <w:rPr>
                <w:sz w:val="1"/>
                <w:szCs w:val="1"/>
                <w:color w:val="auto"/>
              </w:rPr>
            </w:pPr>
          </w:p>
        </w:tc>
      </w:tr>
      <w:tr>
        <w:trPr>
          <w:trHeight w:val="318"/>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99.5</w:t>
            </w:r>
          </w:p>
        </w:tc>
        <w:tc>
          <w:tcPr>
            <w:tcW w:w="320" w:type="dxa"/>
            <w:vAlign w:val="bottom"/>
          </w:tcPr>
          <w:p>
            <w:pPr>
              <w:spacing w:after="0"/>
              <w:rPr>
                <w:sz w:val="24"/>
                <w:szCs w:val="24"/>
                <w:color w:val="auto"/>
              </w:rPr>
            </w:pPr>
          </w:p>
        </w:tc>
        <w:tc>
          <w:tcPr>
            <w:tcW w:w="35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Form of RSU Agreement under the 2020 Equity</w:t>
              </w:r>
            </w:hyperlink>
          </w:p>
        </w:tc>
        <w:tc>
          <w:tcPr>
            <w:tcW w:w="44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19">
              <w:r>
                <w:rPr>
                  <w:rFonts w:ascii="Times New Roman" w:cs="Times New Roman" w:eastAsia="Times New Roman" w:hAnsi="Times New Roman"/>
                  <w:sz w:val="18"/>
                  <w:szCs w:val="18"/>
                  <w:color w:val="0000FF"/>
                  <w:w w:val="98"/>
                </w:rPr>
                <w:t>Incentive Plan</w:t>
              </w:r>
            </w:hyperlink>
          </w:p>
        </w:tc>
        <w:tc>
          <w:tcPr>
            <w:tcW w:w="2920" w:type="dxa"/>
            <w:vAlign w:val="bottom"/>
            <w:gridSpan w:val="12"/>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208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333-248428</w:t>
            </w:r>
          </w:p>
        </w:tc>
        <w:tc>
          <w:tcPr>
            <w:tcW w:w="78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7"/>
                <w:szCs w:val="17"/>
                <w:color w:val="auto"/>
              </w:rPr>
            </w:pPr>
          </w:p>
        </w:tc>
        <w:tc>
          <w:tcPr>
            <w:tcW w:w="24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September 8, 2020</w:t>
            </w:r>
          </w:p>
        </w:tc>
        <w:tc>
          <w:tcPr>
            <w:tcW w:w="0" w:type="dxa"/>
            <w:vAlign w:val="bottom"/>
          </w:tcPr>
          <w:p>
            <w:pPr>
              <w:spacing w:after="0"/>
              <w:rPr>
                <w:sz w:val="1"/>
                <w:szCs w:val="1"/>
                <w:color w:val="auto"/>
              </w:rPr>
            </w:pPr>
          </w:p>
        </w:tc>
      </w:tr>
      <w:tr>
        <w:trPr>
          <w:trHeight w:val="318"/>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99.6</w:t>
            </w:r>
          </w:p>
        </w:tc>
        <w:tc>
          <w:tcPr>
            <w:tcW w:w="320" w:type="dxa"/>
            <w:vAlign w:val="bottom"/>
          </w:tcPr>
          <w:p>
            <w:pPr>
              <w:spacing w:after="0"/>
              <w:rPr>
                <w:sz w:val="24"/>
                <w:szCs w:val="24"/>
                <w:color w:val="auto"/>
              </w:rPr>
            </w:pPr>
          </w:p>
        </w:tc>
        <w:tc>
          <w:tcPr>
            <w:tcW w:w="39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2020 Employee Stock Purchase Plan, as amended and</w:t>
              </w:r>
            </w:hyperlink>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Form of Subscription Agreement thereunder</w:t>
              </w:r>
            </w:hyperlink>
          </w:p>
        </w:tc>
        <w:tc>
          <w:tcPr>
            <w:tcW w:w="76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208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001-39503</w:t>
            </w:r>
          </w:p>
        </w:tc>
        <w:tc>
          <w:tcPr>
            <w:tcW w:w="78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7"/>
                <w:szCs w:val="17"/>
                <w:color w:val="auto"/>
              </w:rPr>
            </w:pPr>
          </w:p>
        </w:tc>
        <w:tc>
          <w:tcPr>
            <w:tcW w:w="24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March 23, 2023</w:t>
            </w:r>
          </w:p>
        </w:tc>
        <w:tc>
          <w:tcPr>
            <w:tcW w:w="0" w:type="dxa"/>
            <w:vAlign w:val="bottom"/>
          </w:tcPr>
          <w:p>
            <w:pPr>
              <w:spacing w:after="0"/>
              <w:rPr>
                <w:sz w:val="1"/>
                <w:szCs w:val="1"/>
                <w:color w:val="auto"/>
              </w:rPr>
            </w:pPr>
          </w:p>
        </w:tc>
      </w:tr>
      <w:tr>
        <w:trPr>
          <w:trHeight w:val="318"/>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spacing w:after="0"/>
              <w:rPr>
                <w:sz w:val="24"/>
                <w:szCs w:val="24"/>
                <w:color w:val="auto"/>
              </w:rPr>
            </w:pPr>
          </w:p>
        </w:tc>
        <w:tc>
          <w:tcPr>
            <w:tcW w:w="3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Opinion of Wilson Sonsini Goodrich &amp; Rosati,</w:t>
            </w:r>
          </w:p>
        </w:tc>
        <w:tc>
          <w:tcPr>
            <w:tcW w:w="52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Professional Corporation</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tcPr>
          <w:p>
            <w:pPr>
              <w:spacing w:after="0"/>
              <w:rPr>
                <w:sz w:val="24"/>
                <w:szCs w:val="24"/>
                <w:color w:val="auto"/>
              </w:rPr>
            </w:pPr>
          </w:p>
        </w:tc>
        <w:tc>
          <w:tcPr>
            <w:tcW w:w="39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rPr>
              <w:t>Firm</w:t>
            </w:r>
          </w:p>
        </w:tc>
        <w:tc>
          <w:tcPr>
            <w:tcW w:w="3560" w:type="dxa"/>
            <w:vAlign w:val="bottom"/>
            <w:gridSpan w:val="15"/>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320" w:type="dxa"/>
            <w:vAlign w:val="bottom"/>
          </w:tcPr>
          <w:p>
            <w:pPr>
              <w:spacing w:after="0"/>
              <w:rPr>
                <w:sz w:val="24"/>
                <w:szCs w:val="24"/>
                <w:color w:val="auto"/>
              </w:rPr>
            </w:pPr>
          </w:p>
        </w:tc>
        <w:tc>
          <w:tcPr>
            <w:tcW w:w="3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Consent of Wilson Sonsini Goodrich &amp; Rosati,</w:t>
            </w:r>
          </w:p>
        </w:tc>
        <w:tc>
          <w:tcPr>
            <w:tcW w:w="52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8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Professional Corporation (contained in Exhibit 5.1</w:t>
            </w:r>
          </w:p>
        </w:tc>
        <w:tc>
          <w:tcPr>
            <w:tcW w:w="28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hereto)</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320" w:type="dxa"/>
            <w:vAlign w:val="bottom"/>
          </w:tcPr>
          <w:p>
            <w:pPr>
              <w:spacing w:after="0"/>
              <w:rPr>
                <w:sz w:val="24"/>
                <w:szCs w:val="24"/>
                <w:color w:val="auto"/>
              </w:rPr>
            </w:pPr>
          </w:p>
        </w:tc>
        <w:tc>
          <w:tcPr>
            <w:tcW w:w="35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Power of Attorney (contained on signature page</w:t>
            </w:r>
          </w:p>
        </w:tc>
        <w:tc>
          <w:tcPr>
            <w:tcW w:w="46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hereto)</w:t>
            </w:r>
          </w:p>
        </w:tc>
        <w:tc>
          <w:tcPr>
            <w:tcW w:w="3400" w:type="dxa"/>
            <w:vAlign w:val="bottom"/>
            <w:gridSpan w:val="13"/>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920" w:hanging="908"/>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1419225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Bothell, State of Washington, on February 27, 2025.</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ATHIRA PHARMA,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17145</wp:posOffset>
            </wp:positionV>
            <wp:extent cx="2571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4"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Mark Litton, Ph.D.</w:t>
      </w:r>
    </w:p>
    <w:p>
      <w:pPr>
        <w:spacing w:after="0" w:line="2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4" w:name="page5"/>
    <w:bookmarkEnd w:id="4"/>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Mark Litton and Robert Renninger, and each of them,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all other documents in connection therewith, with the Securities and Exchange Commission, granting unto said attorney-in-fact and agent and each of them, full power and authority to do and perform each and every act and thing requisite and necessary to be done in connection therewith and about the premises, as fully for all intents and purposes as they, he or she might or could do in person, hereby ratifying and confirming all that said attorney-in-fact and agent or any of them, or their, his or her substitute or substitutes, may lawfully do or cause to be done by virtue hereof.</w:t>
      </w:r>
    </w:p>
    <w:p>
      <w:pPr>
        <w:spacing w:after="0" w:line="1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80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36"/>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Mark Litton</w:t>
            </w:r>
          </w:p>
        </w:tc>
        <w:tc>
          <w:tcPr>
            <w:tcW w:w="12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 Litton</w:t>
            </w:r>
          </w:p>
        </w:tc>
        <w:tc>
          <w:tcPr>
            <w:tcW w:w="1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3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Renninger</w:t>
            </w:r>
          </w:p>
        </w:tc>
        <w:tc>
          <w:tcPr>
            <w:tcW w:w="12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Finance and Accounting</w:t>
            </w:r>
          </w:p>
        </w:tc>
        <w:tc>
          <w:tcPr>
            <w:tcW w:w="1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Renninger</w:t>
            </w:r>
          </w:p>
        </w:tc>
        <w:tc>
          <w:tcPr>
            <w:tcW w:w="1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3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Kelly A. Romano</w:t>
            </w:r>
          </w:p>
        </w:tc>
        <w:tc>
          <w:tcPr>
            <w:tcW w:w="12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1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Kelly A. Romano</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3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Edelman</w:t>
            </w:r>
          </w:p>
        </w:tc>
        <w:tc>
          <w:tcPr>
            <w:tcW w:w="12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Joseph Edelman</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3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M. Fluke, Jr.</w:t>
            </w:r>
          </w:p>
        </w:tc>
        <w:tc>
          <w:tcPr>
            <w:tcW w:w="12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John M. Fluke, Jr.</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3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A. Johnson</w:t>
            </w:r>
          </w:p>
        </w:tc>
        <w:tc>
          <w:tcPr>
            <w:tcW w:w="12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A. Johnson</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3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Barbara Kosacz</w:t>
            </w:r>
          </w:p>
        </w:tc>
        <w:tc>
          <w:tcPr>
            <w:tcW w:w="12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Barbara Kosacz</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3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Panzara</w:t>
            </w:r>
          </w:p>
        </w:tc>
        <w:tc>
          <w:tcPr>
            <w:tcW w:w="12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Panzara</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3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Grant Pickering</w:t>
            </w:r>
          </w:p>
        </w:tc>
        <w:tc>
          <w:tcPr>
            <w:tcW w:w="12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 Pickering</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1622"/>
        </w:trPr>
        <w:tc>
          <w:tcPr>
            <w:tcW w:w="4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Georgia" w:cs="Georgia" w:eastAsia="Georgia" w:hAnsi="Georgia"/>
          <w:sz w:val="4"/>
          <w:szCs w:val="4"/>
          <w:color w:val="003D4C"/>
        </w:rPr>
        <w:t>\</w:t>
      </w:r>
    </w:p>
    <w:p>
      <w:pPr>
        <w:spacing w:after="0" w:line="1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109728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spacing w:after="0" w:line="117" w:lineRule="exact"/>
        <w:rPr>
          <w:sz w:val="20"/>
          <w:szCs w:val="20"/>
          <w:color w:val="auto"/>
        </w:rPr>
      </w:pPr>
    </w:p>
    <w:p>
      <w:pPr>
        <w:ind w:left="7160"/>
        <w:spacing w:after="0"/>
        <w:rPr>
          <w:sz w:val="20"/>
          <w:szCs w:val="20"/>
          <w:color w:val="auto"/>
        </w:rPr>
      </w:pPr>
      <w:r>
        <w:rPr>
          <w:rFonts w:ascii="Georgia" w:cs="Georgia" w:eastAsia="Georgia" w:hAnsi="Georgia"/>
          <w:sz w:val="14"/>
          <w:szCs w:val="14"/>
          <w:color w:val="003D4C"/>
        </w:rPr>
        <w:t>Wilson Sonsini Goodrich &amp; Rosati</w:t>
      </w:r>
    </w:p>
    <w:p>
      <w:pPr>
        <w:spacing w:after="0" w:line="3" w:lineRule="exact"/>
        <w:rPr>
          <w:sz w:val="20"/>
          <w:szCs w:val="20"/>
          <w:color w:val="auto"/>
        </w:rPr>
      </w:pPr>
    </w:p>
    <w:p>
      <w:pPr>
        <w:ind w:left="7160"/>
        <w:spacing w:after="0"/>
        <w:rPr>
          <w:sz w:val="20"/>
          <w:szCs w:val="20"/>
          <w:color w:val="auto"/>
        </w:rPr>
      </w:pPr>
      <w:r>
        <w:rPr>
          <w:rFonts w:ascii="Georgia" w:cs="Georgia" w:eastAsia="Georgia" w:hAnsi="Georgia"/>
          <w:sz w:val="14"/>
          <w:szCs w:val="14"/>
          <w:color w:val="003D4C"/>
        </w:rPr>
        <w:t>Professional Corporation</w:t>
      </w:r>
    </w:p>
    <w:p>
      <w:pPr>
        <w:spacing w:after="0" w:line="111" w:lineRule="exact"/>
        <w:rPr>
          <w:sz w:val="20"/>
          <w:szCs w:val="20"/>
          <w:color w:val="auto"/>
        </w:rPr>
      </w:pPr>
    </w:p>
    <w:p>
      <w:pPr>
        <w:ind w:left="7160"/>
        <w:spacing w:after="0"/>
        <w:rPr>
          <w:sz w:val="20"/>
          <w:szCs w:val="20"/>
          <w:color w:val="auto"/>
        </w:rPr>
      </w:pPr>
      <w:r>
        <w:rPr>
          <w:rFonts w:ascii="Georgia" w:cs="Georgia" w:eastAsia="Georgia" w:hAnsi="Georgia"/>
          <w:sz w:val="14"/>
          <w:szCs w:val="14"/>
          <w:color w:val="003D4C"/>
        </w:rPr>
        <w:t>701 Fifth Avenue</w:t>
      </w:r>
    </w:p>
    <w:p>
      <w:pPr>
        <w:spacing w:after="0" w:line="3" w:lineRule="exact"/>
        <w:rPr>
          <w:sz w:val="20"/>
          <w:szCs w:val="20"/>
          <w:color w:val="auto"/>
        </w:rPr>
      </w:pPr>
    </w:p>
    <w:p>
      <w:pPr>
        <w:ind w:left="7160"/>
        <w:spacing w:after="0"/>
        <w:rPr>
          <w:sz w:val="20"/>
          <w:szCs w:val="20"/>
          <w:color w:val="auto"/>
        </w:rPr>
      </w:pPr>
      <w:r>
        <w:rPr>
          <w:rFonts w:ascii="Georgia" w:cs="Georgia" w:eastAsia="Georgia" w:hAnsi="Georgia"/>
          <w:sz w:val="14"/>
          <w:szCs w:val="14"/>
          <w:color w:val="003D4C"/>
        </w:rPr>
        <w:t>Suite 5100</w:t>
      </w:r>
    </w:p>
    <w:p>
      <w:pPr>
        <w:spacing w:after="0" w:line="3" w:lineRule="exact"/>
        <w:rPr>
          <w:sz w:val="20"/>
          <w:szCs w:val="20"/>
          <w:color w:val="auto"/>
        </w:rPr>
      </w:pPr>
    </w:p>
    <w:p>
      <w:pPr>
        <w:ind w:left="7160"/>
        <w:spacing w:after="0"/>
        <w:rPr>
          <w:sz w:val="20"/>
          <w:szCs w:val="20"/>
          <w:color w:val="auto"/>
        </w:rPr>
      </w:pPr>
      <w:r>
        <w:rPr>
          <w:rFonts w:ascii="Georgia" w:cs="Georgia" w:eastAsia="Georgia" w:hAnsi="Georgia"/>
          <w:sz w:val="14"/>
          <w:szCs w:val="14"/>
          <w:color w:val="003D4C"/>
        </w:rPr>
        <w:t>Seattle, Washington 98104-7036</w:t>
      </w:r>
    </w:p>
    <w:p>
      <w:pPr>
        <w:spacing w:after="0" w:line="111" w:lineRule="exact"/>
        <w:rPr>
          <w:sz w:val="20"/>
          <w:szCs w:val="20"/>
          <w:color w:val="auto"/>
        </w:rPr>
      </w:pPr>
    </w:p>
    <w:p>
      <w:pPr>
        <w:ind w:left="7160"/>
        <w:spacing w:after="0"/>
        <w:rPr>
          <w:sz w:val="20"/>
          <w:szCs w:val="20"/>
          <w:color w:val="auto"/>
        </w:rPr>
      </w:pPr>
      <w:r>
        <w:rPr>
          <w:rFonts w:ascii="Georgia" w:cs="Georgia" w:eastAsia="Georgia" w:hAnsi="Georgia"/>
          <w:sz w:val="9"/>
          <w:szCs w:val="9"/>
          <w:color w:val="003D4C"/>
        </w:rPr>
        <w:t>o</w:t>
      </w:r>
      <w:r>
        <w:rPr>
          <w:rFonts w:ascii="Georgia" w:cs="Georgia" w:eastAsia="Georgia" w:hAnsi="Georgia"/>
          <w:sz w:val="14"/>
          <w:szCs w:val="14"/>
          <w:color w:val="003D4C"/>
        </w:rPr>
        <w:t>: 206.883.2500</w:t>
      </w:r>
    </w:p>
    <w:p>
      <w:pPr>
        <w:spacing w:after="0" w:line="200" w:lineRule="exact"/>
        <w:rPr>
          <w:sz w:val="20"/>
          <w:szCs w:val="20"/>
          <w:color w:val="auto"/>
        </w:rPr>
      </w:pPr>
    </w:p>
    <w:p>
      <w:pPr>
        <w:spacing w:after="0" w:line="2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Athira Pharma,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18706 North Creek Parkway, Suite 104</w:t>
      </w:r>
    </w:p>
    <w:p>
      <w:pPr>
        <w:spacing w:after="0"/>
        <w:rPr>
          <w:sz w:val="20"/>
          <w:szCs w:val="20"/>
          <w:color w:val="auto"/>
        </w:rPr>
      </w:pPr>
      <w:r>
        <w:rPr>
          <w:rFonts w:ascii="Times New Roman" w:cs="Times New Roman" w:eastAsia="Times New Roman" w:hAnsi="Times New Roman"/>
          <w:sz w:val="20"/>
          <w:szCs w:val="20"/>
          <w:color w:val="auto"/>
        </w:rPr>
        <w:t>Bothell, WA 98011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Re: </w:t>
      </w:r>
      <w:r>
        <w:rPr>
          <w:rFonts w:ascii="Times New Roman" w:cs="Times New Roman" w:eastAsia="Times New Roman" w:hAnsi="Times New Roman"/>
          <w:sz w:val="20"/>
          <w:szCs w:val="20"/>
          <w:b w:val="1"/>
          <w:bCs w:val="1"/>
          <w:u w:val="single" w:color="auto"/>
          <w:color w:val="auto"/>
        </w:rPr>
        <w:t>Registration Statement on Form S-8</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We have examined the Registration Statement on Form S-8 (the “</w:t>
      </w:r>
      <w:r>
        <w:rPr>
          <w:rFonts w:ascii="Times New Roman" w:cs="Times New Roman" w:eastAsia="Times New Roman" w:hAnsi="Times New Roman"/>
          <w:sz w:val="20"/>
          <w:szCs w:val="20"/>
          <w:b w:val="1"/>
          <w:bCs w:val="1"/>
          <w:color w:val="auto"/>
        </w:rPr>
        <w:t>Registration Statement</w:t>
      </w:r>
      <w:r>
        <w:rPr>
          <w:rFonts w:ascii="Times New Roman" w:cs="Times New Roman" w:eastAsia="Times New Roman" w:hAnsi="Times New Roman"/>
          <w:sz w:val="20"/>
          <w:szCs w:val="20"/>
          <w:color w:val="auto"/>
        </w:rPr>
        <w:t>”) to be filed by Athira Pharma, Inc., 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Delaware corporation, with the Securities and Exchange Commission on or about the date hereof, in connection with the registration under</w:t>
      </w:r>
    </w:p>
    <w:p>
      <w:pPr>
        <w:spacing w:after="0"/>
        <w:rPr>
          <w:sz w:val="20"/>
          <w:szCs w:val="20"/>
          <w:color w:val="auto"/>
        </w:rPr>
      </w:pPr>
      <w:r>
        <w:rPr>
          <w:rFonts w:ascii="Times New Roman" w:cs="Times New Roman" w:eastAsia="Times New Roman" w:hAnsi="Times New Roman"/>
          <w:sz w:val="20"/>
          <w:szCs w:val="20"/>
          <w:color w:val="auto"/>
        </w:rPr>
        <w:t>the Securities Act of 1933, as amended, of an aggregate of 2,342,456 shares of your common stock, par value $0.0001 per share (the</w:t>
      </w: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consisting of: (i) 1,952,047 shares of common stock to be issued under the 2020 Equity Incentive Plan (the “</w:t>
      </w:r>
      <w:r>
        <w:rPr>
          <w:rFonts w:ascii="Times New Roman" w:cs="Times New Roman" w:eastAsia="Times New Roman" w:hAnsi="Times New Roman"/>
          <w:sz w:val="20"/>
          <w:szCs w:val="20"/>
          <w:b w:val="1"/>
          <w:bCs w:val="1"/>
          <w:color w:val="auto"/>
        </w:rPr>
        <w:t>2020 Plan</w:t>
      </w:r>
      <w:r>
        <w:rPr>
          <w:rFonts w:ascii="Times New Roman" w:cs="Times New Roman" w:eastAsia="Times New Roman" w:hAnsi="Times New Roman"/>
          <w:sz w:val="20"/>
          <w:szCs w:val="20"/>
          <w:color w:val="auto"/>
        </w:rPr>
        <w:t>”) and (ii)</w:t>
      </w:r>
    </w:p>
    <w:p>
      <w:pPr>
        <w:spacing w:after="0"/>
        <w:rPr>
          <w:sz w:val="20"/>
          <w:szCs w:val="20"/>
          <w:color w:val="auto"/>
        </w:rPr>
      </w:pPr>
      <w:r>
        <w:rPr>
          <w:rFonts w:ascii="Times New Roman" w:cs="Times New Roman" w:eastAsia="Times New Roman" w:hAnsi="Times New Roman"/>
          <w:sz w:val="20"/>
          <w:szCs w:val="20"/>
          <w:color w:val="auto"/>
        </w:rPr>
        <w:t>390,409 shares of common stock to be issued under the 2020 Employee Stock Purchase Plan (the “</w:t>
      </w:r>
      <w:r>
        <w:rPr>
          <w:rFonts w:ascii="Times New Roman" w:cs="Times New Roman" w:eastAsia="Times New Roman" w:hAnsi="Times New Roman"/>
          <w:sz w:val="20"/>
          <w:szCs w:val="20"/>
          <w:b w:val="1"/>
          <w:bCs w:val="1"/>
          <w:color w:val="auto"/>
        </w:rPr>
        <w:t>2020 ESPP</w:t>
      </w:r>
      <w:r>
        <w:rPr>
          <w:rFonts w:ascii="Times New Roman" w:cs="Times New Roman" w:eastAsia="Times New Roman" w:hAnsi="Times New Roman"/>
          <w:sz w:val="20"/>
          <w:szCs w:val="20"/>
          <w:color w:val="auto"/>
        </w:rPr>
        <w:t>”, and together with the 2020</w:t>
      </w:r>
    </w:p>
    <w:p>
      <w:pPr>
        <w:spacing w:after="0"/>
        <w:rPr>
          <w:sz w:val="20"/>
          <w:szCs w:val="20"/>
          <w:color w:val="auto"/>
        </w:rPr>
      </w:pPr>
      <w:r>
        <w:rPr>
          <w:rFonts w:ascii="Times New Roman" w:cs="Times New Roman" w:eastAsia="Times New Roman" w:hAnsi="Times New Roman"/>
          <w:sz w:val="19"/>
          <w:szCs w:val="19"/>
          <w:color w:val="auto"/>
        </w:rPr>
        <w:t>Plan, the “</w:t>
      </w:r>
      <w:r>
        <w:rPr>
          <w:rFonts w:ascii="Times New Roman" w:cs="Times New Roman" w:eastAsia="Times New Roman" w:hAnsi="Times New Roman"/>
          <w:sz w:val="19"/>
          <w:szCs w:val="19"/>
          <w:b w:val="1"/>
          <w:bCs w:val="1"/>
          <w:color w:val="auto"/>
        </w:rPr>
        <w:t>Plans</w:t>
      </w:r>
      <w:r>
        <w:rPr>
          <w:rFonts w:ascii="Times New Roman" w:cs="Times New Roman" w:eastAsia="Times New Roman" w:hAnsi="Times New Roman"/>
          <w:sz w:val="19"/>
          <w:szCs w:val="19"/>
          <w:color w:val="auto"/>
        </w:rPr>
        <w:t>”). As your legal counsel, we have reviewed the actions proposed to be taken by you in connection with the issuance and 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Shares to be issued under the Plans.</w:t>
      </w:r>
    </w:p>
    <w:p>
      <w:pPr>
        <w:spacing w:after="0" w:line="194" w:lineRule="exact"/>
        <w:rPr>
          <w:sz w:val="20"/>
          <w:szCs w:val="20"/>
          <w:color w:val="auto"/>
        </w:rPr>
      </w:pPr>
    </w:p>
    <w:p>
      <w:pPr>
        <w:ind w:right="360" w:firstLine="749"/>
        <w:spacing w:after="0" w:line="269" w:lineRule="auto"/>
        <w:rPr>
          <w:sz w:val="20"/>
          <w:szCs w:val="20"/>
          <w:color w:val="auto"/>
        </w:rPr>
      </w:pPr>
      <w:r>
        <w:rPr>
          <w:rFonts w:ascii="Times New Roman" w:cs="Times New Roman" w:eastAsia="Times New Roman" w:hAnsi="Times New Roman"/>
          <w:sz w:val="20"/>
          <w:szCs w:val="20"/>
          <w:color w:val="auto"/>
        </w:rPr>
        <w:t>It is our opinion that the Shares, when issued and sold in the manner referred to in the Plans and pursuant to the agreements that accompany the Plans, will be legally and validly issued, fully paid and nonassessable.</w:t>
      </w:r>
    </w:p>
    <w:p>
      <w:pPr>
        <w:spacing w:after="0" w:line="159" w:lineRule="exact"/>
        <w:rPr>
          <w:sz w:val="20"/>
          <w:szCs w:val="20"/>
          <w:color w:val="auto"/>
        </w:rPr>
      </w:pPr>
    </w:p>
    <w:p>
      <w:pPr>
        <w:ind w:right="700" w:firstLine="749"/>
        <w:spacing w:after="0" w:line="250" w:lineRule="auto"/>
        <w:rPr>
          <w:sz w:val="20"/>
          <w:szCs w:val="20"/>
          <w:color w:val="auto"/>
        </w:rPr>
      </w:pPr>
      <w:r>
        <w:rPr>
          <w:rFonts w:ascii="Times New Roman" w:cs="Times New Roman" w:eastAsia="Times New Roman" w:hAnsi="Times New Roman"/>
          <w:sz w:val="20"/>
          <w:szCs w:val="20"/>
          <w:color w:val="auto"/>
        </w:rPr>
        <w:t>We consent to the use of this opinion as an exhibit to the Registration Statement, and further consent to the use of our name wherever appearing in the Registration Statement and any amendments thereto.</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80" w:type="dxa"/>
            <w:vAlign w:val="bottom"/>
          </w:tcPr>
          <w:p>
            <w:pPr>
              <w:ind w:left="1400"/>
              <w:spacing w:after="0"/>
              <w:rPr>
                <w:sz w:val="20"/>
                <w:szCs w:val="20"/>
                <w:color w:val="auto"/>
              </w:rPr>
            </w:pPr>
            <w:r>
              <w:rPr>
                <w:rFonts w:ascii="Times New Roman" w:cs="Times New Roman" w:eastAsia="Times New Roman" w:hAnsi="Times New Roman"/>
                <w:sz w:val="13"/>
                <w:szCs w:val="13"/>
                <w:color w:val="003D4C"/>
                <w:w w:val="96"/>
              </w:rPr>
              <w:t>AUSTINBEIJINGBOSTONBOULDERBRUSSELS</w:t>
            </w:r>
          </w:p>
        </w:tc>
        <w:tc>
          <w:tcPr>
            <w:tcW w:w="1740" w:type="dxa"/>
            <w:vAlign w:val="bottom"/>
          </w:tcPr>
          <w:p>
            <w:pPr>
              <w:ind w:left="140"/>
              <w:spacing w:after="0"/>
              <w:rPr>
                <w:sz w:val="20"/>
                <w:szCs w:val="20"/>
                <w:color w:val="auto"/>
              </w:rPr>
            </w:pPr>
            <w:r>
              <w:rPr>
                <w:rFonts w:ascii="Times New Roman" w:cs="Times New Roman" w:eastAsia="Times New Roman" w:hAnsi="Times New Roman"/>
                <w:sz w:val="13"/>
                <w:szCs w:val="13"/>
                <w:color w:val="003D4C"/>
                <w:w w:val="94"/>
              </w:rPr>
              <w:t>HONG KONGLONDON</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003D4C"/>
                <w:w w:val="96"/>
              </w:rPr>
              <w:t>LOS ANGELES</w:t>
            </w:r>
          </w:p>
        </w:tc>
        <w:tc>
          <w:tcPr>
            <w:tcW w:w="3100" w:type="dxa"/>
            <w:vAlign w:val="bottom"/>
          </w:tcPr>
          <w:p>
            <w:pPr>
              <w:ind w:left="80"/>
              <w:spacing w:after="0"/>
              <w:rPr>
                <w:sz w:val="20"/>
                <w:szCs w:val="20"/>
                <w:color w:val="auto"/>
              </w:rPr>
            </w:pPr>
            <w:r>
              <w:rPr>
                <w:rFonts w:ascii="Times New Roman" w:cs="Times New Roman" w:eastAsia="Times New Roman" w:hAnsi="Times New Roman"/>
                <w:sz w:val="13"/>
                <w:szCs w:val="13"/>
                <w:color w:val="003D4C"/>
                <w:w w:val="97"/>
              </w:rPr>
              <w:t>NEW YORKPALO ALTO</w:t>
            </w:r>
          </w:p>
        </w:tc>
      </w:tr>
      <w:tr>
        <w:trPr>
          <w:trHeight w:val="164"/>
        </w:trPr>
        <w:tc>
          <w:tcPr>
            <w:tcW w:w="5180" w:type="dxa"/>
            <w:vAlign w:val="bottom"/>
          </w:tcPr>
          <w:p>
            <w:pPr>
              <w:ind w:left="1860"/>
              <w:spacing w:after="0"/>
              <w:rPr>
                <w:sz w:val="20"/>
                <w:szCs w:val="20"/>
                <w:color w:val="auto"/>
              </w:rPr>
            </w:pPr>
            <w:r>
              <w:rPr>
                <w:rFonts w:ascii="Times New Roman" w:cs="Times New Roman" w:eastAsia="Times New Roman" w:hAnsi="Times New Roman"/>
                <w:sz w:val="13"/>
                <w:szCs w:val="13"/>
                <w:color w:val="003D4C"/>
                <w:w w:val="95"/>
              </w:rPr>
              <w:t>SALT LAKE CITYSAN DIEGOSAN FRANCISCO</w:t>
            </w:r>
          </w:p>
        </w:tc>
        <w:tc>
          <w:tcPr>
            <w:tcW w:w="1740" w:type="dxa"/>
            <w:vAlign w:val="bottom"/>
          </w:tcPr>
          <w:p>
            <w:pPr>
              <w:ind w:left="100"/>
              <w:spacing w:after="0"/>
              <w:rPr>
                <w:sz w:val="20"/>
                <w:szCs w:val="20"/>
                <w:color w:val="auto"/>
              </w:rPr>
            </w:pPr>
            <w:r>
              <w:rPr>
                <w:rFonts w:ascii="Times New Roman" w:cs="Times New Roman" w:eastAsia="Times New Roman" w:hAnsi="Times New Roman"/>
                <w:sz w:val="13"/>
                <w:szCs w:val="13"/>
                <w:color w:val="003D4C"/>
                <w:w w:val="97"/>
              </w:rPr>
              <w:t>SEATTLESHANGHAI</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003D4C"/>
                <w:w w:val="97"/>
              </w:rPr>
              <w:t>WASHINGTON, DC</w:t>
            </w:r>
          </w:p>
        </w:tc>
        <w:tc>
          <w:tcPr>
            <w:tcW w:w="3100" w:type="dxa"/>
            <w:vAlign w:val="bottom"/>
          </w:tcPr>
          <w:p>
            <w:pPr>
              <w:ind w:left="200"/>
              <w:spacing w:after="0"/>
              <w:rPr>
                <w:sz w:val="20"/>
                <w:szCs w:val="20"/>
                <w:color w:val="auto"/>
              </w:rPr>
            </w:pPr>
            <w:r>
              <w:rPr>
                <w:rFonts w:ascii="Times New Roman" w:cs="Times New Roman" w:eastAsia="Times New Roman" w:hAnsi="Times New Roman"/>
                <w:sz w:val="13"/>
                <w:szCs w:val="13"/>
                <w:color w:val="003D4C"/>
              </w:rPr>
              <w:t>WILMINGTON, DE</w:t>
            </w:r>
          </w:p>
        </w:tc>
      </w:tr>
      <w:tr>
        <w:trPr>
          <w:trHeight w:val="955"/>
        </w:trPr>
        <w:tc>
          <w:tcPr>
            <w:tcW w:w="51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4864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48640" cy="205740"/>
                    </a:xfrm>
                    <a:prstGeom prst="rect">
                      <a:avLst/>
                    </a:prstGeom>
                    <a:noFill/>
                  </pic:spPr>
                </pic:pic>
              </a:graphicData>
            </a:graphic>
          </wp:anchor>
        </w:drawing>
        <w:t>February 27, 2025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/s/ Wilson Sonsini Goodrich &amp; Rosati, P.C.</w:t>
      </w:r>
    </w:p>
    <w:p>
      <w:pPr>
        <w:spacing w:after="0" w:line="2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color w:val="auto"/>
        </w:rPr>
        <w:t>WILSON SONSINI GOODRICH &amp; ROSATI</w:t>
      </w:r>
    </w:p>
    <w:p>
      <w:pPr>
        <w:spacing w:after="0" w:line="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5" w:right="1440"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305"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 (Form S-8) pertaining to the 2020 Equity Incentive Plan and 2020 Employee Stock Purchase Plan of Athira Pharma, Inc. of our report dated February 27, 2025, with respect to the consolidated financial statements of Athira Pharma, Inc. included in its Annual Report (Form 10-K) for the year ended December 31, 2024, filed with the Securities and Exchange Commission.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Seattle, Washington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1106170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Calculation of Filing Fee Table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S-8</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Type)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Athira Pharma,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Table 1: Newly Registered Securities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Fee</w:t>
            </w: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ind w:right="32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8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Calculatio</w:t>
            </w:r>
          </w:p>
        </w:tc>
        <w:tc>
          <w:tcPr>
            <w:tcW w:w="80" w:type="dxa"/>
            <w:vAlign w:val="bottom"/>
            <w:shd w:val="clear" w:color="auto" w:fill="CCEEFF"/>
          </w:tcPr>
          <w:p>
            <w:pPr>
              <w:spacing w:after="0"/>
              <w:rPr>
                <w:sz w:val="7"/>
                <w:szCs w:val="7"/>
                <w:color w:val="auto"/>
              </w:rPr>
            </w:pPr>
          </w:p>
        </w:tc>
        <w:tc>
          <w:tcPr>
            <w:tcW w:w="13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40" w:type="dxa"/>
            <w:vAlign w:val="bottom"/>
            <w:gridSpan w:val="3"/>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00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0" w:type="dxa"/>
            <w:vAlign w:val="bottom"/>
          </w:tcPr>
          <w:p>
            <w:pPr>
              <w:spacing w:after="0"/>
              <w:rPr>
                <w:sz w:val="1"/>
                <w:szCs w:val="1"/>
                <w:color w:val="auto"/>
              </w:rPr>
            </w:pPr>
          </w:p>
        </w:tc>
      </w:tr>
      <w:tr>
        <w:trPr>
          <w:trHeight w:val="178"/>
        </w:trPr>
        <w:tc>
          <w:tcPr>
            <w:tcW w:w="10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3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89"/>
              <w:spacing w:after="0" w:line="178" w:lineRule="exact"/>
              <w:rPr>
                <w:sz w:val="20"/>
                <w:szCs w:val="20"/>
                <w:color w:val="auto"/>
              </w:rPr>
            </w:pPr>
            <w:r>
              <w:rPr>
                <w:rFonts w:ascii="Times New Roman" w:cs="Times New Roman" w:eastAsia="Times New Roman" w:hAnsi="Times New Roman"/>
                <w:sz w:val="15"/>
                <w:szCs w:val="15"/>
                <w:b w:val="1"/>
                <w:bCs w:val="1"/>
                <w:color w:val="auto"/>
              </w:rPr>
              <w:t xml:space="preserve">Registered </w:t>
            </w:r>
            <w:r>
              <w:rPr>
                <w:rFonts w:ascii="Times New Roman" w:cs="Times New Roman" w:eastAsia="Times New Roman" w:hAnsi="Times New Roman"/>
                <w:sz w:val="20"/>
                <w:szCs w:val="20"/>
                <w:b w:val="1"/>
                <w:bCs w:val="1"/>
                <w:color w:val="auto"/>
                <w:vertAlign w:val="superscript"/>
              </w:rPr>
              <w:t>(1)(2)</w:t>
            </w:r>
          </w:p>
        </w:tc>
        <w:tc>
          <w:tcPr>
            <w:tcW w:w="80" w:type="dxa"/>
            <w:vAlign w:val="bottom"/>
            <w:shd w:val="clear" w:color="auto" w:fill="CCEEFF"/>
          </w:tcPr>
          <w:p>
            <w:pPr>
              <w:spacing w:after="0"/>
              <w:rPr>
                <w:sz w:val="15"/>
                <w:szCs w:val="15"/>
                <w:color w:val="auto"/>
              </w:rPr>
            </w:pPr>
          </w:p>
        </w:tc>
        <w:tc>
          <w:tcPr>
            <w:tcW w:w="1240" w:type="dxa"/>
            <w:vAlign w:val="bottom"/>
            <w:gridSpan w:val="3"/>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000" w:type="dxa"/>
            <w:vAlign w:val="bottom"/>
            <w:gridSpan w:val="2"/>
            <w:vMerge w:val="continue"/>
            <w:shd w:val="clear" w:color="auto" w:fill="CCEEFF"/>
          </w:tcPr>
          <w:p>
            <w:pPr>
              <w:spacing w:after="0"/>
              <w:rPr>
                <w:sz w:val="13"/>
                <w:szCs w:val="13"/>
                <w:color w:val="auto"/>
              </w:rPr>
            </w:pPr>
          </w:p>
        </w:tc>
        <w:tc>
          <w:tcPr>
            <w:tcW w:w="3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n Rule</w:t>
            </w: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center"/>
              <w:ind w:right="400"/>
              <w:spacing w:after="0" w:line="160" w:lineRule="exact"/>
              <w:rPr>
                <w:sz w:val="20"/>
                <w:szCs w:val="20"/>
                <w:color w:val="auto"/>
              </w:rPr>
            </w:pPr>
            <w:r>
              <w:rPr>
                <w:rFonts w:ascii="Times New Roman" w:cs="Times New Roman" w:eastAsia="Times New Roman" w:hAnsi="Times New Roman"/>
                <w:sz w:val="16"/>
                <w:szCs w:val="16"/>
                <w:b w:val="1"/>
                <w:bCs w:val="1"/>
                <w:color w:val="auto"/>
              </w:rPr>
              <w:t>Price</w:t>
            </w:r>
          </w:p>
        </w:tc>
        <w:tc>
          <w:tcPr>
            <w:tcW w:w="1000" w:type="dxa"/>
            <w:vAlign w:val="bottom"/>
            <w:shd w:val="clear" w:color="auto" w:fill="CCEEFF"/>
          </w:tcPr>
          <w:p>
            <w:pPr>
              <w:ind w:left="200"/>
              <w:spacing w:after="0" w:line="160" w:lineRule="exact"/>
              <w:rPr>
                <w:sz w:val="20"/>
                <w:szCs w:val="20"/>
                <w:color w:val="auto"/>
              </w:rPr>
            </w:pPr>
            <w:r>
              <w:rPr>
                <w:rFonts w:ascii="Times New Roman" w:cs="Times New Roman" w:eastAsia="Times New Roman" w:hAnsi="Times New Roman"/>
                <w:sz w:val="16"/>
                <w:szCs w:val="16"/>
                <w:b w:val="1"/>
                <w:bCs w:val="1"/>
                <w:color w:val="auto"/>
              </w:rPr>
              <w:t>Offering</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Registration</w:t>
            </w:r>
          </w:p>
        </w:tc>
        <w:tc>
          <w:tcPr>
            <w:tcW w:w="0" w:type="dxa"/>
            <w:vAlign w:val="bottom"/>
          </w:tcPr>
          <w:p>
            <w:pPr>
              <w:spacing w:after="0"/>
              <w:rPr>
                <w:sz w:val="1"/>
                <w:szCs w:val="1"/>
                <w:color w:val="auto"/>
              </w:rPr>
            </w:pPr>
          </w:p>
        </w:tc>
      </w:tr>
      <w:tr>
        <w:trPr>
          <w:trHeight w:val="225"/>
        </w:trPr>
        <w:tc>
          <w:tcPr>
            <w:tcW w:w="10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Type</w:t>
            </w:r>
          </w:p>
        </w:tc>
        <w:tc>
          <w:tcPr>
            <w:tcW w:w="30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b w:val="1"/>
                <w:bCs w:val="1"/>
                <w:color w:val="auto"/>
              </w:rPr>
              <w:t>Security Class Title</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Per Unit</w:t>
            </w:r>
          </w:p>
        </w:tc>
        <w:tc>
          <w:tcPr>
            <w:tcW w:w="1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Fee Rate</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00" w:type="dxa"/>
            <w:vAlign w:val="bottom"/>
          </w:tcPr>
          <w:p>
            <w:pPr>
              <w:spacing w:after="0"/>
              <w:rPr>
                <w:sz w:val="21"/>
                <w:szCs w:val="21"/>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1"/>
              </w:rPr>
              <w:t xml:space="preserve">Other </w:t>
            </w:r>
            <w:r>
              <w:rPr>
                <w:rFonts w:ascii="Times New Roman" w:cs="Times New Roman" w:eastAsia="Times New Roman" w:hAnsi="Times New Roman"/>
                <w:sz w:val="21"/>
                <w:szCs w:val="21"/>
                <w:b w:val="1"/>
                <w:bCs w:val="1"/>
                <w:color w:val="auto"/>
                <w:w w:val="91"/>
                <w:vertAlign w:val="superscript"/>
              </w:rPr>
              <w:t>(3)</w:t>
            </w: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(3</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Equity</w:t>
            </w:r>
          </w:p>
        </w:tc>
        <w:tc>
          <w:tcPr>
            <w:tcW w:w="3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reserved for issuance pursuant to the 2020</w:t>
            </w: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60" w:type="dxa"/>
            <w:vAlign w:val="bottom"/>
            <w:gridSpan w:val="2"/>
          </w:tcPr>
          <w:p>
            <w:pPr>
              <w:jc w:val="right"/>
              <w:ind w:right="29"/>
              <w:spacing w:after="0"/>
              <w:rPr>
                <w:sz w:val="20"/>
                <w:szCs w:val="20"/>
                <w:color w:val="auto"/>
              </w:rPr>
            </w:pPr>
            <w:r>
              <w:rPr>
                <w:rFonts w:ascii="Times New Roman" w:cs="Times New Roman" w:eastAsia="Times New Roman" w:hAnsi="Times New Roman"/>
                <w:sz w:val="16"/>
                <w:szCs w:val="16"/>
                <w:color w:val="auto"/>
              </w:rPr>
              <w:t xml:space="preserve">390,409 </w:t>
            </w:r>
            <w:r>
              <w:rPr>
                <w:rFonts w:ascii="Times New Roman" w:cs="Times New Roman" w:eastAsia="Times New Roman" w:hAnsi="Times New Roman"/>
                <w:sz w:val="10"/>
                <w:szCs w:val="10"/>
                <w:b w:val="1"/>
                <w:bCs w:val="1"/>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0.3384 </w:t>
            </w:r>
            <w:r>
              <w:rPr>
                <w:rFonts w:ascii="Times New Roman" w:cs="Times New Roman" w:eastAsia="Times New Roman" w:hAnsi="Times New Roman"/>
                <w:sz w:val="10"/>
                <w:szCs w:val="10"/>
                <w:b w:val="1"/>
                <w:bCs w:val="1"/>
                <w:color w:val="auto"/>
              </w:rPr>
              <w:t>)</w:t>
            </w:r>
          </w:p>
        </w:tc>
        <w:tc>
          <w:tcPr>
            <w:tcW w:w="180" w:type="dxa"/>
            <w:vAlign w:val="bottom"/>
          </w:tcPr>
          <w:p>
            <w:pPr>
              <w:spacing w:after="0"/>
              <w:rPr>
                <w:sz w:val="16"/>
                <w:szCs w:val="16"/>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$ 132,108.55</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0.0001531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00" w:type="dxa"/>
            <w:vAlign w:val="bottom"/>
            <w:shd w:val="clear" w:color="auto" w:fill="CCEEFF"/>
          </w:tcPr>
          <w:p>
            <w:pPr>
              <w:spacing w:after="0"/>
              <w:rPr>
                <w:sz w:val="22"/>
                <w:szCs w:val="22"/>
                <w:color w:val="auto"/>
              </w:rPr>
            </w:pP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1"/>
              </w:rPr>
              <w:t xml:space="preserve">Other </w:t>
            </w:r>
            <w:r>
              <w:rPr>
                <w:rFonts w:ascii="Times New Roman" w:cs="Times New Roman" w:eastAsia="Times New Roman" w:hAnsi="Times New Roman"/>
                <w:sz w:val="21"/>
                <w:szCs w:val="21"/>
                <w:b w:val="1"/>
                <w:bCs w:val="1"/>
                <w:color w:val="auto"/>
                <w:w w:val="91"/>
                <w:vertAlign w:val="superscript"/>
              </w:rPr>
              <w:t>(5)</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(5</w:t>
            </w:r>
          </w:p>
        </w:tc>
        <w:tc>
          <w:tcPr>
            <w:tcW w:w="10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Equity</w:t>
            </w:r>
          </w:p>
        </w:tc>
        <w:tc>
          <w:tcPr>
            <w:tcW w:w="3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reserved for issuance pursuant to the 2020</w:t>
            </w: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4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6"/>
                <w:szCs w:val="16"/>
                <w:color w:val="auto"/>
              </w:rPr>
              <w:t xml:space="preserve">1,952,047 </w:t>
            </w:r>
            <w:r>
              <w:rPr>
                <w:rFonts w:ascii="Times New Roman" w:cs="Times New Roman" w:eastAsia="Times New Roman" w:hAnsi="Times New Roman"/>
                <w:sz w:val="10"/>
                <w:szCs w:val="10"/>
                <w:b w:val="1"/>
                <w:bCs w:val="1"/>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0.3981 </w:t>
            </w:r>
            <w:r>
              <w:rPr>
                <w:rFonts w:ascii="Times New Roman" w:cs="Times New Roman" w:eastAsia="Times New Roman" w:hAnsi="Times New Roman"/>
                <w:sz w:val="10"/>
                <w:szCs w:val="10"/>
                <w:b w:val="1"/>
                <w:bCs w:val="1"/>
                <w:color w:val="auto"/>
              </w:rPr>
              <w:t>)</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$ 777,109.91</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0.0001531</w:t>
            </w:r>
          </w:p>
        </w:tc>
        <w:tc>
          <w:tcPr>
            <w:tcW w:w="6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118.98</w:t>
            </w:r>
          </w:p>
        </w:tc>
        <w:tc>
          <w:tcPr>
            <w:tcW w:w="0" w:type="dxa"/>
            <w:vAlign w:val="bottom"/>
          </w:tcPr>
          <w:p>
            <w:pPr>
              <w:spacing w:after="0"/>
              <w:rPr>
                <w:sz w:val="1"/>
                <w:szCs w:val="1"/>
                <w:color w:val="auto"/>
              </w:rPr>
            </w:pPr>
          </w:p>
        </w:tc>
      </w:tr>
      <w:tr>
        <w:trPr>
          <w:trHeight w:val="250"/>
        </w:trPr>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Incentive Plan</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6"/>
                <w:szCs w:val="16"/>
                <w:b w:val="1"/>
                <w:bCs w:val="1"/>
                <w:color w:val="auto"/>
              </w:rPr>
              <w:t>2,342,456</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w w:val="99"/>
              </w:rPr>
              <w:t>$ 909,218.47</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139.21</w:t>
            </w:r>
          </w:p>
        </w:tc>
        <w:tc>
          <w:tcPr>
            <w:tcW w:w="0" w:type="dxa"/>
            <w:vAlign w:val="bottom"/>
          </w:tcPr>
          <w:p>
            <w:pPr>
              <w:spacing w:after="0"/>
              <w:rPr>
                <w:sz w:val="1"/>
                <w:szCs w:val="1"/>
                <w:color w:val="auto"/>
              </w:rPr>
            </w:pPr>
          </w:p>
        </w:tc>
      </w:tr>
      <w:tr>
        <w:trPr>
          <w:trHeight w:val="250"/>
        </w:trPr>
        <w:tc>
          <w:tcPr>
            <w:tcW w:w="40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Total Fee Offsets</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10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Net Fee Due</w:t>
            </w:r>
          </w:p>
        </w:tc>
        <w:tc>
          <w:tcPr>
            <w:tcW w:w="3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-1656715</wp:posOffset>
            </wp:positionV>
            <wp:extent cx="10287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02870" cy="1143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-1656715</wp:posOffset>
            </wp:positionV>
            <wp:extent cx="60325"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60325" cy="1143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-1656715</wp:posOffset>
            </wp:positionV>
            <wp:extent cx="51435"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51435" cy="1143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-1656715</wp:posOffset>
            </wp:positionV>
            <wp:extent cx="51435"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51435" cy="1143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-1656715</wp:posOffset>
            </wp:positionV>
            <wp:extent cx="120015"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20015" cy="1143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-1656715</wp:posOffset>
            </wp:positionV>
            <wp:extent cx="85725"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-1656715</wp:posOffset>
            </wp:positionV>
            <wp:extent cx="85725"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85725" cy="11430"/>
                    </a:xfrm>
                    <a:prstGeom prst="rect">
                      <a:avLst/>
                    </a:prstGeom>
                    <a:noFill/>
                  </pic:spPr>
                </pic:pic>
              </a:graphicData>
            </a:graphic>
          </wp:anchor>
        </w:drawing>
      </w:r>
    </w:p>
    <w:p>
      <w:pPr>
        <w:spacing w:after="0" w:line="223" w:lineRule="exact"/>
        <w:rPr>
          <w:sz w:val="20"/>
          <w:szCs w:val="20"/>
          <w:color w:val="auto"/>
        </w:rPr>
      </w:pPr>
    </w:p>
    <w:p>
      <w:pPr>
        <w:ind w:left="480" w:right="40" w:hanging="472"/>
        <w:spacing w:after="0" w:line="272" w:lineRule="auto"/>
        <w:tabs>
          <w:tab w:leader="none" w:pos="4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of common stock, par value $0.0001 per share (“Common Stock”) of Athira Pharma, Inc. (the “Registrant”) available for issuance pursuant to awards granted pursuant to the Registrant’s 2020 Employee Stock Purchase Plan (the “2020 ESPP”) and 2020 Equity Incentive Plan (the “2020 Plan”). In addition, pursuant to Rule 416(a) under the Securities Act of 1933, as amended (the “Securities Act”), this Registration Statement shall also cover any additional shares of the Registrant’s Common Stock that become issuable under the 2020 ESPP or 2020 Plan by reason of an event such as any stock split, stock dividend, recapitalization or similar transaction effected without receipt of consideration that increases the number of the Registrant’s outstanding shares of Common Stock.</w:t>
      </w:r>
    </w:p>
    <w:p>
      <w:pPr>
        <w:spacing w:after="0" w:line="77" w:lineRule="exact"/>
        <w:rPr>
          <w:rFonts w:ascii="Times New Roman" w:cs="Times New Roman" w:eastAsia="Times New Roman" w:hAnsi="Times New Roman"/>
          <w:sz w:val="16"/>
          <w:szCs w:val="16"/>
          <w:color w:val="auto"/>
        </w:rPr>
      </w:pPr>
    </w:p>
    <w:p>
      <w:pPr>
        <w:ind w:left="480" w:hanging="472"/>
        <w:spacing w:after="0"/>
        <w:tabs>
          <w:tab w:leader="none" w:pos="4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sole purpose of calculating the registration fee, the amount to be registered under this Registration Statement has been broken down into subtotals.</w:t>
      </w:r>
    </w:p>
    <w:p>
      <w:pPr>
        <w:spacing w:after="0" w:line="126" w:lineRule="exact"/>
        <w:rPr>
          <w:rFonts w:ascii="Times New Roman" w:cs="Times New Roman" w:eastAsia="Times New Roman" w:hAnsi="Times New Roman"/>
          <w:sz w:val="16"/>
          <w:szCs w:val="16"/>
          <w:color w:val="auto"/>
        </w:rPr>
      </w:pPr>
    </w:p>
    <w:p>
      <w:pPr>
        <w:ind w:left="480" w:right="120" w:hanging="472"/>
        <w:spacing w:after="0" w:line="275" w:lineRule="auto"/>
        <w:tabs>
          <w:tab w:leader="none" w:pos="4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in accordance with Rules (c) and (h) of Rule 457 under the Securities Act solely for the purposes of calculating the registration fee on the basis of 85% of $0.3981 per share, which represents the average of the high and low price per share of the Registrant’s Common Stock on February 25, 2025, as reported on The Nasdaq Global Select Market. Pursuant to the 2020 ESPP, the purchase price of the shares of the Registrant’s Common Stock reserved for issuance thereunder will be 85% of the lower of the fair market value of the Common Stock on the first trading day of the offering period or on the last day of the offering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678180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 w:name="page10"/>
    <w:bookmarkEnd w:id="9"/>
    <w:p>
      <w:pPr>
        <w:ind w:left="472" w:hanging="472"/>
        <w:spacing w:after="0" w:line="272" w:lineRule="auto"/>
        <w:tabs>
          <w:tab w:leader="none" w:pos="47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automatic annual increase on January 1, 2025 to the number of shares of the Registrant’s Common Stock reserved for issuance under the 2020 ESPP pursuant to an “evergreen” provision contained in the 2020 ESPP. Pursuant to such provision, the number of shares of the Registrant’s Common Stock available for issuance under the 2020 ESPP is subject to an annual increase on the first day of each fiscal year by an amount equal to the least of (i) 646,000 shares of Common Stock, (ii) one percent (1%) of the outstanding shares of all classes of the Registrant’s Common Stock on the last day of the immediately preceding fiscal year or (iii) such other number of shares as the Registrant’s board of directors may determine as of no later than the last day of the Registrant’s immediately preceding fiscal year.</w:t>
      </w:r>
    </w:p>
    <w:p>
      <w:pPr>
        <w:spacing w:after="0" w:line="77" w:lineRule="exact"/>
        <w:rPr>
          <w:rFonts w:ascii="Times New Roman" w:cs="Times New Roman" w:eastAsia="Times New Roman" w:hAnsi="Times New Roman"/>
          <w:sz w:val="16"/>
          <w:szCs w:val="16"/>
          <w:color w:val="auto"/>
        </w:rPr>
      </w:pPr>
    </w:p>
    <w:p>
      <w:pPr>
        <w:ind w:left="472" w:hanging="472"/>
        <w:spacing w:after="0" w:line="298" w:lineRule="auto"/>
        <w:tabs>
          <w:tab w:leader="none" w:pos="47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in accordance with Rules 457(c) and (h) of the Securities Act solely for purposes of calculating the registration fee on the basis of $0.3981 per share, which represents the average of the high and low prices of the Registrant’s Common Stock on February 25, 2025, as reported on The Nasdaq Global Select Market.</w:t>
      </w:r>
    </w:p>
    <w:p>
      <w:pPr>
        <w:spacing w:after="0" w:line="56" w:lineRule="exact"/>
        <w:rPr>
          <w:rFonts w:ascii="Times New Roman" w:cs="Times New Roman" w:eastAsia="Times New Roman" w:hAnsi="Times New Roman"/>
          <w:sz w:val="16"/>
          <w:szCs w:val="16"/>
          <w:color w:val="auto"/>
        </w:rPr>
      </w:pPr>
    </w:p>
    <w:p>
      <w:pPr>
        <w:ind w:left="472" w:right="200" w:hanging="472"/>
        <w:spacing w:after="0" w:line="271" w:lineRule="auto"/>
        <w:tabs>
          <w:tab w:leader="none" w:pos="47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automatic annual increase on January 1, 2025 to the number of shares of the Registrant’s Common Stock reserved for issuance under the 2020 Plan pursuant to an “evergreen” provision contained in the 2020 Plan. Pursuant to such provision, the number of shares of the Registrant’s Common Stock available for grant and issuance under the 2020 Plan is subject to an annual increase on the first day of each fiscal year by an amount equal to the least of (i) 3,230,000 shares of Common Stock , (ii) five percent (5%) of the outstanding shares of all classes of the Registrant’s Common Stock as of the last day of the immediately preceding fiscal year or (iii) such number of shares as the Registrant’s board of directors may determine no later than the last day of the Registrant’s immediately preceding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1158875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17"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07"/>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jpe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jpe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12" Type="http://schemas.openxmlformats.org/officeDocument/2006/relationships/hyperlink" Target="https://www.sec.gov/ix?doc=/Archives/edgar/data/1620463/000095017025029069/atha-20241231.htm" TargetMode="External"/><Relationship Id="rId13" Type="http://schemas.openxmlformats.org/officeDocument/2006/relationships/hyperlink" Target="https://www.sec.gov/Archives/edgar/data/1620463/000095012320009608/atha-8a12b.htm" TargetMode="External"/><Relationship Id="rId15" Type="http://schemas.openxmlformats.org/officeDocument/2006/relationships/hyperlink" Target="https://www.sec.gov/Archives/edgar/data/1620463/000156459020043324/atha-ex41_478.htm" TargetMode="External"/><Relationship Id="rId16" Type="http://schemas.openxmlformats.org/officeDocument/2006/relationships/hyperlink" Target="https://www.sec.gov/Archives/edgar/data/1620463/000156459020042848/atha-ex105_89.htm" TargetMode="External"/><Relationship Id="rId17" Type="http://schemas.openxmlformats.org/officeDocument/2006/relationships/hyperlink" Target="https://www.sec.gov/Archives/edgar/data/1620463/000156459020042848/atha-ex106_88.htm" TargetMode="External"/><Relationship Id="rId18" Type="http://schemas.openxmlformats.org/officeDocument/2006/relationships/hyperlink" Target="https://www.sec.gov/Archives/edgar/data/1620463/000156459020042848/atha-ex107_87.htm" TargetMode="External"/><Relationship Id="rId19" Type="http://schemas.openxmlformats.org/officeDocument/2006/relationships/hyperlink" Target="https://www.sec.gov/Archives/edgar/data/1620463/000156459020042848/atha-ex108_86.htm" TargetMode="External"/><Relationship Id="rId20" Type="http://schemas.openxmlformats.org/officeDocument/2006/relationships/hyperlink" Target="https://www.sec.gov/Archives/edgar/data/1620463/000095017023009498/atha-ex10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2025-02-27T16:52:00Z</dcterms:created>
  <dcterms:modified xsi:type="dcterms:W3CDTF">2025-02-27T16:52:00Z</dcterms:modified>
</cp:coreProperties>
</file>