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lona-20260331.htm"/>
      <w:bookmarkStart w:id="1" w:name="kslona20260331"/>
      <w:bookmarkStart w:id="2" w:name="lona-20260331.htm"/>
      <w:bookmarkStart w:id="3" w:name="kslona20260331"/>
      <w:bookmarkEnd w:id="2"/>
      <w:bookmarkEnd w:id="3"/>
    </w:p>
    <w:tbl>
      <w:tblPr>
        <w:tblW w:w="5821" w:type="dxa"/>
        <w:jc w:val="left"/>
        <w:tblInd w:w="0" w:type="dxa"/>
        <w:tblLayout w:type="fixed"/>
        <w:tblCellMar>
          <w:top w:w="28" w:type="dxa"/>
          <w:left w:w="28" w:type="dxa"/>
          <w:bottom w:w="28" w:type="dxa"/>
          <w:right w:w="28" w:type="dxa"/>
        </w:tblCellMar>
      </w:tblPr>
      <w:tblGrid>
        <w:gridCol w:w="5821"/>
      </w:tblGrid>
      <w:tr>
        <w:trPr/>
        <w:tc>
          <w:tcPr>
            <w:tcW w:w="5821" w:type="dxa"/>
            <w:tcBorders/>
            <w:vAlign w:val="center"/>
          </w:tcPr>
          <w:p>
            <w:pPr>
              <w:pStyle w:val="TableContents"/>
              <w:bidi w:val="0"/>
              <w:spacing w:before="0" w:after="283"/>
              <w:jc w:val="left"/>
              <w:rPr>
                <w:sz w:val="4"/>
                <w:szCs w:val="4"/>
              </w:rPr>
            </w:pPr>
            <w:r>
              <w:rPr>
                <w:sz w:val="4"/>
                <w:szCs w:val="4"/>
              </w:rPr>
            </w:r>
          </w:p>
        </w:tc>
      </w:tr>
      <w:tr>
        <w:trPr/>
        <w:tc>
          <w:tcPr>
            <w:tcW w:w="582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b/>
                <w:color w:val="000000"/>
                <w:sz w:val="18"/>
              </w:rPr>
            </w:pPr>
            <w:bookmarkStart w:id="4" w:name="cover"/>
            <w:bookmarkEnd w:id="4"/>
            <w:r>
              <w:rPr>
                <w:rFonts w:ascii="Times New Roman" w:hAnsi="Times New Roman"/>
                <w:b/>
                <w:color w:val="000000"/>
                <w:sz w:val="18"/>
              </w:rPr>
              <w:t>As filed with the Securities and Exchange Commission on March 31, 2026</w:t>
            </w:r>
          </w:p>
        </w:tc>
      </w:tr>
      <w:tr>
        <w:trPr/>
        <w:tc>
          <w:tcPr>
            <w:tcW w:w="5821" w:type="dxa"/>
            <w:tcBorders>
              <w:bottom w:val="double" w:sz="4" w:space="0" w:color="000000"/>
            </w:tcBorders>
            <w:tcMar>
              <w:top w:w="0" w:type="dxa"/>
              <w:left w:w="0" w:type="dxa"/>
              <w:right w:w="0" w:type="dxa"/>
            </w:tcMar>
            <w:vAlign w:val="center"/>
          </w:tcPr>
          <w:p>
            <w:pPr>
              <w:pStyle w:val="TableContents"/>
              <w:bidi w:val="0"/>
              <w:spacing w:before="0" w:after="40"/>
              <w:jc w:val="right"/>
              <w:rPr>
                <w:rFonts w:ascii="Times New Roman" w:hAnsi="Times New Roman"/>
                <w:b/>
                <w:color w:val="000000"/>
                <w:sz w:val="18"/>
              </w:rPr>
            </w:pPr>
            <w:r>
              <w:rPr>
                <w:rFonts w:ascii="Times New Roman" w:hAnsi="Times New Roman"/>
                <w:b/>
                <w:color w:val="000000"/>
                <w:sz w:val="18"/>
              </w:rPr>
              <w:t xml:space="preserve">Registration No. 333-292829 </w:t>
            </w:r>
          </w:p>
        </w:tc>
      </w:tr>
    </w:tbl>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Washington, D.C. 20549</w:t>
      </w:r>
    </w:p>
    <w:tbl>
      <w:tblPr>
        <w:tblW w:w="936" w:type="dxa"/>
        <w:jc w:val="left"/>
        <w:tblInd w:w="0" w:type="dxa"/>
        <w:tblLayout w:type="fixed"/>
        <w:tblCellMar>
          <w:top w:w="28" w:type="dxa"/>
          <w:left w:w="28" w:type="dxa"/>
          <w:bottom w:w="28" w:type="dxa"/>
          <w:right w:w="28" w:type="dxa"/>
        </w:tblCellMar>
      </w:tblPr>
      <w:tblGrid>
        <w:gridCol w:w="161"/>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PRE-EFFECTIVE AMENDMENT NO. 1</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TO</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FORM S</w:t>
        <w:noBreakHyphen/>
        <w:t>3 ON FORM S-1</w:t>
      </w:r>
    </w:p>
    <w:p>
      <w:pPr>
        <w:pStyle w:val="TextBody"/>
        <w:bidi w:val="0"/>
        <w:jc w:val="center"/>
        <w:rPr>
          <w:rFonts w:ascii="Times New Roman" w:hAnsi="Times New Roman"/>
          <w:sz w:val="20"/>
        </w:rPr>
      </w:pPr>
      <w:r>
        <w:rPr>
          <w:rFonts w:ascii="Times New Roman" w:hAnsi="Times New Roman"/>
          <w:b/>
          <w:color w:val="000000"/>
          <w:sz w:val="28"/>
        </w:rPr>
        <w:t>REGISTRATION STATEMENT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8"/>
        </w:rPr>
      </w:pPr>
      <w:r>
        <w:rPr>
          <w:rFonts w:ascii="Times New Roman" w:hAnsi="Times New Roman"/>
          <w:b/>
          <w:caps/>
          <w:color w:val="000000"/>
          <w:sz w:val="28"/>
        </w:rPr>
        <w:t>Under The Securities Act of 1933</w:t>
      </w:r>
    </w:p>
    <w:tbl>
      <w:tblPr>
        <w:tblW w:w="936" w:type="dxa"/>
        <w:jc w:val="left"/>
        <w:tblInd w:w="0" w:type="dxa"/>
        <w:tblLayout w:type="fixed"/>
        <w:tblCellMar>
          <w:top w:w="28" w:type="dxa"/>
          <w:left w:w="28" w:type="dxa"/>
          <w:bottom w:w="28" w:type="dxa"/>
          <w:right w:w="28" w:type="dxa"/>
        </w:tblCellMar>
      </w:tblPr>
      <w:tblGrid>
        <w:gridCol w:w="161"/>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LeonaBio, Inc.</w:t>
      </w:r>
    </w:p>
    <w:p>
      <w:pPr>
        <w:pStyle w:val="TextBody"/>
        <w:bidi w:val="0"/>
        <w:spacing w:before="0" w:after="14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936" w:type="dxa"/>
        <w:jc w:val="left"/>
        <w:tblInd w:w="0" w:type="dxa"/>
        <w:tblLayout w:type="fixed"/>
        <w:tblCellMar>
          <w:top w:w="28" w:type="dxa"/>
          <w:left w:w="28" w:type="dxa"/>
          <w:bottom w:w="28" w:type="dxa"/>
          <w:right w:w="28" w:type="dxa"/>
        </w:tblCellMar>
      </w:tblPr>
      <w:tblGrid>
        <w:gridCol w:w="161"/>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975" w:type="dxa"/>
        <w:jc w:val="left"/>
        <w:tblInd w:w="0" w:type="dxa"/>
        <w:tblLayout w:type="fixed"/>
        <w:tblCellMar>
          <w:top w:w="28" w:type="dxa"/>
          <w:left w:w="28" w:type="dxa"/>
          <w:bottom w:w="28" w:type="dxa"/>
          <w:right w:w="28" w:type="dxa"/>
        </w:tblCellMar>
      </w:tblPr>
      <w:tblGrid>
        <w:gridCol w:w="2182"/>
        <w:gridCol w:w="3421"/>
        <w:gridCol w:w="1372"/>
      </w:tblGrid>
      <w:tr>
        <w:trPr/>
        <w:tc>
          <w:tcPr>
            <w:tcW w:w="2182"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2182"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b/>
                <w:color w:val="000000"/>
                <w:sz w:val="18"/>
              </w:rPr>
            </w:pPr>
            <w:r>
              <w:rPr>
                <w:rFonts w:ascii="Times New Roman" w:hAnsi="Times New Roman"/>
                <w:b/>
                <w:color w:val="000000"/>
                <w:sz w:val="18"/>
              </w:rPr>
              <w:t>Delaware</w:t>
            </w:r>
          </w:p>
        </w:tc>
        <w:tc>
          <w:tcPr>
            <w:tcW w:w="3421"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2836</w:t>
            </w:r>
          </w:p>
        </w:tc>
        <w:tc>
          <w:tcPr>
            <w:tcW w:w="1372"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b/>
                <w:color w:val="000000"/>
                <w:sz w:val="18"/>
              </w:rPr>
            </w:pPr>
            <w:r>
              <w:rPr>
                <w:rFonts w:ascii="Times New Roman" w:hAnsi="Times New Roman"/>
                <w:b/>
                <w:color w:val="000000"/>
                <w:sz w:val="18"/>
              </w:rPr>
              <w:t>45-3368487</w:t>
            </w:r>
          </w:p>
        </w:tc>
      </w:tr>
      <w:tr>
        <w:trPr/>
        <w:tc>
          <w:tcPr>
            <w:tcW w:w="218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40"/>
              <w:jc w:val="center"/>
              <w:rPr>
                <w:rFonts w:ascii="Times New Roman" w:hAnsi="Times New Roman"/>
                <w:b/>
                <w:color w:val="000000"/>
                <w:sz w:val="14"/>
              </w:rPr>
            </w:pPr>
            <w:r>
              <w:rPr>
                <w:rFonts w:ascii="Times New Roman" w:hAnsi="Times New Roman"/>
                <w:b/>
                <w:color w:val="000000"/>
                <w:sz w:val="14"/>
              </w:rPr>
              <w:t>incorporation or organization)</w:t>
            </w:r>
          </w:p>
        </w:tc>
        <w:tc>
          <w:tcPr>
            <w:tcW w:w="3421"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b/>
                <w:color w:val="000000"/>
                <w:sz w:val="14"/>
              </w:rPr>
            </w:pPr>
            <w:r>
              <w:rPr>
                <w:rFonts w:ascii="Times New Roman" w:hAnsi="Times New Roman"/>
                <w:b/>
                <w:color w:val="000000"/>
                <w:sz w:val="14"/>
              </w:rPr>
              <w:t>(Primary Standard Industrial</w:t>
              <w:br/>
              <w:t>Classification Code Number)</w:t>
            </w:r>
          </w:p>
        </w:tc>
        <w:tc>
          <w:tcPr>
            <w:tcW w:w="137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40"/>
              <w:jc w:val="center"/>
              <w:rPr>
                <w:rFonts w:ascii="Times New Roman" w:hAnsi="Times New Roman"/>
                <w:b/>
                <w:color w:val="000000"/>
                <w:sz w:val="14"/>
              </w:rPr>
            </w:pPr>
            <w:r>
              <w:rPr>
                <w:rFonts w:ascii="Times New Roman" w:hAnsi="Times New Roman"/>
                <w:b/>
                <w:color w:val="000000"/>
                <w:sz w:val="14"/>
              </w:rPr>
              <w:t>Identification No.)</w:t>
            </w:r>
          </w:p>
        </w:tc>
      </w:tr>
      <w:tr>
        <w:trPr/>
        <w:tc>
          <w:tcPr>
            <w:tcW w:w="2182" w:type="dxa"/>
            <w:tcBorders/>
            <w:tcMar>
              <w:top w:w="0" w:type="dxa"/>
              <w:left w:w="0" w:type="dxa"/>
              <w:bottom w:w="0" w:type="dxa"/>
              <w:right w:w="0" w:type="dxa"/>
            </w:tcMar>
            <w:vAlign w:val="center"/>
          </w:tcPr>
          <w:p>
            <w:pPr>
              <w:pStyle w:val="TableContents"/>
              <w:bidi w:val="0"/>
              <w:spacing w:before="0" w:after="40"/>
              <w:jc w:val="left"/>
              <w:rPr/>
            </w:pPr>
            <w:r>
              <w:rPr/>
              <w:t> </w:t>
            </w:r>
          </w:p>
        </w:tc>
        <w:tc>
          <w:tcPr>
            <w:tcW w:w="34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18706 North Creek Parkway, Suite 104</w:t>
            </w:r>
          </w:p>
          <w:p>
            <w:pPr>
              <w:pStyle w:val="TableContents"/>
              <w:bidi w:val="0"/>
              <w:jc w:val="center"/>
              <w:rPr>
                <w:rFonts w:ascii="Times New Roman" w:hAnsi="Times New Roman"/>
                <w:sz w:val="20"/>
              </w:rPr>
            </w:pPr>
            <w:r>
              <w:rPr>
                <w:rFonts w:ascii="Times New Roman" w:hAnsi="Times New Roman"/>
                <w:b/>
                <w:color w:val="000000"/>
                <w:sz w:val="18"/>
              </w:rPr>
              <w:t>Bothell, WA</w:t>
            </w:r>
            <w:r>
              <w:rPr>
                <w:rFonts w:ascii="Times New Roman" w:hAnsi="Times New Roman"/>
                <w:color w:val="000000"/>
                <w:sz w:val="20"/>
              </w:rPr>
              <w:t xml:space="preserve"> </w:t>
            </w:r>
            <w:r>
              <w:rPr>
                <w:rFonts w:ascii="Times New Roman" w:hAnsi="Times New Roman"/>
                <w:b/>
                <w:color w:val="000000"/>
                <w:sz w:val="18"/>
              </w:rPr>
              <w:t>98011</w:t>
            </w:r>
          </w:p>
          <w:p>
            <w:pPr>
              <w:pStyle w:val="TableContents"/>
              <w:bidi w:val="0"/>
              <w:spacing w:before="0" w:after="40"/>
              <w:jc w:val="center"/>
              <w:rPr>
                <w:rFonts w:ascii="Times New Roman" w:hAnsi="Times New Roman"/>
                <w:b/>
                <w:color w:val="000000"/>
                <w:sz w:val="18"/>
              </w:rPr>
            </w:pPr>
            <w:r>
              <w:rPr>
                <w:rFonts w:ascii="Times New Roman" w:hAnsi="Times New Roman"/>
                <w:b/>
                <w:color w:val="000000"/>
                <w:sz w:val="18"/>
              </w:rPr>
              <w:t>(425) 620-8501</w:t>
            </w:r>
          </w:p>
        </w:tc>
        <w:tc>
          <w:tcPr>
            <w:tcW w:w="1372" w:type="dxa"/>
            <w:tcBorders/>
            <w:tcMar>
              <w:top w:w="0" w:type="dxa"/>
              <w:left w:w="0" w:type="dxa"/>
              <w:bottom w:w="0" w:type="dxa"/>
              <w:right w:w="0" w:type="dxa"/>
            </w:tcMar>
            <w:vAlign w:val="center"/>
          </w:tcPr>
          <w:p>
            <w:pPr>
              <w:pStyle w:val="TableContents"/>
              <w:bidi w:val="0"/>
              <w:spacing w:before="0" w:after="40"/>
              <w:jc w:val="left"/>
              <w:rPr/>
            </w:pPr>
            <w:r>
              <w:rPr/>
              <w:t> </w:t>
            </w:r>
          </w:p>
        </w:tc>
      </w:tr>
      <w:tr>
        <w:trPr/>
        <w:tc>
          <w:tcPr>
            <w:tcW w:w="697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(Address, including zip code, and telephone number, including area code, of registrant’s principal executive offices)</w:t>
            </w:r>
          </w:p>
          <w:p>
            <w:pPr>
              <w:pStyle w:val="TableContents"/>
              <w:bidi w:val="0"/>
              <w:spacing w:before="0" w:after="40"/>
              <w:jc w:val="center"/>
              <w:rPr/>
            </w:pPr>
            <w:r>
              <w:rPr/>
              <w:t> </w:t>
            </w:r>
          </w:p>
        </w:tc>
      </w:tr>
    </w:tbl>
    <w:p>
      <w:pPr>
        <w:pStyle w:val="TextBody"/>
        <w:bidi w:val="0"/>
        <w:jc w:val="left"/>
        <w:rPr/>
      </w:pPr>
      <w:r>
        <w:rPr/>
        <w:t> </w:t>
      </w:r>
    </w:p>
    <w:tbl>
      <w:tblPr>
        <w:tblW w:w="936" w:type="dxa"/>
        <w:jc w:val="left"/>
        <w:tblInd w:w="0" w:type="dxa"/>
        <w:tblLayout w:type="fixed"/>
        <w:tblCellMar>
          <w:top w:w="28" w:type="dxa"/>
          <w:left w:w="28" w:type="dxa"/>
          <w:bottom w:w="28" w:type="dxa"/>
          <w:right w:w="28" w:type="dxa"/>
        </w:tblCellMar>
      </w:tblPr>
      <w:tblGrid>
        <w:gridCol w:w="161"/>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044" w:type="dxa"/>
        <w:jc w:val="left"/>
        <w:tblInd w:w="0" w:type="dxa"/>
        <w:tblLayout w:type="fixed"/>
        <w:tblCellMar>
          <w:top w:w="28" w:type="dxa"/>
          <w:left w:w="28" w:type="dxa"/>
          <w:bottom w:w="28" w:type="dxa"/>
          <w:right w:w="28" w:type="dxa"/>
        </w:tblCellMar>
      </w:tblPr>
      <w:tblGrid>
        <w:gridCol w:w="281"/>
        <w:gridCol w:w="5430"/>
        <w:gridCol w:w="333"/>
      </w:tblGrid>
      <w:tr>
        <w:trPr/>
        <w:tc>
          <w:tcPr>
            <w:tcW w:w="281" w:type="dxa"/>
            <w:tcBorders/>
            <w:vAlign w:val="center"/>
          </w:tcPr>
          <w:p>
            <w:pPr>
              <w:pStyle w:val="TableContents"/>
              <w:bidi w:val="0"/>
              <w:spacing w:before="0" w:after="283"/>
              <w:jc w:val="left"/>
              <w:rPr>
                <w:sz w:val="4"/>
                <w:szCs w:val="4"/>
              </w:rPr>
            </w:pPr>
            <w:r>
              <w:rPr>
                <w:sz w:val="4"/>
                <w:szCs w:val="4"/>
              </w:rPr>
            </w:r>
          </w:p>
        </w:tc>
        <w:tc>
          <w:tcPr>
            <w:tcW w:w="54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81" w:type="dxa"/>
            <w:tcBorders/>
            <w:tcMar>
              <w:top w:w="0" w:type="dxa"/>
              <w:left w:w="0" w:type="dxa"/>
              <w:bottom w:w="0" w:type="dxa"/>
              <w:right w:w="0" w:type="dxa"/>
            </w:tcMar>
            <w:vAlign w:val="center"/>
          </w:tcPr>
          <w:p>
            <w:pPr>
              <w:pStyle w:val="TableContents"/>
              <w:bidi w:val="0"/>
              <w:spacing w:before="0" w:after="40"/>
              <w:jc w:val="left"/>
              <w:rPr/>
            </w:pPr>
            <w:r>
              <w:rPr/>
              <w:t> </w:t>
            </w:r>
          </w:p>
        </w:tc>
        <w:tc>
          <w:tcPr>
            <w:tcW w:w="543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Mark Litton, Ph.D.</w:t>
            </w:r>
          </w:p>
          <w:p>
            <w:pPr>
              <w:pStyle w:val="TableContents"/>
              <w:bidi w:val="0"/>
              <w:jc w:val="center"/>
              <w:rPr>
                <w:rFonts w:ascii="Times New Roman" w:hAnsi="Times New Roman"/>
                <w:b/>
                <w:color w:val="000000"/>
                <w:sz w:val="18"/>
              </w:rPr>
            </w:pPr>
            <w:r>
              <w:rPr>
                <w:rFonts w:ascii="Times New Roman" w:hAnsi="Times New Roman"/>
                <w:b/>
                <w:color w:val="000000"/>
                <w:sz w:val="18"/>
              </w:rPr>
              <w:t>President and Chief Executive Officer</w:t>
            </w:r>
          </w:p>
          <w:p>
            <w:pPr>
              <w:pStyle w:val="TableContents"/>
              <w:bidi w:val="0"/>
              <w:jc w:val="center"/>
              <w:rPr>
                <w:rFonts w:ascii="Times New Roman" w:hAnsi="Times New Roman"/>
                <w:b/>
                <w:color w:val="000000"/>
                <w:sz w:val="18"/>
              </w:rPr>
            </w:pPr>
            <w:r>
              <w:rPr>
                <w:rFonts w:ascii="Times New Roman" w:hAnsi="Times New Roman"/>
                <w:b/>
                <w:color w:val="000000"/>
                <w:sz w:val="18"/>
              </w:rPr>
              <w:t>LeonaBio, Inc.</w:t>
            </w:r>
          </w:p>
          <w:p>
            <w:pPr>
              <w:pStyle w:val="TableContents"/>
              <w:bidi w:val="0"/>
              <w:jc w:val="center"/>
              <w:rPr>
                <w:rFonts w:ascii="Times New Roman" w:hAnsi="Times New Roman"/>
                <w:b/>
                <w:color w:val="000000"/>
                <w:sz w:val="18"/>
              </w:rPr>
            </w:pPr>
            <w:r>
              <w:rPr>
                <w:rFonts w:ascii="Times New Roman" w:hAnsi="Times New Roman"/>
                <w:b/>
                <w:color w:val="000000"/>
                <w:sz w:val="18"/>
              </w:rPr>
              <w:t>18706 North Creek Parkway, Suite 104</w:t>
            </w:r>
          </w:p>
          <w:p>
            <w:pPr>
              <w:pStyle w:val="TableContents"/>
              <w:bidi w:val="0"/>
              <w:jc w:val="center"/>
              <w:rPr>
                <w:rFonts w:ascii="Times New Roman" w:hAnsi="Times New Roman"/>
                <w:sz w:val="20"/>
              </w:rPr>
            </w:pPr>
            <w:r>
              <w:rPr>
                <w:rFonts w:ascii="Times New Roman" w:hAnsi="Times New Roman"/>
                <w:b/>
                <w:color w:val="000000"/>
                <w:sz w:val="18"/>
              </w:rPr>
              <w:t>Bothell, WA</w:t>
            </w:r>
            <w:r>
              <w:rPr>
                <w:rFonts w:ascii="Times New Roman" w:hAnsi="Times New Roman"/>
                <w:color w:val="000000"/>
                <w:sz w:val="20"/>
              </w:rPr>
              <w:t xml:space="preserve"> </w:t>
            </w:r>
            <w:r>
              <w:rPr>
                <w:rFonts w:ascii="Times New Roman" w:hAnsi="Times New Roman"/>
                <w:b/>
                <w:color w:val="000000"/>
                <w:sz w:val="18"/>
              </w:rPr>
              <w:t>98011</w:t>
            </w:r>
          </w:p>
          <w:p>
            <w:pPr>
              <w:pStyle w:val="TableContents"/>
              <w:bidi w:val="0"/>
              <w:spacing w:before="0" w:after="40"/>
              <w:jc w:val="center"/>
              <w:rPr>
                <w:rFonts w:ascii="Times New Roman" w:hAnsi="Times New Roman"/>
                <w:b/>
                <w:color w:val="000000"/>
                <w:sz w:val="18"/>
              </w:rPr>
            </w:pPr>
            <w:r>
              <w:rPr>
                <w:rFonts w:ascii="Times New Roman" w:hAnsi="Times New Roman"/>
                <w:b/>
                <w:color w:val="000000"/>
                <w:sz w:val="18"/>
              </w:rPr>
              <w:t>(425) 620-8501</w:t>
            </w:r>
          </w:p>
        </w:tc>
        <w:tc>
          <w:tcPr>
            <w:tcW w:w="333" w:type="dxa"/>
            <w:tcBorders/>
            <w:tcMar>
              <w:top w:w="0" w:type="dxa"/>
              <w:left w:w="0" w:type="dxa"/>
              <w:bottom w:w="0" w:type="dxa"/>
              <w:right w:w="0" w:type="dxa"/>
            </w:tcMar>
            <w:vAlign w:val="center"/>
          </w:tcPr>
          <w:p>
            <w:pPr>
              <w:pStyle w:val="TableContents"/>
              <w:bidi w:val="0"/>
              <w:spacing w:before="0" w:after="40"/>
              <w:jc w:val="left"/>
              <w:rPr/>
            </w:pPr>
            <w:r>
              <w:rPr/>
              <w:t> </w:t>
            </w:r>
          </w:p>
        </w:tc>
      </w:tr>
      <w:tr>
        <w:trPr/>
        <w:tc>
          <w:tcPr>
            <w:tcW w:w="6044" w:type="dxa"/>
            <w:gridSpan w:val="3"/>
            <w:tcBorders/>
            <w:tcMar>
              <w:top w:w="0" w:type="dxa"/>
              <w:left w:w="0" w:type="dxa"/>
              <w:bottom w:w="0" w:type="dxa"/>
              <w:right w:w="0" w:type="dxa"/>
            </w:tcMar>
            <w:vAlign w:val="center"/>
          </w:tcPr>
          <w:p>
            <w:pPr>
              <w:pStyle w:val="TableContents"/>
              <w:bidi w:val="0"/>
              <w:spacing w:before="0" w:after="40"/>
              <w:jc w:val="center"/>
              <w:rPr>
                <w:rFonts w:ascii="Times New Roman" w:hAnsi="Times New Roman"/>
                <w:b/>
                <w:color w:val="000000"/>
                <w:sz w:val="14"/>
              </w:rPr>
            </w:pPr>
            <w:r>
              <w:rPr>
                <w:rFonts w:ascii="Times New Roman" w:hAnsi="Times New Roman"/>
                <w:b/>
                <w:color w:val="000000"/>
                <w:sz w:val="14"/>
              </w:rPr>
              <w:t>(Name, address, including zip code, and telephone number, including area code, of agent for service)</w:t>
            </w:r>
          </w:p>
        </w:tc>
      </w:tr>
    </w:tbl>
    <w:p>
      <w:pPr>
        <w:pStyle w:val="TextBody"/>
        <w:bidi w:val="0"/>
        <w:jc w:val="left"/>
        <w:rPr/>
      </w:pPr>
      <w:r>
        <w:rPr/>
        <w:t> </w:t>
      </w:r>
    </w:p>
    <w:tbl>
      <w:tblPr>
        <w:tblW w:w="936" w:type="dxa"/>
        <w:jc w:val="left"/>
        <w:tblInd w:w="0" w:type="dxa"/>
        <w:tblLayout w:type="fixed"/>
        <w:tblCellMar>
          <w:top w:w="28" w:type="dxa"/>
          <w:left w:w="28" w:type="dxa"/>
          <w:bottom w:w="28" w:type="dxa"/>
          <w:right w:w="28" w:type="dxa"/>
        </w:tblCellMar>
      </w:tblPr>
      <w:tblGrid>
        <w:gridCol w:w="161"/>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87" w:type="dxa"/>
        <w:jc w:val="left"/>
        <w:tblInd w:w="0" w:type="dxa"/>
        <w:tblLayout w:type="fixed"/>
        <w:tblCellMar>
          <w:top w:w="28" w:type="dxa"/>
          <w:left w:w="28" w:type="dxa"/>
          <w:bottom w:w="28" w:type="dxa"/>
          <w:right w:w="28" w:type="dxa"/>
        </w:tblCellMar>
      </w:tblPr>
      <w:tblGrid>
        <w:gridCol w:w="2821"/>
        <w:gridCol w:w="5266"/>
      </w:tblGrid>
      <w:tr>
        <w:trPr/>
        <w:tc>
          <w:tcPr>
            <w:tcW w:w="2821"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8087" w:type="dxa"/>
            <w:gridSpan w:val="2"/>
            <w:tcBorders/>
            <w:tcMar>
              <w:top w:w="0" w:type="dxa"/>
              <w:left w:w="0" w:type="dxa"/>
              <w:bottom w:w="0" w:type="dxa"/>
              <w:right w:w="0" w:type="dxa"/>
            </w:tcMar>
            <w:vAlign w:val="center"/>
          </w:tcPr>
          <w:p>
            <w:pPr>
              <w:pStyle w:val="TableContents"/>
              <w:bidi w:val="0"/>
              <w:spacing w:before="0" w:after="40"/>
              <w:jc w:val="center"/>
              <w:rPr>
                <w:rFonts w:ascii="Times New Roman" w:hAnsi="Times New Roman"/>
                <w:i/>
                <w:color w:val="000000"/>
                <w:sz w:val="18"/>
              </w:rPr>
            </w:pPr>
            <w:r>
              <w:rPr>
                <w:rFonts w:ascii="Times New Roman" w:hAnsi="Times New Roman"/>
                <w:i/>
                <w:color w:val="000000"/>
                <w:sz w:val="18"/>
              </w:rPr>
              <w:t>Copies to:</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Michael Nordtvedt</w:t>
            </w:r>
          </w:p>
          <w:p>
            <w:pPr>
              <w:pStyle w:val="TableContents"/>
              <w:bidi w:val="0"/>
              <w:jc w:val="center"/>
              <w:rPr>
                <w:rFonts w:ascii="Times New Roman" w:hAnsi="Times New Roman"/>
                <w:b/>
                <w:color w:val="000000"/>
                <w:sz w:val="18"/>
              </w:rPr>
            </w:pPr>
            <w:r>
              <w:rPr>
                <w:rFonts w:ascii="Times New Roman" w:hAnsi="Times New Roman"/>
                <w:b/>
                <w:color w:val="000000"/>
                <w:sz w:val="18"/>
              </w:rPr>
              <w:t>Bryan D. King</w:t>
            </w:r>
          </w:p>
          <w:p>
            <w:pPr>
              <w:pStyle w:val="TableContents"/>
              <w:bidi w:val="0"/>
              <w:jc w:val="center"/>
              <w:rPr>
                <w:rFonts w:ascii="Times New Roman" w:hAnsi="Times New Roman"/>
                <w:b/>
                <w:color w:val="000000"/>
                <w:sz w:val="18"/>
              </w:rPr>
            </w:pPr>
            <w:r>
              <w:rPr>
                <w:rFonts w:ascii="Times New Roman" w:hAnsi="Times New Roman"/>
                <w:b/>
                <w:color w:val="000000"/>
                <w:sz w:val="18"/>
              </w:rPr>
              <w:t>Wilson Sonsini Goodrich &amp; Rosati,</w:t>
            </w:r>
          </w:p>
          <w:p>
            <w:pPr>
              <w:pStyle w:val="TableContents"/>
              <w:bidi w:val="0"/>
              <w:jc w:val="center"/>
              <w:rPr>
                <w:rFonts w:ascii="Times New Roman" w:hAnsi="Times New Roman"/>
                <w:b/>
                <w:color w:val="000000"/>
                <w:sz w:val="18"/>
              </w:rPr>
            </w:pPr>
            <w:r>
              <w:rPr>
                <w:rFonts w:ascii="Times New Roman" w:hAnsi="Times New Roman"/>
                <w:b/>
                <w:color w:val="000000"/>
                <w:sz w:val="18"/>
              </w:rPr>
              <w:t>Professional Corporation</w:t>
            </w:r>
          </w:p>
          <w:p>
            <w:pPr>
              <w:pStyle w:val="TableContents"/>
              <w:bidi w:val="0"/>
              <w:jc w:val="center"/>
              <w:rPr>
                <w:rFonts w:ascii="Times New Roman" w:hAnsi="Times New Roman"/>
                <w:b/>
                <w:color w:val="000000"/>
                <w:sz w:val="18"/>
              </w:rPr>
            </w:pPr>
            <w:r>
              <w:rPr>
                <w:rFonts w:ascii="Times New Roman" w:hAnsi="Times New Roman"/>
                <w:b/>
                <w:color w:val="000000"/>
                <w:sz w:val="18"/>
              </w:rPr>
              <w:t>701 Fifth Avenue</w:t>
            </w:r>
          </w:p>
          <w:p>
            <w:pPr>
              <w:pStyle w:val="TableContents"/>
              <w:bidi w:val="0"/>
              <w:jc w:val="center"/>
              <w:rPr>
                <w:rFonts w:ascii="Times New Roman" w:hAnsi="Times New Roman"/>
                <w:b/>
                <w:color w:val="000000"/>
                <w:sz w:val="18"/>
              </w:rPr>
            </w:pPr>
            <w:r>
              <w:rPr>
                <w:rFonts w:ascii="Times New Roman" w:hAnsi="Times New Roman"/>
                <w:b/>
                <w:color w:val="000000"/>
                <w:sz w:val="18"/>
              </w:rPr>
              <w:t>Suite 5100</w:t>
            </w:r>
          </w:p>
          <w:p>
            <w:pPr>
              <w:pStyle w:val="TableContents"/>
              <w:bidi w:val="0"/>
              <w:jc w:val="center"/>
              <w:rPr>
                <w:rFonts w:ascii="Times New Roman" w:hAnsi="Times New Roman"/>
                <w:b/>
                <w:color w:val="000000"/>
                <w:sz w:val="18"/>
              </w:rPr>
            </w:pPr>
            <w:r>
              <w:rPr>
                <w:rFonts w:ascii="Times New Roman" w:hAnsi="Times New Roman"/>
                <w:b/>
                <w:color w:val="000000"/>
                <w:sz w:val="18"/>
              </w:rPr>
              <w:t>Seattle, WA 98104-7036</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(206) 883-2500</w:t>
            </w:r>
          </w:p>
        </w:tc>
        <w:tc>
          <w:tcPr>
            <w:tcW w:w="52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Mark Worthington</w:t>
            </w:r>
          </w:p>
          <w:p>
            <w:pPr>
              <w:pStyle w:val="TableContents"/>
              <w:bidi w:val="0"/>
              <w:jc w:val="center"/>
              <w:rPr>
                <w:rFonts w:ascii="Times New Roman" w:hAnsi="Times New Roman"/>
                <w:b/>
                <w:color w:val="000000"/>
                <w:sz w:val="18"/>
              </w:rPr>
            </w:pPr>
            <w:r>
              <w:rPr>
                <w:rFonts w:ascii="Times New Roman" w:hAnsi="Times New Roman"/>
                <w:b/>
                <w:color w:val="000000"/>
                <w:sz w:val="18"/>
              </w:rPr>
              <w:t>General Counsel, Chief Compliance Officer &amp; Corporate Secretary</w:t>
            </w:r>
          </w:p>
          <w:p>
            <w:pPr>
              <w:pStyle w:val="TableContents"/>
              <w:bidi w:val="0"/>
              <w:jc w:val="center"/>
              <w:rPr>
                <w:rFonts w:ascii="Times New Roman" w:hAnsi="Times New Roman"/>
                <w:b/>
                <w:color w:val="000000"/>
                <w:sz w:val="18"/>
              </w:rPr>
            </w:pPr>
            <w:r>
              <w:rPr>
                <w:rFonts w:ascii="Times New Roman" w:hAnsi="Times New Roman"/>
                <w:b/>
                <w:color w:val="000000"/>
                <w:sz w:val="18"/>
              </w:rPr>
              <w:t>LeonaBio, Inc.</w:t>
            </w:r>
          </w:p>
          <w:p>
            <w:pPr>
              <w:pStyle w:val="TableContents"/>
              <w:bidi w:val="0"/>
              <w:jc w:val="center"/>
              <w:rPr>
                <w:rFonts w:ascii="Times New Roman" w:hAnsi="Times New Roman"/>
                <w:sz w:val="18"/>
              </w:rPr>
            </w:pPr>
            <w:r>
              <w:rPr>
                <w:rFonts w:ascii="Times New Roman" w:hAnsi="Times New Roman"/>
                <w:b/>
                <w:color w:val="000000"/>
                <w:sz w:val="18"/>
              </w:rPr>
              <w:t>18706 North Creek Parkway, Suite 104</w:t>
            </w:r>
            <w:r>
              <w:rPr>
                <w:rFonts w:ascii="Times New Roman" w:hAnsi="Times New Roman"/>
                <w:color w:val="000000"/>
                <w:sz w:val="18"/>
              </w:rPr>
              <w:t xml:space="preserve"> </w:t>
            </w:r>
          </w:p>
          <w:p>
            <w:pPr>
              <w:pStyle w:val="TableContents"/>
              <w:bidi w:val="0"/>
              <w:jc w:val="center"/>
              <w:rPr>
                <w:rFonts w:ascii="Times New Roman" w:hAnsi="Times New Roman"/>
                <w:b/>
                <w:color w:val="000000"/>
                <w:sz w:val="18"/>
              </w:rPr>
            </w:pPr>
            <w:r>
              <w:rPr>
                <w:rFonts w:ascii="Times New Roman" w:hAnsi="Times New Roman"/>
                <w:b/>
                <w:color w:val="000000"/>
                <w:sz w:val="18"/>
              </w:rPr>
              <w:t>Bothell, Washington 98011</w:t>
            </w:r>
          </w:p>
          <w:p>
            <w:pPr>
              <w:pStyle w:val="TableContents"/>
              <w:bidi w:val="0"/>
              <w:spacing w:before="0" w:after="40"/>
              <w:jc w:val="center"/>
              <w:rPr>
                <w:rFonts w:ascii="Times New Roman" w:hAnsi="Times New Roman"/>
                <w:b/>
                <w:color w:val="000000"/>
                <w:sz w:val="18"/>
              </w:rPr>
            </w:pPr>
            <w:r>
              <w:rPr>
                <w:rFonts w:ascii="Times New Roman" w:hAnsi="Times New Roman"/>
                <w:b/>
                <w:color w:val="000000"/>
                <w:sz w:val="18"/>
              </w:rPr>
              <w:t>(425) 620-8501</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7"/>
        </w:rPr>
        <w:t>Approximate date of commencement of proposed sale to the public:</w:t>
      </w:r>
      <w:r>
        <w:rPr>
          <w:rFonts w:ascii="Times New Roman" w:hAnsi="Times New Roman"/>
          <w:color w:val="000000"/>
          <w:sz w:val="20"/>
        </w:rPr>
        <w:t xml:space="preserve"> </w:t>
      </w:r>
      <w:r>
        <w:rPr>
          <w:rFonts w:ascii="Times New Roman" w:hAnsi="Times New Roman"/>
          <w:b/>
          <w:color w:val="000000"/>
          <w:sz w:val="17"/>
        </w:rPr>
        <w:t>As soon as practicable after the effective date of this Registration Statement.</w:t>
      </w:r>
    </w:p>
    <w:p>
      <w:pPr>
        <w:pStyle w:val="TextBody"/>
        <w:bidi w:val="0"/>
        <w:jc w:val="left"/>
        <w:rPr>
          <w:rFonts w:ascii="Times New Roman" w:hAnsi="Times New Roman"/>
          <w:sz w:val="20"/>
        </w:rPr>
      </w:pPr>
      <w:r>
        <w:rPr>
          <w:rFonts w:ascii="Times New Roman" w:hAnsi="Times New Roman"/>
          <w:color w:val="000000"/>
          <w:sz w:val="17"/>
        </w:rPr>
        <w:t xml:space="preserve">If any of the securities being registered on this Form are to be offered on a delayed or continuous basis pursuant to Rule 415 under the Securities Act of 1933 check the following box.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w:hAnsi="Times New Roman"/>
          <w:color w:val="000000"/>
          <w:sz w:val="20"/>
        </w:rPr>
        <w:t></w:t>
      </w:r>
    </w:p>
    <w:p>
      <w:pPr>
        <w:pStyle w:val="TextBody"/>
        <w:bidi w:val="0"/>
        <w:spacing w:before="0" w:after="140"/>
        <w:jc w:val="left"/>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4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40"/>
              <w:jc w:val="left"/>
              <w:rPr/>
            </w:pPr>
            <w:r>
              <w:rPr/>
              <w:t> </w:t>
            </w:r>
          </w:p>
        </w:tc>
        <w:tc>
          <w:tcPr>
            <w:tcW w:w="20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40"/>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4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40"/>
              <w:jc w:val="left"/>
              <w:rPr/>
            </w:pPr>
            <w:r>
              <w:rPr/>
              <w:t> </w:t>
            </w:r>
          </w:p>
        </w:tc>
        <w:tc>
          <w:tcPr>
            <w:tcW w:w="20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40"/>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40"/>
              <w:jc w:val="left"/>
              <w:rPr/>
            </w:pPr>
            <w:r>
              <w:rPr/>
              <w:t> </w:t>
            </w:r>
          </w:p>
        </w:tc>
        <w:tc>
          <w:tcPr>
            <w:tcW w:w="316" w:type="dxa"/>
            <w:tcBorders/>
            <w:tcMar>
              <w:top w:w="0" w:type="dxa"/>
              <w:left w:w="0" w:type="dxa"/>
              <w:bottom w:w="0" w:type="dxa"/>
              <w:right w:w="0" w:type="dxa"/>
            </w:tcMar>
            <w:vAlign w:val="center"/>
          </w:tcPr>
          <w:p>
            <w:pPr>
              <w:pStyle w:val="TableContents"/>
              <w:bidi w:val="0"/>
              <w:spacing w:before="0" w:after="40"/>
              <w:jc w:val="left"/>
              <w:rPr/>
            </w:pPr>
            <w:r>
              <w:rPr/>
              <w:t> </w:t>
            </w:r>
          </w:p>
        </w:tc>
        <w:tc>
          <w:tcPr>
            <w:tcW w:w="146" w:type="dxa"/>
            <w:tcBorders/>
            <w:tcMar>
              <w:top w:w="0" w:type="dxa"/>
              <w:left w:w="0" w:type="dxa"/>
              <w:bottom w:w="0" w:type="dxa"/>
              <w:right w:w="0" w:type="dxa"/>
            </w:tcMar>
            <w:vAlign w:val="center"/>
          </w:tcPr>
          <w:p>
            <w:pPr>
              <w:pStyle w:val="TableContents"/>
              <w:bidi w:val="0"/>
              <w:spacing w:before="0" w:after="40"/>
              <w:jc w:val="left"/>
              <w:rPr/>
            </w:pPr>
            <w:r>
              <w:rPr/>
              <w:t> </w:t>
            </w:r>
          </w:p>
        </w:tc>
        <w:tc>
          <w:tcPr>
            <w:tcW w:w="20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40"/>
              <w:jc w:val="left"/>
              <w:rPr>
                <w:color w:val="000000"/>
              </w:rPr>
            </w:pPr>
            <w:r>
              <w:rPr>
                <w:color w:val="000000"/>
              </w:rPr>
              <w:t></w:t>
            </w:r>
          </w:p>
        </w:tc>
      </w:tr>
    </w:tbl>
    <w:p>
      <w:pPr>
        <w:pStyle w:val="TextBody"/>
        <w:bidi w:val="0"/>
        <w:spacing w:before="0" w:after="140"/>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w:t>
      </w:r>
    </w:p>
    <w:p>
      <w:pPr>
        <w:pStyle w:val="TextBody"/>
        <w:bidi w:val="0"/>
        <w:spacing w:before="0" w:after="140"/>
        <w:jc w:val="left"/>
        <w:rPr>
          <w:rFonts w:ascii="Times New Roman" w:hAnsi="Times New Roman"/>
          <w:color w:val="000000"/>
          <w:sz w:val="17"/>
        </w:rPr>
      </w:pPr>
      <w:r>
        <w:rPr>
          <w:rFonts w:ascii="Times New Roman" w:hAnsi="Times New Roman"/>
          <w:color w:val="000000"/>
          <w:sz w:val="17"/>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tbl>
      <w:tblPr>
        <w:tblW w:w="936" w:type="dxa"/>
        <w:jc w:val="left"/>
        <w:tblInd w:w="0" w:type="dxa"/>
        <w:tblLayout w:type="fixed"/>
        <w:tblCellMar>
          <w:top w:w="28" w:type="dxa"/>
          <w:left w:w="28" w:type="dxa"/>
          <w:bottom w:w="28" w:type="dxa"/>
          <w:right w:w="28" w:type="dxa"/>
        </w:tblCellMar>
      </w:tblPr>
      <w:tblGrid>
        <w:gridCol w:w="161"/>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EXPLANTORY NOTE</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Pre-Effective Amendment No. 1 to Form S-3 on Form S-1 is being filed by LeonaBio, Inc. (the “Company”) to convert the Registration Statement on Form S-3 (File No. 333-292829) filed by the Company with the Securities and Exchange Commission on January 20, 2026, into a registration statement on Form S-1.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Subject to Completion, dated March 31, 2026</w:t>
      </w:r>
    </w:p>
    <w:p>
      <w:pPr>
        <w:pStyle w:val="TextBody"/>
        <w:bidi w:val="0"/>
        <w:jc w:val="left"/>
        <w:rPr/>
      </w:pPr>
      <w:r>
        <w:rPr/>
        <w:t> </w:t>
      </w:r>
    </w:p>
    <w:p>
      <w:pPr>
        <w:pStyle w:val="TextBody"/>
        <w:bidi w:val="0"/>
        <w:jc w:val="left"/>
        <w:rPr>
          <w:rFonts w:ascii="Times New Roman" w:hAnsi="Times New Roman"/>
          <w:color w:val="FF0000"/>
          <w:sz w:val="20"/>
        </w:rPr>
      </w:pPr>
      <w:r>
        <w:rPr>
          <w:rFonts w:ascii="Times New Roman" w:hAnsi="Times New Roman"/>
          <w:color w:val="FF0000"/>
          <w:sz w:val="20"/>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bidi w:val="0"/>
        <w:jc w:val="center"/>
        <w:rPr/>
      </w:pPr>
      <w:r>
        <w:rPr/>
        <w:drawing>
          <wp:inline distT="0" distB="0" distL="0" distR="0">
            <wp:extent cx="1314450" cy="1390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1390650"/>
                    </a:xfrm>
                    <a:prstGeom prst="rect">
                      <a:avLst/>
                    </a:prstGeom>
                  </pic:spPr>
                </pic:pic>
              </a:graphicData>
            </a:graphic>
          </wp:inline>
        </w:drawing>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LeonaBio,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5,502,402 Shares of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prospectus relates to the disposition, from time to time, by the selling stockholder identified in this prospectus under the section titled “Principal and Selling Stockholder” of up to 5,502,402 shares of our common stock issuable upon the exercise of a pre-funded warrant.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selling stockholder identified herein may or their permitted transferees or other successors-in-interest may, but are not required to, from time to time offer or sell shares of our common stock. See the section titled “Plan of Distribution” for a description of how the selling stockholder may dispose of the shares covered by this prospectus. We do not know when or in what amount the selling stockholder may offer the shares for sale.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not selling any shares of our common stock under this prospectus and we will not receive any proceeds from the sale of our common stock by the selling stockholder. We will receive proceeds from the cash exercise of the pre-funded warrant which, if exercised for cash with respect to all of the 5,502,402 shares of common stock underlying such warrant at the exercise price per share of $0.001, would result in gross proceeds to us of approximately $5,502. We have agreed to pay certain expenses related to the registration of the offer and sale of the shares of common stock pursuant to the registration statement of which this prospectus forms a part. The selling stockholder will bear all commissions and discounts, if any, attributable to the sale of the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common stock is listed on The Nasdaq Capital Market under the symbol “LONA.” On March 16, 2026, the last reported closing sale price of our common stock on The Nasdaq Capital Market was $8.42 per share.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 “smaller reporting company” as defined under the federal securities laws, and, as such, have elected to comply with certain reduced public company reporting requirements for this prospectus and may elect to do so in future filings.</w:t>
      </w:r>
    </w:p>
    <w:p>
      <w:pPr>
        <w:pStyle w:val="TextBody"/>
        <w:bidi w:val="0"/>
        <w:spacing w:before="0" w:after="240"/>
        <w:jc w:val="left"/>
        <w:rPr/>
      </w:pPr>
      <w:r>
        <w:rPr>
          <w:rFonts w:ascii="Times New Roman" w:hAnsi="Times New Roman"/>
          <w:b/>
          <w:color w:val="000000"/>
          <w:sz w:val="20"/>
        </w:rPr>
        <w:t>Investing in our common stock involves a high degree of risk. You should review carefully the risks and uncertainties described under the heading “</w:t>
      </w:r>
      <w:hyperlink w:anchor="risk_factors">
        <w:r>
          <w:rPr>
            <w:rStyle w:val="InternetLink"/>
            <w:rFonts w:ascii="Times New Roman" w:hAnsi="Times New Roman"/>
            <w:b/>
            <w:color w:val="0000FF"/>
            <w:sz w:val="20"/>
            <w:u w:val="single"/>
          </w:rPr>
          <w:t>Risk Factors</w:t>
        </w:r>
      </w:hyperlink>
      <w:r>
        <w:rPr>
          <w:rFonts w:ascii="Times New Roman" w:hAnsi="Times New Roman"/>
          <w:color w:val="000000"/>
          <w:sz w:val="20"/>
        </w:rPr>
        <w:t xml:space="preserve">” </w:t>
      </w:r>
      <w:r>
        <w:rPr>
          <w:rFonts w:ascii="Times New Roman" w:hAnsi="Times New Roman"/>
          <w:b/>
          <w:color w:val="000000"/>
          <w:sz w:val="20"/>
        </w:rPr>
        <w:t xml:space="preserve">starting on page </w:t>
      </w:r>
      <w:hyperlink w:anchor="risk_factors">
        <w:r>
          <w:rPr>
            <w:rStyle w:val="InternetLink"/>
            <w:rFonts w:ascii="Times New Roman" w:hAnsi="Times New Roman"/>
            <w:b/>
            <w:color w:val="0000FF"/>
            <w:sz w:val="20"/>
            <w:u w:val="single"/>
          </w:rPr>
          <w:t>3</w:t>
        </w:r>
      </w:hyperlink>
      <w:r>
        <w:rPr>
          <w:rFonts w:ascii="Times New Roman" w:hAnsi="Times New Roman"/>
          <w:color w:val="000000"/>
          <w:sz w:val="20"/>
        </w:rPr>
        <w:t xml:space="preserve"> </w:t>
      </w:r>
      <w:r>
        <w:rPr>
          <w:rFonts w:ascii="Times New Roman" w:hAnsi="Times New Roman"/>
          <w:b/>
          <w:color w:val="000000"/>
          <w:sz w:val="20"/>
        </w:rPr>
        <w:t>of this prospectus, and under similar headings in the documents that are incorporated by reference into this prospectus.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The date of this prospectus is , 2026.</w:t>
      </w:r>
    </w:p>
    <w:p>
      <w:pPr>
        <w:pStyle w:val="TextBody"/>
        <w:bidi w:val="0"/>
        <w:jc w:val="left"/>
        <w:rPr/>
      </w:pPr>
      <w:r>
        <w:rPr/>
        <w:t> </w:t>
      </w:r>
    </w:p>
    <w:p>
      <w:pPr>
        <w:pStyle w:val="TextBody"/>
        <w:bidi w:val="0"/>
        <w:jc w:val="left"/>
        <w:rPr/>
      </w:pPr>
      <w:bookmarkStart w:id="5" w:name="sbe316e1a8d0e5a6ea784a1947e67537d"/>
      <w:bookmarkEnd w:id="5"/>
      <w:r>
        <w:rPr/>
        <w:t> </w:t>
      </w:r>
    </w:p>
    <w:p>
      <w:pPr>
        <w:pStyle w:val="TextBody"/>
        <w:bidi w:val="0"/>
        <w:jc w:val="center"/>
        <w:rPr>
          <w:rFonts w:ascii="Times New Roman" w:hAnsi="Times New Roman"/>
          <w:color w:val="000000"/>
          <w:sz w:val="22"/>
        </w:rPr>
      </w:pPr>
      <w:r>
        <w:rPr>
          <w:rFonts w:ascii="Times New Roman" w:hAnsi="Times New Roman"/>
          <w:color w:val="000000"/>
          <w:sz w:val="22"/>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7007" w:type="dxa"/>
        <w:jc w:val="left"/>
        <w:tblInd w:w="0" w:type="dxa"/>
        <w:tblLayout w:type="fixed"/>
        <w:tblCellMar>
          <w:top w:w="28" w:type="dxa"/>
          <w:left w:w="28" w:type="dxa"/>
          <w:bottom w:w="28" w:type="dxa"/>
          <w:right w:w="28" w:type="dxa"/>
        </w:tblCellMar>
      </w:tblPr>
      <w:tblGrid>
        <w:gridCol w:w="6436"/>
        <w:gridCol w:w="571"/>
      </w:tblGrid>
      <w:tr>
        <w:trPr/>
        <w:tc>
          <w:tcPr>
            <w:tcW w:w="643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7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bottom w:val="single" w:sz="6" w:space="0" w:color="000000"/>
            </w:tcBorders>
            <w:tcMar>
              <w:top w:w="0" w:type="dxa"/>
              <w:left w:w="0" w:type="dxa"/>
              <w:bottom w:w="37"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6" w:space="0" w:color="000000"/>
            </w:tcBorders>
            <w:tcMar>
              <w:top w:w="0" w:type="dxa"/>
              <w:left w:w="0" w:type="dxa"/>
              <w:bottom w:w="37"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Times New Roman" w:hAnsi="Times New Roman"/>
                  <w:color w:val="0000FF"/>
                  <w:sz w:val="20"/>
                  <w:u w:val="single"/>
                </w:rPr>
                <w:t>PROSPECTUS SUMMARY</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prospectus_summary">
              <w:r>
                <w:rPr>
                  <w:rStyle w:val="InternetLink"/>
                  <w:rFonts w:ascii="Times New Roman" w:hAnsi="Times New Roman"/>
                  <w:color w:val="0000FF"/>
                  <w:sz w:val="20"/>
                  <w:u w:val="single"/>
                </w:rPr>
                <w:t>1</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risk_factors">
              <w:r>
                <w:rPr>
                  <w:rStyle w:val="InternetLink"/>
                  <w:rFonts w:ascii="Times New Roman" w:hAnsi="Times New Roman"/>
                  <w:color w:val="0000FF"/>
                  <w:sz w:val="20"/>
                  <w:u w:val="single"/>
                </w:rPr>
                <w:t>3</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cautionary_notes_regarding_forward_looki">
              <w:r>
                <w:rPr>
                  <w:rStyle w:val="InternetLink"/>
                  <w:rFonts w:ascii="Times New Roman" w:hAnsi="Times New Roman"/>
                  <w:color w:val="0000FF"/>
                  <w:sz w:val="20"/>
                  <w:u w:val="single"/>
                </w:rPr>
                <w:t>CAUTIONARY NOTES REGARDING FORWARD-LOOKING STATEMENTS</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cautionary_notes_regarding_forward_looki">
              <w:r>
                <w:rPr>
                  <w:rStyle w:val="InternetLink"/>
                  <w:rFonts w:ascii="Times New Roman" w:hAnsi="Times New Roman"/>
                  <w:color w:val="0000FF"/>
                  <w:sz w:val="20"/>
                  <w:u w:val="single"/>
                </w:rPr>
                <w:t>4</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use_of_proceeds">
              <w:r>
                <w:rPr>
                  <w:rStyle w:val="InternetLink"/>
                  <w:rFonts w:ascii="Times New Roman" w:hAnsi="Times New Roman"/>
                  <w:color w:val="0000FF"/>
                  <w:sz w:val="20"/>
                  <w:u w:val="single"/>
                </w:rPr>
                <w:t>USE OF PROCEEDS</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use_of_proceeds">
              <w:r>
                <w:rPr>
                  <w:rStyle w:val="InternetLink"/>
                  <w:rFonts w:ascii="Times New Roman" w:hAnsi="Times New Roman"/>
                  <w:color w:val="0000FF"/>
                  <w:sz w:val="20"/>
                  <w:u w:val="single"/>
                </w:rPr>
                <w:t>6</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dividend_policy">
              <w:r>
                <w:rPr>
                  <w:rStyle w:val="InternetLink"/>
                  <w:rFonts w:ascii="Times New Roman" w:hAnsi="Times New Roman"/>
                  <w:color w:val="0000FF"/>
                  <w:sz w:val="20"/>
                  <w:u w:val="single"/>
                </w:rPr>
                <w:t>DIVIDEND POLICY</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dividend_policy">
              <w:r>
                <w:rPr>
                  <w:rStyle w:val="InternetLink"/>
                  <w:rFonts w:ascii="Times New Roman" w:hAnsi="Times New Roman"/>
                  <w:color w:val="0000FF"/>
                  <w:sz w:val="20"/>
                  <w:u w:val="single"/>
                </w:rPr>
                <w:t>7</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description_of_capital_stock">
              <w:r>
                <w:rPr>
                  <w:rStyle w:val="InternetLink"/>
                  <w:rFonts w:ascii="Times New Roman" w:hAnsi="Times New Roman"/>
                  <w:color w:val="0000FF"/>
                  <w:sz w:val="20"/>
                  <w:u w:val="single"/>
                </w:rPr>
                <w:t>DESCRIPTION OF CAPITAL STOCK</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description_of_capital_stock">
              <w:r>
                <w:rPr>
                  <w:rStyle w:val="InternetLink"/>
                  <w:rFonts w:ascii="Times New Roman" w:hAnsi="Times New Roman"/>
                  <w:color w:val="0000FF"/>
                  <w:sz w:val="20"/>
                  <w:u w:val="single"/>
                </w:rPr>
                <w:t>8</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principal_and_selling_stockholders">
              <w:r>
                <w:rPr>
                  <w:rStyle w:val="InternetLink"/>
                  <w:rFonts w:ascii="Times New Roman" w:hAnsi="Times New Roman"/>
                  <w:color w:val="0000FF"/>
                  <w:sz w:val="20"/>
                  <w:u w:val="single"/>
                </w:rPr>
                <w:t>PRINCIPAL AND SELLING STOCKHOLDERS</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principal_and_selling_stockholders">
              <w:r>
                <w:rPr>
                  <w:rStyle w:val="InternetLink"/>
                  <w:rFonts w:ascii="Times New Roman" w:hAnsi="Times New Roman"/>
                  <w:color w:val="0000FF"/>
                  <w:sz w:val="20"/>
                  <w:u w:val="single"/>
                </w:rPr>
                <w:t>9</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plan_of_distribution">
              <w:r>
                <w:rPr>
                  <w:rStyle w:val="InternetLink"/>
                  <w:rFonts w:ascii="Times New Roman" w:hAnsi="Times New Roman"/>
                  <w:color w:val="0000FF"/>
                  <w:sz w:val="20"/>
                  <w:u w:val="single"/>
                </w:rPr>
                <w:t>PLAN OF DISTRIBUTION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plan_of_distribution">
              <w:r>
                <w:rPr>
                  <w:rStyle w:val="InternetLink"/>
                  <w:rFonts w:ascii="Times New Roman" w:hAnsi="Times New Roman"/>
                  <w:color w:val="0000FF"/>
                  <w:sz w:val="20"/>
                  <w:u w:val="single"/>
                </w:rPr>
                <w:t>13</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legal_matters">
              <w:r>
                <w:rPr>
                  <w:rStyle w:val="InternetLink"/>
                  <w:rFonts w:ascii="Times New Roman" w:hAnsi="Times New Roman"/>
                  <w:color w:val="0000FF"/>
                  <w:sz w:val="20"/>
                  <w:u w:val="single"/>
                </w:rPr>
                <w:t>LEGAL MATTERS</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legal_matters">
              <w:r>
                <w:rPr>
                  <w:rStyle w:val="InternetLink"/>
                  <w:rFonts w:ascii="Times New Roman" w:hAnsi="Times New Roman"/>
                  <w:color w:val="0000FF"/>
                  <w:sz w:val="20"/>
                  <w:u w:val="single"/>
                </w:rPr>
                <w:t>16</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experts">
              <w:r>
                <w:rPr>
                  <w:rStyle w:val="InternetLink"/>
                  <w:rFonts w:ascii="Times New Roman" w:hAnsi="Times New Roman"/>
                  <w:color w:val="0000FF"/>
                  <w:sz w:val="20"/>
                  <w:u w:val="single"/>
                </w:rPr>
                <w:t>17</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where_you_can_find_more_information">
              <w:r>
                <w:rPr>
                  <w:rStyle w:val="InternetLink"/>
                  <w:rFonts w:ascii="Times New Roman" w:hAnsi="Times New Roman"/>
                  <w:color w:val="0000FF"/>
                  <w:sz w:val="20"/>
                  <w:u w:val="single"/>
                </w:rPr>
                <w:t>WHERE YOU CAN FIND MORE INFORMATION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where_you_can_find_more_information">
              <w:r>
                <w:rPr>
                  <w:rStyle w:val="InternetLink"/>
                  <w:rFonts w:ascii="Times New Roman" w:hAnsi="Times New Roman"/>
                  <w:color w:val="0000FF"/>
                  <w:sz w:val="20"/>
                  <w:u w:val="single"/>
                </w:rPr>
                <w:t>18</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incorporation_of_certain_information_by_">
              <w:r>
                <w:rPr>
                  <w:rStyle w:val="InternetLink"/>
                  <w:rFonts w:ascii="Times New Roman" w:hAnsi="Times New Roman"/>
                  <w:color w:val="0000FF"/>
                  <w:sz w:val="20"/>
                  <w:u w:val="single"/>
                </w:rPr>
                <w:t>INCORPORATION OF CERTAIN INFORMATION BY REFERENCE</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incorporation_of_certain_information_by_">
              <w:r>
                <w:rPr>
                  <w:rStyle w:val="InternetLink"/>
                  <w:rFonts w:ascii="Times New Roman" w:hAnsi="Times New Roman"/>
                  <w:color w:val="0000FF"/>
                  <w:sz w:val="20"/>
                  <w:u w:val="single"/>
                </w:rPr>
                <w:t>19</w:t>
              </w:r>
            </w:hyperlink>
          </w:p>
        </w:tc>
      </w:tr>
    </w:tbl>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You should rely only on the information contained in this prospectus or contained in any free writing prospectus prepared by or on behalf of us or to which we have referred you. Neither we nor the selling stockholder have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The information contained in this prospectus is accurate only as of its date regardless of the time of delivery of this prospectus or of any sale of securities. Our business, operating results and financial condition may have changed since that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should also read and consider the information in the documents to which we have referred you under the captions “Where You Can Find More Information” and “Incorporation of Certain Information by Reference” in this prospectus.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investors outside the United States, neither we nor the selling stockholder have done anything that would permit this offering or possession or distribution of this prospectus in any jurisdiction where action for that purpose is required, other than in the United States. Persons who come into possession of this prospectus and any free writing prospectus related to this offering in jurisdictions outside the United States are required to inform themselves about and to observe any restrictions as to this offering and the distribution of this prospectus and any such free writing prospectus applicable to that jurisdiction.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0" w:after="240"/>
        <w:ind w:left="0" w:right="0" w:hanging="0"/>
        <w:jc w:val="center"/>
        <w:rPr>
          <w:rFonts w:ascii="Times New Roman" w:hAnsi="Times New Roman"/>
          <w:b/>
          <w:color w:val="000000"/>
          <w:sz w:val="20"/>
          <w:bdr w:val="single" w:sz="4" w:space="1" w:color="000000"/>
        </w:rPr>
      </w:pPr>
      <w:bookmarkStart w:id="6" w:name="prospectus_summary"/>
      <w:bookmarkEnd w:id="6"/>
      <w:r>
        <w:rPr>
          <w:rFonts w:ascii="Times New Roman" w:hAnsi="Times New Roman"/>
          <w:b/>
          <w:color w:val="000000"/>
          <w:sz w:val="20"/>
          <w:bdr w:val="single" w:sz="4" w:space="1" w:color="000000"/>
        </w:rPr>
        <w:t>PROSPECTUS SUMMARY</w:t>
      </w:r>
    </w:p>
    <w:p>
      <w:pPr>
        <w:pStyle w:val="TextBody"/>
        <w:bidi w:val="0"/>
        <w:spacing w:before="0" w:after="240"/>
        <w:jc w:val="left"/>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The following summary is qualified in its entirety by, and should be read together with, the more detailed information and financial statements and related notes thereto incorporated by reference into this prospectus. Before you decide to invest in our common stock, you should read the entire prospectus carefully, including the risk factors and the financial statements and related notes incorporated by reference into this prospectus. Unless the context requires otherwise, in this prospectus the terms “LeonaBio,” the “Company,” “we,” “us” and “our” refer to LeonaBio, Inc., a Delaware corporation, together with its subsidiaries, taken as a whole. This prospectus includes trademarks, service marks and trade names owned by us or other companies. All trademarks, service marks and trade names included in this prospectus are the property of their respective owners.</w:t>
      </w:r>
    </w:p>
    <w:p>
      <w:pPr>
        <w:pStyle w:val="TextBody"/>
        <w:bidi w:val="0"/>
        <w:spacing w:before="0" w:after="240"/>
        <w:jc w:val="center"/>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Company Overview</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are a clinical-stage biopharmaceutical company dedicated to the development of novel therapeutics for high unmet medical needs, including treatment-resistant metastatic breast cancer and amyotrophic lateral sclerosis (“ALS”), with the goal of improving patients’ lives. Our lead drug candidates, lasofoxifene and ATH-1105, are novel, small molecule therapies with the potential to address devastating diseases where current treatment options are limited or ineffective. With a strong commitment to scientific excellence and patient-centered innovation, we aim to advance meaningful new therapies that are designed to treat patients with treatment-resistant metastatic breast cancer and ALS. Our other product candidates include ATH-1020 and new early compounds to address neurodegenerative diseases.</w:t>
      </w:r>
    </w:p>
    <w:p>
      <w:pPr>
        <w:pStyle w:val="TextBody"/>
        <w:bidi w:val="0"/>
        <w:spacing w:before="0" w:after="240"/>
        <w:jc w:val="center"/>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Corporate Information</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were incorporated in Washington as a corporation in March 2011 under the name M3 Biotechnology, Inc. In October 2015, we converted to a Delaware corporation and subsequently changed our name to “Athira Pharma, Inc.” In January 2026, we changed our name to “LeonaBio, Inc.” Our principal executive office is located at 18706 North Creek Parkway, Suite 104, Bothell Washington 98011. Our telephone number is (425) 620-8501. Our website is www.leonabio.com. Information contained in, or that can be accessed through, our website is not a part of, and is not incorporated into, this report, and the inclusion of our website address in this report is an inactive textual reference only.</w:t>
      </w:r>
    </w:p>
    <w:p>
      <w:pPr>
        <w:pStyle w:val="TextBody"/>
        <w:bidi w:val="0"/>
        <w:spacing w:before="0" w:after="240"/>
        <w:jc w:val="center"/>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The Securities That May Be Offered</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selling stockholder named in this prospectus may offer and sell up to 5,502,402 shares of our common stock issuable upon the exercise of a pre-funded warrant. Our common stock is listed on The Nasdaq Capital Market under the symbol “LONA.” We will not receive any proceeds from sales by the selling stockholder of any of the shares of common stock covered by this prospectus. We will receive proceeds from any cash exercise of a pre-funded warrant to purchase the shares included in the shares that are being offered by the selling stockholder hereunder. See the section titled “Use of Proceeds.”</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Throughout this prospectus, when we refer to the shares of our common stock, the offer and sale of which are being registered on behalf of the selling stockholder, we are referring to the shares of common stock that have been issued to or are issuable upon the exercise of a pre-funded warrant to the stockholder listed in the section titled “Principal and Selling Stockholder,” pursuant to the applicable securities purchase agreement described below. When we refer to the selling stockholder in this prospectus, we are referring to Sermonix Pharmaceuticals, Inc. (“Sermonix”) and, as applicable, any donees, pledgees, transferees or other successors-in-interest selling shares received after the date of this prospectus from Sermonix as a gift, pledge or other non-sale related transfer.</w:t>
      </w:r>
    </w:p>
    <w:p>
      <w:pPr>
        <w:pStyle w:val="TextBody"/>
        <w:bidi w:val="0"/>
        <w:spacing w:before="0" w:after="0"/>
        <w:ind w:left="0" w:right="0" w:hanging="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0" w:after="240"/>
        <w:ind w:left="0" w:right="0" w:hanging="0"/>
        <w:jc w:val="center"/>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December 2025 Transaction with Sermonix</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December 18, 2025, we entered into a securities purchase agreement (the “Sermonix SPA”) with Sermonix. Pursuant to such agreement, Sermonix received a pre-funded warrant to purchase 5,502,402 shares of our common stock (the “Sermonix Pre-Funded Warrant”). The Sermonix Pre-Funded Warrant was issued in partial consideration for Sermonix’s entry into that certain License Agreement, dated as of December 18, 2025 (as may be amended, supplemented or otherwise modified from time to time, the “License Agreement”), by and between us and Sermonix, pursuant to which Sermonix granted us an exclusive license to develop, manufacture, commercialize and otherwise exploit products containing lasofoxifene in certain territories, in addition to further consideration as set forth in the License Agreement. The closing of the purchase and sale of the Sermonix Pre-Funded Warrant occurred on December 23, 2025. </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Sermonix Pre-Funded Warrant is exercisable at an exercise price of $0.001 per share, subject to adjustments as provided therein and the restrictions discussed below, following approval from the Company’s stockholders for the issuance of the shares of common stock upon exercise of the Sermonix Pre-Funded Warrant, which approval was obtained on March 18, 2026 (the “Sermonix Pre-Funded Warrant Stockholder Approval” and such limitation, the “Sermonix Pre-Funded Warrant Exercise Limitation”). The Sermonix Pre-Funded Warrant cannot be exercised if, immediately prior to or following such exercise, Sermonix, together with its affiliates and any other persons whose beneficial ownership of shares of our common stock would be aggregated with Sermonix for purposes of Section 13(d) of the Securities Exchange Act of 1934 (the “Exchange Act”), would beneficially own more than 4.99% (the “Sermonix Maximum Percentage”) of our outstanding shares of our common stock. The Sermonix Maximum Percentage may be increased or decreased by Sermonix with 61 days’ prior written notice to us. </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also entered into a registration rights agreement with Sermonix requiring us to register the resale of the shares issuable upon exercise of the Sermonix Pre-Funded Warrant.</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securities may be sold to or through underwriters, dealers or agents or directly to purchasers or as otherwise set forth in the section titled “Plan of Distribution.”.</w:t>
      </w:r>
    </w:p>
    <w:p>
      <w:pPr>
        <w:pStyle w:val="TextBody"/>
        <w:bidi w:val="0"/>
        <w:spacing w:before="0" w:after="240"/>
        <w:jc w:val="center"/>
        <w:rPr>
          <w:bdr w:val="single" w:sz="4" w:space="1" w:color="000000"/>
        </w:rPr>
      </w:pPr>
      <w:r>
        <w:rPr>
          <w:bdr w:val="single" w:sz="4" w:space="1" w:color="000000"/>
        </w:rPr>
        <w:t> </w:t>
      </w:r>
    </w:p>
    <w:p>
      <w:pPr>
        <w:pStyle w:val="TextBody"/>
        <w:bidi w:val="0"/>
        <w:spacing w:before="0" w:after="0"/>
        <w:ind w:left="0" w:right="0" w:hanging="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risk_factors"/>
      <w:bookmarkEnd w:id="7"/>
      <w:r>
        <w:rPr>
          <w:rFonts w:ascii="Times New Roman" w:hAnsi="Times New Roman"/>
          <w:b/>
          <w:color w:val="000000"/>
          <w:sz w:val="20"/>
        </w:rPr>
        <w:t>RISK FACTORS</w:t>
      </w:r>
    </w:p>
    <w:p>
      <w:pPr>
        <w:pStyle w:val="TextBody"/>
        <w:bidi w:val="0"/>
        <w:jc w:val="left"/>
        <w:rPr/>
      </w:pPr>
      <w:r>
        <w:rPr>
          <w:rFonts w:ascii="Times New Roman" w:hAnsi="Times New Roman"/>
          <w:i/>
          <w:color w:val="000000"/>
          <w:sz w:val="20"/>
        </w:rPr>
        <w:t xml:space="preserve">An investment in our securities involves a high degree of risk. Before you invest you should carefully consider the risks and uncertainties described in “Part I. Item 1A - Risk Factors” in our </w:t>
      </w:r>
      <w:r>
        <w:fldChar w:fldCharType="begin"/>
      </w:r>
      <w:r>
        <w:rPr>
          <w:rStyle w:val="InternetLink"/>
          <w:sz w:val="20"/>
          <w:i/>
          <w:u w:val="single"/>
          <w:rFonts w:ascii="Times New Roman" w:hAnsi="Times New Roman"/>
          <w:color w:val="0000FF"/>
        </w:rPr>
        <w:instrText xml:space="preserve"> HYPERLINK "https://www.sec.gov/ix?doc=/Archives/edgar/data/0001620463/000119312526134565/lona-20251231.htm" \l "fact-identifier-14"</w:instrText>
      </w:r>
      <w:r>
        <w:rPr>
          <w:rStyle w:val="InternetLink"/>
          <w:sz w:val="20"/>
          <w:i/>
          <w:u w:val="single"/>
          <w:rFonts w:ascii="Times New Roman" w:hAnsi="Times New Roman"/>
          <w:color w:val="0000FF"/>
        </w:rPr>
        <w:fldChar w:fldCharType="separate"/>
      </w:r>
      <w:r>
        <w:rPr>
          <w:rStyle w:val="InternetLink"/>
          <w:rFonts w:ascii="Times New Roman" w:hAnsi="Times New Roman"/>
          <w:i/>
          <w:color w:val="0000FF"/>
          <w:sz w:val="20"/>
          <w:u w:val="single"/>
        </w:rPr>
        <w:t>Annual Report on Form 10-K</w:t>
      </w:r>
      <w:r>
        <w:rPr>
          <w:rStyle w:val="InternetLink"/>
          <w:sz w:val="20"/>
          <w:i/>
          <w:u w:val="single"/>
          <w:rFonts w:ascii="Times New Roman" w:hAnsi="Times New Roman"/>
          <w:color w:val="0000FF"/>
        </w:rPr>
        <w:fldChar w:fldCharType="end"/>
      </w:r>
      <w:r>
        <w:rPr>
          <w:rFonts w:ascii="Times New Roman" w:hAnsi="Times New Roman"/>
          <w:i/>
          <w:color w:val="000000"/>
          <w:sz w:val="20"/>
        </w:rPr>
        <w:t>, filed with the SEC on March 31, 2026, which are incorporated by reference in this prospectus, together with all of the other information contained in this prospectus and the documents incorporated by reference herein. If any of these risks actually occur, our business, operating results and financial condition could be materially and adversely impacted, the market price of our common stock could decline and you could lose all or part of your investment. Additional risks and uncertainties not presently known or which we consider immaterial as of the date hereof may also have an adverse effect on our business. The Risk Factors are not guarantees that no such conditions exist as of the date of this prospectus and should not be interpreted as an affirmative statement that such risks or conditions have not materialized, in whole or in part. The risks and uncertainties we have described are not the only ones we face. Additional risks and uncertainties not presently known to us or that we currently deem immaterial may also affect our operations.</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cautionary_notes_regarding_forward_looki"/>
      <w:bookmarkEnd w:id="8"/>
      <w:r>
        <w:rPr>
          <w:rFonts w:ascii="Times New Roman" w:hAnsi="Times New Roman"/>
          <w:b/>
          <w:color w:val="000000"/>
          <w:sz w:val="20"/>
        </w:rPr>
        <w:t>CAUTIONARY NOTES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This prospectus and the information incorporated by reference herein contain certain forward-looking statements within the meaning of Section 27A of the Securities Act of 1933, as amended (the “Securities Act”) and Section 21E of the Exchange Act. Forward-looking statements are based on Company management’s beliefs and assumptions and on information currently available to management. The statements in this prospectus and the information incorporated by reference in this prospectus that are not purely historical are forward-looking statements. In some cases, you can identify forward-looking statements by such words as “anticipate,” “believe,” “continue,” “could,” “estimate,” “expect,” “intend,” “may,” “ongoing,” “plan,” “possible,” “potential,” “predict,” “on track,” “project,” “should,” “target,” “will,” “would” or the negative of these terms or words of similar import,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and are based on current expectations that involve risks and uncertainties, such as our plans, projections, objectives, expectations and intentions. These forward-looking statements include, but are not limited to, statements about: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sufficiency of our existing cash, cash equivalents and investments to fund our future operating expenses and capital expenditure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obtain funding for our operations, including funding necessary to develop and commercialize our drug candidates and funding necessary for the payment of future milestone and other payments that may be earned by our collaboration partners;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our nonclinical studies and clinical trials to demonstrate safety and efficacy of our drug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success, cost and timing of our development activities, nonclinical studies and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potential to complete the Phase 3 ELAINE-3 clinical trial for lasofoxifene and any subsequent clinical trials to show the clinical benefits of lasofoxifene;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 of our Phase 2 ATH-1105 clinical trial and any subsequent clinical trials to show the beneficial characteristics, safety and efficacy of ATH-1105;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rate and degree of market acceptance of our drug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 learnings from our ongoing clinical trials and their ability to inform and improve future clinical development plans;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and focus of our future clinical trials, and the reporting of data from those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anticipated milestone timelines, such as the timing of data releases, and our ability to meet such timelines;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plans relating to commercializing our drug candidates, if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plans and ability to establish sales, marketing and distribution infrastructure to commercialize any drug candidates for which we obtain approval;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attract and retain key managerial, scientific and clinical personnel and the expected contributions of such personnel;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 for lasofoxifene to be a new standard of care in the genetically defined patient group;</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accuracy of our estimates regarding expenses, future revenue, capital requirements and needs for additional financing;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pricing and reimbursement of our drug candidates, if approved;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reliance on third parties to conduct clinical trials of our drug candidates, and for the manufacture of our drug candidates for nonclinical studies and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beneficial characteristics, safety and efficacy of our drug candidates;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regulatory developments in the United States and other jurisdictions;</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obtain and maintain regulatory approval of our drug candidates in the United States and other jurisdictions, and any related restrictions, limitations or warnings in the label of any approved drug candidate;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future agreements with third parties in connection with the commercialization of our drug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plans, capacity and capability relating to the further development and manufacturing of our drug candidates, including additional indications for which we may pursue regulatory approval;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plans and ability to obtain or protect intellectual property rights, including extensions of existing patent terms where available;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drug candidates and technology;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outcome of legal proceedings which may in the future be instituted against us and certain of our directors and officers;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actions by activist stockholders, which have in the past been, and may in the future be, disruptive and could cause uncertainty about the strategic direction of our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size and growth potential of the markets for our drug candidates, if approved for commercial use, and our ability to serve those markets;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potential benefits of any strategic collaborations, partnerships, or other transactions we may enter into.</w:t>
      </w:r>
    </w:p>
    <w:p>
      <w:pPr>
        <w:pStyle w:val="TextBody"/>
        <w:bidi w:val="0"/>
        <w:jc w:val="left"/>
        <w:rPr/>
      </w:pPr>
      <w:r>
        <w:rPr/>
        <w:t> </w:t>
      </w:r>
    </w:p>
    <w:p>
      <w:pPr>
        <w:pStyle w:val="TextBody"/>
        <w:bidi w:val="0"/>
        <w:jc w:val="left"/>
        <w:rPr/>
      </w:pPr>
      <w:r>
        <w:rPr>
          <w:rFonts w:ascii="Times New Roman" w:hAnsi="Times New Roman"/>
          <w:color w:val="000000"/>
          <w:sz w:val="20"/>
        </w:rPr>
        <w:t xml:space="preserve">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the Risk Factors and elsewhere in “Part I. Item 1A - Risk Factors” in our </w:t>
      </w:r>
      <w:r>
        <w:fldChar w:fldCharType="begin"/>
      </w:r>
      <w:r>
        <w:rPr>
          <w:rStyle w:val="InternetLink"/>
          <w:sz w:val="20"/>
          <w:u w:val="single"/>
          <w:rFonts w:ascii="Times New Roman" w:hAnsi="Times New Roman"/>
          <w:color w:val="0000FF"/>
        </w:rPr>
        <w:instrText xml:space="preserve"> HYPERLINK "https://www.sec.gov/ix?doc=/Archives/edgar/data/0001620463/000119312526134565/lona-20251231.htm" \l "fact-identifier-14"</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Annual Report on Form 10-K</w:t>
      </w:r>
      <w:r>
        <w:rPr>
          <w:rStyle w:val="InternetLink"/>
          <w:sz w:val="20"/>
          <w:u w:val="single"/>
          <w:rFonts w:ascii="Times New Roman" w:hAnsi="Times New Roman"/>
          <w:color w:val="0000FF"/>
        </w:rPr>
        <w:fldChar w:fldCharType="end"/>
      </w:r>
      <w:r>
        <w:rPr>
          <w:rFonts w:ascii="Times New Roman" w:hAnsi="Times New Roman"/>
          <w:color w:val="000000"/>
          <w:sz w:val="20"/>
        </w:rPr>
        <w:t>, filed with the SEC on March 31, 2026. These statements, like all statements in this report, speak only as of their date and we undertake no obligation to update or revise these statements in light of future developments. Our ability to advance the development of our product candidates is subject to risks and uncertainties, including: (1) unexpected costs, charges or expenses resulting from any transactions; (2) potential adverse reactions or changes to business relationships resulting from the announcement or completion of any transactions; and (3) risks associated with the possible failure to realize certain anticipated benefits of any transactions, including with respect to future financial and operating results. The Risk Factors are not guarantees that no such conditions exist as of the date of this prospectus and should not be interpreted as an affirmative statement that such risks or conditions have not materialized, in whole or in part.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9" w:name="use_of_proceeds"/>
      <w:bookmarkEnd w:id="9"/>
      <w:r>
        <w:rPr>
          <w:rFonts w:ascii="Times New Roman" w:hAnsi="Times New Roman"/>
          <w:b/>
          <w:color w:val="000000"/>
          <w:sz w:val="20"/>
        </w:rPr>
        <w:t>USE OF PROCEEDS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not receive any of the proceeds from the sale of our securities by the selling stockholder.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receive proceeds from the cash exercise of the pre-funded warrant which, if exercised for cash with respect to all of the 5,502,402 shares of common stock underlying such pre-funded warrant at the exercise price per share of $0.001, would result in gross proceeds to us of approximately $5,502.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intend to use the net proceeds, if any, from the cash exercise of the pre-funded warrants and the warrants for working capital purposes and to advance lasofoxifene and the drug candidates in our existing pipeline.</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0" w:name="dividend_policy"/>
      <w:bookmarkEnd w:id="10"/>
      <w:r>
        <w:rPr>
          <w:rFonts w:ascii="Times New Roman" w:hAnsi="Times New Roman"/>
          <w:b/>
          <w:color w:val="000000"/>
          <w:sz w:val="20"/>
        </w:rPr>
        <w:t>DIVIDEND POLICY</w:t>
      </w:r>
    </w:p>
    <w:p>
      <w:pPr>
        <w:pStyle w:val="TextBody"/>
        <w:bidi w:val="0"/>
        <w:jc w:val="left"/>
        <w:rPr>
          <w:rFonts w:ascii="Times New Roman" w:hAnsi="Times New Roman"/>
          <w:color w:val="000000"/>
          <w:sz w:val="20"/>
        </w:rPr>
      </w:pPr>
      <w:r>
        <w:rPr>
          <w:rFonts w:ascii="Times New Roman" w:hAnsi="Times New Roman"/>
          <w:color w:val="000000"/>
          <w:sz w:val="20"/>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our credit facility materially restricts, and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current or then-existing debt instruments and other factors our board of directors deems relevant.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description_of_capital_stock"/>
      <w:bookmarkEnd w:id="11"/>
      <w:r>
        <w:rPr>
          <w:rFonts w:ascii="Times New Roman" w:hAnsi="Times New Roman"/>
          <w:b/>
          <w:color w:val="000000"/>
          <w:sz w:val="20"/>
        </w:rPr>
        <w:t>DESCRIPTION OF CAPITAL STOCK</w:t>
      </w:r>
    </w:p>
    <w:p>
      <w:pPr>
        <w:pStyle w:val="TextBody"/>
        <w:bidi w:val="0"/>
        <w:spacing w:before="0" w:after="240"/>
        <w:jc w:val="left"/>
        <w:rPr/>
      </w:pPr>
      <w:r>
        <w:rPr>
          <w:rFonts w:ascii="Times New Roman" w:hAnsi="Times New Roman"/>
          <w:color w:val="000000"/>
          <w:sz w:val="20"/>
        </w:rPr>
        <w:t xml:space="preserve">The description of our capital stock is incorporated by reference to </w:t>
      </w:r>
      <w:hyperlink r:id="rId3">
        <w:r>
          <w:rPr>
            <w:rStyle w:val="InternetLink"/>
            <w:rFonts w:ascii="Times New Roman" w:hAnsi="Times New Roman"/>
            <w:color w:val="0000FF"/>
            <w:sz w:val="20"/>
            <w:u w:val="single"/>
          </w:rPr>
          <w:t>Exhibit 4.2</w:t>
        </w:r>
      </w:hyperlink>
      <w:r>
        <w:rPr>
          <w:rFonts w:ascii="Times New Roman" w:hAnsi="Times New Roman"/>
          <w:color w:val="000000"/>
          <w:sz w:val="20"/>
        </w:rPr>
        <w:t xml:space="preserve"> of our Annual Report on Form 10-K for the fiscal year ended December 31, 2025, filed with the SEC on March 31,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March 16, 2026, there were 9,393,514 shares of our common stock issued and outstanding and there were 38 holders of record of our common stock. As of March 16, 2026, there were no outstanding shares of preferred stock.</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rincipal_and_selling_stockholders"/>
      <w:bookmarkEnd w:id="12"/>
      <w:r>
        <w:rPr>
          <w:rFonts w:ascii="Times New Roman" w:hAnsi="Times New Roman"/>
          <w:b/>
          <w:color w:val="000000"/>
          <w:sz w:val="20"/>
        </w:rPr>
        <w:t>PRINCIPAL AND SELLING STOCKHOLDERS</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certain information with respect to the beneficial ownership of our common stock as of March 16, 2026 for: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person who we know beneficially owns more than 5% of our common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of our named executive officers;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all of our directors and executive officers as a group</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percentage of beneficial ownership shown in the table is based upon 9,393,514 shares of common stock outstanding as of March 16,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computing the number of shares beneficially owned by a person and the percentage ownership of that person, we take into account shares of common stock issuable pursuant to stock options, warrants and restricted stock units that may be exercised or that are scheduled to vest on or before the 60th day after March 16, 2026. These shares are deemed to be outstanding and beneficially owned by the person holding those options, warrants or restricted stock units for the purpose of computing the percentage ownership of that person, but they are not treated as outstanding for the purpose of computing the percentage ownership of any other person.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as otherwise noted below, the address for each person listed in the table is c/o LeonaBio, Inc., 18706 North Creek Parkway, Suite 104, Bothell, Washington 98011.</w:t>
      </w:r>
    </w:p>
    <w:tbl>
      <w:tblPr>
        <w:tblW w:w="8582" w:type="dxa"/>
        <w:jc w:val="left"/>
        <w:tblInd w:w="0" w:type="dxa"/>
        <w:tblLayout w:type="fixed"/>
        <w:tblCellMar>
          <w:top w:w="28" w:type="dxa"/>
          <w:left w:w="28" w:type="dxa"/>
          <w:bottom w:w="28" w:type="dxa"/>
          <w:right w:w="28" w:type="dxa"/>
        </w:tblCellMar>
      </w:tblPr>
      <w:tblGrid>
        <w:gridCol w:w="5521"/>
        <w:gridCol w:w="146"/>
        <w:gridCol w:w="508"/>
        <w:gridCol w:w="587"/>
        <w:gridCol w:w="340"/>
        <w:gridCol w:w="340"/>
        <w:gridCol w:w="340"/>
        <w:gridCol w:w="340"/>
        <w:gridCol w:w="460"/>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8582" w:type="dxa"/>
            <w:gridSpan w:val="9"/>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7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15"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Beneficially Owned</w:t>
            </w:r>
          </w:p>
        </w:tc>
      </w:tr>
      <w:tr>
        <w:trPr/>
        <w:tc>
          <w:tcPr>
            <w:tcW w:w="5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 (#)</w:t>
            </w:r>
          </w:p>
        </w:tc>
        <w:tc>
          <w:tcPr>
            <w:tcW w:w="68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0"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b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and greater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Anders Hove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596,068 </w:t>
            </w:r>
          </w:p>
        </w:tc>
        <w:tc>
          <w:tcPr>
            <w:tcW w:w="68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6.35%</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Perceptive Entities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1,882,370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r>
      <w:tr>
        <w:trPr/>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Named executive officers and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8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Mark Litton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244,445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2.55%</w:t>
            </w:r>
          </w:p>
        </w:tc>
      </w:tr>
      <w:tr>
        <w:trPr/>
        <w:tc>
          <w:tcPr>
            <w:tcW w:w="5521"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Mark Worthington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89,259 </w:t>
            </w:r>
          </w:p>
        </w:tc>
        <w:tc>
          <w:tcPr>
            <w:tcW w:w="68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Javier San Martin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53,976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Joseph Edelman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1,882,370</w:t>
            </w:r>
          </w:p>
        </w:tc>
        <w:tc>
          <w:tcPr>
            <w:tcW w:w="68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19.99%</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John M. Fluke, Jr.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24,589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James A. Johnson (8)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10,228 </w:t>
            </w:r>
          </w:p>
        </w:tc>
        <w:tc>
          <w:tcPr>
            <w:tcW w:w="68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Barbara Kosacz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8,341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Kelly A. Romano (10)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16,412 </w:t>
            </w:r>
          </w:p>
        </w:tc>
        <w:tc>
          <w:tcPr>
            <w:tcW w:w="68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Grant Pickering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9,878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Michael Panzara (12)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7,185 </w:t>
            </w:r>
          </w:p>
        </w:tc>
        <w:tc>
          <w:tcPr>
            <w:tcW w:w="68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All current directors and executive officers as a group (12 persons)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2,473,404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 </w:t>
      </w:r>
      <w:r>
        <w:rPr>
          <w:rFonts w:ascii="Times New Roman" w:hAnsi="Times New Roman"/>
          <w:color w:val="000000"/>
          <w:sz w:val="20"/>
        </w:rPr>
        <w:t xml:space="preserve">Represents beneficial ownership of less than 1% of our outstanding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Schedule 13G/A filed with the Securities and Exchange Commission on January 8, 2026. Consists of (i) 250,348 shares of common stock which Acorn Bioventures, L.P. and Acorn Capital Advisors GP, LLC may be deemed to beneficially own and (ii) 345,720 shares of common stock which Acorn Bioventures 2, L.P. and Acorn Capital Advisors GP 2, LLC may be deemed to beneficially own. 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 Mr. Hove, in his capacity as Manager of each of Acorn Capital Advisors GP, LLC and Acorn Capital Advisors GP 2, LLC, may be deemed to beneficially own the shares beneficially owned by each of Acorn Capital Advisors GP, LLC and Acorn Capital Advisors GP 2, LLC. The business address of Acorn Bioventures, L.P. and Acorn Bioventures 2, L.P. is 420 Lexington Avenue, Suite 2626, New York, New York 10170.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Schedule 13D/A filed with the Securities and Exchange Commission on January 16, 2026. Consists of (i) 1,529,566 shares of common stock and 18,960 shares of common stock issuable upon the partial exercise of a pre-funded warrant that is exercisable within 60 days of March 16, 2026 held directly by Perceptive Life Sciences Master Fund, Ltd. (“Master Fund”), and (ii) 329,756 shares of common stock and 4,088 shares of common stock issuable upon the partial exercise of a pre-funded warrant that is exercisable within 60 days of March 16, 2026 held directly by Perceptive Xontogeny Venture Fund II, LP (“PXV II” and, together with Master Fund, “Perceptive Entities”). Perceptive Advisors LLC (“Perceptive Advisors”) is the investment advisor of Perceptive Life Sciences Master Fund Ltd (“Perceptive Master Fund”) and may be deemed to have beneficial ownership of the shares beneficially owned thereby. Perceptive Venture Advisors, LP (“Perceptive Venture”) is the investment manager to Perceptive Xontogeny Venture Fund II, LP (“PXV II”), and accordingly, may be deemed to beneficially own the securities directly held by PXV II. Joseph Edelman is the controlling person of Perceptive Advisors and Perceptive Venture and accordingly, may be deemed to have beneficial ownership of the shares beneficially owned by the Perceptive Master Fund, PXV II, Perceptive Advisors and Perceptive Venture. Perceptive Advisors, Perceptive Venture, the Perceptive Master Fund, PXV II and Mr. Edelman disclaim beneficial ownership of all such securities except to the extent of its or his pecuniary interest therein. The business address for each of Perceptive Advisors, Perceptive Venture, the Perceptive Master Fund, PXV II and Mr. Edelman is 51 Astor Place, 10th Floor, New York, NY 10003.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57,926 shares held of record by Dr. Litton, 656 shares held by Irrevocable Trust of OSL, 656 shares held by Irrevocable Trust of SWL, and 656 shares held by Irrevocable Trust of WGL, each irrevocable trust is for the benefit of Dr. Litton’s children, and options to purchase 184,551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18,376 shares held by Mr. Worthington and options to purchase 70,883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15,887 shares held by Dr. San Martin and options to purchase 38,089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the shares referenced in footnote (2) above and excludes 9,728 shares issuable upon the exercise of options held by Mr. Edelman, which are not exercisable within 60 days of March 16, 2026. Joseph Edelman is the managing member of Perceptive Advisors LLC and he may be deemed to beneficially own the shares held by Perceptive. Mr. Edelman disclaims beneficial ownership of all such securities except to the extent of its or his pecuniary interest therein.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373 shares held of record by Fluke Capital Management, L.P., 14,488 shares held by Mr. Fluke, and options to purchase 9,728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500 shares held by Mr. Johnson and options to purchase 9,728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options held by Ms. Kosacz to purchase 8,341 shares that are exercisable within 60 days of March 16, 2026.</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8,071 shares held by Ms. Romano and options to purchase 8,341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2,578 shares held by Mr. Pickering and options to purchase 7,300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options held by Dr. Panzara to purchase 7,185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2,020,518 shares held by our current directors and executive officers as a group, pre-funded warrants to purchase 23,048 shares that are exercisable within 60 days of March 16, 2026, and options to purchase 429,838 shares that are exercisable within 60 days of March 16, 2026.</w:t>
      </w:r>
    </w:p>
    <w:p>
      <w:pPr>
        <w:pStyle w:val="TextBody"/>
        <w:bidi w:val="0"/>
        <w:spacing w:before="120" w:after="283"/>
        <w:jc w:val="both"/>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included in this prospectus and related registration statement 5,502,402 shares of our common stock issuable upon the exercise of a pre-funded warrant issued in our December 2025 transaction with Sermonix to the selling stockholder. The term “selling stockholder” includes the stockholder listed below and their transferees, pledges, donees or other successors in interest selling shares received after the date of this prospectus from the selling stockholder as a permitted transfer. Information concerning the selling stockholder may change after the date of this prospectus and changed information will be presented in a supplement to this prospectus if and when required.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table below sets forth certain information with respect to the selling stockholder, including (1) the name and address of the selling stockholder; (2) the number of shares of our common stock beneficially owned by the selling stockholder prior to this offering; (3) the maximum number of shares being offered by the selling stockholder pursuant to this prospectus; and (4) the selling stockholder’s beneficial ownership after completion of this offering, assuming that all of the shares covered hereby (but no other shares, if any, held by the selling stockholder) are sold.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table is based on information supplied to us by the selling stockholder, with beneficial ownership and percentage ownership determined in accordance with the rules and regulations of the SEC, and includes information with respect to voting or investment power with respect to shares of stock. This information does not necessarily indicate beneficial ownership for any other purpose.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percentage of each selling stockholder’s ownership is based on 9,393,514 shares of common stock outstanding as of March 16, 2026. In computing the number of shares beneficially owned by a selling stockholder and the percentage ownership of that selling stockholder before this offering, shares of common stock underlying the pre-funded warrant held by that selling stockholder are deemed outstanding, as well as any other derivative securities that are exercisable as of March 16, 2026, or exercisable within 60 days thereafter. Such shares, however, are not deemed outstanding for the purposes of computing the percentage ownership of any other person. The percentage of beneficial ownership after this offering is based on shares outstanding on March 16, 2026, which includes the shares of our common stock registered for sale in this offering.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registration of the sale of shares of common stock held by and issuable to the selling stockholder upon exercise of the pre-funded warrant does not mean that the selling stockholder will sell or otherwise dispose of all or any of those securities. The selling stockholder may sell or otherwise dispose of all, a portion or none of such shares from time to time. We do not know the number of shares, if any, that will be offered for sale or other disposition by the selling stockholder under this prospectus. Furthermore, the selling stockholder may have sold, transferred or disposed of the shares of common stock covered hereby in transactions exempt from the registration requirements of the Securities Act since the date on which we filed this prospectus.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selling stockholder has not, nor within the past three years has had, any position, office or other material relationship with us or any of our predecessors or affiliates. The selling stockholder is not a broker-dealer or an affiliate of a broker-dealer, except as noted below. We have prepared the table below based on information given to us by, or on behalf of, the selling stockholder.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6"/>
        <w:gridCol w:w="146"/>
        <w:gridCol w:w="1050"/>
        <w:gridCol w:w="146"/>
        <w:gridCol w:w="1089"/>
        <w:gridCol w:w="146"/>
        <w:gridCol w:w="2460"/>
        <w:gridCol w:w="146"/>
        <w:gridCol w:w="1266"/>
        <w:gridCol w:w="146"/>
        <w:gridCol w:w="1474"/>
      </w:tblGrid>
      <w:tr>
        <w:trPr/>
        <w:tc>
          <w:tcPr>
            <w:tcW w:w="2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2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85"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Beneficial Ownership</w:t>
              <w:br/>
              <w:t>Before This Offering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Offered Hereby Issuable Upon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6"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Beneficial Ownership</w:t>
              <w:br/>
              <w:t>After This Offering</w:t>
            </w:r>
          </w:p>
        </w:tc>
      </w:tr>
      <w:tr>
        <w:trPr/>
        <w:tc>
          <w:tcPr>
            <w:tcW w:w="2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Selling Stockholder (1)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Number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Owned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Percentage of</w:t>
            </w:r>
          </w:p>
          <w:p>
            <w:pPr>
              <w:pStyle w:val="TableContents"/>
              <w:bidi w:val="0"/>
              <w:jc w:val="center"/>
              <w:rPr>
                <w:rFonts w:ascii="Times New Roman" w:hAnsi="Times New Roman"/>
                <w:b/>
                <w:color w:val="000000"/>
                <w:sz w:val="16"/>
              </w:rPr>
            </w:pPr>
            <w:r>
              <w:rPr>
                <w:rFonts w:ascii="Times New Roman" w:hAnsi="Times New Roman"/>
                <w:b/>
                <w:color w:val="000000"/>
                <w:sz w:val="16"/>
              </w:rPr>
              <w:t>Outstanding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6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Exercise of Sermonix</w:t>
            </w:r>
          </w:p>
          <w:p>
            <w:pPr>
              <w:pStyle w:val="TableContents"/>
              <w:bidi w:val="0"/>
              <w:jc w:val="center"/>
              <w:rPr>
                <w:rFonts w:ascii="Times New Roman" w:hAnsi="Times New Roman"/>
                <w:b/>
                <w:color w:val="000000"/>
                <w:sz w:val="16"/>
              </w:rPr>
            </w:pPr>
            <w:r>
              <w:rPr>
                <w:rFonts w:ascii="Times New Roman" w:hAnsi="Times New Roman"/>
                <w:b/>
                <w:color w:val="000000"/>
                <w:sz w:val="16"/>
              </w:rPr>
              <w:t>Pre-Funded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Number of Shares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7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Percentage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Shares</w:t>
            </w:r>
          </w:p>
        </w:tc>
      </w:tr>
      <w:tr>
        <w:trPr/>
        <w:tc>
          <w:tcPr>
            <w:tcW w:w="2136"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Sermonix Pharmaceuticals,</w:t>
            </w:r>
          </w:p>
          <w:p>
            <w:pPr>
              <w:pStyle w:val="TableContents"/>
              <w:bidi w:val="0"/>
              <w:spacing w:before="0" w:after="283"/>
              <w:jc w:val="left"/>
              <w:rPr>
                <w:color w:val="000000"/>
              </w:rPr>
            </w:pPr>
            <w:r>
              <w:rPr>
                <w:color w:val="000000"/>
              </w:rPr>
              <w:t>   </w:t>
            </w:r>
            <w:r>
              <w:rPr>
                <w:rFonts w:ascii="Times New Roman" w:hAnsi="Times New Roman"/>
                <w:color w:val="000000"/>
                <w:sz w:val="20"/>
              </w:rPr>
              <w:t>Inc.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5,502,402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6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Less than one percent.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table and the information in the notes below are based upon information supplied by the selling stockholder and shares of our common stock outstanding as of March 16,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Sermonix Pre-Funded Warrant is subject to beneficial ownership limitations such that the Sermonix Pre-Funded may not be exercised if, immediately prior to or following such exercise, the selling stockholder, together with its affiliates and any other persons whose beneficial ownership of shares of our common stock would be aggregated with the selling stockholder for purposes of Section 13(d) of the Exchange Act, would beneficially own more than the Sermonix Maximum Percentage of the total number of issued and outstanding shares of our common stock following such exercise. The Sermonix Maximum Percentage for the Sermonix Pre-Funded Warrant is 4.99%.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David Portman is the Chief Executive Officer of Sermonix and may be deemed to beneficially own the securities held by Sermonix. The address of Sermonix is 250 East Broad Street, Suite 250, Columbus, OH 43215.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lan_of_distribution"/>
      <w:bookmarkEnd w:id="13"/>
      <w:r>
        <w:rPr>
          <w:rFonts w:ascii="Times New Roman" w:hAnsi="Times New Roman"/>
          <w:b/>
          <w:color w:val="000000"/>
          <w:sz w:val="20"/>
        </w:rPr>
        <w:t>PLAN OF DISTRIBUTION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jc w:val="left"/>
        <w:rPr>
          <w:rFonts w:ascii="Times New Roman" w:hAnsi="Times New Roman"/>
          <w:color w:val="000000"/>
          <w:sz w:val="20"/>
        </w:rPr>
      </w:pPr>
      <w:r>
        <w:rPr>
          <w:rFonts w:ascii="Times New Roman" w:hAnsi="Times New Roman"/>
          <w:color w:val="000000"/>
          <w:sz w:val="20"/>
        </w:rPr>
        <w:t xml:space="preserve">These sales may be effected in transactions, which may involve crosses or block transactions. The selling stockholders may use any one or more of the following methods when disposing of shares or interests therein: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distributions to members, partners, stockholders or other equityholders of the selling stockholders;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ordinary brokerage transactions and transactions in which the broker-dealer solicits purchasers;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block trades in which the broker-dealer will attempt to sell the shares as agent, but may position and resell a portion of the block as principal to facilitate the transaction;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purchases by a broker-dealer as principal and resale by the broker-dealer for its account;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exchange distribution in accordance with the rules of the applicable exchange;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privately negotiated transactions;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short sales and settlement of short sales entered into after the effective date of the registration statement of which this prospectus is a part;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through the writing or settlement of options or other hedging transactions, whether such options are listed on an options exchange or otherwise;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broker-dealers may agree with the selling stockholders to sell a specified number of such shares at a stipulated price per share;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 combination of any such methods of sale;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any other method permitted pursuant to applicable law.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or donate the shares of common stock in other circumstances, in which case the transferees, pledgees or other successors in interest will be the selling stockholders for purposes of this prospectus.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from this offering. Upon any exercise of the pre-funded warrant by payment of cash, however, we will receive the exercise price of the pre-funded warrant.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Each selling stockholder has informed the Company that it is not a registered broker-dealer and does not have any written or oral agreement or understanding, directly or indirectly, with any person to distribute the common stock.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(1) the name of each such selling stockholder and of the participating broker-dealer(s), (2) the number of shares involved, (3) the price at which such the shares of common stock were sold, (4) the commissions paid or discounts or concessions allowed to such broker-dealer(s), where applicable, (5) that such broker-dealer(s) did not conduct any investigation to verify the information set out or incorporated by reference in this prospectus and (6) other facts material to the transaction. In no event shall any broker-dealer receive fees, commissions and markups, which, in the aggregate, would exceed 8.0%. 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There can be no assurance that any selling stockholder will sell any or all of the shares of common stock registered pursuant to the registration statement, of which this prospectus forms a part.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agreed to indemnify the selling stockholders against liabilities, including liabilities under the Securities Act and state securities laws, relating to the registration of the shares offered by this prospectus.</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agreed with the selling stockholders to use commercially reasonable efforts to cause the registration statement of which this prospectus constitutes a part to become effective and to remain continuously effective until the earlier of: (1) the date on which the selling stockholders shall have resold or otherwise disposed of all the shares covered by this prospectus pursuant to any applicable securities exemption, including Rule 144 (or any successor provision) or pursuant to this prospectus, and (2)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pay all expenses of the registration of the shares of common stock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legal_matters"/>
      <w:bookmarkEnd w:id="14"/>
      <w:r>
        <w:rPr>
          <w:rFonts w:ascii="Times New Roman" w:hAnsi="Times New Roman"/>
          <w:b/>
          <w:color w:val="000000"/>
          <w:sz w:val="20"/>
        </w:rPr>
        <w:t>LEGAL MATTERS</w:t>
      </w:r>
    </w:p>
    <w:p>
      <w:pPr>
        <w:pStyle w:val="TextBody"/>
        <w:bidi w:val="0"/>
        <w:jc w:val="left"/>
        <w:rPr>
          <w:rFonts w:ascii="Times New Roman" w:hAnsi="Times New Roman"/>
          <w:color w:val="000000"/>
          <w:sz w:val="20"/>
        </w:rPr>
      </w:pPr>
      <w:r>
        <w:rPr>
          <w:rFonts w:ascii="Times New Roman" w:hAnsi="Times New Roman"/>
          <w:color w:val="000000"/>
          <w:sz w:val="20"/>
        </w:rPr>
        <w:t>The validity of the securities offered hereby will be passed upon for us by Wilson Sonsini Goodrich &amp; Rosati, Professional Corporation, Seattle, Washington. Certain members of, and investment partnerships comprised of members of, and persons associated with, Wilson Sonsini Goodrich &amp; Rosati, P.C. own less than 1% of our common stock.</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experts"/>
      <w:bookmarkEnd w:id="15"/>
      <w:r>
        <w:rPr>
          <w:rFonts w:ascii="Times New Roman" w:hAnsi="Times New Roman"/>
          <w:b/>
          <w:color w:val="000000"/>
          <w:sz w:val="20"/>
        </w:rPr>
        <w:t>EXPERTS</w:t>
      </w:r>
    </w:p>
    <w:p>
      <w:pPr>
        <w:pStyle w:val="TextBody"/>
        <w:bidi w:val="0"/>
        <w:jc w:val="left"/>
        <w:rPr/>
      </w:pPr>
      <w:r>
        <w:rPr>
          <w:rFonts w:ascii="Times New Roman" w:hAnsi="Times New Roman"/>
          <w:color w:val="000000"/>
          <w:sz w:val="20"/>
        </w:rPr>
        <w:t xml:space="preserve">Ernst &amp; Young LLP, independent registered public accounting firm, has audited our consolidated financial statements included in our </w:t>
      </w:r>
      <w:r>
        <w:fldChar w:fldCharType="begin"/>
      </w:r>
      <w:r>
        <w:rPr>
          <w:rStyle w:val="InternetLink"/>
          <w:sz w:val="20"/>
          <w:u w:val="single"/>
          <w:rFonts w:ascii="Times New Roman" w:hAnsi="Times New Roman"/>
          <w:color w:val="0000FF"/>
        </w:rPr>
        <w:instrText xml:space="preserve"> HYPERLINK "https://www.sec.gov/ix?doc=/Archives/edgar/data/0001620463/000119312526134565/lona-20251231.htm" \l "fact-identifier-14"</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Annual Report on Form 10-K</w:t>
      </w:r>
      <w:r>
        <w:rPr>
          <w:rStyle w:val="InternetLink"/>
          <w:sz w:val="20"/>
          <w:u w:val="single"/>
          <w:rFonts w:ascii="Times New Roman" w:hAnsi="Times New Roman"/>
          <w:color w:val="0000FF"/>
        </w:rPr>
        <w:fldChar w:fldCharType="end"/>
      </w:r>
      <w:r>
        <w:rPr>
          <w:rFonts w:ascii="Times New Roman" w:hAnsi="Times New Roman"/>
          <w:color w:val="000000"/>
          <w:sz w:val="20"/>
        </w:rPr>
        <w:t xml:space="preserve">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where_you_can_find_more_information"/>
      <w:bookmarkEnd w:id="16"/>
      <w:r>
        <w:rPr>
          <w:rFonts w:ascii="Times New Roman" w:hAnsi="Times New Roman"/>
          <w:b/>
          <w:color w:val="000000"/>
          <w:sz w:val="20"/>
        </w:rPr>
        <w:t>WHERE YOU CAN FIND MORE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color w:val="000000"/>
          <w:sz w:val="20"/>
        </w:rPr>
        <w:t>www.sec.gov</w:t>
      </w:r>
      <w:r>
        <w:rPr>
          <w:rFonts w:ascii="Times New Roman" w:hAnsi="Times New Roman"/>
          <w:color w:val="000000"/>
          <w:sz w:val="20"/>
        </w:rPr>
        <w:t xml:space="preserve">. Copies of certain information filed by us with the SEC are also available on our website at </w:t>
      </w:r>
      <w:r>
        <w:rPr>
          <w:rFonts w:ascii="Times New Roman" w:hAnsi="Times New Roman"/>
          <w:i/>
          <w:color w:val="000000"/>
          <w:sz w:val="20"/>
        </w:rPr>
        <w:t>https://www.leonabio.com/</w:t>
      </w:r>
      <w:r>
        <w:rPr>
          <w:rFonts w:ascii="Times New Roman" w:hAnsi="Times New Roman"/>
          <w:color w:val="000000"/>
          <w:sz w:val="20"/>
        </w:rPr>
        <w:t>. Information accessible on or through our website is not a part of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is part of a registration statement that we filed with the SEC and does not contain all of the information in the registration statement. You should review the information and exhibits in the registration statement for further information on us and our consolidated subsidiaries and the securities that we are offering. Forms of any documents establishing the terms of the offered securities are filed as exhibits to the registration statement of which this prospectus forms a part or under cover of a Current Report on Form 8-K and incorporated in this prospectus by reference. Statements in this prospectus about these documents are summaries and each statement is qualified in all respects by reference to the document to which it refers. You should read the actual documents for a more complete description of the relevant matters.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incorporation_of_certain_information_by_"/>
      <w:bookmarkEnd w:id="17"/>
      <w:r>
        <w:rPr>
          <w:rFonts w:ascii="Times New Roman" w:hAnsi="Times New Roman"/>
          <w:b/>
          <w:color w:val="000000"/>
          <w:sz w:val="20"/>
        </w:rPr>
        <w:t>INCORPORATION OF CERTAIN INFORMATION BY REFERENCE</w:t>
      </w:r>
    </w:p>
    <w:p>
      <w:pPr>
        <w:pStyle w:val="TextBody"/>
        <w:bidi w:val="0"/>
        <w:jc w:val="left"/>
        <w:rPr>
          <w:rFonts w:ascii="Times New Roman" w:hAnsi="Times New Roman"/>
          <w:color w:val="000000"/>
          <w:sz w:val="20"/>
        </w:rPr>
      </w:pPr>
      <w:r>
        <w:rPr>
          <w:rFonts w:ascii="Times New Roman" w:hAnsi="Times New Roman"/>
          <w:color w:val="000000"/>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forms a part is terminated or completed: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 xml:space="preserve">our Annual Report on Form 10-K for the year ended December 31, 2025, filed with the SEC on </w:t>
      </w:r>
      <w:r>
        <w:fldChar w:fldCharType="begin"/>
      </w:r>
      <w:r>
        <w:rPr>
          <w:rStyle w:val="InternetLink"/>
          <w:sz w:val="20"/>
          <w:u w:val="single"/>
          <w:rFonts w:ascii="Times New Roman" w:hAnsi="Times New Roman"/>
          <w:color w:val="0000FF"/>
        </w:rPr>
        <w:instrText xml:space="preserve"> HYPERLINK "https://www.sec.gov/ix?doc=/Archives/edgar/data/0001620463/000119312526134565/lona-20251231.htm" \l "fact-identifier-14"</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March 31, 2026</w:t>
      </w:r>
      <w:r>
        <w:rPr>
          <w:rStyle w:val="InternetLink"/>
          <w:sz w:val="20"/>
          <w:u w:val="single"/>
          <w:rFonts w:ascii="Times New Roman" w:hAnsi="Times New Roman"/>
          <w:color w:val="0000FF"/>
        </w:rPr>
        <w:fldChar w:fldCharType="end"/>
      </w:r>
      <w:r>
        <w:rPr>
          <w:rFonts w:ascii="Times New Roman" w:hAnsi="Times New Roman"/>
          <w:color w:val="000000"/>
          <w:sz w:val="20"/>
        </w:rPr>
        <w:t>;</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 xml:space="preserve">our Current Reports on Form 8-K filed with the SEC on </w:t>
      </w:r>
      <w:hyperlink r:id="rId4">
        <w:r>
          <w:rPr>
            <w:rStyle w:val="InternetLink"/>
            <w:rFonts w:ascii="Times New Roman" w:hAnsi="Times New Roman"/>
            <w:color w:val="0000FF"/>
            <w:sz w:val="20"/>
            <w:u w:val="single"/>
          </w:rPr>
          <w:t>January 9, 2026</w:t>
        </w:r>
      </w:hyperlink>
      <w:r>
        <w:rPr>
          <w:rFonts w:ascii="Times New Roman" w:hAnsi="Times New Roman"/>
          <w:color w:val="000000"/>
          <w:sz w:val="24"/>
        </w:rPr>
        <w:t>,</w:t>
      </w:r>
      <w:r>
        <w:rPr>
          <w:color w:val="000000"/>
        </w:rPr>
        <w:t xml:space="preserve"> </w:t>
      </w:r>
      <w:hyperlink r:id="rId5">
        <w:r>
          <w:rPr>
            <w:rStyle w:val="InternetLink"/>
            <w:rFonts w:ascii="Times New Roman" w:hAnsi="Times New Roman"/>
            <w:color w:val="0000FF"/>
            <w:sz w:val="20"/>
            <w:u w:val="single"/>
          </w:rPr>
          <w:t>March 19, 2026</w:t>
        </w:r>
      </w:hyperlink>
      <w:r>
        <w:rPr>
          <w:rFonts w:ascii="Times New Roman" w:hAnsi="Times New Roman"/>
          <w:color w:val="000000"/>
          <w:sz w:val="24"/>
        </w:rPr>
        <w:t xml:space="preserve">, </w:t>
      </w:r>
      <w:r>
        <w:rPr>
          <w:rFonts w:ascii="Times New Roman" w:hAnsi="Times New Roman"/>
          <w:color w:val="000000"/>
          <w:sz w:val="20"/>
        </w:rPr>
        <w:t xml:space="preserve">and </w:t>
      </w:r>
      <w:hyperlink r:id="rId6">
        <w:r>
          <w:rPr>
            <w:rStyle w:val="InternetLink"/>
            <w:rFonts w:ascii="Times New Roman" w:hAnsi="Times New Roman"/>
            <w:color w:val="0000FF"/>
            <w:sz w:val="20"/>
            <w:u w:val="single"/>
          </w:rPr>
          <w:t>March 31, 2026</w:t>
        </w:r>
      </w:hyperlink>
      <w:r>
        <w:rPr>
          <w:color w:val="000000"/>
        </w:rPr>
        <w:t xml:space="preserve"> </w:t>
      </w:r>
      <w:r>
        <w:rPr>
          <w:rFonts w:ascii="Times New Roman" w:hAnsi="Times New Roman"/>
          <w:color w:val="000000"/>
          <w:sz w:val="20"/>
        </w:rPr>
        <w:t>(other than information furnished and not filed under such Current Reports on Form 8-K); and</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 xml:space="preserve">the description of our common stock contained in the Registration Statement on Form 8-A relating thereto, filed with the SEC on </w:t>
      </w:r>
      <w:hyperlink r:id="rId7">
        <w:r>
          <w:rPr>
            <w:rStyle w:val="InternetLink"/>
            <w:rFonts w:ascii="Times New Roman" w:hAnsi="Times New Roman"/>
            <w:color w:val="0000FF"/>
            <w:sz w:val="20"/>
            <w:u w:val="single"/>
          </w:rPr>
          <w:t>September 9, 2020</w:t>
        </w:r>
      </w:hyperlink>
      <w:r>
        <w:rPr>
          <w:rFonts w:ascii="Times New Roman" w:hAnsi="Times New Roman"/>
          <w:color w:val="000000"/>
          <w:sz w:val="20"/>
        </w:rPr>
        <w:t>, including any amendment or report filed for the purpose of updating such description.</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may request a copy of these filings, at no cost, by writing or telephoning us at the following address and telephone number:</w:t>
      </w:r>
    </w:p>
    <w:p>
      <w:pPr>
        <w:pStyle w:val="TextBody"/>
        <w:bidi w:val="0"/>
        <w:jc w:val="center"/>
        <w:rPr>
          <w:rFonts w:ascii="Times New Roman" w:hAnsi="Times New Roman"/>
          <w:color w:val="000000"/>
          <w:sz w:val="20"/>
        </w:rPr>
      </w:pPr>
      <w:r>
        <w:rPr>
          <w:rFonts w:ascii="Times New Roman" w:hAnsi="Times New Roman"/>
          <w:color w:val="000000"/>
          <w:sz w:val="20"/>
        </w:rPr>
        <w:t>LeonaBio, Inc.</w:t>
      </w:r>
    </w:p>
    <w:p>
      <w:pPr>
        <w:pStyle w:val="TextBody"/>
        <w:bidi w:val="0"/>
        <w:jc w:val="center"/>
        <w:rPr>
          <w:rFonts w:ascii="Times New Roman" w:hAnsi="Times New Roman"/>
          <w:color w:val="000000"/>
          <w:sz w:val="20"/>
        </w:rPr>
      </w:pPr>
      <w:r>
        <w:rPr>
          <w:rFonts w:ascii="Times New Roman" w:hAnsi="Times New Roman"/>
          <w:color w:val="000000"/>
          <w:sz w:val="20"/>
        </w:rPr>
        <w:t>18706 North Creek Parkway, Suite 104</w:t>
      </w:r>
    </w:p>
    <w:p>
      <w:pPr>
        <w:pStyle w:val="TextBody"/>
        <w:bidi w:val="0"/>
        <w:jc w:val="center"/>
        <w:rPr>
          <w:rFonts w:ascii="Times New Roman" w:hAnsi="Times New Roman"/>
          <w:color w:val="000000"/>
          <w:sz w:val="20"/>
        </w:rPr>
      </w:pPr>
      <w:r>
        <w:rPr>
          <w:rFonts w:ascii="Times New Roman" w:hAnsi="Times New Roman"/>
          <w:color w:val="000000"/>
          <w:sz w:val="20"/>
        </w:rPr>
        <w:t>Bothell, Washington 98011</w:t>
      </w:r>
    </w:p>
    <w:p>
      <w:pPr>
        <w:pStyle w:val="TextBody"/>
        <w:bidi w:val="0"/>
        <w:jc w:val="center"/>
        <w:rPr>
          <w:rFonts w:ascii="Times New Roman" w:hAnsi="Times New Roman"/>
          <w:color w:val="000000"/>
          <w:sz w:val="20"/>
        </w:rPr>
      </w:pPr>
      <w:r>
        <w:rPr>
          <w:rFonts w:ascii="Times New Roman" w:hAnsi="Times New Roman"/>
          <w:color w:val="000000"/>
          <w:sz w:val="20"/>
        </w:rPr>
        <w:t>Attn: Investor Relations</w:t>
      </w:r>
    </w:p>
    <w:p>
      <w:pPr>
        <w:pStyle w:val="TextBody"/>
        <w:bidi w:val="0"/>
        <w:jc w:val="center"/>
        <w:rPr>
          <w:rFonts w:ascii="Times New Roman" w:hAnsi="Times New Roman"/>
          <w:color w:val="000000"/>
          <w:sz w:val="20"/>
        </w:rPr>
      </w:pPr>
      <w:r>
        <w:rPr>
          <w:rFonts w:ascii="Times New Roman" w:hAnsi="Times New Roman"/>
          <w:color w:val="000000"/>
          <w:sz w:val="20"/>
        </w:rPr>
        <w:t>(425) 620-8501</w:t>
      </w:r>
    </w:p>
    <w:p>
      <w:pPr>
        <w:pStyle w:val="TextBody"/>
        <w:bidi w:val="0"/>
        <w:jc w:val="left"/>
        <w:rPr>
          <w:rFonts w:ascii="Times New Roman" w:hAnsi="Times New Roman"/>
          <w:color w:val="000000"/>
          <w:sz w:val="20"/>
        </w:rPr>
      </w:pPr>
      <w:r>
        <w:rPr>
          <w:rFonts w:ascii="Times New Roman" w:hAnsi="Times New Roman"/>
          <w:color w:val="000000"/>
          <w:sz w:val="20"/>
        </w:rPr>
        <w:t>You may also access the documents incorporated by reference in this prospectus through our website at www.leonabio.com. Except for the specific incorporated documents listed above, no information available on or through our website shall be deemed to be incorporated in this prospectus or the registration statement of which it forms a part. Information contained on our website is not part of this prospectus.</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20"/>
        <w:jc w:val="center"/>
        <w:rPr/>
      </w:pPr>
      <w:bookmarkStart w:id="18" w:name="section_6"/>
      <w:bookmarkEnd w:id="18"/>
      <w:r>
        <w:rPr/>
        <w:drawing>
          <wp:inline distT="0" distB="0" distL="0" distR="0">
            <wp:extent cx="1476375" cy="1562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1476375" cy="156210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LeonaBio, Inc.</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5,502,402 Shares of Common Stock</w:t>
        <w:br/>
        <w:t>Offered by the Selling Stockholder</w:t>
      </w:r>
    </w:p>
    <w:p>
      <w:pPr>
        <w:pStyle w:val="TextBody"/>
        <w:bidi w:val="0"/>
        <w:jc w:val="center"/>
        <w:rPr/>
      </w:pPr>
      <w:r>
        <w:rPr/>
        <w:t> </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240"/>
        <w:jc w:val="center"/>
        <w:rPr>
          <w:rFonts w:ascii="Times New Roman" w:hAnsi="Times New Roman"/>
          <w:b/>
          <w:color w:val="000000"/>
          <w:sz w:val="20"/>
        </w:rPr>
      </w:pPr>
      <w:bookmarkStart w:id="19" w:name="s4f1746defacd5bcf9e8c3caab5e71b37"/>
      <w:bookmarkEnd w:id="19"/>
      <w:r>
        <w:rPr>
          <w:rFonts w:ascii="Times New Roman" w:hAnsi="Times New Roman"/>
          <w:b/>
          <w:color w:val="000000"/>
          <w:sz w:val="20"/>
        </w:rPr>
        <w:t>INFORMATION NOT REQUIRED IN PROSPECTUS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13. Other Expenses of Issuance and Distribution</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fees and expenses to be paid by us in connection with the issuance and distribution of the securities being registered, other than discounts and commissions to be paid to agents or underwriters. All amounts shown are estimates except for the registration fee. </w:t>
      </w:r>
    </w:p>
    <w:p>
      <w:pPr>
        <w:pStyle w:val="TextBody"/>
        <w:bidi w:val="0"/>
        <w:jc w:val="left"/>
        <w:rPr/>
      </w:pPr>
      <w:r>
        <w:rPr/>
        <w:t> </w:t>
      </w:r>
    </w:p>
    <w:tbl>
      <w:tblPr>
        <w:tblW w:w="9483" w:type="dxa"/>
        <w:jc w:val="left"/>
        <w:tblInd w:w="0" w:type="dxa"/>
        <w:tblLayout w:type="fixed"/>
        <w:tblCellMar>
          <w:top w:w="28" w:type="dxa"/>
          <w:left w:w="28" w:type="dxa"/>
          <w:bottom w:w="28" w:type="dxa"/>
          <w:right w:w="28" w:type="dxa"/>
        </w:tblCellMar>
      </w:tblPr>
      <w:tblGrid>
        <w:gridCol w:w="8221"/>
        <w:gridCol w:w="211"/>
        <w:gridCol w:w="1051"/>
      </w:tblGrid>
      <w:tr>
        <w:trPr/>
        <w:tc>
          <w:tcPr>
            <w:tcW w:w="8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Amount to</w:t>
            </w:r>
          </w:p>
          <w:p>
            <w:pPr>
              <w:pStyle w:val="TableContents"/>
              <w:bidi w:val="0"/>
              <w:spacing w:before="0" w:after="283"/>
              <w:ind w:left="0" w:right="0" w:firstLine="360"/>
              <w:jc w:val="center"/>
              <w:rPr>
                <w:rFonts w:ascii="Times New Roman" w:hAnsi="Times New Roman"/>
                <w:b/>
                <w:color w:val="000000"/>
                <w:sz w:val="16"/>
              </w:rPr>
            </w:pPr>
            <w:r>
              <w:rPr>
                <w:rFonts w:ascii="Times New Roman" w:hAnsi="Times New Roman"/>
                <w:b/>
                <w:color w:val="000000"/>
                <w:sz w:val="16"/>
              </w:rPr>
              <w:t>be Paid</w:t>
            </w:r>
          </w:p>
        </w:tc>
      </w:tr>
      <w:tr>
        <w:trPr/>
        <w:tc>
          <w:tcPr>
            <w:tcW w:w="822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SEC registration fee for securities offered by the selling stockholder identified in the prospectus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4,719</w:t>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Accounting fees and expenses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w:t>
            </w:r>
          </w:p>
        </w:tc>
      </w:tr>
      <w:tr>
        <w:trPr/>
        <w:tc>
          <w:tcPr>
            <w:tcW w:w="822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Legal fees and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w:t>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Miscellaneous expenses</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w:t>
            </w:r>
          </w:p>
        </w:tc>
      </w:tr>
      <w:tr>
        <w:trPr/>
        <w:tc>
          <w:tcPr>
            <w:tcW w:w="8221" w:type="dxa"/>
            <w:tcBorders/>
            <w:shd w:fill="CFF0FC" w:val="clear"/>
            <w:tcMar>
              <w:top w:w="0" w:type="dxa"/>
              <w:left w:w="0" w:type="dxa"/>
              <w:bottom w:w="0" w:type="dxa"/>
              <w:right w:w="0" w:type="dxa"/>
            </w:tcMar>
            <w:vAlign w:val="center"/>
          </w:tcPr>
          <w:p>
            <w:pPr>
              <w:pStyle w:val="TableContents"/>
              <w:bidi w:val="0"/>
              <w:spacing w:before="0" w:after="283"/>
              <w:ind w:left="0" w:right="0" w:firstLine="576"/>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To be completed by amendment.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II-1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14. Indemnification of Officers and Directors</w:t>
      </w:r>
    </w:p>
    <w:p>
      <w:pPr>
        <w:pStyle w:val="TextBody"/>
        <w:bidi w:val="0"/>
        <w:jc w:val="left"/>
        <w:rPr>
          <w:rFonts w:ascii="Times New Roman" w:hAnsi="Times New Roman"/>
          <w:color w:val="000000"/>
          <w:sz w:val="20"/>
        </w:rPr>
      </w:pPr>
      <w:r>
        <w:rPr>
          <w:rFonts w:ascii="Times New Roman" w:hAnsi="Times New Roman"/>
          <w:color w:val="000000"/>
          <w:sz w:val="20"/>
        </w:rPr>
        <w:t>Section 145 of the Delaware General Corporation Law authorizes a corporation’s board of directors to grant, and authorizes a court to award, indemnity to officers, directors and other corporate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as amended, contains provisions that limit the liability of our directors and certain of our officers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breach of their duty of loyalty to us or our stockholders;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unlawful payments of dividends or unlawful stock repurchases or redemptions as provided in Section 174 of the Delaware General Corporation Law;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transaction from which they derived an improper personal benefit.</w:t>
      </w:r>
    </w:p>
    <w:p>
      <w:pPr>
        <w:pStyle w:val="TextBody"/>
        <w:bidi w:val="0"/>
        <w:jc w:val="left"/>
        <w:rPr>
          <w:rFonts w:ascii="Times New Roman" w:hAnsi="Times New Roman"/>
          <w:color w:val="000000"/>
          <w:sz w:val="20"/>
        </w:rPr>
      </w:pPr>
      <w:r>
        <w:rPr>
          <w:rFonts w:ascii="Times New Roman" w:hAnsi="Times New Roman"/>
          <w:color w:val="000000"/>
          <w:sz w:val="20"/>
        </w:rPr>
        <w:t>Similarly, our officers who at the time of an act or omission as to which liability is asserted consented to or are deemed to have consented to certain service of process rules under Delaware law will not be personally liable to us or our stockholders for monetary damages for any breach of fiduciary duties as officers, except for liability in connection with: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breach of their duty of loyalty to us or our stockholders;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transaction from which they derived an improper personal benefit;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action by or in the right of the corporation.</w:t>
      </w:r>
    </w:p>
    <w:p>
      <w:pPr>
        <w:pStyle w:val="TextBody"/>
        <w:bidi w:val="0"/>
        <w:jc w:val="left"/>
        <w:rPr>
          <w:rFonts w:ascii="Times New Roman" w:hAnsi="Times New Roman"/>
          <w:color w:val="000000"/>
          <w:sz w:val="20"/>
        </w:rPr>
      </w:pPr>
      <w:r>
        <w:rPr>
          <w:rFonts w:ascii="Times New Roman" w:hAnsi="Times New Roman"/>
          <w:color w:val="000000"/>
          <w:sz w:val="20"/>
        </w:rPr>
        <w:t>Any amendment, repeal or elimination of these provisions will not eliminate or reduce the effect of these provisions in respect of any act, omission or claim that occurred or arose prior to that amendment, repeal or elimination. If the Delaware General Corporation Law is amended to provide for further limitations on the personal liability of directors or officers of corporations, then the personal liability of our directors and officers will be further limited to the greatest extent permitted by the Delaware General Corporation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certificate of incorporation provides that we will indemnify our directors, and our bylaws provide that we will indemnify our directors and officers, and may indemnify our employees, agents and any other persons, to the fullest extent permitted by the Delaware General Corporation Law. Our bylaws also provide that we must advance expenses incurred by or on behalf of a director or officer in advance of the final disposition of any action or proceeding, subject to limited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we have entered into indemnification agreements with each of our directors and executive officers that may be broader than the specific indemnification provisions contained in the Delaware General Corporation Law.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limitation of liability and indemnification provisions in our certificate of incorporation, bylaws and indemnification agreements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our directors and officers as required by these indemnification provisions.</w:t>
      </w:r>
    </w:p>
    <w:p>
      <w:pPr>
        <w:pStyle w:val="TextBody"/>
        <w:bidi w:val="0"/>
        <w:jc w:val="center"/>
        <w:rPr>
          <w:rFonts w:ascii="Times New Roman" w:hAnsi="Times New Roman"/>
          <w:color w:val="000000"/>
          <w:sz w:val="22"/>
        </w:rPr>
      </w:pPr>
      <w:r>
        <w:rPr>
          <w:rFonts w:ascii="Times New Roman" w:hAnsi="Times New Roman"/>
          <w:color w:val="000000"/>
          <w:sz w:val="22"/>
        </w:rPr>
        <w:t>II-2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obtained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our directors and officers pursuant to our indemnification obligations or otherwise as a matter of law.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Certain of our non-employee directors may, through their relationships with their employers, be insured or indemnified against certain liabilities incurred in their capacity as members of our board of directors.</w:t>
      </w:r>
    </w:p>
    <w:p>
      <w:pPr>
        <w:pStyle w:val="TextBody"/>
        <w:bidi w:val="0"/>
        <w:jc w:val="left"/>
        <w:rPr>
          <w:rFonts w:ascii="Times New Roman" w:hAnsi="Times New Roman"/>
          <w:b/>
          <w:color w:val="000000"/>
          <w:sz w:val="20"/>
        </w:rPr>
      </w:pPr>
      <w:r>
        <w:rPr>
          <w:rFonts w:ascii="Times New Roman" w:hAnsi="Times New Roman"/>
          <w:b/>
          <w:color w:val="000000"/>
          <w:sz w:val="20"/>
        </w:rPr>
        <w:t>Item 15. Recent Sales of Unregistered Securities</w:t>
      </w:r>
    </w:p>
    <w:p>
      <w:pPr>
        <w:pStyle w:val="TextBody"/>
        <w:bidi w:val="0"/>
        <w:spacing w:before="0" w:after="240"/>
        <w:jc w:val="left"/>
        <w:rPr>
          <w:rFonts w:ascii="Times New Roman" w:hAnsi="Times New Roman"/>
          <w:color w:val="000000"/>
          <w:sz w:val="20"/>
        </w:rPr>
      </w:pPr>
      <w:bookmarkStart w:id="20" w:name="s06b62510401d588cae786ff8ef80064a"/>
      <w:bookmarkEnd w:id="20"/>
      <w:r>
        <w:rPr>
          <w:rFonts w:ascii="Times New Roman" w:hAnsi="Times New Roman"/>
          <w:color w:val="000000"/>
          <w:sz w:val="20"/>
        </w:rPr>
        <w:t>On December 18, 2025, we entered into a securities purchase agreement for a private placement with the PIPE Purchasers, one of which is affiliated with a member of our board of directors. Pursuant to such agreement, the PIPE Purchasers received an aggregate of (1) 5,356,547 shares of our common stock (the “PIPE Initial Shares”), (2) pre-funded warrants to purchase 8,816,684 shares of our common stock (the “PIPE Pre-Funded Warrants”), (3) warrants to purchase 23,031,494 shares of our common stock and/or pre-funded warrants (the “PIPE Series A Common Warrants”) and (4) warrants to purchase 21,259,842 shares of our common stock and/or pre-funded warrants (the “PIPE Series B Common Warrants” and, together with the PIPE Pre-Funded Warrants and the PIPE Series A Common Warrants, the “PIPE Warrants”). The purchase price for each PIPE Initial Share was $6.350 and the purchase price for each PIPE Pre-Funded Warrant was $6.349, for an aggregate purchase price of approximately $90 million. The closing of the purchase and sale of the PIPE Initial Shares and the PIPE Warrants occurred on December 23,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PIPE Initial Shares, the PIPE Warrants and the shares of our common stock underlying the PIPE Warrants offered and sold in the December 2025 private placement were offered and sold pursuant to an exemption from the registration requirements of the Securities Act under Section 4(a)(2) thereof, for a transaction by an issuer not involving any public offering, and/or Regulation S thereunder for sales to non-U.S. investors outside of the United States. We relied on this exemption from registration based in part on representations made by the PIPE Purchasers.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December 18, 2025, we entered into the Sermonix SPA. Pursuant to such agreement, Sermonix received the Sermonix Pre-Funded Warrant. The Sermonix Pre-Funded Warrant was issued in partial consideration for Sermonix’s entry into the License Agreement. The closing of the purchase and sale of the Sermonix Pre-Funded Warrant occurred on December 23,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shares of our common stock underlying the Sermonix Pre-Funded Warrant offered and sold in the December 2025 transaction with Sermonix were offered and sold pursuant to an exemption from the registration requirements of the Securities Act under Section 4(a)(2) thereof, for a transaction by an issuer not involving any public offering. We relied on this exemption from registration based in part on representations made by Sermonix.</w:t>
      </w:r>
    </w:p>
    <w:p>
      <w:pPr>
        <w:pStyle w:val="TextBody"/>
        <w:bidi w:val="0"/>
        <w:jc w:val="center"/>
        <w:rPr>
          <w:rFonts w:ascii="Times New Roman" w:hAnsi="Times New Roman"/>
          <w:color w:val="000000"/>
          <w:sz w:val="22"/>
        </w:rPr>
      </w:pPr>
      <w:r>
        <w:rPr>
          <w:rFonts w:ascii="Times New Roman" w:hAnsi="Times New Roman"/>
          <w:color w:val="000000"/>
          <w:sz w:val="22"/>
        </w:rPr>
        <w:t>II-3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16. Exhibits and Financial Statement Schedules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exhibits are filed as part of this registration statement.</w:t>
      </w:r>
    </w:p>
    <w:p>
      <w:pPr>
        <w:pStyle w:val="TextBody"/>
        <w:bidi w:val="0"/>
        <w:jc w:val="center"/>
        <w:rPr>
          <w:rFonts w:ascii="Times New Roman" w:hAnsi="Times New Roman"/>
          <w:b/>
          <w:color w:val="000000"/>
          <w:sz w:val="20"/>
        </w:rPr>
      </w:pPr>
      <w:r>
        <w:rPr>
          <w:rFonts w:ascii="Times New Roman" w:hAnsi="Times New Roman"/>
          <w:b/>
          <w:color w:val="000000"/>
          <w:sz w:val="20"/>
        </w:rPr>
        <w:t>Index to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347"/>
        <w:gridCol w:w="146"/>
        <w:gridCol w:w="550"/>
        <w:gridCol w:w="146"/>
        <w:gridCol w:w="900"/>
        <w:gridCol w:w="146"/>
        <w:gridCol w:w="631"/>
        <w:gridCol w:w="146"/>
        <w:gridCol w:w="134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60"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34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 xml:space="preserve">Amended and Restated Certificate of Incorporation of the Company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12, 2020</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Certificate of Amendment to the Amended and Restated Certificate of Incorporation of the Company dated May 23,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29, 2024</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Certificate of Amendment to the Amended and Restated Certificate of Incorporation of the Company dated September 10,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11, 2025</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Amendment to the Amended and Restated Certificate of Incorporation of the Company dated January 6,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9, 2026</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Certificate of Amendment to the Amended and Restated Certificate of Incorporation of the Company dated March 18,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March 19, 2026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9, 2026</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Specimen Common Stock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333-292826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 2026</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9"/>
                  <w:u w:val="single"/>
                </w:rPr>
                <w:t>Form of PIPE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18, 2025</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PIPE Series A Common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18, 2025</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PIPE Series B Common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18, 2025</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Sermonix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18, 2025</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PIPE Registration Rights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18, 2025</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Sermonix Registration Rights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18, 2025</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Opinion of Wilson Sonsini Goodrich &amp; Rosati, P.C.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333-292829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 2026</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Director and Executive Officer Indemnification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2014 Equity Incentive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II-4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8"/>
        <w:gridCol w:w="146"/>
        <w:gridCol w:w="5785"/>
        <w:gridCol w:w="146"/>
        <w:gridCol w:w="436"/>
        <w:gridCol w:w="146"/>
        <w:gridCol w:w="852"/>
        <w:gridCol w:w="146"/>
        <w:gridCol w:w="571"/>
        <w:gridCol w:w="146"/>
        <w:gridCol w:w="1213"/>
      </w:tblGrid>
      <w:tr>
        <w:trPr/>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2020 Equity Incentive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Stock Option Agreement under the 2020 Equity Incentive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Restricted Stock Award Agreement under the 2020 Equity Incentive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 of RSU Agreement under the 2020 Equity Incentive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2020 Employee Stock Purchase Plan, as amended and Form of Subscription Agreement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2026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Stock Option Agreement under the 2026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Restricted Stock Award Agreement under the 2026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Form of RSU Agreement under the 2026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Lease agreement, dated July 20, 2020, by and between the Registrant and North Creek Parkway Center Investors, LP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333-248428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9, 2020</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Outside Director Compensation Policy,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Executive Incentive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Confirmatory Employment Letter between the Registrant and Mark Litton, Ph.D.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333-248428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9, 2020</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Confirmatory Employment Letter between the Registrant and Kevin Church, Ph.D.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333-248428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9, 2020</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Amended and Restated Change in Control and Severance Agreement between the Registrant and Mark Litton, Ph.D.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31, 2022</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Employment Offer Letter between the Registrant and Mark Worthington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16, 2021</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Change in Control and Severance Agreement between the Registrant and Mark Worthington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16, 2021</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First Amendment to Lease by and between the Registrant and Nitrogen Propco 2020, L.P., as successor-in-interest to North Creek Parkway Center Investors, L.P., dated June 28, 2021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16, 2021</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Change in Control and Severance Agreement between the Registrant and Kevin Church</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2022</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Controlled Equity Offering Sales Agreement</w:t>
              </w:r>
            </w:hyperlink>
            <w:hyperlink r:id="rId45">
              <w:r>
                <w:rPr>
                  <w:rStyle w:val="InternetLink"/>
                  <w:rFonts w:ascii="Times New Roman" w:hAnsi="Times New Roman"/>
                  <w:color w:val="0000FF"/>
                  <w:sz w:val="13"/>
                  <w:u w:val="single"/>
                </w:rPr>
                <w:t>SM</w:t>
              </w:r>
            </w:hyperlink>
            <w:hyperlink r:id="rId46">
              <w:r>
                <w:rPr>
                  <w:rStyle w:val="InternetLink"/>
                  <w:rFonts w:ascii="Times New Roman" w:hAnsi="Times New Roman"/>
                  <w:color w:val="0000FF"/>
                  <w:sz w:val="20"/>
                  <w:u w:val="single"/>
                </w:rPr>
                <w:t>, dated January 6, 2023, among the Registrant, Cantor Fitzgerald &amp; Co. and BTIG,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6, 2023</w:t>
            </w:r>
          </w:p>
        </w:tc>
      </w:tr>
      <w:tr>
        <w:trPr/>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II-5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2"/>
        <w:gridCol w:w="146"/>
        <w:gridCol w:w="5511"/>
        <w:gridCol w:w="146"/>
        <w:gridCol w:w="506"/>
        <w:gridCol w:w="146"/>
        <w:gridCol w:w="884"/>
        <w:gridCol w:w="146"/>
        <w:gridCol w:w="571"/>
        <w:gridCol w:w="146"/>
        <w:gridCol w:w="1311"/>
      </w:tblGrid>
      <w:tr>
        <w:trPr/>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2024 Inducement Equity Incentive Plan and related form agreements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Employment Offer Letter between the Registrant and Javier San Martin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9, 2024</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Change in Control and Severance Agreement between the Registrant and Javier San Martin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9, 2024</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Employment Offer Letter between the Company and Robert Renninger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17, 2024</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Amended and Restated Change in Control and Severance Agreement between the Company and Robert Renninger, dated as of January 8,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9, 2026</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License Agreement between Sermonix Pharmaceuticals, Inc. and Athira Pharma, Inc. dated December 18,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License Agreement between Ligand Pharmaceuticals Incorporated and Athira Pharma, Inc. dated December 18,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Securities Purchase Agreement dated December 18, 2025, by and among the Company and the PIPE Purchasers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18, 2025</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Securities Purchase Agreement dated December 18, 2025, by and between the Company and Sermonix Pharmaceuticals,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18, 2025</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List of Subsidiaries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9, 2020</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hyperlink w:anchor="lona-ex23_1.htm">
              <w:r>
                <w:rPr>
                  <w:rStyle w:val="InternetLink"/>
                  <w:rFonts w:ascii="Times New Roman" w:hAnsi="Times New Roman"/>
                  <w:color w:val="0000FF"/>
                  <w:sz w:val="20"/>
                  <w:u w:val="single"/>
                </w:rPr>
                <w:t>Consent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Consent of Wilson Sonsini Goodrich &amp; Rosati, P.C. (included in Exhibit 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333-292829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 2026</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Power of Attorney (included on signature page to initial filing of registration statement)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1" w:type="dxa"/>
            <w:tcBorders/>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333-292829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 2026</w:t>
            </w:r>
          </w:p>
        </w:tc>
      </w:tr>
    </w:tbl>
    <w:p>
      <w:pPr>
        <w:pStyle w:val="TextBody"/>
        <w:pBdr>
          <w:bottom w:val="single" w:sz="4" w:space="1" w:color="000000"/>
        </w:pBdr>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 Indicates a management contract or compensatory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Certain confidential information contained in this exhibit, marked by [***], has been omitted because it is both (1) not material and (2) is the type that the Company treats as private and confidential.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 Previously filed with this registration statement on January 20, 2026.</w:t>
      </w:r>
    </w:p>
    <w:p>
      <w:pPr>
        <w:pStyle w:val="TextBody"/>
        <w:bidi w:val="0"/>
        <w:jc w:val="both"/>
        <w:rPr/>
      </w:pPr>
      <w:r>
        <w:rPr/>
        <w:t> </w:t>
      </w:r>
    </w:p>
    <w:p>
      <w:pPr>
        <w:pStyle w:val="TextBody"/>
        <w:bidi w:val="0"/>
        <w:spacing w:before="0" w:after="240"/>
        <w:jc w:val="left"/>
        <w:rPr/>
      </w:pPr>
      <w:bookmarkStart w:id="21" w:name="s029fb507a2805454889436ee26f0a859"/>
      <w:bookmarkEnd w:id="21"/>
      <w:r>
        <w:rPr/>
        <w:t> </w:t>
      </w:r>
    </w:p>
    <w:p>
      <w:pPr>
        <w:pStyle w:val="TextBody"/>
        <w:bidi w:val="0"/>
        <w:jc w:val="center"/>
        <w:rPr>
          <w:rFonts w:ascii="Times New Roman" w:hAnsi="Times New Roman"/>
          <w:color w:val="000000"/>
          <w:sz w:val="22"/>
        </w:rPr>
      </w:pPr>
      <w:r>
        <w:rPr>
          <w:rFonts w:ascii="Times New Roman" w:hAnsi="Times New Roman"/>
          <w:color w:val="000000"/>
          <w:sz w:val="22"/>
        </w:rPr>
        <w:t>II-6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17. Undertakings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 hereby undertakes:</w:t>
      </w:r>
    </w:p>
    <w:p>
      <w:pPr>
        <w:pStyle w:val="TextBody"/>
        <w:bidi w:val="0"/>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To include any prospectus required by section 10(a)(3) of the Securities 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jc w:val="left"/>
        <w:rPr>
          <w:rFonts w:ascii="Times New Roman" w:hAnsi="Times New Roman"/>
          <w:color w:val="000000"/>
          <w:sz w:val="20"/>
        </w:rPr>
      </w:pPr>
      <w:r>
        <w:rPr>
          <w:rFonts w:ascii="Times New Roman" w:hAnsi="Times New Roman"/>
          <w:color w:val="000000"/>
          <w:sz w:val="20"/>
        </w:rPr>
        <w:t>(c) include any material information with respect to the plan of distribution not previously disclosed in the Registration Statement or any material change to such information in the Registration Statement;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provided, however, that paragraphs (1)(a), (1)(b) and (1)(c) do not apply if the information required to be included in a post-effective amendment by those paragraphs is contained in reports filed with or furnished to the Commission by the registrant pursuant to Section 13 or 15(d) of the Exchange Act that are incorporated by reference in the registration statement.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(5) That, for the purpose of determining any liability under the Securities Act, each post-effective amendment that contains a form of prospectus shall be deemed to be a new registration statement relating to the securities </w:t>
      </w:r>
    </w:p>
    <w:p>
      <w:pPr>
        <w:pStyle w:val="TextBody"/>
        <w:bidi w:val="0"/>
        <w:jc w:val="center"/>
        <w:rPr>
          <w:rFonts w:ascii="Times New Roman" w:hAnsi="Times New Roman"/>
          <w:color w:val="000000"/>
          <w:sz w:val="22"/>
        </w:rPr>
      </w:pPr>
      <w:r>
        <w:rPr>
          <w:rFonts w:ascii="Times New Roman" w:hAnsi="Times New Roman"/>
          <w:color w:val="000000"/>
          <w:sz w:val="22"/>
        </w:rPr>
        <w:t>II-7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offered therein, and the offering of such securities at that time shall be deemed to be the initial bona fide offering thereof; and</w:t>
      </w:r>
    </w:p>
    <w:p>
      <w:pPr>
        <w:pStyle w:val="TextBody"/>
        <w:bidi w:val="0"/>
        <w:spacing w:before="0" w:after="240"/>
        <w:jc w:val="left"/>
        <w:rPr>
          <w:rFonts w:ascii="Times New Roman" w:hAnsi="Times New Roman"/>
          <w:color w:val="000000"/>
          <w:sz w:val="20"/>
        </w:rPr>
      </w:pPr>
      <w:bookmarkStart w:id="22" w:name="s3858a4565b7f5a7aa5e5e9dc59147465"/>
      <w:bookmarkEnd w:id="22"/>
      <w:r>
        <w:rPr>
          <w:rFonts w:ascii="Times New Roman" w:hAnsi="Times New Roman"/>
          <w:color w:val="000000"/>
          <w:sz w:val="20"/>
        </w:rPr>
        <w:t>(6)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jc w:val="center"/>
        <w:rPr>
          <w:rFonts w:ascii="Times New Roman" w:hAnsi="Times New Roman"/>
          <w:color w:val="000000"/>
          <w:sz w:val="22"/>
        </w:rPr>
      </w:pPr>
      <w:r>
        <w:rPr>
          <w:rFonts w:ascii="Times New Roman" w:hAnsi="Times New Roman"/>
          <w:color w:val="000000"/>
          <w:sz w:val="22"/>
        </w:rPr>
        <w:t>II-8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has duly caused this registration statement to be signed on its behalf by the undersigned, thereunto duly authorized, in the City of Bothell, State of Washington, on March 31, 2026.</w:t>
      </w:r>
    </w:p>
    <w:p>
      <w:pPr>
        <w:pStyle w:val="TextBody"/>
        <w:bidi w:val="0"/>
        <w:jc w:val="left"/>
        <w:rPr/>
      </w:pPr>
      <w:r>
        <w:rPr/>
        <w:t> </w:t>
      </w:r>
    </w:p>
    <w:tbl>
      <w:tblPr>
        <w:tblW w:w="3632" w:type="dxa"/>
        <w:jc w:val="left"/>
        <w:tblInd w:w="0" w:type="dxa"/>
        <w:tblLayout w:type="fixed"/>
        <w:tblCellMar>
          <w:top w:w="28" w:type="dxa"/>
          <w:left w:w="28" w:type="dxa"/>
          <w:bottom w:w="28" w:type="dxa"/>
          <w:right w:w="28" w:type="dxa"/>
        </w:tblCellMar>
      </w:tblPr>
      <w:tblGrid>
        <w:gridCol w:w="421"/>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63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LEONABIO, INC.</w:t>
            </w:r>
          </w:p>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sz w:val="20"/>
              </w:rPr>
            </w:pPr>
            <w:r>
              <w:rPr>
                <w:rFonts w:ascii="Times New Roman" w:hAnsi="Times New Roman"/>
                <w:i/>
                <w:color w:val="000000"/>
                <w:sz w:val="20"/>
              </w:rPr>
              <w:t>/s/</w:t>
            </w:r>
            <w:r>
              <w:rPr>
                <w:rFonts w:ascii="Times New Roman" w:hAnsi="Times New Roman"/>
                <w:color w:val="000000"/>
                <w:sz w:val="20"/>
              </w:rPr>
              <w:t> Mark Litton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by the following persons in the capacities and on the dates indicated.</w:t>
      </w:r>
    </w:p>
    <w:tbl>
      <w:tblPr>
        <w:tblW w:w="7810" w:type="dxa"/>
        <w:jc w:val="left"/>
        <w:tblInd w:w="0" w:type="dxa"/>
        <w:tblLayout w:type="fixed"/>
        <w:tblCellMar>
          <w:top w:w="28" w:type="dxa"/>
          <w:left w:w="28" w:type="dxa"/>
          <w:bottom w:w="28" w:type="dxa"/>
          <w:right w:w="28" w:type="dxa"/>
        </w:tblCellMar>
      </w:tblPr>
      <w:tblGrid>
        <w:gridCol w:w="1816"/>
        <w:gridCol w:w="146"/>
        <w:gridCol w:w="4261"/>
        <w:gridCol w:w="146"/>
        <w:gridCol w:w="144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8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Litton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and Chief Executive Officer and Director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 Litton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Renninger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Renninger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Chairperson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Kelly Romano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Joseph Edelman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Fluke, Jr.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Johnson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Barbara Kosacz</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A. Panzara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Grant Pickering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pPr>
      <w:r>
        <w:rPr/>
        <w:t> </w:t>
      </w:r>
    </w:p>
    <w:p>
      <w:pPr>
        <w:pStyle w:val="TextBody"/>
        <w:bidi w:val="0"/>
        <w:jc w:val="left"/>
        <w:rPr/>
      </w:pPr>
      <w:r>
        <w:rPr/>
        <w:t> </w:t>
      </w:r>
    </w:p>
    <w:tbl>
      <w:tblPr>
        <w:tblW w:w="1922" w:type="dxa"/>
        <w:jc w:val="left"/>
        <w:tblInd w:w="0" w:type="dxa"/>
        <w:tblLayout w:type="fixed"/>
        <w:tblCellMar>
          <w:top w:w="28" w:type="dxa"/>
          <w:left w:w="28" w:type="dxa"/>
          <w:bottom w:w="28" w:type="dxa"/>
          <w:right w:w="28" w:type="dxa"/>
        </w:tblCellMar>
      </w:tblPr>
      <w:tblGrid>
        <w:gridCol w:w="421"/>
        <w:gridCol w:w="1501"/>
      </w:tblGrid>
      <w:tr>
        <w:trPr/>
        <w:tc>
          <w:tcPr>
            <w:tcW w:w="42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50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sz w:val="20"/>
              </w:rPr>
            </w:pPr>
            <w:r>
              <w:rPr>
                <w:rFonts w:ascii="Times New Roman" w:hAnsi="Times New Roman"/>
                <w:i/>
                <w:color w:val="000000"/>
                <w:sz w:val="20"/>
              </w:rPr>
              <w:t>/s/</w:t>
            </w:r>
            <w:r>
              <w:rPr>
                <w:rFonts w:ascii="Times New Roman" w:hAnsi="Times New Roman"/>
                <w:color w:val="000000"/>
                <w:sz w:val="20"/>
              </w:rPr>
              <w:t> Mark Litton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Attorney-in-Fact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lona-ex23_1.htm"/>
      <w:bookmarkStart w:id="24" w:name="kslonaex23_1"/>
      <w:bookmarkEnd w:id="23"/>
      <w:bookmarkEnd w:id="24"/>
      <w:r>
        <w:rPr>
          <w:rFonts w:ascii="Times New Roman" w:hAnsi="Times New Roman"/>
          <w:b/>
          <w:color w:val="000000"/>
          <w:sz w:val="20"/>
        </w:rPr>
        <w:t>Exhibit 23.1</w:t>
      </w:r>
      <w:r>
        <w:br w:type="page"/>
      </w:r>
    </w:p>
    <w:p>
      <w:pPr>
        <w:pStyle w:val="TextBody"/>
        <w:bidi w:val="0"/>
        <w:jc w:val="left"/>
        <w:rPr/>
      </w:pPr>
      <w:r>
        <w:rPr/>
        <w:t> </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We consent to the reference to our firm under the caption "Experts" and to the use of our report dated March 31, 2026, in the Registration Statement (Form S-1) and related Prospectus of LeonaBio, Inc. dated March 31, 2026.</w:t>
      </w:r>
    </w:p>
    <w:p>
      <w:pPr>
        <w:pStyle w:val="TextBody"/>
        <w:bidi w:val="0"/>
        <w:spacing w:before="0" w:after="160"/>
        <w:jc w:val="left"/>
        <w:rPr>
          <w:rFonts w:ascii="Times New Roman" w:hAnsi="Times New Roman"/>
          <w:sz w:val="20"/>
        </w:rPr>
      </w:pPr>
      <w:r>
        <w:rPr>
          <w:rFonts w:ascii="Times New Roman" w:hAnsi="Times New Roman"/>
          <w:color w:val="000000"/>
          <w:sz w:val="22"/>
        </w:rPr>
        <w:t>/s/ Ernst &amp; Young LLP</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Seattle, WA</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March 31,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20463/000119312526134565/lona-ex4_2.htm" TargetMode="External"/><Relationship Id="rId4" Type="http://schemas.openxmlformats.org/officeDocument/2006/relationships/hyperlink" Target="https://www.sec.gov/ix?doc=/Archives/edgar/data/0001620463/000119312526008904/atha-20260107.htm" TargetMode="External"/><Relationship Id="rId5" Type="http://schemas.openxmlformats.org/officeDocument/2006/relationships/hyperlink" Target="https://www.sec.gov/ix?doc=/Archives/edgar/data/0001620463/000119312526116123/lona-20260318.htm" TargetMode="External"/><Relationship Id="rId6" Type="http://schemas.openxmlformats.org/officeDocument/2006/relationships/hyperlink" Target="https://www.sec.gov/ix?doc=/Archives/edgar/data/0001620463/000119312526134097/lona-20251218.htm" TargetMode="External"/><Relationship Id="rId7" Type="http://schemas.openxmlformats.org/officeDocument/2006/relationships/hyperlink" Target="https://www.sec.gov/Archives/edgar/data/1620463/000095012320009608/atha-8a12b.htm" TargetMode="External"/><Relationship Id="rId8" Type="http://schemas.openxmlformats.org/officeDocument/2006/relationships/image" Target="media/image2.jpeg"/><Relationship Id="rId9" Type="http://schemas.openxmlformats.org/officeDocument/2006/relationships/hyperlink" Target="https://www.sec.gov/Archives/edgar/data/1620463/000156459020053574/atha-ex31_153.htm" TargetMode="External"/><Relationship Id="rId10" Type="http://schemas.openxmlformats.org/officeDocument/2006/relationships/hyperlink" Target="https://www.sec.gov/Archives/edgar/data/1620463/000095017024065914/atha-ex3_1.htm" TargetMode="External"/><Relationship Id="rId11" Type="http://schemas.openxmlformats.org/officeDocument/2006/relationships/hyperlink" Target="https://www.sec.gov/Archives/edgar/data/1620463/000095017025114093/atha-ex3_1.htm" TargetMode="External"/><Relationship Id="rId12" Type="http://schemas.openxmlformats.org/officeDocument/2006/relationships/hyperlink" Target="https://www.sec.gov/Archives/edgar/data/1620463/000119312526008904/atha-ex3_1.htm" TargetMode="External"/><Relationship Id="rId13" Type="http://schemas.openxmlformats.org/officeDocument/2006/relationships/hyperlink" Target="https://www.sec.gov/Archives/edgar/data/1620463/000119312526116123/lona-ex3_1.htm" TargetMode="External"/><Relationship Id="rId14" Type="http://schemas.openxmlformats.org/officeDocument/2006/relationships/hyperlink" Target="https://www.sec.gov/Archives/edgar/data/1620463/000119312526008904/atha-ex3_2.htm" TargetMode="External"/><Relationship Id="rId15" Type="http://schemas.openxmlformats.org/officeDocument/2006/relationships/hyperlink" Target="https://www.sec.gov/Archives/edgar/data/1620463/000119312526016629/lona-ex4_1.htm" TargetMode="External"/><Relationship Id="rId16" Type="http://schemas.openxmlformats.org/officeDocument/2006/relationships/hyperlink" Target="https://www.sec.gov/Archives/edgar/data/1620463/000119312525323786/atha-ex4_1.htm" TargetMode="External"/><Relationship Id="rId17" Type="http://schemas.openxmlformats.org/officeDocument/2006/relationships/hyperlink" Target="https://www.sec.gov/Archives/edgar/data/1620463/000119312525323786/atha-ex4_2.htm" TargetMode="External"/><Relationship Id="rId18" Type="http://schemas.openxmlformats.org/officeDocument/2006/relationships/hyperlink" Target="https://www.sec.gov/Archives/edgar/data/1620463/000119312525323786/atha-ex4_3.htm" TargetMode="External"/><Relationship Id="rId19" Type="http://schemas.openxmlformats.org/officeDocument/2006/relationships/hyperlink" Target="https://www.sec.gov/Archives/edgar/data/1620463/000119312525323786/atha-ex4_4.htm" TargetMode="External"/><Relationship Id="rId20" Type="http://schemas.openxmlformats.org/officeDocument/2006/relationships/hyperlink" Target="https://www.sec.gov/Archives/edgar/data/1620463/000119312525323786/atha-ex4_5.htm" TargetMode="External"/><Relationship Id="rId21" Type="http://schemas.openxmlformats.org/officeDocument/2006/relationships/hyperlink" Target="https://www.sec.gov/Archives/edgar/data/1620463/000119312525323786/atha-ex4_6.htm" TargetMode="External"/><Relationship Id="rId22" Type="http://schemas.openxmlformats.org/officeDocument/2006/relationships/hyperlink" Target="https://www.sec.gov/Archives/edgar/data/1620463/000119312526016699/lona-ex5_1.htm" TargetMode="External"/><Relationship Id="rId23" Type="http://schemas.openxmlformats.org/officeDocument/2006/relationships/hyperlink" Target="https://www.sec.gov/Archives/edgar/data/1620463/000119312526134565/lona-ex10_1.htm" TargetMode="External"/><Relationship Id="rId24" Type="http://schemas.openxmlformats.org/officeDocument/2006/relationships/hyperlink" Target="https://www.sec.gov/Archives/edgar/data/1620463/000119312526134565/lona-ex10_2.htm" TargetMode="External"/><Relationship Id="rId25" Type="http://schemas.openxmlformats.org/officeDocument/2006/relationships/hyperlink" Target="https://www.sec.gov/Archives/edgar/data/1620463/000119312526134565/lona-ex10_3.htm" TargetMode="External"/><Relationship Id="rId26" Type="http://schemas.openxmlformats.org/officeDocument/2006/relationships/hyperlink" Target="https://www.sec.gov/Archives/edgar/data/1620463/000119312526134565/lona-ex10_4.htm" TargetMode="External"/><Relationship Id="rId27" Type="http://schemas.openxmlformats.org/officeDocument/2006/relationships/hyperlink" Target="https://www.sec.gov/Archives/edgar/data/1620463/000119312526134565/lona-ex10_5.htm" TargetMode="External"/><Relationship Id="rId28" Type="http://schemas.openxmlformats.org/officeDocument/2006/relationships/hyperlink" Target="https://www.sec.gov/Archives/edgar/data/1620463/000119312526134565/lona-ex10_6.htm" TargetMode="External"/><Relationship Id="rId29" Type="http://schemas.openxmlformats.org/officeDocument/2006/relationships/hyperlink" Target="https://www.sec.gov/Archives/edgar/data/1620463/000119312526134565/lona-ex10_7.htm" TargetMode="External"/><Relationship Id="rId30" Type="http://schemas.openxmlformats.org/officeDocument/2006/relationships/hyperlink" Target="https://www.sec.gov/Archives/edgar/data/1620463/000119312526116123/lona-ex10_1.htm" TargetMode="External"/><Relationship Id="rId31" Type="http://schemas.openxmlformats.org/officeDocument/2006/relationships/hyperlink" Target="https://www.sec.gov/Archives/edgar/data/1620463/000119312526116123/lona-ex10_2.htm" TargetMode="External"/><Relationship Id="rId32" Type="http://schemas.openxmlformats.org/officeDocument/2006/relationships/hyperlink" Target="https://www.sec.gov/Archives/edgar/data/1620463/000119312526116123/lona-ex10_3.htm" TargetMode="External"/><Relationship Id="rId33" Type="http://schemas.openxmlformats.org/officeDocument/2006/relationships/hyperlink" Target="https://www.sec.gov/Archives/edgar/data/1620463/000119312526116123/lona-ex10_4.htm" TargetMode="External"/><Relationship Id="rId34" Type="http://schemas.openxmlformats.org/officeDocument/2006/relationships/hyperlink" Target="https://www.sec.gov/Archives/edgar/data/1620463/000156459020042848/atha-ex1011_9.htm" TargetMode="External"/><Relationship Id="rId35" Type="http://schemas.openxmlformats.org/officeDocument/2006/relationships/hyperlink" Target="https://www.sec.gov/Archives/edgar/data/1620463/000119312526134565/lona-ex10_13.htm" TargetMode="External"/><Relationship Id="rId36" Type="http://schemas.openxmlformats.org/officeDocument/2006/relationships/hyperlink" Target="https://www.sec.gov/Archives/edgar/data/1620463/000119312526134565/lona-ex10_14.htm" TargetMode="External"/><Relationship Id="rId37" Type="http://schemas.openxmlformats.org/officeDocument/2006/relationships/hyperlink" Target="https://www.sec.gov/Archives/edgar/data/1620463/000156459020042848/atha-ex1015_534.htm" TargetMode="External"/><Relationship Id="rId38" Type="http://schemas.openxmlformats.org/officeDocument/2006/relationships/hyperlink" Target="https://www.sec.gov/Archives/edgar/data/1620463/000156459020042848/atha-ex1016_533.htm" TargetMode="External"/><Relationship Id="rId39" Type="http://schemas.openxmlformats.org/officeDocument/2006/relationships/hyperlink" Target="https://www.sec.gov/Archives/edgar/data/1620463/000119312522023358/d290928dex101.htm" TargetMode="External"/><Relationship Id="rId40" Type="http://schemas.openxmlformats.org/officeDocument/2006/relationships/hyperlink" Target="https://www.sec.gov/Archives/edgar/data/1620463/000156459021044641/atha-ex103_70.htm" TargetMode="External"/><Relationship Id="rId41" Type="http://schemas.openxmlformats.org/officeDocument/2006/relationships/hyperlink" Target="https://www.sec.gov/Archives/edgar/data/1620463/000156459021044641/atha-ex104_69.htm" TargetMode="External"/><Relationship Id="rId42" Type="http://schemas.openxmlformats.org/officeDocument/2006/relationships/hyperlink" Target="https://www.sec.gov/Archives/edgar/data/1620463/000156459021044641/atha-ex105_68.htm" TargetMode="External"/><Relationship Id="rId43" Type="http://schemas.openxmlformats.org/officeDocument/2006/relationships/hyperlink" Target="https://www.sec.gov/Archives/edgar/data/1620463/000095017022004782/atha-ex10_28.htm" TargetMode="External"/><Relationship Id="rId44" Type="http://schemas.openxmlformats.org/officeDocument/2006/relationships/hyperlink" Target="https://www.sec.gov/Archives/edgar/data/1620463/000095017023000364/atha-ex1_1.htm" TargetMode="External"/><Relationship Id="rId45" Type="http://schemas.openxmlformats.org/officeDocument/2006/relationships/hyperlink" Target="https://www.sec.gov/Archives/edgar/data/1620463/000095017023000364/atha-ex1_1.htm" TargetMode="External"/><Relationship Id="rId46" Type="http://schemas.openxmlformats.org/officeDocument/2006/relationships/hyperlink" Target="https://www.sec.gov/Archives/edgar/data/1620463/000095017023000364/atha-ex1_1.htm" TargetMode="External"/><Relationship Id="rId47" Type="http://schemas.openxmlformats.org/officeDocument/2006/relationships/hyperlink" Target="https://www.sec.gov/Archives/edgar/data/1620463/000119312526134565/lona-ex10_23.htm" TargetMode="External"/><Relationship Id="rId48" Type="http://schemas.openxmlformats.org/officeDocument/2006/relationships/hyperlink" Target="https://www.sec.gov/Archives/edgar/data/1620463/000095017024094738/atha-ex10_1.htm" TargetMode="External"/><Relationship Id="rId49" Type="http://schemas.openxmlformats.org/officeDocument/2006/relationships/hyperlink" Target="https://www.sec.gov/Archives/edgar/data/1620463/000095017024094738/atha-ex10_2.htm" TargetMode="External"/><Relationship Id="rId50" Type="http://schemas.openxmlformats.org/officeDocument/2006/relationships/hyperlink" Target="https://www.sec.gov/Archives/edgar/data/1620463/000095017024107031/atha-ex10_1.htm" TargetMode="External"/><Relationship Id="rId51" Type="http://schemas.openxmlformats.org/officeDocument/2006/relationships/hyperlink" Target="https://www.sec.gov/Archives/edgar/data/1620463/000119312526008904/atha-ex10_1.htm" TargetMode="External"/><Relationship Id="rId52" Type="http://schemas.openxmlformats.org/officeDocument/2006/relationships/hyperlink" Target="https://www.sec.gov/Archives/edgar/data/1620463/000119312526134097/lona-ex2_1.htm" TargetMode="External"/><Relationship Id="rId53" Type="http://schemas.openxmlformats.org/officeDocument/2006/relationships/hyperlink" Target="https://www.sec.gov/Archives/edgar/data/1620463/000119312526134565/lona-ex10_29.htm" TargetMode="External"/><Relationship Id="rId54" Type="http://schemas.openxmlformats.org/officeDocument/2006/relationships/hyperlink" Target="https://www.sec.gov/Archives/edgar/data/1620463/000119312525323786/atha-ex10_1.htm" TargetMode="External"/><Relationship Id="rId55" Type="http://schemas.openxmlformats.org/officeDocument/2006/relationships/hyperlink" Target="https://www.sec.gov/Archives/edgar/data/1620463/000119312525323786/atha-ex10_2.htm" TargetMode="External"/><Relationship Id="rId56" Type="http://schemas.openxmlformats.org/officeDocument/2006/relationships/hyperlink" Target="https://www.sec.gov/Archives/edgar/data/1620463/000156459020042848/atha-ex211_15.htm" TargetMode="External"/><Relationship Id="rId57" Type="http://schemas.openxmlformats.org/officeDocument/2006/relationships/hyperlink" Target="https://www.sec.gov/Archives/edgar/data/1620463/000119312526016699/lona-20260120.htm" TargetMode="External"/><Relationship Id="rId58" Type="http://schemas.openxmlformats.org/officeDocument/2006/relationships/hyperlink" Target="https://www.sec.gov/Archives/edgar/data/1620463/000119312526016699/lona_exfilingfees.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11992</Words>
  <Characters>64544</Characters>
  <CharactersWithSpaces>76965</CharactersWithSpaces>
  <Paragraphs>2044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