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1270</wp:posOffset>
            </wp:positionH>
            <wp:positionV relativeFrom="page">
              <wp:posOffset>0</wp:posOffset>
            </wp:positionV>
            <wp:extent cx="7769225"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69225"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right"/>
        <w:ind w:right="20"/>
        <w:spacing w:after="0"/>
        <w:rPr>
          <w:sz w:val="20"/>
          <w:szCs w:val="20"/>
          <w:color w:val="auto"/>
        </w:rPr>
      </w:pPr>
      <w:r>
        <w:rPr>
          <w:rFonts w:ascii="Arial" w:cs="Arial" w:eastAsia="Arial" w:hAnsi="Arial"/>
          <w:sz w:val="21"/>
          <w:szCs w:val="21"/>
          <w:b w:val="1"/>
          <w:bCs w:val="1"/>
          <w:color w:val="FFFFFF"/>
        </w:rPr>
        <w:t>2 0 2 2 A N N U A L R E P O R 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20"/>
        <w:spacing w:after="0"/>
        <w:rPr>
          <w:sz w:val="20"/>
          <w:szCs w:val="20"/>
          <w:color w:val="auto"/>
        </w:rPr>
      </w:pPr>
      <w:r>
        <w:rPr>
          <w:rFonts w:ascii="Georgia" w:cs="Georgia" w:eastAsia="Georgia" w:hAnsi="Georgia"/>
          <w:sz w:val="41"/>
          <w:szCs w:val="41"/>
          <w:color w:val="DEEEAA"/>
        </w:rPr>
        <w:t>Building, Restoring and Maintaining Connections</w:t>
      </w:r>
    </w:p>
    <w:p>
      <w:pPr>
        <w:sectPr>
          <w:pgSz w:w="12240" w:h="15840" w:orient="portrait"/>
          <w:cols w:equalWidth="0" w:num="1">
            <w:col w:w="936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1270</wp:posOffset>
            </wp:positionH>
            <wp:positionV relativeFrom="page">
              <wp:posOffset>0</wp:posOffset>
            </wp:positionV>
            <wp:extent cx="7769225"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69225"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7"/>
          <w:szCs w:val="37"/>
          <w:color w:val="FFFFFF"/>
        </w:rPr>
        <w:t>Fosgonimeton protects cortical</w:t>
      </w:r>
    </w:p>
    <w:p>
      <w:pPr>
        <w:spacing w:after="0" w:line="110" w:lineRule="exact"/>
        <w:rPr>
          <w:sz w:val="20"/>
          <w:szCs w:val="20"/>
          <w:color w:val="auto"/>
        </w:rPr>
      </w:pPr>
    </w:p>
    <w:p>
      <w:pPr>
        <w:spacing w:after="0"/>
        <w:rPr>
          <w:sz w:val="20"/>
          <w:szCs w:val="20"/>
          <w:color w:val="auto"/>
        </w:rPr>
      </w:pPr>
      <w:r>
        <w:rPr>
          <w:rFonts w:ascii="Arial" w:cs="Arial" w:eastAsia="Arial" w:hAnsi="Arial"/>
          <w:sz w:val="37"/>
          <w:szCs w:val="37"/>
          <w:color w:val="FFFFFF"/>
        </w:rPr>
        <w:t>neurons from neurotoxic stress</w:t>
      </w:r>
    </w:p>
    <w:p>
      <w:pPr>
        <w:spacing w:after="0" w:line="305" w:lineRule="exact"/>
        <w:rPr>
          <w:sz w:val="20"/>
          <w:szCs w:val="20"/>
          <w:color w:val="auto"/>
        </w:rPr>
      </w:pPr>
    </w:p>
    <w:p>
      <w:pPr>
        <w:ind w:right="3220"/>
        <w:spacing w:after="0" w:line="368" w:lineRule="auto"/>
        <w:rPr>
          <w:sz w:val="20"/>
          <w:szCs w:val="20"/>
          <w:color w:val="auto"/>
        </w:rPr>
      </w:pPr>
      <w:r>
        <w:rPr>
          <w:rFonts w:ascii="Arial" w:cs="Arial" w:eastAsia="Arial" w:hAnsi="Arial"/>
          <w:sz w:val="27"/>
          <w:szCs w:val="27"/>
          <w:color w:val="FFFFFF"/>
        </w:rPr>
        <w:t>In preclinical cell models, treatment with fosgonimeton protected neurons from neurotoxicity. Cortical neurons (green) treated with fosgonimeton exhibit improved survival and enhanced network connectivity following neurotoxic insult.</w:t>
      </w:r>
    </w:p>
    <w:p>
      <w:pPr>
        <w:sectPr>
          <w:pgSz w:w="12240" w:h="15840" w:orient="portrait"/>
          <w:cols w:equalWidth="0" w:num="1">
            <w:col w:w="9840"/>
          </w:cols>
          <w:pgMar w:left="960" w:top="1440"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2"/>
          <w:szCs w:val="12"/>
          <w:color w:val="auto"/>
        </w:rPr>
        <w:t>ATHIRA PHARMA 2022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20"/>
          <w:szCs w:val="20"/>
          <w:color w:val="auto"/>
        </w:rPr>
        <w:t>To Our Shareholders,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140"/>
        <w:spacing w:after="0" w:line="316" w:lineRule="auto"/>
        <w:rPr>
          <w:sz w:val="20"/>
          <w:szCs w:val="20"/>
          <w:color w:val="auto"/>
        </w:rPr>
      </w:pPr>
      <w:r>
        <w:rPr>
          <w:rFonts w:ascii="Arial" w:cs="Arial" w:eastAsia="Arial" w:hAnsi="Arial"/>
          <w:sz w:val="20"/>
          <w:szCs w:val="20"/>
          <w:color w:val="auto"/>
        </w:rPr>
        <w:t>Athira continues to make great progress executing our strategic initiatives to advance bold new therapies for neuronal health that can positively impact people’s lives.</w:t>
      </w:r>
    </w:p>
    <w:p>
      <w:pPr>
        <w:spacing w:after="0" w:line="105" w:lineRule="exact"/>
        <w:rPr>
          <w:sz w:val="20"/>
          <w:szCs w:val="20"/>
          <w:color w:val="auto"/>
        </w:rPr>
      </w:pPr>
    </w:p>
    <w:p>
      <w:pPr>
        <w:jc w:val="both"/>
        <w:ind w:left="40" w:right="1480"/>
        <w:spacing w:after="0" w:line="311" w:lineRule="auto"/>
        <w:rPr>
          <w:sz w:val="20"/>
          <w:szCs w:val="20"/>
          <w:color w:val="auto"/>
        </w:rPr>
      </w:pPr>
      <w:r>
        <w:rPr>
          <w:rFonts w:ascii="Arial" w:cs="Arial" w:eastAsia="Arial" w:hAnsi="Arial"/>
          <w:sz w:val="20"/>
          <w:szCs w:val="20"/>
          <w:color w:val="auto"/>
        </w:rPr>
        <w:t>Throughout 2022 and into this new year, we published and presented a growing body of evidence in support of our novel therapeutic approach to enhancing the HGF/MET pathway, a naturally occurring repair mechanism.</w:t>
      </w:r>
    </w:p>
    <w:p>
      <w:pPr>
        <w:spacing w:after="0" w:line="110" w:lineRule="exact"/>
        <w:rPr>
          <w:sz w:val="20"/>
          <w:szCs w:val="20"/>
          <w:color w:val="auto"/>
        </w:rPr>
      </w:pPr>
    </w:p>
    <w:p>
      <w:pPr>
        <w:ind w:left="40" w:right="1040"/>
        <w:spacing w:after="0" w:line="307" w:lineRule="auto"/>
        <w:rPr>
          <w:sz w:val="20"/>
          <w:szCs w:val="20"/>
          <w:color w:val="auto"/>
        </w:rPr>
      </w:pPr>
      <w:r>
        <w:rPr>
          <w:rFonts w:ascii="Arial" w:cs="Arial" w:eastAsia="Arial" w:hAnsi="Arial"/>
          <w:sz w:val="20"/>
          <w:szCs w:val="20"/>
          <w:color w:val="auto"/>
        </w:rPr>
        <w:t>We are particularly encouraged by the preclinical data observed across various neurodegenerative disease models and by the data from our clinical trials for people living with mild-to-moderate Alzheimer’s disease (AD), which suggest our small molecule product candidates targeting HGF/MET may potentially be neuroprotective, neurotrophic, anti-inflammatory, procognitive and disease-modifying.</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20"/>
          <w:szCs w:val="20"/>
          <w:color w:val="auto"/>
        </w:rPr>
        <w:t>The totality of these data further strengthens our confidence in fosgonimeton, our lead product candidate</w:t>
      </w:r>
    </w:p>
    <w:p>
      <w:pPr>
        <w:spacing w:after="0" w:line="64" w:lineRule="exact"/>
        <w:rPr>
          <w:sz w:val="20"/>
          <w:szCs w:val="20"/>
          <w:color w:val="auto"/>
        </w:rPr>
      </w:pPr>
    </w:p>
    <w:p>
      <w:pPr>
        <w:ind w:left="40" w:right="680"/>
        <w:spacing w:after="0" w:line="359" w:lineRule="auto"/>
        <w:rPr>
          <w:sz w:val="20"/>
          <w:szCs w:val="20"/>
          <w:color w:val="auto"/>
        </w:rPr>
      </w:pPr>
      <w:r>
        <w:rPr>
          <w:rFonts w:ascii="Arial" w:cs="Arial" w:eastAsia="Arial" w:hAnsi="Arial"/>
          <w:sz w:val="18"/>
          <w:szCs w:val="18"/>
          <w:color w:val="auto"/>
        </w:rPr>
        <w:t>for AD, not only for our ongoing Phase 2/3 LIFT-AD trial in Alzheimer’s disease, but for the broader therapeutic potential of our pipeline of small molecule product candidates to enhance HGF/MET activity across a variety of neurodegenerative diseases, including Parkinson’s disease and amyotrophic lateral sclerosis (ALS).</w:t>
      </w:r>
    </w:p>
    <w:p>
      <w:pPr>
        <w:spacing w:after="0" w:line="75" w:lineRule="exact"/>
        <w:rPr>
          <w:sz w:val="20"/>
          <w:szCs w:val="20"/>
          <w:color w:val="auto"/>
        </w:rPr>
      </w:pPr>
    </w:p>
    <w:p>
      <w:pPr>
        <w:ind w:left="40" w:right="1180"/>
        <w:spacing w:after="0" w:line="309" w:lineRule="auto"/>
        <w:rPr>
          <w:sz w:val="20"/>
          <w:szCs w:val="20"/>
          <w:color w:val="auto"/>
        </w:rPr>
      </w:pPr>
      <w:r>
        <w:rPr>
          <w:rFonts w:ascii="Arial" w:cs="Arial" w:eastAsia="Arial" w:hAnsi="Arial"/>
          <w:sz w:val="20"/>
          <w:szCs w:val="20"/>
          <w:color w:val="auto"/>
        </w:rPr>
        <w:t>Importantly, we believe the recommendation by an independent data monitoring committee to continue the Phase 2/3 LIFT-AD trial after review of the unblinded interim analysis supports the potential clinical benefits of fosgonimeton as a new therapeutic candidate for treating AD and underscores the rationale for continued development of this promising new therapy.</w:t>
      </w:r>
    </w:p>
    <w:p>
      <w:pPr>
        <w:spacing w:after="0" w:line="113" w:lineRule="exact"/>
        <w:rPr>
          <w:sz w:val="20"/>
          <w:szCs w:val="20"/>
          <w:color w:val="auto"/>
        </w:rPr>
      </w:pPr>
    </w:p>
    <w:p>
      <w:pPr>
        <w:ind w:left="40" w:right="1020"/>
        <w:spacing w:after="0" w:line="348" w:lineRule="auto"/>
        <w:rPr>
          <w:sz w:val="20"/>
          <w:szCs w:val="20"/>
          <w:color w:val="auto"/>
        </w:rPr>
      </w:pPr>
      <w:r>
        <w:rPr>
          <w:rFonts w:ascii="Arial" w:cs="Arial" w:eastAsia="Arial" w:hAnsi="Arial"/>
          <w:sz w:val="18"/>
          <w:szCs w:val="18"/>
          <w:color w:val="auto"/>
        </w:rPr>
        <w:t>While we are proud of our progress to date, we are focused on current efforts and have a series of exciting milestones ahead. We are targeting to complete enrollment of the LIFT-AD trial in mid-2023 and to report topline data in early 2024. We are continuing to advance IND-enabling studies for ATH-1105 as a potential treatment for ALS and are targeting to begin our first-in-human Phase 1 trial in 2024. We are fortunate to have a strong balance sheet to enable us to assess the potential of fosgonimeton in AD and to advance other important programs, such as ATH-1105 in ALS, through to potential key inflection points.</w:t>
      </w:r>
    </w:p>
    <w:p>
      <w:pPr>
        <w:spacing w:after="0" w:line="84" w:lineRule="exact"/>
        <w:rPr>
          <w:sz w:val="20"/>
          <w:szCs w:val="20"/>
          <w:color w:val="auto"/>
        </w:rPr>
      </w:pPr>
    </w:p>
    <w:p>
      <w:pPr>
        <w:ind w:left="40" w:right="740"/>
        <w:spacing w:after="0" w:line="309" w:lineRule="auto"/>
        <w:rPr>
          <w:sz w:val="20"/>
          <w:szCs w:val="20"/>
          <w:color w:val="auto"/>
        </w:rPr>
      </w:pPr>
      <w:r>
        <w:rPr>
          <w:rFonts w:ascii="Arial" w:cs="Arial" w:eastAsia="Arial" w:hAnsi="Arial"/>
          <w:sz w:val="20"/>
          <w:szCs w:val="20"/>
          <w:color w:val="auto"/>
        </w:rPr>
        <w:t>The significant progress we have made to date is due to the hard work and dedication of the entire Athira team and to the passion they bring to the fight against neurodegenerative diseases each day. The excitement here at Athira is inspiring, as we envision the prospect of potentially changing the treatment paradigm for neurodegenerative diseases.</w:t>
      </w:r>
    </w:p>
    <w:p>
      <w:pPr>
        <w:spacing w:after="0" w:line="113" w:lineRule="exact"/>
        <w:rPr>
          <w:sz w:val="20"/>
          <w:szCs w:val="20"/>
          <w:color w:val="auto"/>
        </w:rPr>
      </w:pPr>
    </w:p>
    <w:p>
      <w:pPr>
        <w:ind w:left="40" w:right="1500"/>
        <w:spacing w:after="0" w:line="322" w:lineRule="auto"/>
        <w:rPr>
          <w:sz w:val="20"/>
          <w:szCs w:val="20"/>
          <w:color w:val="auto"/>
        </w:rPr>
      </w:pPr>
      <w:r>
        <w:rPr>
          <w:rFonts w:ascii="Arial" w:cs="Arial" w:eastAsia="Arial" w:hAnsi="Arial"/>
          <w:sz w:val="20"/>
          <w:szCs w:val="20"/>
          <w:color w:val="auto"/>
        </w:rPr>
        <w:t>On behalf of the Athira team and Board, we thank you for supporting our commitment to change the course of debilitating neurodegenerative diseases for patients and their families.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92710</wp:posOffset>
            </wp:positionV>
            <wp:extent cx="129603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60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20"/>
          <w:szCs w:val="20"/>
          <w:color w:val="auto"/>
        </w:rPr>
        <w:t>Mark J. Litton, Ph.D.</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20"/>
          <w:szCs w:val="20"/>
          <w:color w:val="auto"/>
        </w:rPr>
        <w:t>President and Chief Executive Officer</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20"/>
          <w:szCs w:val="20"/>
          <w:color w:val="auto"/>
        </w:rPr>
        <w:t>Athira Pharma,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295910</wp:posOffset>
                </wp:positionV>
                <wp:extent cx="61214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1400" cy="4763"/>
                        </a:xfrm>
                        <a:prstGeom prst="line">
                          <a:avLst/>
                        </a:prstGeom>
                        <a:solidFill>
                          <a:srgbClr val="FFFFFF"/>
                        </a:solidFill>
                        <a:ln w="3276">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pt,23.3pt" to="484.25pt,23.3pt" o:allowincell="f" strokecolor="#000000" strokeweight="0.258pt"/>
            </w:pict>
          </mc:Fallback>
        </mc:AlternateContent>
      </w:r>
    </w:p>
    <w:p>
      <w:pPr>
        <w:sectPr>
          <w:pgSz w:w="12240" w:h="15840" w:orient="portrait"/>
          <w:cols w:equalWidth="0" w:num="1">
            <w:col w:w="10360"/>
          </w:cols>
          <w:pgMar w:left="1440" w:top="297" w:right="440" w:bottom="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40" w:right="680"/>
        <w:spacing w:after="0" w:line="327" w:lineRule="auto"/>
        <w:rPr>
          <w:sz w:val="20"/>
          <w:szCs w:val="20"/>
          <w:color w:val="auto"/>
        </w:rPr>
      </w:pPr>
      <w:r>
        <w:rPr>
          <w:rFonts w:ascii="Arial" w:cs="Arial" w:eastAsia="Arial" w:hAnsi="Arial"/>
          <w:sz w:val="12"/>
          <w:szCs w:val="12"/>
          <w:color w:val="auto"/>
        </w:rPr>
        <w:t>Certain statements contained in this letter may constitute forward-looking statements within the meaning of Section 27A of the Securities Act of 1933, as amended, and Section 21E of the Securities Exchange Act of 1934, as amended. A detailed discussion of such forward-looking statements and the related risks and uncertainties is included in our Annual Report on Form 10-K included herewith.</w:t>
      </w:r>
    </w:p>
    <w:p>
      <w:pPr>
        <w:sectPr>
          <w:pgSz w:w="12240" w:h="15840" w:orient="portrait"/>
          <w:cols w:equalWidth="0" w:num="1">
            <w:col w:w="10360"/>
          </w:cols>
          <w:pgMar w:left="1440" w:top="297" w:right="440" w:bottom="41" w:gutter="0" w:footer="0" w:header="0"/>
          <w:type w:val="continuous"/>
        </w:sectPr>
      </w:pPr>
    </w:p>
    <w:bookmarkStart w:id="3" w:name="page4"/>
    <w:bookmarkEnd w:id="3"/>
    <w:p>
      <w:pPr>
        <w:jc w:val="both"/>
        <w:spacing w:after="0" w:line="327" w:lineRule="auto"/>
        <w:rPr>
          <w:sz w:val="20"/>
          <w:szCs w:val="20"/>
          <w:color w:val="auto"/>
        </w:rPr>
      </w:pPr>
    </w:p>
    <w:p>
      <w:pPr>
        <w:sectPr>
          <w:pgSz w:w="12240" w:h="15840"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4"/>
          <w:szCs w:val="4"/>
          <w:color w:val="auto"/>
        </w:rPr>
        <mc:AlternateContent>
          <mc:Choice Requires="wps">
            <w:drawing>
              <wp:anchor simplePos="0" relativeHeight="251657728" behindDoc="1" locked="0" layoutInCell="0" allowOverlap="1">
                <wp:simplePos x="0" y="0"/>
                <wp:positionH relativeFrom="page">
                  <wp:posOffset>569595</wp:posOffset>
                </wp:positionH>
                <wp:positionV relativeFrom="page">
                  <wp:posOffset>384175</wp:posOffset>
                </wp:positionV>
                <wp:extent cx="663257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2575" cy="4763"/>
                        </a:xfrm>
                        <a:prstGeom prst="line">
                          <a:avLst/>
                        </a:prstGeom>
                        <a:solidFill>
                          <a:srgbClr val="FFFFFF"/>
                        </a:solidFill>
                        <a:ln w="9417">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85pt,30.25pt" to="567.1pt,30.25pt" o:allowincell="f" strokecolor="#000000" strokeweight="0.7415pt">
                <w10:wrap anchorx="page" anchory="page"/>
              </v:line>
            </w:pict>
          </mc:Fallback>
        </mc:AlternateContent>
        <mc:AlternateContent>
          <mc:Choice Requires="wps">
            <w:drawing>
              <wp:anchor simplePos="0" relativeHeight="251657728" behindDoc="1" locked="0" layoutInCell="0" allowOverlap="1">
                <wp:simplePos x="0" y="0"/>
                <wp:positionH relativeFrom="page">
                  <wp:posOffset>569595</wp:posOffset>
                </wp:positionH>
                <wp:positionV relativeFrom="page">
                  <wp:posOffset>403225</wp:posOffset>
                </wp:positionV>
                <wp:extent cx="663257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2575" cy="4763"/>
                        </a:xfrm>
                        <a:prstGeom prst="line">
                          <a:avLst/>
                        </a:prstGeom>
                        <a:solidFill>
                          <a:srgbClr val="FFFFFF"/>
                        </a:solidFill>
                        <a:ln w="9418">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85pt,31.75pt" to="567.1pt,31.75pt" o:allowincell="f" strokecolor="#000000" strokeweight="0.7416pt">
                <w10:wrap anchorx="page" anchory="page"/>
              </v:line>
            </w:pict>
          </mc:Fallback>
        </mc:AlternateContent>
        <w:t>X`</w:t>
      </w:r>
    </w:p>
    <w:p>
      <w:pPr>
        <w:jc w:val="center"/>
        <w:spacing w:after="0" w:line="220" w:lineRule="auto"/>
        <w:rPr>
          <w:sz w:val="20"/>
          <w:szCs w:val="20"/>
          <w:color w:val="auto"/>
        </w:rPr>
      </w:pPr>
      <w:r>
        <w:rPr>
          <w:rFonts w:ascii="Arial" w:cs="Arial" w:eastAsia="Arial" w:hAnsi="Arial"/>
          <w:sz w:val="29"/>
          <w:szCs w:val="29"/>
          <w:b w:val="1"/>
          <w:bCs w:val="1"/>
          <w:color w:val="auto"/>
        </w:rPr>
        <w:t>UNITED STATES</w:t>
      </w:r>
    </w:p>
    <w:p>
      <w:pPr>
        <w:jc w:val="center"/>
        <w:spacing w:after="0" w:line="221"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2811145</wp:posOffset>
                </wp:positionH>
                <wp:positionV relativeFrom="paragraph">
                  <wp:posOffset>-231140</wp:posOffset>
                </wp:positionV>
                <wp:extent cx="9810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1075" cy="4763"/>
                        </a:xfrm>
                        <a:prstGeom prst="line">
                          <a:avLst/>
                        </a:prstGeom>
                        <a:solidFill>
                          <a:srgbClr val="FFFFFF"/>
                        </a:solidFill>
                        <a:ln w="6279">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35pt,-18.1999pt" to="298.6pt,-18.1999pt" o:allowincell="f" strokecolor="#000000" strokeweight="0.4944pt"/>
            </w:pict>
          </mc:Fallback>
        </mc:AlternateContent>
        <mc:AlternateContent>
          <mc:Choice Requires="wps">
            <w:drawing>
              <wp:anchor simplePos="0" relativeHeight="251657728" behindDoc="1" locked="0" layoutInCell="0" allowOverlap="1">
                <wp:simplePos x="0" y="0"/>
                <wp:positionH relativeFrom="column">
                  <wp:posOffset>2811145</wp:posOffset>
                </wp:positionH>
                <wp:positionV relativeFrom="paragraph">
                  <wp:posOffset>63500</wp:posOffset>
                </wp:positionV>
                <wp:extent cx="98107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1075"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35pt,5pt" to="298.6pt,5pt" o:allowincell="f" strokecolor="#000000" strokeweight="0.495pt"/>
            </w:pict>
          </mc:Fallback>
        </mc:AlternateConten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 One)</w:t>
      </w:r>
    </w:p>
    <w:p>
      <w:pPr>
        <w:ind w:left="440" w:hanging="416"/>
        <w:spacing w:after="0" w:line="236" w:lineRule="auto"/>
        <w:tabs>
          <w:tab w:leader="none" w:pos="440" w:val="left"/>
        </w:tabs>
        <w:numPr>
          <w:ilvl w:val="0"/>
          <w:numId w:val="1"/>
        </w:numPr>
        <w:rPr>
          <w:rFonts w:ascii="Segoe UI" w:cs="Segoe UI" w:eastAsia="Segoe UI" w:hAnsi="Segoe UI"/>
          <w:sz w:val="19"/>
          <w:szCs w:val="19"/>
          <w:b w:val="1"/>
          <w:bCs w:val="1"/>
          <w:color w:val="auto"/>
        </w:rPr>
      </w:pPr>
      <w:r>
        <w:rPr>
          <w:rFonts w:ascii="Arial" w:cs="Arial" w:eastAsia="Arial" w:hAnsi="Arial"/>
          <w:sz w:val="19"/>
          <w:szCs w:val="19"/>
          <w:b w:val="1"/>
          <w:bCs w:val="1"/>
          <w:color w:val="auto"/>
        </w:rPr>
        <w:t>ANNUAL REPORT PURSUANT TO SECTION 13 OR 15(d) OF THE SECURITIES EXCHANGE ACT OF 1934</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 the fiscal year ended December 31, 2022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OR</w:t>
      </w:r>
    </w:p>
    <w:p>
      <w:pPr>
        <w:ind w:left="440" w:hanging="416"/>
        <w:spacing w:after="0" w:line="216" w:lineRule="auto"/>
        <w:tabs>
          <w:tab w:leader="none" w:pos="440" w:val="left"/>
        </w:tabs>
        <w:numPr>
          <w:ilvl w:val="0"/>
          <w:numId w:val="2"/>
        </w:numPr>
        <w:rPr>
          <w:rFonts w:ascii="Segoe UI" w:cs="Segoe UI" w:eastAsia="Segoe UI" w:hAnsi="Segoe UI"/>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w:t>
      </w:r>
    </w:p>
    <w:p>
      <w:pPr>
        <w:spacing w:after="0" w:line="1" w:lineRule="exact"/>
        <w:rPr>
          <w:sz w:val="20"/>
          <w:szCs w:val="20"/>
          <w:color w:val="auto"/>
        </w:rPr>
      </w:pPr>
    </w:p>
    <w:p>
      <w:pPr>
        <w:ind w:left="440"/>
        <w:spacing w:after="0"/>
        <w:tabs>
          <w:tab w:leader="none" w:pos="4480" w:val="left"/>
        </w:tabs>
        <w:rPr>
          <w:sz w:val="20"/>
          <w:szCs w:val="20"/>
          <w:color w:val="auto"/>
        </w:rPr>
      </w:pPr>
      <w:r>
        <w:rPr>
          <w:rFonts w:ascii="Arial" w:cs="Arial" w:eastAsia="Arial" w:hAnsi="Arial"/>
          <w:sz w:val="19"/>
          <w:szCs w:val="19"/>
          <w:b w:val="1"/>
          <w:bCs w:val="1"/>
          <w:color w:val="auto"/>
        </w:rPr>
        <w:t>THE TRANSITION PERIOD FROM</w:t>
      </w:r>
      <w:r>
        <w:rPr>
          <w:sz w:val="20"/>
          <w:szCs w:val="20"/>
          <w:color w:val="auto"/>
        </w:rPr>
        <w:tab/>
      </w:r>
      <w:r>
        <w:rPr>
          <w:rFonts w:ascii="Arial" w:cs="Arial" w:eastAsia="Arial" w:hAnsi="Arial"/>
          <w:sz w:val="16"/>
          <w:szCs w:val="16"/>
          <w:b w:val="1"/>
          <w:bCs w:val="1"/>
          <w:color w:val="auto"/>
        </w:rPr>
        <w:t>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Commission File Number 001-39503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37"/>
          <w:szCs w:val="37"/>
          <w:b w:val="1"/>
          <w:bCs w:val="1"/>
          <w:color w:val="auto"/>
        </w:rPr>
        <w:t>Athira Pharma,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2811145</wp:posOffset>
                </wp:positionH>
                <wp:positionV relativeFrom="paragraph">
                  <wp:posOffset>-254635</wp:posOffset>
                </wp:positionV>
                <wp:extent cx="9810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1075" cy="4763"/>
                        </a:xfrm>
                        <a:prstGeom prst="line">
                          <a:avLst/>
                        </a:prstGeom>
                        <a:solidFill>
                          <a:srgbClr val="FFFFFF"/>
                        </a:solidFill>
                        <a:ln w="6274">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35pt,-20.0499pt" to="298.6pt,-20.0499pt" o:allowincell="f" strokecolor="#000000" strokeweight="0.494pt"/>
            </w:pict>
          </mc:Fallback>
        </mc:AlternateConten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2811145</wp:posOffset>
                </wp:positionH>
                <wp:positionV relativeFrom="paragraph">
                  <wp:posOffset>34290</wp:posOffset>
                </wp:positionV>
                <wp:extent cx="98107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1075" cy="4763"/>
                        </a:xfrm>
                        <a:prstGeom prst="line">
                          <a:avLst/>
                        </a:prstGeom>
                        <a:solidFill>
                          <a:srgbClr val="FFFFFF"/>
                        </a:solidFill>
                        <a:ln w="6273">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35pt,2.7pt" to="298.6pt,2.7pt" o:allowincell="f" strokecolor="#000000" strokeweight="0.4939pt"/>
            </w:pict>
          </mc:Fallback>
        </mc:AlternateContent>
      </w:r>
    </w:p>
    <w:p>
      <w:pPr>
        <w:sectPr>
          <w:pgSz w:w="12240" w:h="15840" w:orient="portrait"/>
          <w:cols w:equalWidth="0" w:num="1">
            <w:col w:w="10400"/>
          </w:cols>
          <w:pgMar w:left="920" w:top="649" w:right="920" w:bottom="563" w:gutter="0" w:footer="0" w:header="0"/>
        </w:sectPr>
      </w:pPr>
    </w:p>
    <w:p>
      <w:pPr>
        <w:spacing w:after="0" w:line="72" w:lineRule="exact"/>
        <w:rPr>
          <w:sz w:val="20"/>
          <w:szCs w:val="20"/>
          <w:color w:val="auto"/>
        </w:rPr>
      </w:pPr>
    </w:p>
    <w:p>
      <w:pPr>
        <w:jc w:val="center"/>
        <w:ind w:right="1280"/>
        <w:spacing w:after="0"/>
        <w:rPr>
          <w:sz w:val="20"/>
          <w:szCs w:val="20"/>
          <w:color w:val="auto"/>
        </w:rPr>
      </w:pPr>
      <w:r>
        <w:rPr>
          <w:rFonts w:ascii="Arial" w:cs="Arial" w:eastAsia="Arial" w:hAnsi="Arial"/>
          <w:sz w:val="16"/>
          <w:szCs w:val="16"/>
          <w:b w:val="1"/>
          <w:bCs w:val="1"/>
          <w:color w:val="auto"/>
        </w:rPr>
        <w:t>Delaware</w:t>
      </w:r>
    </w:p>
    <w:p>
      <w:pPr>
        <w:spacing w:after="0" w:line="7"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(State or other jurisdiction of</w:t>
      </w:r>
    </w:p>
    <w:p>
      <w:pPr>
        <w:ind w:left="156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center"/>
        <w:ind w:right="2000"/>
        <w:spacing w:after="0"/>
        <w:rPr>
          <w:sz w:val="20"/>
          <w:szCs w:val="20"/>
          <w:color w:val="auto"/>
        </w:rPr>
      </w:pPr>
      <w:r>
        <w:rPr>
          <w:rFonts w:ascii="Arial" w:cs="Arial" w:eastAsia="Arial" w:hAnsi="Arial"/>
          <w:sz w:val="16"/>
          <w:szCs w:val="16"/>
          <w:b w:val="1"/>
          <w:bCs w:val="1"/>
          <w:color w:val="auto"/>
        </w:rPr>
        <w:t>45-3368487</w:t>
      </w:r>
    </w:p>
    <w:p>
      <w:pPr>
        <w:spacing w:after="0" w:line="22"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(I.R.S. Employer</w:t>
      </w:r>
    </w:p>
    <w:p>
      <w:pPr>
        <w:jc w:val="center"/>
        <w:ind w:right="2000"/>
        <w:spacing w:after="0"/>
        <w:rPr>
          <w:sz w:val="20"/>
          <w:szCs w:val="20"/>
          <w:color w:val="auto"/>
        </w:rPr>
      </w:pPr>
      <w:r>
        <w:rPr>
          <w:rFonts w:ascii="Arial" w:cs="Arial" w:eastAsia="Arial" w:hAnsi="Arial"/>
          <w:sz w:val="14"/>
          <w:szCs w:val="14"/>
          <w:b w:val="1"/>
          <w:bCs w:val="1"/>
          <w:color w:val="auto"/>
        </w:rPr>
        <w:t>Identification No.)</w:t>
      </w:r>
    </w:p>
    <w:p>
      <w:pPr>
        <w:spacing w:after="0" w:line="24" w:lineRule="exact"/>
        <w:rPr>
          <w:sz w:val="20"/>
          <w:szCs w:val="20"/>
          <w:color w:val="auto"/>
        </w:rPr>
      </w:pPr>
    </w:p>
    <w:p>
      <w:pPr>
        <w:sectPr>
          <w:pgSz w:w="12240" w:h="15840" w:orient="portrait"/>
          <w:cols w:equalWidth="0" w:num="2">
            <w:col w:w="6460" w:space="720"/>
            <w:col w:w="3220"/>
          </w:cols>
          <w:pgMar w:left="920" w:top="649" w:right="920" w:bottom="563"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18706 North Creek Parkway, Suite 104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Bothell, Washington 98011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(425) 620-8501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2811145</wp:posOffset>
                </wp:positionH>
                <wp:positionV relativeFrom="paragraph">
                  <wp:posOffset>46355</wp:posOffset>
                </wp:positionV>
                <wp:extent cx="98107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1075" cy="4763"/>
                        </a:xfrm>
                        <a:prstGeom prst="line">
                          <a:avLst/>
                        </a:prstGeom>
                        <a:solidFill>
                          <a:srgbClr val="FFFFFF"/>
                        </a:solidFill>
                        <a:ln w="6273">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35pt,3.65pt" to="298.6pt,3.65pt" o:allowincell="f" strokecolor="#000000" strokeweight="0.4939pt"/>
            </w:pict>
          </mc:Fallback>
        </mc:AlternateConten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80" w:type="dxa"/>
            <w:vAlign w:val="bottom"/>
            <w:gridSpan w:val="3"/>
            <w:vMerge w:val="restart"/>
          </w:tcPr>
          <w:p>
            <w:pPr>
              <w:jc w:val="center"/>
              <w:ind w:right="520"/>
              <w:spacing w:after="0"/>
              <w:rPr>
                <w:sz w:val="20"/>
                <w:szCs w:val="20"/>
                <w:color w:val="auto"/>
              </w:rPr>
            </w:pPr>
            <w:r>
              <w:rPr>
                <w:rFonts w:ascii="Arial" w:cs="Arial" w:eastAsia="Arial" w:hAnsi="Arial"/>
                <w:sz w:val="15"/>
                <w:szCs w:val="15"/>
                <w:b w:val="1"/>
                <w:bCs w:val="1"/>
                <w:color w:val="auto"/>
              </w:rPr>
              <w:t>Title of each class</w:t>
            </w:r>
          </w:p>
        </w:tc>
        <w:tc>
          <w:tcPr>
            <w:tcW w:w="1660" w:type="dxa"/>
            <w:vAlign w:val="bottom"/>
          </w:tcPr>
          <w:p>
            <w:pPr>
              <w:jc w:val="center"/>
              <w:ind w:right="345"/>
              <w:spacing w:after="0"/>
              <w:rPr>
                <w:sz w:val="20"/>
                <w:szCs w:val="20"/>
                <w:color w:val="auto"/>
              </w:rPr>
            </w:pPr>
            <w:r>
              <w:rPr>
                <w:rFonts w:ascii="Arial" w:cs="Arial" w:eastAsia="Arial" w:hAnsi="Arial"/>
                <w:sz w:val="15"/>
                <w:szCs w:val="15"/>
                <w:b w:val="1"/>
                <w:bCs w:val="1"/>
                <w:color w:val="auto"/>
              </w:rPr>
              <w:t>Trading</w:t>
            </w:r>
          </w:p>
        </w:tc>
        <w:tc>
          <w:tcPr>
            <w:tcW w:w="100" w:type="dxa"/>
            <w:vAlign w:val="bottom"/>
          </w:tcPr>
          <w:p>
            <w:pPr>
              <w:spacing w:after="0"/>
              <w:rPr>
                <w:sz w:val="15"/>
                <w:szCs w:val="15"/>
                <w:color w:val="auto"/>
              </w:rPr>
            </w:pPr>
          </w:p>
        </w:tc>
        <w:tc>
          <w:tcPr>
            <w:tcW w:w="40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192"/>
        </w:trPr>
        <w:tc>
          <w:tcPr>
            <w:tcW w:w="4580" w:type="dxa"/>
            <w:vAlign w:val="bottom"/>
            <w:gridSpan w:val="3"/>
            <w:vMerge w:val="continue"/>
          </w:tcPr>
          <w:p>
            <w:pPr>
              <w:spacing w:after="0"/>
              <w:rPr>
                <w:sz w:val="16"/>
                <w:szCs w:val="16"/>
                <w:color w:val="auto"/>
              </w:rPr>
            </w:pPr>
          </w:p>
        </w:tc>
        <w:tc>
          <w:tcPr>
            <w:tcW w:w="1660" w:type="dxa"/>
            <w:vAlign w:val="bottom"/>
          </w:tcPr>
          <w:p>
            <w:pPr>
              <w:jc w:val="center"/>
              <w:ind w:right="345"/>
              <w:spacing w:after="0"/>
              <w:rPr>
                <w:sz w:val="20"/>
                <w:szCs w:val="20"/>
                <w:color w:val="auto"/>
              </w:rPr>
            </w:pPr>
            <w:r>
              <w:rPr>
                <w:rFonts w:ascii="Arial" w:cs="Arial" w:eastAsia="Arial" w:hAnsi="Arial"/>
                <w:sz w:val="15"/>
                <w:szCs w:val="15"/>
                <w:b w:val="1"/>
                <w:bCs w:val="1"/>
                <w:color w:val="auto"/>
              </w:rPr>
              <w:t>Symbol(s)</w:t>
            </w:r>
          </w:p>
        </w:tc>
        <w:tc>
          <w:tcPr>
            <w:tcW w:w="100" w:type="dxa"/>
            <w:vAlign w:val="bottom"/>
          </w:tcPr>
          <w:p>
            <w:pPr>
              <w:spacing w:after="0"/>
              <w:rPr>
                <w:sz w:val="16"/>
                <w:szCs w:val="16"/>
                <w:color w:val="auto"/>
              </w:rPr>
            </w:pPr>
          </w:p>
        </w:tc>
        <w:tc>
          <w:tcPr>
            <w:tcW w:w="4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6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rPr>
              <w:t>Common Stock, $0.0001 par value per share</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345"/>
              <w:spacing w:after="0" w:line="127" w:lineRule="exact"/>
              <w:rPr>
                <w:sz w:val="20"/>
                <w:szCs w:val="20"/>
                <w:color w:val="auto"/>
              </w:rPr>
            </w:pPr>
            <w:r>
              <w:rPr>
                <w:rFonts w:ascii="Arial" w:cs="Arial" w:eastAsia="Arial" w:hAnsi="Arial"/>
                <w:sz w:val="14"/>
                <w:szCs w:val="14"/>
                <w:color w:val="auto"/>
              </w:rPr>
              <w:t>ATHA</w:t>
            </w:r>
          </w:p>
        </w:tc>
        <w:tc>
          <w:tcPr>
            <w:tcW w:w="100" w:type="dxa"/>
            <w:vAlign w:val="bottom"/>
          </w:tcPr>
          <w:p>
            <w:pPr>
              <w:spacing w:after="0"/>
              <w:rPr>
                <w:sz w:val="11"/>
                <w:szCs w:val="11"/>
                <w:color w:val="auto"/>
              </w:rPr>
            </w:pPr>
          </w:p>
        </w:tc>
        <w:tc>
          <w:tcPr>
            <w:tcW w:w="406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5"/>
                <w:szCs w:val="15"/>
                <w:color w:val="auto"/>
              </w:rPr>
              <w:t>(The Nasdaq Global Select Market)</w:t>
            </w:r>
          </w:p>
        </w:tc>
        <w:tc>
          <w:tcPr>
            <w:tcW w:w="0" w:type="dxa"/>
            <w:vAlign w:val="bottom"/>
          </w:tcPr>
          <w:p>
            <w:pPr>
              <w:spacing w:after="0"/>
              <w:rPr>
                <w:sz w:val="1"/>
                <w:szCs w:val="1"/>
                <w:color w:val="auto"/>
              </w:rPr>
            </w:pPr>
          </w:p>
        </w:tc>
      </w:tr>
      <w:tr>
        <w:trPr>
          <w:trHeight w:val="246"/>
        </w:trPr>
        <w:tc>
          <w:tcPr>
            <w:tcW w:w="4580" w:type="dxa"/>
            <w:vAlign w:val="bottom"/>
            <w:gridSpan w:val="3"/>
          </w:tcPr>
          <w:p>
            <w:pPr>
              <w:spacing w:after="0"/>
              <w:rPr>
                <w:sz w:val="20"/>
                <w:szCs w:val="20"/>
                <w:color w:val="auto"/>
              </w:rPr>
            </w:pPr>
            <w:r>
              <w:rPr>
                <w:rFonts w:ascii="Arial" w:cs="Arial" w:eastAsia="Arial" w:hAnsi="Arial"/>
                <w:sz w:val="15"/>
                <w:szCs w:val="15"/>
                <w:color w:val="auto"/>
              </w:rPr>
              <w:t>Securities registered pursuant to Section 12(g) of the Act: None</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right="1360"/>
        <w:spacing w:after="0" w:line="360" w:lineRule="auto"/>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Segoe UI" w:cs="Segoe UI" w:eastAsia="Segoe UI" w:hAnsi="Segoe UI"/>
          <w:sz w:val="15"/>
          <w:szCs w:val="15"/>
          <w:color w:val="auto"/>
        </w:rPr>
        <w:t>տ</w:t>
      </w:r>
      <w:r>
        <w:rPr>
          <w:rFonts w:ascii="Arial" w:cs="Arial" w:eastAsia="Arial" w:hAnsi="Arial"/>
          <w:sz w:val="15"/>
          <w:szCs w:val="15"/>
          <w:color w:val="auto"/>
        </w:rPr>
        <w:t xml:space="preserve"> NO </w:t>
      </w:r>
      <w:r>
        <w:rPr>
          <w:rFonts w:ascii="Segoe UI" w:cs="Segoe UI" w:eastAsia="Segoe UI" w:hAnsi="Segoe UI"/>
          <w:sz w:val="15"/>
          <w:szCs w:val="15"/>
          <w:color w:val="auto"/>
        </w:rPr>
        <w:t>ց</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Segoe UI" w:cs="Segoe UI" w:eastAsia="Segoe UI" w:hAnsi="Segoe UI"/>
          <w:sz w:val="15"/>
          <w:szCs w:val="15"/>
          <w:color w:val="auto"/>
        </w:rPr>
        <w:t>տ</w:t>
      </w:r>
      <w:r>
        <w:rPr>
          <w:rFonts w:ascii="Arial" w:cs="Arial" w:eastAsia="Arial" w:hAnsi="Arial"/>
          <w:sz w:val="15"/>
          <w:szCs w:val="15"/>
          <w:color w:val="auto"/>
        </w:rPr>
        <w:t xml:space="preserve"> NO </w:t>
      </w:r>
      <w:r>
        <w:rPr>
          <w:rFonts w:ascii="Segoe UI" w:cs="Segoe UI" w:eastAsia="Segoe UI" w:hAnsi="Segoe UI"/>
          <w:sz w:val="15"/>
          <w:szCs w:val="15"/>
          <w:color w:val="auto"/>
        </w:rPr>
        <w:t>ց</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rPr>
          <w:sz w:val="20"/>
          <w:szCs w:val="20"/>
          <w:color w:val="auto"/>
        </w:rPr>
      </w:pPr>
      <w:r>
        <w:rPr>
          <w:rFonts w:ascii="Arial" w:cs="Arial" w:eastAsia="Arial" w:hAnsi="Arial"/>
          <w:sz w:val="15"/>
          <w:szCs w:val="15"/>
          <w:color w:val="auto"/>
        </w:rPr>
        <w:t xml:space="preserve">requirements for the past 90 days. YES </w:t>
      </w:r>
      <w:r>
        <w:rPr>
          <w:rFonts w:ascii="Segoe UI" w:cs="Segoe UI" w:eastAsia="Segoe UI" w:hAnsi="Segoe UI"/>
          <w:sz w:val="15"/>
          <w:szCs w:val="15"/>
          <w:color w:val="auto"/>
        </w:rPr>
        <w:t>ց</w:t>
      </w:r>
      <w:r>
        <w:rPr>
          <w:rFonts w:ascii="Arial" w:cs="Arial" w:eastAsia="Arial" w:hAnsi="Arial"/>
          <w:sz w:val="15"/>
          <w:szCs w:val="15"/>
          <w:color w:val="auto"/>
        </w:rPr>
        <w:t xml:space="preserve"> NO </w:t>
      </w:r>
      <w:r>
        <w:rPr>
          <w:rFonts w:ascii="Segoe UI" w:cs="Segoe UI" w:eastAsia="Segoe UI" w:hAnsi="Segoe UI"/>
          <w:sz w:val="15"/>
          <w:szCs w:val="15"/>
          <w:color w:val="auto"/>
        </w:rPr>
        <w:t>տ</w:t>
      </w:r>
    </w:p>
    <w:p>
      <w:pPr>
        <w:spacing w:after="0" w:line="80" w:lineRule="exact"/>
        <w:rPr>
          <w:sz w:val="20"/>
          <w:szCs w:val="20"/>
          <w:color w:val="auto"/>
        </w:rPr>
      </w:pPr>
    </w:p>
    <w:p>
      <w:pPr>
        <w:jc w:val="both"/>
        <w:spacing w:after="0" w:line="22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files). YES </w:t>
      </w:r>
      <w:r>
        <w:rPr>
          <w:rFonts w:ascii="Segoe UI" w:cs="Segoe UI" w:eastAsia="Segoe UI" w:hAnsi="Segoe UI"/>
          <w:sz w:val="15"/>
          <w:szCs w:val="15"/>
          <w:color w:val="auto"/>
        </w:rPr>
        <w:t>ց</w:t>
      </w:r>
      <w:r>
        <w:rPr>
          <w:rFonts w:ascii="Arial" w:cs="Arial" w:eastAsia="Arial" w:hAnsi="Arial"/>
          <w:sz w:val="15"/>
          <w:szCs w:val="15"/>
          <w:color w:val="auto"/>
        </w:rPr>
        <w:t xml:space="preserve"> NO </w:t>
      </w:r>
      <w:r>
        <w:rPr>
          <w:rFonts w:ascii="Segoe UI" w:cs="Segoe UI" w:eastAsia="Segoe UI" w:hAnsi="Segoe UI"/>
          <w:sz w:val="15"/>
          <w:szCs w:val="15"/>
          <w:color w:val="auto"/>
        </w:rPr>
        <w:t>տ</w:t>
      </w:r>
    </w:p>
    <w:p>
      <w:pPr>
        <w:spacing w:after="0" w:line="80"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840" w:type="dxa"/>
            <w:vAlign w:val="bottom"/>
            <w:gridSpan w:val="2"/>
          </w:tcPr>
          <w:p>
            <w:pPr>
              <w:spacing w:after="0"/>
              <w:rPr>
                <w:sz w:val="20"/>
                <w:szCs w:val="20"/>
                <w:color w:val="auto"/>
              </w:rPr>
            </w:pPr>
            <w:r>
              <w:rPr>
                <w:rFonts w:ascii="Arial" w:cs="Arial" w:eastAsia="Arial" w:hAnsi="Arial"/>
                <w:sz w:val="15"/>
                <w:szCs w:val="15"/>
                <w:color w:val="auto"/>
              </w:rPr>
              <w:t>Large accelerated filer</w:t>
            </w:r>
          </w:p>
        </w:tc>
        <w:tc>
          <w:tcPr>
            <w:tcW w:w="2980" w:type="dxa"/>
            <w:vAlign w:val="bottom"/>
          </w:tcPr>
          <w:p>
            <w:pPr>
              <w:ind w:left="60"/>
              <w:spacing w:after="0"/>
              <w:rPr>
                <w:sz w:val="20"/>
                <w:szCs w:val="20"/>
                <w:color w:val="auto"/>
              </w:rPr>
            </w:pPr>
            <w:r>
              <w:rPr>
                <w:rFonts w:ascii="Segoe UI" w:cs="Segoe UI" w:eastAsia="Segoe UI" w:hAnsi="Segoe UI"/>
                <w:sz w:val="15"/>
                <w:szCs w:val="15"/>
                <w:color w:val="auto"/>
              </w:rPr>
              <w:t>տ</w:t>
            </w:r>
          </w:p>
        </w:tc>
        <w:tc>
          <w:tcPr>
            <w:tcW w:w="5020" w:type="dxa"/>
            <w:vAlign w:val="bottom"/>
          </w:tcPr>
          <w:p>
            <w:pPr>
              <w:ind w:left="278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rPr>
                <w:sz w:val="20"/>
                <w:szCs w:val="20"/>
                <w:color w:val="auto"/>
              </w:rPr>
            </w:pPr>
            <w:r>
              <w:rPr>
                <w:rFonts w:ascii="Segoe UI" w:cs="Segoe UI" w:eastAsia="Segoe UI" w:hAnsi="Segoe UI"/>
                <w:sz w:val="15"/>
                <w:szCs w:val="15"/>
                <w:color w:val="auto"/>
                <w:w w:val="95"/>
              </w:rPr>
              <w:t>տ</w:t>
            </w:r>
          </w:p>
        </w:tc>
      </w:tr>
      <w:tr>
        <w:trPr>
          <w:trHeight w:val="240"/>
        </w:trPr>
        <w:tc>
          <w:tcPr>
            <w:tcW w:w="1840" w:type="dxa"/>
            <w:vAlign w:val="bottom"/>
            <w:gridSpan w:val="2"/>
          </w:tcPr>
          <w:p>
            <w:pPr>
              <w:spacing w:after="0"/>
              <w:rPr>
                <w:sz w:val="20"/>
                <w:szCs w:val="20"/>
                <w:color w:val="auto"/>
              </w:rPr>
            </w:pPr>
            <w:r>
              <w:rPr>
                <w:rFonts w:ascii="Arial" w:cs="Arial" w:eastAsia="Arial" w:hAnsi="Arial"/>
                <w:sz w:val="15"/>
                <w:szCs w:val="15"/>
                <w:color w:val="auto"/>
              </w:rPr>
              <w:t>Non-accelerated filer</w:t>
            </w:r>
          </w:p>
        </w:tc>
        <w:tc>
          <w:tcPr>
            <w:tcW w:w="2980" w:type="dxa"/>
            <w:vAlign w:val="bottom"/>
          </w:tcPr>
          <w:p>
            <w:pPr>
              <w:ind w:left="60"/>
              <w:spacing w:after="0"/>
              <w:rPr>
                <w:sz w:val="20"/>
                <w:szCs w:val="20"/>
                <w:color w:val="auto"/>
              </w:rPr>
            </w:pPr>
            <w:r>
              <w:rPr>
                <w:rFonts w:ascii="Segoe UI" w:cs="Segoe UI" w:eastAsia="Segoe UI" w:hAnsi="Segoe UI"/>
                <w:sz w:val="15"/>
                <w:szCs w:val="15"/>
                <w:color w:val="auto"/>
              </w:rPr>
              <w:t>ց</w:t>
            </w:r>
          </w:p>
        </w:tc>
        <w:tc>
          <w:tcPr>
            <w:tcW w:w="5020" w:type="dxa"/>
            <w:vAlign w:val="bottom"/>
          </w:tcPr>
          <w:p>
            <w:pPr>
              <w:ind w:left="278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rPr>
                <w:sz w:val="20"/>
                <w:szCs w:val="20"/>
                <w:color w:val="auto"/>
              </w:rPr>
            </w:pPr>
            <w:r>
              <w:rPr>
                <w:rFonts w:ascii="Segoe UI" w:cs="Segoe UI" w:eastAsia="Segoe UI" w:hAnsi="Segoe UI"/>
                <w:sz w:val="15"/>
                <w:szCs w:val="15"/>
                <w:color w:val="auto"/>
              </w:rPr>
              <w:t>ց</w:t>
            </w:r>
          </w:p>
        </w:tc>
      </w:tr>
      <w:tr>
        <w:trPr>
          <w:trHeight w:val="231"/>
        </w:trPr>
        <w:tc>
          <w:tcPr>
            <w:tcW w:w="1000" w:type="dxa"/>
            <w:vAlign w:val="bottom"/>
          </w:tcPr>
          <w:p>
            <w:pPr>
              <w:spacing w:after="0"/>
              <w:rPr>
                <w:sz w:val="20"/>
                <w:szCs w:val="20"/>
                <w:color w:val="auto"/>
              </w:rPr>
            </w:pPr>
            <w:r>
              <w:rPr>
                <w:rFonts w:ascii="Arial" w:cs="Arial" w:eastAsia="Arial" w:hAnsi="Arial"/>
                <w:sz w:val="15"/>
                <w:szCs w:val="15"/>
                <w:color w:val="auto"/>
              </w:rPr>
              <w:t>Emerging</w:t>
            </w:r>
          </w:p>
        </w:tc>
        <w:tc>
          <w:tcPr>
            <w:tcW w:w="840" w:type="dxa"/>
            <w:vAlign w:val="bottom"/>
          </w:tcPr>
          <w:p>
            <w:pPr>
              <w:ind w:left="320"/>
              <w:spacing w:after="0"/>
              <w:rPr>
                <w:sz w:val="20"/>
                <w:szCs w:val="20"/>
                <w:color w:val="auto"/>
              </w:rPr>
            </w:pPr>
            <w:r>
              <w:rPr>
                <w:rFonts w:ascii="Arial" w:cs="Arial" w:eastAsia="Arial" w:hAnsi="Arial"/>
                <w:sz w:val="15"/>
                <w:szCs w:val="15"/>
                <w:color w:val="auto"/>
              </w:rPr>
              <w:t>growth</w:t>
            </w:r>
          </w:p>
        </w:tc>
        <w:tc>
          <w:tcPr>
            <w:tcW w:w="2980" w:type="dxa"/>
            <w:vAlign w:val="bottom"/>
          </w:tcPr>
          <w:p>
            <w:pPr>
              <w:ind w:left="60"/>
              <w:spacing w:after="0"/>
              <w:rPr>
                <w:sz w:val="20"/>
                <w:szCs w:val="20"/>
                <w:color w:val="auto"/>
              </w:rPr>
            </w:pPr>
            <w:r>
              <w:rPr>
                <w:rFonts w:ascii="Segoe UI" w:cs="Segoe UI" w:eastAsia="Segoe UI" w:hAnsi="Segoe UI"/>
                <w:sz w:val="15"/>
                <w:szCs w:val="15"/>
                <w:color w:val="auto"/>
              </w:rPr>
              <w:t>ց</w:t>
            </w:r>
          </w:p>
        </w:tc>
        <w:tc>
          <w:tcPr>
            <w:tcW w:w="50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5"/>
                <w:szCs w:val="15"/>
                <w:color w:val="auto"/>
              </w:rPr>
              <w:t>company</w:t>
            </w:r>
          </w:p>
        </w:tc>
        <w:tc>
          <w:tcPr>
            <w:tcW w:w="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40" w:type="dxa"/>
            <w:vAlign w:val="bottom"/>
          </w:tcPr>
          <w:p>
            <w:pPr>
              <w:spacing w:after="0"/>
              <w:rPr>
                <w:sz w:val="18"/>
                <w:szCs w:val="18"/>
                <w:color w:val="auto"/>
              </w:rPr>
            </w:pPr>
          </w:p>
        </w:tc>
      </w:tr>
    </w:tbl>
    <w:p>
      <w:pPr>
        <w:spacing w:after="0" w:line="6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5"/>
          <w:szCs w:val="15"/>
          <w:color w:val="auto"/>
        </w:rPr>
        <w:t>տ</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w:t>
      </w:r>
    </w:p>
    <w:p>
      <w:pPr>
        <w:spacing w:after="0"/>
        <w:rPr>
          <w:sz w:val="20"/>
          <w:szCs w:val="20"/>
          <w:color w:val="auto"/>
        </w:rPr>
      </w:pPr>
      <w:r>
        <w:rPr>
          <w:rFonts w:ascii="Arial" w:cs="Arial" w:eastAsia="Arial" w:hAnsi="Arial"/>
          <w:sz w:val="15"/>
          <w:szCs w:val="15"/>
          <w:color w:val="auto"/>
        </w:rPr>
        <w:t xml:space="preserve">or issued its audit report. </w:t>
      </w:r>
      <w:r>
        <w:rPr>
          <w:rFonts w:ascii="Segoe UI" w:cs="Segoe UI" w:eastAsia="Segoe UI" w:hAnsi="Segoe UI"/>
          <w:sz w:val="15"/>
          <w:szCs w:val="15"/>
          <w:color w:val="auto"/>
        </w:rPr>
        <w:t>տ</w:t>
      </w:r>
    </w:p>
    <w:p>
      <w:pPr>
        <w:spacing w:after="0" w:line="80"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5"/>
          <w:szCs w:val="15"/>
          <w:color w:val="auto"/>
        </w:rPr>
        <w:t>տ</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 cers during the relevant recovery period pursuant to §240.10D-1(b). </w:t>
      </w:r>
      <w:r>
        <w:rPr>
          <w:rFonts w:ascii="Segoe UI" w:cs="Segoe UI" w:eastAsia="Segoe UI" w:hAnsi="Segoe UI"/>
          <w:sz w:val="15"/>
          <w:szCs w:val="15"/>
          <w:color w:val="auto"/>
        </w:rPr>
        <w:t>տ</w:t>
      </w:r>
    </w:p>
    <w:p>
      <w:pPr>
        <w:spacing w:after="0"/>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Segoe UI" w:cs="Segoe UI" w:eastAsia="Segoe UI" w:hAnsi="Segoe UI"/>
          <w:sz w:val="15"/>
          <w:szCs w:val="15"/>
          <w:color w:val="auto"/>
        </w:rPr>
        <w:t>տ</w:t>
      </w:r>
      <w:r>
        <w:rPr>
          <w:rFonts w:ascii="Arial" w:cs="Arial" w:eastAsia="Arial" w:hAnsi="Arial"/>
          <w:sz w:val="15"/>
          <w:szCs w:val="15"/>
          <w:color w:val="auto"/>
        </w:rPr>
        <w:t xml:space="preserve"> NO </w:t>
      </w:r>
      <w:r>
        <w:rPr>
          <w:rFonts w:ascii="Segoe UI" w:cs="Segoe UI" w:eastAsia="Segoe UI" w:hAnsi="Segoe UI"/>
          <w:sz w:val="15"/>
          <w:szCs w:val="15"/>
          <w:color w:val="auto"/>
        </w:rPr>
        <w:t>ց</w:t>
      </w:r>
    </w:p>
    <w:p>
      <w:pPr>
        <w:spacing w:after="0" w:line="80"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The aggregate market value of the common stock held by non-affiliates of the registrant, based on the closing price of the shares of common stock on June 30, 2022 (the last business day of the registrant’s most recently completed second fiscal quarter) as reported by The Nasdaq Stock Market LLC on such date was approximately $99.0 million. Shares of the registrant’s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March 20, 2023 was 37,944,190.</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pacing w:after="0" w:line="39"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Portions of the definitive proxy statement to be delivered to stockholders in connection with the 2023 annual meeting of stockholders are incorporated by reference into Part III of this Annual Report on Form 10-K. Such proxy statement will be filed with the Securities and Exchange Commission not later than 120 days following the end of the Registrant’s fiscal year ended 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109220</wp:posOffset>
                </wp:positionV>
                <wp:extent cx="663194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1940" cy="4763"/>
                        </a:xfrm>
                        <a:prstGeom prst="line">
                          <a:avLst/>
                        </a:prstGeom>
                        <a:solidFill>
                          <a:srgbClr val="FFFFFF"/>
                        </a:solidFill>
                        <a:ln w="9423">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8.6pt" to="521.1pt,8.6pt" o:allowincell="f" strokecolor="#000000" strokeweight="0.742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90805</wp:posOffset>
                </wp:positionV>
                <wp:extent cx="663194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1940" cy="4763"/>
                        </a:xfrm>
                        <a:prstGeom prst="line">
                          <a:avLst/>
                        </a:prstGeom>
                        <a:solidFill>
                          <a:srgbClr val="FFFFFF"/>
                        </a:solidFill>
                        <a:ln w="9423">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7.15pt" to="521.1pt,7.15pt" o:allowincell="f" strokecolor="#000000" strokeweight="0.742pt"/>
            </w:pict>
          </mc:Fallback>
        </mc:AlternateContent>
      </w:r>
    </w:p>
    <w:p>
      <w:pPr>
        <w:sectPr>
          <w:pgSz w:w="12240" w:h="15840" w:orient="portrait"/>
          <w:cols w:equalWidth="0" w:num="1">
            <w:col w:w="10400"/>
          </w:cols>
          <w:pgMar w:left="920" w:top="649" w:right="920" w:bottom="563"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93"/>
        </w:trPr>
        <w:tc>
          <w:tcPr>
            <w:tcW w:w="940" w:type="dxa"/>
            <w:vAlign w:val="bottom"/>
          </w:tcPr>
          <w:p>
            <w:pPr>
              <w:spacing w:after="0"/>
              <w:rPr>
                <w:sz w:val="24"/>
                <w:szCs w:val="24"/>
                <w:color w:val="auto"/>
              </w:rPr>
            </w:pPr>
          </w:p>
        </w:tc>
        <w:tc>
          <w:tcPr>
            <w:tcW w:w="8020" w:type="dxa"/>
            <w:vAlign w:val="bottom"/>
          </w:tcPr>
          <w:p>
            <w:pPr>
              <w:ind w:left="3000"/>
              <w:spacing w:after="0"/>
              <w:rPr>
                <w:sz w:val="20"/>
                <w:szCs w:val="20"/>
                <w:color w:val="auto"/>
              </w:rPr>
            </w:pPr>
            <w:r>
              <w:rPr>
                <w:rFonts w:ascii="Arial" w:cs="Arial" w:eastAsia="Arial" w:hAnsi="Arial"/>
                <w:sz w:val="21"/>
                <w:szCs w:val="21"/>
                <w:b w:val="1"/>
                <w:bCs w:val="1"/>
                <w:color w:val="auto"/>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940" w:type="dxa"/>
            <w:vAlign w:val="bottom"/>
            <w:vMerge w:val="restart"/>
          </w:tcPr>
          <w:p>
            <w:pPr>
              <w:spacing w:after="0"/>
              <w:rPr>
                <w:sz w:val="20"/>
                <w:szCs w:val="20"/>
                <w:color w:val="auto"/>
              </w:rPr>
            </w:pPr>
            <w:r>
              <w:rPr>
                <w:rFonts w:ascii="Arial" w:cs="Arial" w:eastAsia="Arial" w:hAnsi="Arial"/>
                <w:sz w:val="21"/>
                <w:szCs w:val="21"/>
                <w:b w:val="1"/>
                <w:bCs w:val="1"/>
                <w:color w:val="auto"/>
              </w:rPr>
              <w:t>PART I</w:t>
            </w:r>
          </w:p>
        </w:tc>
        <w:tc>
          <w:tcPr>
            <w:tcW w:w="8020" w:type="dxa"/>
            <w:vAlign w:val="bottom"/>
          </w:tcPr>
          <w:p>
            <w:pPr>
              <w:spacing w:after="0"/>
              <w:rPr>
                <w:sz w:val="24"/>
                <w:szCs w:val="24"/>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2"/>
        </w:trPr>
        <w:tc>
          <w:tcPr>
            <w:tcW w:w="940" w:type="dxa"/>
            <w:vAlign w:val="bottom"/>
            <w:vMerge w:val="continue"/>
          </w:tcPr>
          <w:p>
            <w:pPr>
              <w:spacing w:after="0"/>
              <w:rPr>
                <w:sz w:val="17"/>
                <w:szCs w:val="17"/>
                <w:color w:val="auto"/>
              </w:rPr>
            </w:pPr>
          </w:p>
        </w:tc>
        <w:tc>
          <w:tcPr>
            <w:tcW w:w="8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Pr>
          <w:p>
            <w:pPr>
              <w:ind w:left="140"/>
              <w:spacing w:after="0" w:line="237" w:lineRule="exact"/>
              <w:rPr>
                <w:sz w:val="20"/>
                <w:szCs w:val="20"/>
                <w:color w:val="auto"/>
              </w:rPr>
            </w:pPr>
            <w:r>
              <w:rPr>
                <w:rFonts w:ascii="Arial" w:cs="Arial" w:eastAsia="Arial" w:hAnsi="Arial"/>
                <w:sz w:val="21"/>
                <w:szCs w:val="21"/>
                <w:color w:val="auto"/>
              </w:rPr>
              <w:t>Item 1.</w:t>
            </w:r>
          </w:p>
        </w:tc>
        <w:tc>
          <w:tcPr>
            <w:tcW w:w="8020" w:type="dxa"/>
            <w:vAlign w:val="bottom"/>
          </w:tcPr>
          <w:p>
            <w:pPr>
              <w:ind w:left="40"/>
              <w:spacing w:after="0" w:line="237" w:lineRule="exact"/>
              <w:rPr>
                <w:sz w:val="20"/>
                <w:szCs w:val="20"/>
                <w:color w:val="auto"/>
              </w:rPr>
            </w:pPr>
            <w:r>
              <w:rPr>
                <w:rFonts w:ascii="Arial" w:cs="Arial" w:eastAsia="Arial" w:hAnsi="Arial"/>
                <w:sz w:val="21"/>
                <w:szCs w:val="21"/>
                <w:color w:val="auto"/>
              </w:rPr>
              <w:t>Business</w:t>
            </w:r>
          </w:p>
        </w:tc>
        <w:tc>
          <w:tcPr>
            <w:tcW w:w="680" w:type="dxa"/>
            <w:vAlign w:val="bottom"/>
          </w:tcPr>
          <w:p>
            <w:pPr>
              <w:jc w:val="right"/>
              <w:spacing w:after="0" w:line="237"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36"/>
        </w:trPr>
        <w:tc>
          <w:tcPr>
            <w:tcW w:w="940" w:type="dxa"/>
            <w:vAlign w:val="bottom"/>
          </w:tcPr>
          <w:p>
            <w:pPr>
              <w:ind w:left="140"/>
              <w:spacing w:after="0" w:line="236" w:lineRule="exact"/>
              <w:rPr>
                <w:sz w:val="20"/>
                <w:szCs w:val="20"/>
                <w:color w:val="auto"/>
              </w:rPr>
            </w:pPr>
            <w:r>
              <w:rPr>
                <w:rFonts w:ascii="Arial" w:cs="Arial" w:eastAsia="Arial" w:hAnsi="Arial"/>
                <w:sz w:val="21"/>
                <w:szCs w:val="21"/>
                <w:color w:val="auto"/>
                <w:w w:val="99"/>
              </w:rPr>
              <w:t>Item 1A.</w:t>
            </w:r>
          </w:p>
        </w:tc>
        <w:tc>
          <w:tcPr>
            <w:tcW w:w="8020" w:type="dxa"/>
            <w:vAlign w:val="bottom"/>
          </w:tcPr>
          <w:p>
            <w:pPr>
              <w:ind w:left="40"/>
              <w:spacing w:after="0" w:line="236" w:lineRule="exact"/>
              <w:rPr>
                <w:sz w:val="20"/>
                <w:szCs w:val="20"/>
                <w:color w:val="auto"/>
              </w:rPr>
            </w:pPr>
            <w:r>
              <w:rPr>
                <w:rFonts w:ascii="Arial" w:cs="Arial" w:eastAsia="Arial" w:hAnsi="Arial"/>
                <w:sz w:val="21"/>
                <w:szCs w:val="21"/>
                <w:color w:val="auto"/>
              </w:rPr>
              <w:t>Risk Factors</w:t>
            </w:r>
          </w:p>
        </w:tc>
        <w:tc>
          <w:tcPr>
            <w:tcW w:w="680" w:type="dxa"/>
            <w:vAlign w:val="bottom"/>
          </w:tcPr>
          <w:p>
            <w:pPr>
              <w:jc w:val="right"/>
              <w:spacing w:after="0" w:line="236" w:lineRule="exact"/>
              <w:rPr>
                <w:sz w:val="20"/>
                <w:szCs w:val="20"/>
                <w:color w:val="auto"/>
              </w:rPr>
            </w:pPr>
            <w:r>
              <w:rPr>
                <w:rFonts w:ascii="Arial" w:cs="Arial" w:eastAsia="Arial" w:hAnsi="Arial"/>
                <w:sz w:val="21"/>
                <w:szCs w:val="21"/>
                <w:color w:val="auto"/>
              </w:rPr>
              <w:t>45</w:t>
            </w:r>
          </w:p>
        </w:tc>
        <w:tc>
          <w:tcPr>
            <w:tcW w:w="0" w:type="dxa"/>
            <w:vAlign w:val="bottom"/>
          </w:tcPr>
          <w:p>
            <w:pPr>
              <w:spacing w:after="0"/>
              <w:rPr>
                <w:sz w:val="1"/>
                <w:szCs w:val="1"/>
                <w:color w:val="auto"/>
              </w:rPr>
            </w:pPr>
          </w:p>
        </w:tc>
      </w:tr>
      <w:tr>
        <w:trPr>
          <w:trHeight w:val="237"/>
        </w:trPr>
        <w:tc>
          <w:tcPr>
            <w:tcW w:w="940" w:type="dxa"/>
            <w:vAlign w:val="bottom"/>
          </w:tcPr>
          <w:p>
            <w:pPr>
              <w:ind w:left="140"/>
              <w:spacing w:after="0" w:line="237" w:lineRule="exact"/>
              <w:rPr>
                <w:sz w:val="20"/>
                <w:szCs w:val="20"/>
                <w:color w:val="auto"/>
              </w:rPr>
            </w:pPr>
            <w:r>
              <w:rPr>
                <w:rFonts w:ascii="Arial" w:cs="Arial" w:eastAsia="Arial" w:hAnsi="Arial"/>
                <w:sz w:val="21"/>
                <w:szCs w:val="21"/>
                <w:color w:val="auto"/>
                <w:w w:val="99"/>
              </w:rPr>
              <w:t>Item 1B.</w:t>
            </w:r>
          </w:p>
        </w:tc>
        <w:tc>
          <w:tcPr>
            <w:tcW w:w="8020" w:type="dxa"/>
            <w:vAlign w:val="bottom"/>
          </w:tcPr>
          <w:p>
            <w:pPr>
              <w:ind w:left="40"/>
              <w:spacing w:after="0" w:line="237" w:lineRule="exact"/>
              <w:rPr>
                <w:sz w:val="20"/>
                <w:szCs w:val="20"/>
                <w:color w:val="auto"/>
              </w:rPr>
            </w:pPr>
            <w:r>
              <w:rPr>
                <w:rFonts w:ascii="Arial" w:cs="Arial" w:eastAsia="Arial" w:hAnsi="Arial"/>
                <w:sz w:val="21"/>
                <w:szCs w:val="21"/>
                <w:color w:val="auto"/>
              </w:rPr>
              <w:t>Unresolved Staff Comments</w:t>
            </w:r>
          </w:p>
        </w:tc>
        <w:tc>
          <w:tcPr>
            <w:tcW w:w="680" w:type="dxa"/>
            <w:vAlign w:val="bottom"/>
          </w:tcPr>
          <w:p>
            <w:pPr>
              <w:jc w:val="right"/>
              <w:spacing w:after="0" w:line="237" w:lineRule="exact"/>
              <w:rPr>
                <w:sz w:val="20"/>
                <w:szCs w:val="20"/>
                <w:color w:val="auto"/>
              </w:rPr>
            </w:pPr>
            <w:r>
              <w:rPr>
                <w:rFonts w:ascii="Arial" w:cs="Arial" w:eastAsia="Arial" w:hAnsi="Arial"/>
                <w:sz w:val="21"/>
                <w:szCs w:val="21"/>
                <w:color w:val="auto"/>
              </w:rPr>
              <w:t>112</w:t>
            </w:r>
          </w:p>
        </w:tc>
        <w:tc>
          <w:tcPr>
            <w:tcW w:w="0" w:type="dxa"/>
            <w:vAlign w:val="bottom"/>
          </w:tcPr>
          <w:p>
            <w:pPr>
              <w:spacing w:after="0"/>
              <w:rPr>
                <w:sz w:val="1"/>
                <w:szCs w:val="1"/>
                <w:color w:val="auto"/>
              </w:rPr>
            </w:pPr>
          </w:p>
        </w:tc>
      </w:tr>
      <w:tr>
        <w:trPr>
          <w:trHeight w:val="237"/>
        </w:trPr>
        <w:tc>
          <w:tcPr>
            <w:tcW w:w="940" w:type="dxa"/>
            <w:vAlign w:val="bottom"/>
          </w:tcPr>
          <w:p>
            <w:pPr>
              <w:ind w:left="140"/>
              <w:spacing w:after="0" w:line="237" w:lineRule="exact"/>
              <w:rPr>
                <w:sz w:val="20"/>
                <w:szCs w:val="20"/>
                <w:color w:val="auto"/>
              </w:rPr>
            </w:pPr>
            <w:r>
              <w:rPr>
                <w:rFonts w:ascii="Arial" w:cs="Arial" w:eastAsia="Arial" w:hAnsi="Arial"/>
                <w:sz w:val="21"/>
                <w:szCs w:val="21"/>
                <w:color w:val="auto"/>
              </w:rPr>
              <w:t>Item 2.</w:t>
            </w:r>
          </w:p>
        </w:tc>
        <w:tc>
          <w:tcPr>
            <w:tcW w:w="8020" w:type="dxa"/>
            <w:vAlign w:val="bottom"/>
          </w:tcPr>
          <w:p>
            <w:pPr>
              <w:ind w:left="40"/>
              <w:spacing w:after="0" w:line="237" w:lineRule="exact"/>
              <w:rPr>
                <w:sz w:val="20"/>
                <w:szCs w:val="20"/>
                <w:color w:val="auto"/>
              </w:rPr>
            </w:pPr>
            <w:r>
              <w:rPr>
                <w:rFonts w:ascii="Arial" w:cs="Arial" w:eastAsia="Arial" w:hAnsi="Arial"/>
                <w:sz w:val="21"/>
                <w:szCs w:val="21"/>
                <w:color w:val="auto"/>
              </w:rPr>
              <w:t>Properties</w:t>
            </w:r>
          </w:p>
        </w:tc>
        <w:tc>
          <w:tcPr>
            <w:tcW w:w="680" w:type="dxa"/>
            <w:vAlign w:val="bottom"/>
          </w:tcPr>
          <w:p>
            <w:pPr>
              <w:jc w:val="right"/>
              <w:spacing w:after="0" w:line="237" w:lineRule="exact"/>
              <w:rPr>
                <w:sz w:val="20"/>
                <w:szCs w:val="20"/>
                <w:color w:val="auto"/>
              </w:rPr>
            </w:pPr>
            <w:r>
              <w:rPr>
                <w:rFonts w:ascii="Arial" w:cs="Arial" w:eastAsia="Arial" w:hAnsi="Arial"/>
                <w:sz w:val="21"/>
                <w:szCs w:val="21"/>
                <w:color w:val="auto"/>
              </w:rPr>
              <w:t>112</w:t>
            </w:r>
          </w:p>
        </w:tc>
        <w:tc>
          <w:tcPr>
            <w:tcW w:w="0" w:type="dxa"/>
            <w:vAlign w:val="bottom"/>
          </w:tcPr>
          <w:p>
            <w:pPr>
              <w:spacing w:after="0"/>
              <w:rPr>
                <w:sz w:val="1"/>
                <w:szCs w:val="1"/>
                <w:color w:val="auto"/>
              </w:rPr>
            </w:pPr>
          </w:p>
        </w:tc>
      </w:tr>
      <w:tr>
        <w:trPr>
          <w:trHeight w:val="236"/>
        </w:trPr>
        <w:tc>
          <w:tcPr>
            <w:tcW w:w="940" w:type="dxa"/>
            <w:vAlign w:val="bottom"/>
          </w:tcPr>
          <w:p>
            <w:pPr>
              <w:ind w:left="140"/>
              <w:spacing w:after="0" w:line="236" w:lineRule="exact"/>
              <w:rPr>
                <w:sz w:val="20"/>
                <w:szCs w:val="20"/>
                <w:color w:val="auto"/>
              </w:rPr>
            </w:pPr>
            <w:r>
              <w:rPr>
                <w:rFonts w:ascii="Arial" w:cs="Arial" w:eastAsia="Arial" w:hAnsi="Arial"/>
                <w:sz w:val="21"/>
                <w:szCs w:val="21"/>
                <w:color w:val="auto"/>
              </w:rPr>
              <w:t>Item 3.</w:t>
            </w:r>
          </w:p>
        </w:tc>
        <w:tc>
          <w:tcPr>
            <w:tcW w:w="8020" w:type="dxa"/>
            <w:vAlign w:val="bottom"/>
          </w:tcPr>
          <w:p>
            <w:pPr>
              <w:ind w:left="40"/>
              <w:spacing w:after="0" w:line="236" w:lineRule="exact"/>
              <w:rPr>
                <w:sz w:val="20"/>
                <w:szCs w:val="20"/>
                <w:color w:val="auto"/>
              </w:rPr>
            </w:pPr>
            <w:r>
              <w:rPr>
                <w:rFonts w:ascii="Arial" w:cs="Arial" w:eastAsia="Arial" w:hAnsi="Arial"/>
                <w:sz w:val="21"/>
                <w:szCs w:val="21"/>
                <w:color w:val="auto"/>
              </w:rPr>
              <w:t>Legal Proceedings</w:t>
            </w:r>
          </w:p>
        </w:tc>
        <w:tc>
          <w:tcPr>
            <w:tcW w:w="680" w:type="dxa"/>
            <w:vAlign w:val="bottom"/>
          </w:tcPr>
          <w:p>
            <w:pPr>
              <w:jc w:val="right"/>
              <w:spacing w:after="0" w:line="236" w:lineRule="exact"/>
              <w:rPr>
                <w:sz w:val="20"/>
                <w:szCs w:val="20"/>
                <w:color w:val="auto"/>
              </w:rPr>
            </w:pPr>
            <w:r>
              <w:rPr>
                <w:rFonts w:ascii="Arial" w:cs="Arial" w:eastAsia="Arial" w:hAnsi="Arial"/>
                <w:sz w:val="21"/>
                <w:szCs w:val="21"/>
                <w:color w:val="auto"/>
              </w:rPr>
              <w:t>113</w:t>
            </w:r>
          </w:p>
        </w:tc>
        <w:tc>
          <w:tcPr>
            <w:tcW w:w="0" w:type="dxa"/>
            <w:vAlign w:val="bottom"/>
          </w:tcPr>
          <w:p>
            <w:pPr>
              <w:spacing w:after="0"/>
              <w:rPr>
                <w:sz w:val="1"/>
                <w:szCs w:val="1"/>
                <w:color w:val="auto"/>
              </w:rPr>
            </w:pPr>
          </w:p>
        </w:tc>
      </w:tr>
      <w:tr>
        <w:trPr>
          <w:trHeight w:val="279"/>
        </w:trPr>
        <w:tc>
          <w:tcPr>
            <w:tcW w:w="940" w:type="dxa"/>
            <w:vAlign w:val="bottom"/>
          </w:tcPr>
          <w:p>
            <w:pPr>
              <w:ind w:left="140"/>
              <w:spacing w:after="0"/>
              <w:rPr>
                <w:sz w:val="20"/>
                <w:szCs w:val="20"/>
                <w:color w:val="auto"/>
              </w:rPr>
            </w:pPr>
            <w:r>
              <w:rPr>
                <w:rFonts w:ascii="Arial" w:cs="Arial" w:eastAsia="Arial" w:hAnsi="Arial"/>
                <w:sz w:val="21"/>
                <w:szCs w:val="21"/>
                <w:color w:val="auto"/>
              </w:rPr>
              <w:t>Item 4.</w:t>
            </w:r>
          </w:p>
        </w:tc>
        <w:tc>
          <w:tcPr>
            <w:tcW w:w="8020" w:type="dxa"/>
            <w:vAlign w:val="bottom"/>
          </w:tcPr>
          <w:p>
            <w:pPr>
              <w:ind w:left="40"/>
              <w:spacing w:after="0"/>
              <w:rPr>
                <w:sz w:val="20"/>
                <w:szCs w:val="20"/>
                <w:color w:val="auto"/>
              </w:rPr>
            </w:pPr>
            <w:r>
              <w:rPr>
                <w:rFonts w:ascii="Arial" w:cs="Arial" w:eastAsia="Arial" w:hAnsi="Arial"/>
                <w:sz w:val="21"/>
                <w:szCs w:val="21"/>
                <w:color w:val="auto"/>
              </w:rPr>
              <w:t>Mine Safety Disclosures</w:t>
            </w:r>
          </w:p>
        </w:tc>
        <w:tc>
          <w:tcPr>
            <w:tcW w:w="680" w:type="dxa"/>
            <w:vAlign w:val="bottom"/>
          </w:tcPr>
          <w:p>
            <w:pPr>
              <w:jc w:val="right"/>
              <w:spacing w:after="0"/>
              <w:rPr>
                <w:sz w:val="20"/>
                <w:szCs w:val="20"/>
                <w:color w:val="auto"/>
              </w:rPr>
            </w:pPr>
            <w:r>
              <w:rPr>
                <w:rFonts w:ascii="Arial" w:cs="Arial" w:eastAsia="Arial" w:hAnsi="Arial"/>
                <w:sz w:val="21"/>
                <w:szCs w:val="21"/>
                <w:color w:val="auto"/>
              </w:rPr>
              <w:t>115</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21"/>
                <w:szCs w:val="21"/>
                <w:b w:val="1"/>
                <w:bCs w:val="1"/>
                <w:color w:val="auto"/>
              </w:rPr>
              <w:t>PART II</w:t>
            </w:r>
          </w:p>
        </w:tc>
        <w:tc>
          <w:tcPr>
            <w:tcW w:w="8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40" w:type="dxa"/>
            <w:vAlign w:val="bottom"/>
          </w:tcPr>
          <w:p>
            <w:pPr>
              <w:ind w:left="140"/>
              <w:spacing w:after="0" w:line="237" w:lineRule="exact"/>
              <w:rPr>
                <w:sz w:val="20"/>
                <w:szCs w:val="20"/>
                <w:color w:val="auto"/>
              </w:rPr>
            </w:pPr>
            <w:r>
              <w:rPr>
                <w:rFonts w:ascii="Arial" w:cs="Arial" w:eastAsia="Arial" w:hAnsi="Arial"/>
                <w:sz w:val="21"/>
                <w:szCs w:val="21"/>
                <w:color w:val="auto"/>
              </w:rPr>
              <w:t>Item 5.</w:t>
            </w:r>
          </w:p>
        </w:tc>
        <w:tc>
          <w:tcPr>
            <w:tcW w:w="8020" w:type="dxa"/>
            <w:vAlign w:val="bottom"/>
          </w:tcPr>
          <w:p>
            <w:pPr>
              <w:ind w:left="40"/>
              <w:spacing w:after="0" w:line="237" w:lineRule="exact"/>
              <w:rPr>
                <w:sz w:val="20"/>
                <w:szCs w:val="20"/>
                <w:color w:val="auto"/>
              </w:rPr>
            </w:pPr>
            <w:r>
              <w:rPr>
                <w:rFonts w:ascii="Arial" w:cs="Arial" w:eastAsia="Arial" w:hAnsi="Arial"/>
                <w:sz w:val="21"/>
                <w:szCs w:val="21"/>
                <w:color w:val="auto"/>
              </w:rPr>
              <w:t>Market for Registrant’s Common Equity, Related Stockholder Matters and Issuer</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8020" w:type="dxa"/>
            <w:vAlign w:val="bottom"/>
          </w:tcPr>
          <w:p>
            <w:pPr>
              <w:ind w:left="40"/>
              <w:spacing w:after="0" w:line="238" w:lineRule="exact"/>
              <w:rPr>
                <w:sz w:val="20"/>
                <w:szCs w:val="20"/>
                <w:color w:val="auto"/>
              </w:rPr>
            </w:pPr>
            <w:r>
              <w:rPr>
                <w:rFonts w:ascii="Arial" w:cs="Arial" w:eastAsia="Arial" w:hAnsi="Arial"/>
                <w:sz w:val="21"/>
                <w:szCs w:val="21"/>
                <w:color w:val="auto"/>
              </w:rPr>
              <w:t>Purchases of Equity Securities</w:t>
            </w:r>
          </w:p>
        </w:tc>
        <w:tc>
          <w:tcPr>
            <w:tcW w:w="680" w:type="dxa"/>
            <w:vAlign w:val="bottom"/>
          </w:tcPr>
          <w:p>
            <w:pPr>
              <w:jc w:val="right"/>
              <w:spacing w:after="0" w:line="238" w:lineRule="exact"/>
              <w:rPr>
                <w:sz w:val="20"/>
                <w:szCs w:val="20"/>
                <w:color w:val="auto"/>
              </w:rPr>
            </w:pPr>
            <w:r>
              <w:rPr>
                <w:rFonts w:ascii="Arial" w:cs="Arial" w:eastAsia="Arial" w:hAnsi="Arial"/>
                <w:sz w:val="21"/>
                <w:szCs w:val="21"/>
                <w:color w:val="auto"/>
              </w:rPr>
              <w:t>116</w:t>
            </w:r>
          </w:p>
        </w:tc>
        <w:tc>
          <w:tcPr>
            <w:tcW w:w="0" w:type="dxa"/>
            <w:vAlign w:val="bottom"/>
          </w:tcPr>
          <w:p>
            <w:pPr>
              <w:spacing w:after="0"/>
              <w:rPr>
                <w:sz w:val="1"/>
                <w:szCs w:val="1"/>
                <w:color w:val="auto"/>
              </w:rPr>
            </w:pPr>
          </w:p>
        </w:tc>
      </w:tr>
      <w:tr>
        <w:trPr>
          <w:trHeight w:val="236"/>
        </w:trPr>
        <w:tc>
          <w:tcPr>
            <w:tcW w:w="940" w:type="dxa"/>
            <w:vAlign w:val="bottom"/>
          </w:tcPr>
          <w:p>
            <w:pPr>
              <w:ind w:left="140"/>
              <w:spacing w:after="0" w:line="236" w:lineRule="exact"/>
              <w:rPr>
                <w:sz w:val="20"/>
                <w:szCs w:val="20"/>
                <w:color w:val="auto"/>
              </w:rPr>
            </w:pPr>
            <w:r>
              <w:rPr>
                <w:rFonts w:ascii="Arial" w:cs="Arial" w:eastAsia="Arial" w:hAnsi="Arial"/>
                <w:sz w:val="21"/>
                <w:szCs w:val="21"/>
                <w:color w:val="auto"/>
              </w:rPr>
              <w:t>Item 6.</w:t>
            </w:r>
          </w:p>
        </w:tc>
        <w:tc>
          <w:tcPr>
            <w:tcW w:w="8020" w:type="dxa"/>
            <w:vAlign w:val="bottom"/>
          </w:tcPr>
          <w:p>
            <w:pPr>
              <w:ind w:left="40"/>
              <w:spacing w:after="0" w:line="236" w:lineRule="exact"/>
              <w:rPr>
                <w:sz w:val="20"/>
                <w:szCs w:val="20"/>
                <w:color w:val="auto"/>
              </w:rPr>
            </w:pPr>
            <w:r>
              <w:rPr>
                <w:rFonts w:ascii="Arial" w:cs="Arial" w:eastAsia="Arial" w:hAnsi="Arial"/>
                <w:sz w:val="21"/>
                <w:szCs w:val="21"/>
                <w:color w:val="auto"/>
              </w:rPr>
              <w:t>[Reserved]</w:t>
            </w:r>
          </w:p>
        </w:tc>
        <w:tc>
          <w:tcPr>
            <w:tcW w:w="680" w:type="dxa"/>
            <w:vAlign w:val="bottom"/>
          </w:tcPr>
          <w:p>
            <w:pPr>
              <w:jc w:val="right"/>
              <w:spacing w:after="0" w:line="236" w:lineRule="exact"/>
              <w:rPr>
                <w:sz w:val="20"/>
                <w:szCs w:val="20"/>
                <w:color w:val="auto"/>
              </w:rPr>
            </w:pPr>
            <w:r>
              <w:rPr>
                <w:rFonts w:ascii="Arial" w:cs="Arial" w:eastAsia="Arial" w:hAnsi="Arial"/>
                <w:sz w:val="21"/>
                <w:szCs w:val="21"/>
                <w:color w:val="auto"/>
              </w:rPr>
              <w:t>116</w:t>
            </w:r>
          </w:p>
        </w:tc>
        <w:tc>
          <w:tcPr>
            <w:tcW w:w="0" w:type="dxa"/>
            <w:vAlign w:val="bottom"/>
          </w:tcPr>
          <w:p>
            <w:pPr>
              <w:spacing w:after="0"/>
              <w:rPr>
                <w:sz w:val="1"/>
                <w:szCs w:val="1"/>
                <w:color w:val="auto"/>
              </w:rPr>
            </w:pPr>
          </w:p>
        </w:tc>
      </w:tr>
      <w:tr>
        <w:trPr>
          <w:trHeight w:val="237"/>
        </w:trPr>
        <w:tc>
          <w:tcPr>
            <w:tcW w:w="940" w:type="dxa"/>
            <w:vAlign w:val="bottom"/>
          </w:tcPr>
          <w:p>
            <w:pPr>
              <w:ind w:left="140"/>
              <w:spacing w:after="0" w:line="237" w:lineRule="exact"/>
              <w:rPr>
                <w:sz w:val="20"/>
                <w:szCs w:val="20"/>
                <w:color w:val="auto"/>
              </w:rPr>
            </w:pPr>
            <w:r>
              <w:rPr>
                <w:rFonts w:ascii="Arial" w:cs="Arial" w:eastAsia="Arial" w:hAnsi="Arial"/>
                <w:sz w:val="21"/>
                <w:szCs w:val="21"/>
                <w:color w:val="auto"/>
              </w:rPr>
              <w:t>Item 7.</w:t>
            </w:r>
          </w:p>
        </w:tc>
        <w:tc>
          <w:tcPr>
            <w:tcW w:w="8020" w:type="dxa"/>
            <w:vAlign w:val="bottom"/>
          </w:tcPr>
          <w:p>
            <w:pPr>
              <w:ind w:left="40"/>
              <w:spacing w:after="0" w:line="237" w:lineRule="exact"/>
              <w:rPr>
                <w:sz w:val="20"/>
                <w:szCs w:val="20"/>
                <w:color w:val="auto"/>
              </w:rPr>
            </w:pPr>
            <w:r>
              <w:rPr>
                <w:rFonts w:ascii="Arial" w:cs="Arial" w:eastAsia="Arial" w:hAnsi="Arial"/>
                <w:sz w:val="21"/>
                <w:szCs w:val="21"/>
                <w:color w:val="auto"/>
              </w:rPr>
              <w:t>Management’s Discussion and Analysis of Financial Condition and Results of</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8020" w:type="dxa"/>
            <w:vAlign w:val="bottom"/>
          </w:tcPr>
          <w:p>
            <w:pPr>
              <w:ind w:left="40"/>
              <w:spacing w:after="0" w:line="237" w:lineRule="exact"/>
              <w:rPr>
                <w:sz w:val="20"/>
                <w:szCs w:val="20"/>
                <w:color w:val="auto"/>
              </w:rPr>
            </w:pPr>
            <w:r>
              <w:rPr>
                <w:rFonts w:ascii="Arial" w:cs="Arial" w:eastAsia="Arial" w:hAnsi="Arial"/>
                <w:sz w:val="21"/>
                <w:szCs w:val="21"/>
                <w:color w:val="auto"/>
              </w:rPr>
              <w:t>Operations</w:t>
            </w:r>
          </w:p>
        </w:tc>
        <w:tc>
          <w:tcPr>
            <w:tcW w:w="680" w:type="dxa"/>
            <w:vAlign w:val="bottom"/>
          </w:tcPr>
          <w:p>
            <w:pPr>
              <w:jc w:val="right"/>
              <w:spacing w:after="0" w:line="237" w:lineRule="exact"/>
              <w:rPr>
                <w:sz w:val="20"/>
                <w:szCs w:val="20"/>
                <w:color w:val="auto"/>
              </w:rPr>
            </w:pPr>
            <w:r>
              <w:rPr>
                <w:rFonts w:ascii="Arial" w:cs="Arial" w:eastAsia="Arial" w:hAnsi="Arial"/>
                <w:sz w:val="21"/>
                <w:szCs w:val="21"/>
                <w:color w:val="auto"/>
              </w:rPr>
              <w:t>117</w:t>
            </w:r>
          </w:p>
        </w:tc>
        <w:tc>
          <w:tcPr>
            <w:tcW w:w="0" w:type="dxa"/>
            <w:vAlign w:val="bottom"/>
          </w:tcPr>
          <w:p>
            <w:pPr>
              <w:spacing w:after="0"/>
              <w:rPr>
                <w:sz w:val="1"/>
                <w:szCs w:val="1"/>
                <w:color w:val="auto"/>
              </w:rPr>
            </w:pPr>
          </w:p>
        </w:tc>
      </w:tr>
      <w:tr>
        <w:trPr>
          <w:trHeight w:val="235"/>
        </w:trPr>
        <w:tc>
          <w:tcPr>
            <w:tcW w:w="940" w:type="dxa"/>
            <w:vAlign w:val="bottom"/>
          </w:tcPr>
          <w:p>
            <w:pPr>
              <w:ind w:left="140"/>
              <w:spacing w:after="0" w:line="236" w:lineRule="exact"/>
              <w:rPr>
                <w:sz w:val="20"/>
                <w:szCs w:val="20"/>
                <w:color w:val="auto"/>
              </w:rPr>
            </w:pPr>
            <w:r>
              <w:rPr>
                <w:rFonts w:ascii="Arial" w:cs="Arial" w:eastAsia="Arial" w:hAnsi="Arial"/>
                <w:sz w:val="21"/>
                <w:szCs w:val="21"/>
                <w:color w:val="auto"/>
                <w:w w:val="99"/>
              </w:rPr>
              <w:t>Item 7A.</w:t>
            </w:r>
          </w:p>
        </w:tc>
        <w:tc>
          <w:tcPr>
            <w:tcW w:w="8020" w:type="dxa"/>
            <w:vAlign w:val="bottom"/>
          </w:tcPr>
          <w:p>
            <w:pPr>
              <w:ind w:left="40"/>
              <w:spacing w:after="0" w:line="236" w:lineRule="exact"/>
              <w:rPr>
                <w:sz w:val="20"/>
                <w:szCs w:val="20"/>
                <w:color w:val="auto"/>
              </w:rPr>
            </w:pPr>
            <w:r>
              <w:rPr>
                <w:rFonts w:ascii="Arial" w:cs="Arial" w:eastAsia="Arial" w:hAnsi="Arial"/>
                <w:sz w:val="21"/>
                <w:szCs w:val="21"/>
                <w:color w:val="auto"/>
              </w:rPr>
              <w:t>Quantitative and Qualitative Disclosures About Market Risk</w:t>
            </w:r>
          </w:p>
        </w:tc>
        <w:tc>
          <w:tcPr>
            <w:tcW w:w="680" w:type="dxa"/>
            <w:vAlign w:val="bottom"/>
          </w:tcPr>
          <w:p>
            <w:pPr>
              <w:jc w:val="right"/>
              <w:spacing w:after="0" w:line="236" w:lineRule="exact"/>
              <w:rPr>
                <w:sz w:val="20"/>
                <w:szCs w:val="20"/>
                <w:color w:val="auto"/>
              </w:rPr>
            </w:pPr>
            <w:r>
              <w:rPr>
                <w:rFonts w:ascii="Arial" w:cs="Arial" w:eastAsia="Arial" w:hAnsi="Arial"/>
                <w:sz w:val="21"/>
                <w:szCs w:val="21"/>
                <w:color w:val="auto"/>
              </w:rPr>
              <w:t>131</w:t>
            </w:r>
          </w:p>
        </w:tc>
        <w:tc>
          <w:tcPr>
            <w:tcW w:w="0" w:type="dxa"/>
            <w:vAlign w:val="bottom"/>
          </w:tcPr>
          <w:p>
            <w:pPr>
              <w:spacing w:after="0"/>
              <w:rPr>
                <w:sz w:val="1"/>
                <w:szCs w:val="1"/>
                <w:color w:val="auto"/>
              </w:rPr>
            </w:pPr>
          </w:p>
        </w:tc>
      </w:tr>
      <w:tr>
        <w:trPr>
          <w:trHeight w:val="238"/>
        </w:trPr>
        <w:tc>
          <w:tcPr>
            <w:tcW w:w="940" w:type="dxa"/>
            <w:vAlign w:val="bottom"/>
          </w:tcPr>
          <w:p>
            <w:pPr>
              <w:ind w:left="140"/>
              <w:spacing w:after="0" w:line="238" w:lineRule="exact"/>
              <w:rPr>
                <w:sz w:val="20"/>
                <w:szCs w:val="20"/>
                <w:color w:val="auto"/>
              </w:rPr>
            </w:pPr>
            <w:r>
              <w:rPr>
                <w:rFonts w:ascii="Arial" w:cs="Arial" w:eastAsia="Arial" w:hAnsi="Arial"/>
                <w:sz w:val="21"/>
                <w:szCs w:val="21"/>
                <w:color w:val="auto"/>
              </w:rPr>
              <w:t>Item 8.</w:t>
            </w:r>
          </w:p>
        </w:tc>
        <w:tc>
          <w:tcPr>
            <w:tcW w:w="8020" w:type="dxa"/>
            <w:vAlign w:val="bottom"/>
          </w:tcPr>
          <w:p>
            <w:pPr>
              <w:ind w:left="40"/>
              <w:spacing w:after="0" w:line="238" w:lineRule="exact"/>
              <w:rPr>
                <w:sz w:val="20"/>
                <w:szCs w:val="20"/>
                <w:color w:val="auto"/>
              </w:rPr>
            </w:pPr>
            <w:r>
              <w:rPr>
                <w:rFonts w:ascii="Arial" w:cs="Arial" w:eastAsia="Arial" w:hAnsi="Arial"/>
                <w:sz w:val="21"/>
                <w:szCs w:val="21"/>
                <w:color w:val="auto"/>
              </w:rPr>
              <w:t>Financial Statements and Supplementary Data</w:t>
            </w:r>
          </w:p>
        </w:tc>
        <w:tc>
          <w:tcPr>
            <w:tcW w:w="680" w:type="dxa"/>
            <w:vAlign w:val="bottom"/>
          </w:tcPr>
          <w:p>
            <w:pPr>
              <w:jc w:val="right"/>
              <w:spacing w:after="0" w:line="238" w:lineRule="exact"/>
              <w:rPr>
                <w:sz w:val="20"/>
                <w:szCs w:val="20"/>
                <w:color w:val="auto"/>
              </w:rPr>
            </w:pPr>
            <w:r>
              <w:rPr>
                <w:rFonts w:ascii="Arial" w:cs="Arial" w:eastAsia="Arial" w:hAnsi="Arial"/>
                <w:sz w:val="21"/>
                <w:szCs w:val="21"/>
                <w:color w:val="auto"/>
              </w:rPr>
              <w:t>131</w:t>
            </w:r>
          </w:p>
        </w:tc>
        <w:tc>
          <w:tcPr>
            <w:tcW w:w="0" w:type="dxa"/>
            <w:vAlign w:val="bottom"/>
          </w:tcPr>
          <w:p>
            <w:pPr>
              <w:spacing w:after="0"/>
              <w:rPr>
                <w:sz w:val="1"/>
                <w:szCs w:val="1"/>
                <w:color w:val="auto"/>
              </w:rPr>
            </w:pPr>
          </w:p>
        </w:tc>
      </w:tr>
      <w:tr>
        <w:trPr>
          <w:trHeight w:val="236"/>
        </w:trPr>
        <w:tc>
          <w:tcPr>
            <w:tcW w:w="940" w:type="dxa"/>
            <w:vAlign w:val="bottom"/>
          </w:tcPr>
          <w:p>
            <w:pPr>
              <w:ind w:left="140"/>
              <w:spacing w:after="0" w:line="236" w:lineRule="exact"/>
              <w:rPr>
                <w:sz w:val="20"/>
                <w:szCs w:val="20"/>
                <w:color w:val="auto"/>
              </w:rPr>
            </w:pPr>
            <w:r>
              <w:rPr>
                <w:rFonts w:ascii="Arial" w:cs="Arial" w:eastAsia="Arial" w:hAnsi="Arial"/>
                <w:sz w:val="21"/>
                <w:szCs w:val="21"/>
                <w:color w:val="auto"/>
              </w:rPr>
              <w:t>Item 9.</w:t>
            </w:r>
          </w:p>
        </w:tc>
        <w:tc>
          <w:tcPr>
            <w:tcW w:w="8020" w:type="dxa"/>
            <w:vAlign w:val="bottom"/>
          </w:tcPr>
          <w:p>
            <w:pPr>
              <w:ind w:left="40"/>
              <w:spacing w:after="0" w:line="236" w:lineRule="exact"/>
              <w:rPr>
                <w:sz w:val="20"/>
                <w:szCs w:val="20"/>
                <w:color w:val="auto"/>
              </w:rPr>
            </w:pPr>
            <w:r>
              <w:rPr>
                <w:rFonts w:ascii="Arial" w:cs="Arial" w:eastAsia="Arial" w:hAnsi="Arial"/>
                <w:sz w:val="21"/>
                <w:szCs w:val="21"/>
                <w:color w:val="auto"/>
              </w:rPr>
              <w:t>Changes in and Disagreements with Accountants on Accounting and Financial</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8020" w:type="dxa"/>
            <w:vAlign w:val="bottom"/>
          </w:tcPr>
          <w:p>
            <w:pPr>
              <w:ind w:left="40"/>
              <w:spacing w:after="0" w:line="237" w:lineRule="exact"/>
              <w:rPr>
                <w:sz w:val="20"/>
                <w:szCs w:val="20"/>
                <w:color w:val="auto"/>
              </w:rPr>
            </w:pPr>
            <w:r>
              <w:rPr>
                <w:rFonts w:ascii="Arial" w:cs="Arial" w:eastAsia="Arial" w:hAnsi="Arial"/>
                <w:sz w:val="21"/>
                <w:szCs w:val="21"/>
                <w:color w:val="auto"/>
              </w:rPr>
              <w:t>Disclosure</w:t>
            </w:r>
          </w:p>
        </w:tc>
        <w:tc>
          <w:tcPr>
            <w:tcW w:w="680" w:type="dxa"/>
            <w:vAlign w:val="bottom"/>
          </w:tcPr>
          <w:p>
            <w:pPr>
              <w:jc w:val="right"/>
              <w:spacing w:after="0" w:line="237" w:lineRule="exact"/>
              <w:rPr>
                <w:sz w:val="20"/>
                <w:szCs w:val="20"/>
                <w:color w:val="auto"/>
              </w:rPr>
            </w:pPr>
            <w:r>
              <w:rPr>
                <w:rFonts w:ascii="Arial" w:cs="Arial" w:eastAsia="Arial" w:hAnsi="Arial"/>
                <w:sz w:val="21"/>
                <w:szCs w:val="21"/>
                <w:color w:val="auto"/>
              </w:rPr>
              <w:t>156</w:t>
            </w:r>
          </w:p>
        </w:tc>
        <w:tc>
          <w:tcPr>
            <w:tcW w:w="0" w:type="dxa"/>
            <w:vAlign w:val="bottom"/>
          </w:tcPr>
          <w:p>
            <w:pPr>
              <w:spacing w:after="0"/>
              <w:rPr>
                <w:sz w:val="1"/>
                <w:szCs w:val="1"/>
                <w:color w:val="auto"/>
              </w:rPr>
            </w:pPr>
          </w:p>
        </w:tc>
      </w:tr>
      <w:tr>
        <w:trPr>
          <w:trHeight w:val="237"/>
        </w:trPr>
        <w:tc>
          <w:tcPr>
            <w:tcW w:w="940" w:type="dxa"/>
            <w:vAlign w:val="bottom"/>
          </w:tcPr>
          <w:p>
            <w:pPr>
              <w:ind w:left="140"/>
              <w:spacing w:after="0" w:line="237" w:lineRule="exact"/>
              <w:rPr>
                <w:sz w:val="20"/>
                <w:szCs w:val="20"/>
                <w:color w:val="auto"/>
              </w:rPr>
            </w:pPr>
            <w:r>
              <w:rPr>
                <w:rFonts w:ascii="Arial" w:cs="Arial" w:eastAsia="Arial" w:hAnsi="Arial"/>
                <w:sz w:val="21"/>
                <w:szCs w:val="21"/>
                <w:color w:val="auto"/>
                <w:w w:val="99"/>
              </w:rPr>
              <w:t>Item 9A.</w:t>
            </w:r>
          </w:p>
        </w:tc>
        <w:tc>
          <w:tcPr>
            <w:tcW w:w="8020" w:type="dxa"/>
            <w:vAlign w:val="bottom"/>
          </w:tcPr>
          <w:p>
            <w:pPr>
              <w:ind w:left="40"/>
              <w:spacing w:after="0" w:line="237" w:lineRule="exact"/>
              <w:rPr>
                <w:sz w:val="20"/>
                <w:szCs w:val="20"/>
                <w:color w:val="auto"/>
              </w:rPr>
            </w:pPr>
            <w:r>
              <w:rPr>
                <w:rFonts w:ascii="Arial" w:cs="Arial" w:eastAsia="Arial" w:hAnsi="Arial"/>
                <w:sz w:val="21"/>
                <w:szCs w:val="21"/>
                <w:color w:val="auto"/>
              </w:rPr>
              <w:t>Controls and Procedures</w:t>
            </w:r>
          </w:p>
        </w:tc>
        <w:tc>
          <w:tcPr>
            <w:tcW w:w="680" w:type="dxa"/>
            <w:vAlign w:val="bottom"/>
          </w:tcPr>
          <w:p>
            <w:pPr>
              <w:jc w:val="right"/>
              <w:spacing w:after="0" w:line="237" w:lineRule="exact"/>
              <w:rPr>
                <w:sz w:val="20"/>
                <w:szCs w:val="20"/>
                <w:color w:val="auto"/>
              </w:rPr>
            </w:pPr>
            <w:r>
              <w:rPr>
                <w:rFonts w:ascii="Arial" w:cs="Arial" w:eastAsia="Arial" w:hAnsi="Arial"/>
                <w:sz w:val="21"/>
                <w:szCs w:val="21"/>
                <w:color w:val="auto"/>
              </w:rPr>
              <w:t>156</w:t>
            </w:r>
          </w:p>
        </w:tc>
        <w:tc>
          <w:tcPr>
            <w:tcW w:w="0" w:type="dxa"/>
            <w:vAlign w:val="bottom"/>
          </w:tcPr>
          <w:p>
            <w:pPr>
              <w:spacing w:after="0"/>
              <w:rPr>
                <w:sz w:val="1"/>
                <w:szCs w:val="1"/>
                <w:color w:val="auto"/>
              </w:rPr>
            </w:pPr>
          </w:p>
        </w:tc>
      </w:tr>
      <w:tr>
        <w:trPr>
          <w:trHeight w:val="235"/>
        </w:trPr>
        <w:tc>
          <w:tcPr>
            <w:tcW w:w="940" w:type="dxa"/>
            <w:vAlign w:val="bottom"/>
          </w:tcPr>
          <w:p>
            <w:pPr>
              <w:ind w:left="140"/>
              <w:spacing w:after="0" w:line="236" w:lineRule="exact"/>
              <w:rPr>
                <w:sz w:val="20"/>
                <w:szCs w:val="20"/>
                <w:color w:val="auto"/>
              </w:rPr>
            </w:pPr>
            <w:r>
              <w:rPr>
                <w:rFonts w:ascii="Arial" w:cs="Arial" w:eastAsia="Arial" w:hAnsi="Arial"/>
                <w:sz w:val="21"/>
                <w:szCs w:val="21"/>
                <w:color w:val="auto"/>
                <w:w w:val="99"/>
              </w:rPr>
              <w:t>Item 9B.</w:t>
            </w:r>
          </w:p>
        </w:tc>
        <w:tc>
          <w:tcPr>
            <w:tcW w:w="8020" w:type="dxa"/>
            <w:vAlign w:val="bottom"/>
          </w:tcPr>
          <w:p>
            <w:pPr>
              <w:ind w:left="40"/>
              <w:spacing w:after="0" w:line="236" w:lineRule="exact"/>
              <w:rPr>
                <w:sz w:val="20"/>
                <w:szCs w:val="20"/>
                <w:color w:val="auto"/>
              </w:rPr>
            </w:pPr>
            <w:r>
              <w:rPr>
                <w:rFonts w:ascii="Arial" w:cs="Arial" w:eastAsia="Arial" w:hAnsi="Arial"/>
                <w:sz w:val="21"/>
                <w:szCs w:val="21"/>
                <w:color w:val="auto"/>
              </w:rPr>
              <w:t>Other Information</w:t>
            </w:r>
          </w:p>
        </w:tc>
        <w:tc>
          <w:tcPr>
            <w:tcW w:w="680" w:type="dxa"/>
            <w:vAlign w:val="bottom"/>
          </w:tcPr>
          <w:p>
            <w:pPr>
              <w:jc w:val="right"/>
              <w:spacing w:after="0" w:line="236" w:lineRule="exact"/>
              <w:rPr>
                <w:sz w:val="20"/>
                <w:szCs w:val="20"/>
                <w:color w:val="auto"/>
              </w:rPr>
            </w:pPr>
            <w:r>
              <w:rPr>
                <w:rFonts w:ascii="Arial" w:cs="Arial" w:eastAsia="Arial" w:hAnsi="Arial"/>
                <w:sz w:val="21"/>
                <w:szCs w:val="21"/>
                <w:color w:val="auto"/>
              </w:rPr>
              <w:t>157</w:t>
            </w:r>
          </w:p>
        </w:tc>
        <w:tc>
          <w:tcPr>
            <w:tcW w:w="0" w:type="dxa"/>
            <w:vAlign w:val="bottom"/>
          </w:tcPr>
          <w:p>
            <w:pPr>
              <w:spacing w:after="0"/>
              <w:rPr>
                <w:sz w:val="1"/>
                <w:szCs w:val="1"/>
                <w:color w:val="auto"/>
              </w:rPr>
            </w:pPr>
          </w:p>
        </w:tc>
      </w:tr>
      <w:tr>
        <w:trPr>
          <w:trHeight w:val="279"/>
        </w:trPr>
        <w:tc>
          <w:tcPr>
            <w:tcW w:w="940" w:type="dxa"/>
            <w:vAlign w:val="bottom"/>
          </w:tcPr>
          <w:p>
            <w:pPr>
              <w:ind w:left="140"/>
              <w:spacing w:after="0"/>
              <w:rPr>
                <w:sz w:val="20"/>
                <w:szCs w:val="20"/>
                <w:color w:val="auto"/>
              </w:rPr>
            </w:pPr>
            <w:r>
              <w:rPr>
                <w:rFonts w:ascii="Arial" w:cs="Arial" w:eastAsia="Arial" w:hAnsi="Arial"/>
                <w:sz w:val="21"/>
                <w:szCs w:val="21"/>
                <w:color w:val="auto"/>
                <w:w w:val="98"/>
              </w:rPr>
              <w:t>Item 9C.</w:t>
            </w:r>
          </w:p>
        </w:tc>
        <w:tc>
          <w:tcPr>
            <w:tcW w:w="8020" w:type="dxa"/>
            <w:vAlign w:val="bottom"/>
          </w:tcPr>
          <w:p>
            <w:pPr>
              <w:ind w:left="40"/>
              <w:spacing w:after="0"/>
              <w:rPr>
                <w:sz w:val="20"/>
                <w:szCs w:val="20"/>
                <w:color w:val="auto"/>
              </w:rPr>
            </w:pPr>
            <w:r>
              <w:rPr>
                <w:rFonts w:ascii="Arial" w:cs="Arial" w:eastAsia="Arial" w:hAnsi="Arial"/>
                <w:sz w:val="21"/>
                <w:szCs w:val="21"/>
                <w:color w:val="auto"/>
              </w:rPr>
              <w:t>Disclosure Regarding Foreign Jurisdictions that Prevent Inspections.</w:t>
            </w:r>
          </w:p>
        </w:tc>
        <w:tc>
          <w:tcPr>
            <w:tcW w:w="680" w:type="dxa"/>
            <w:vAlign w:val="bottom"/>
          </w:tcPr>
          <w:p>
            <w:pPr>
              <w:jc w:val="right"/>
              <w:spacing w:after="0"/>
              <w:rPr>
                <w:sz w:val="20"/>
                <w:szCs w:val="20"/>
                <w:color w:val="auto"/>
              </w:rPr>
            </w:pPr>
            <w:r>
              <w:rPr>
                <w:rFonts w:ascii="Arial" w:cs="Arial" w:eastAsia="Arial" w:hAnsi="Arial"/>
                <w:sz w:val="21"/>
                <w:szCs w:val="21"/>
                <w:color w:val="auto"/>
              </w:rPr>
              <w:t>157</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21"/>
                <w:szCs w:val="21"/>
                <w:b w:val="1"/>
                <w:bCs w:val="1"/>
                <w:color w:val="auto"/>
              </w:rPr>
              <w:t>PART III</w:t>
            </w:r>
          </w:p>
        </w:tc>
        <w:tc>
          <w:tcPr>
            <w:tcW w:w="8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40" w:type="dxa"/>
            <w:vAlign w:val="bottom"/>
          </w:tcPr>
          <w:p>
            <w:pPr>
              <w:ind w:left="140"/>
              <w:spacing w:after="0" w:line="237" w:lineRule="exact"/>
              <w:rPr>
                <w:sz w:val="20"/>
                <w:szCs w:val="20"/>
                <w:color w:val="auto"/>
              </w:rPr>
            </w:pPr>
            <w:r>
              <w:rPr>
                <w:rFonts w:ascii="Arial" w:cs="Arial" w:eastAsia="Arial" w:hAnsi="Arial"/>
                <w:sz w:val="21"/>
                <w:szCs w:val="21"/>
                <w:color w:val="auto"/>
              </w:rPr>
              <w:t>Item 10.</w:t>
            </w:r>
          </w:p>
        </w:tc>
        <w:tc>
          <w:tcPr>
            <w:tcW w:w="8020" w:type="dxa"/>
            <w:vAlign w:val="bottom"/>
          </w:tcPr>
          <w:p>
            <w:pPr>
              <w:ind w:left="40"/>
              <w:spacing w:after="0" w:line="237" w:lineRule="exact"/>
              <w:rPr>
                <w:sz w:val="20"/>
                <w:szCs w:val="20"/>
                <w:color w:val="auto"/>
              </w:rPr>
            </w:pPr>
            <w:r>
              <w:rPr>
                <w:rFonts w:ascii="Arial" w:cs="Arial" w:eastAsia="Arial" w:hAnsi="Arial"/>
                <w:sz w:val="21"/>
                <w:szCs w:val="21"/>
                <w:color w:val="auto"/>
              </w:rPr>
              <w:t>Directors, Executive Officers and Corporate Governance</w:t>
            </w:r>
          </w:p>
        </w:tc>
        <w:tc>
          <w:tcPr>
            <w:tcW w:w="680" w:type="dxa"/>
            <w:vAlign w:val="bottom"/>
          </w:tcPr>
          <w:p>
            <w:pPr>
              <w:jc w:val="right"/>
              <w:spacing w:after="0" w:line="237" w:lineRule="exact"/>
              <w:rPr>
                <w:sz w:val="20"/>
                <w:szCs w:val="20"/>
                <w:color w:val="auto"/>
              </w:rPr>
            </w:pPr>
            <w:r>
              <w:rPr>
                <w:rFonts w:ascii="Arial" w:cs="Arial" w:eastAsia="Arial" w:hAnsi="Arial"/>
                <w:sz w:val="21"/>
                <w:szCs w:val="21"/>
                <w:color w:val="auto"/>
              </w:rPr>
              <w:t>158</w:t>
            </w:r>
          </w:p>
        </w:tc>
        <w:tc>
          <w:tcPr>
            <w:tcW w:w="0" w:type="dxa"/>
            <w:vAlign w:val="bottom"/>
          </w:tcPr>
          <w:p>
            <w:pPr>
              <w:spacing w:after="0"/>
              <w:rPr>
                <w:sz w:val="1"/>
                <w:szCs w:val="1"/>
                <w:color w:val="auto"/>
              </w:rPr>
            </w:pPr>
          </w:p>
        </w:tc>
      </w:tr>
      <w:tr>
        <w:trPr>
          <w:trHeight w:val="237"/>
        </w:trPr>
        <w:tc>
          <w:tcPr>
            <w:tcW w:w="940" w:type="dxa"/>
            <w:vAlign w:val="bottom"/>
          </w:tcPr>
          <w:p>
            <w:pPr>
              <w:ind w:left="140"/>
              <w:spacing w:after="0" w:line="237" w:lineRule="exact"/>
              <w:rPr>
                <w:sz w:val="20"/>
                <w:szCs w:val="20"/>
                <w:color w:val="auto"/>
              </w:rPr>
            </w:pPr>
            <w:r>
              <w:rPr>
                <w:rFonts w:ascii="Arial" w:cs="Arial" w:eastAsia="Arial" w:hAnsi="Arial"/>
                <w:sz w:val="21"/>
                <w:szCs w:val="21"/>
                <w:color w:val="auto"/>
              </w:rPr>
              <w:t>Item 11.</w:t>
            </w:r>
          </w:p>
        </w:tc>
        <w:tc>
          <w:tcPr>
            <w:tcW w:w="8020" w:type="dxa"/>
            <w:vAlign w:val="bottom"/>
          </w:tcPr>
          <w:p>
            <w:pPr>
              <w:ind w:left="40"/>
              <w:spacing w:after="0" w:line="237" w:lineRule="exact"/>
              <w:rPr>
                <w:sz w:val="20"/>
                <w:szCs w:val="20"/>
                <w:color w:val="auto"/>
              </w:rPr>
            </w:pPr>
            <w:r>
              <w:rPr>
                <w:rFonts w:ascii="Arial" w:cs="Arial" w:eastAsia="Arial" w:hAnsi="Arial"/>
                <w:sz w:val="21"/>
                <w:szCs w:val="21"/>
                <w:color w:val="auto"/>
              </w:rPr>
              <w:t>Executive Compensation</w:t>
            </w:r>
          </w:p>
        </w:tc>
        <w:tc>
          <w:tcPr>
            <w:tcW w:w="680" w:type="dxa"/>
            <w:vAlign w:val="bottom"/>
          </w:tcPr>
          <w:p>
            <w:pPr>
              <w:jc w:val="right"/>
              <w:spacing w:after="0" w:line="237" w:lineRule="exact"/>
              <w:rPr>
                <w:sz w:val="20"/>
                <w:szCs w:val="20"/>
                <w:color w:val="auto"/>
              </w:rPr>
            </w:pPr>
            <w:r>
              <w:rPr>
                <w:rFonts w:ascii="Arial" w:cs="Arial" w:eastAsia="Arial" w:hAnsi="Arial"/>
                <w:sz w:val="21"/>
                <w:szCs w:val="21"/>
                <w:color w:val="auto"/>
              </w:rPr>
              <w:t>158</w:t>
            </w:r>
          </w:p>
        </w:tc>
        <w:tc>
          <w:tcPr>
            <w:tcW w:w="0" w:type="dxa"/>
            <w:vAlign w:val="bottom"/>
          </w:tcPr>
          <w:p>
            <w:pPr>
              <w:spacing w:after="0"/>
              <w:rPr>
                <w:sz w:val="1"/>
                <w:szCs w:val="1"/>
                <w:color w:val="auto"/>
              </w:rPr>
            </w:pPr>
          </w:p>
        </w:tc>
      </w:tr>
      <w:tr>
        <w:trPr>
          <w:trHeight w:val="236"/>
        </w:trPr>
        <w:tc>
          <w:tcPr>
            <w:tcW w:w="940" w:type="dxa"/>
            <w:vAlign w:val="bottom"/>
          </w:tcPr>
          <w:p>
            <w:pPr>
              <w:ind w:left="140"/>
              <w:spacing w:after="0" w:line="236" w:lineRule="exact"/>
              <w:rPr>
                <w:sz w:val="20"/>
                <w:szCs w:val="20"/>
                <w:color w:val="auto"/>
              </w:rPr>
            </w:pPr>
            <w:r>
              <w:rPr>
                <w:rFonts w:ascii="Arial" w:cs="Arial" w:eastAsia="Arial" w:hAnsi="Arial"/>
                <w:sz w:val="21"/>
                <w:szCs w:val="21"/>
                <w:color w:val="auto"/>
              </w:rPr>
              <w:t>Item 12.</w:t>
            </w:r>
          </w:p>
        </w:tc>
        <w:tc>
          <w:tcPr>
            <w:tcW w:w="8020" w:type="dxa"/>
            <w:vAlign w:val="bottom"/>
          </w:tcPr>
          <w:p>
            <w:pPr>
              <w:ind w:left="40"/>
              <w:spacing w:after="0" w:line="236" w:lineRule="exact"/>
              <w:rPr>
                <w:sz w:val="20"/>
                <w:szCs w:val="20"/>
                <w:color w:val="auto"/>
              </w:rPr>
            </w:pPr>
            <w:r>
              <w:rPr>
                <w:rFonts w:ascii="Arial" w:cs="Arial" w:eastAsia="Arial" w:hAnsi="Arial"/>
                <w:sz w:val="21"/>
                <w:szCs w:val="21"/>
                <w:color w:val="auto"/>
              </w:rPr>
              <w:t>Security Ownership of Certain Beneficial Owners and Management and Related</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8020" w:type="dxa"/>
            <w:vAlign w:val="bottom"/>
          </w:tcPr>
          <w:p>
            <w:pPr>
              <w:ind w:left="40"/>
              <w:spacing w:after="0" w:line="237" w:lineRule="exact"/>
              <w:rPr>
                <w:sz w:val="20"/>
                <w:szCs w:val="20"/>
                <w:color w:val="auto"/>
              </w:rPr>
            </w:pPr>
            <w:r>
              <w:rPr>
                <w:rFonts w:ascii="Arial" w:cs="Arial" w:eastAsia="Arial" w:hAnsi="Arial"/>
                <w:sz w:val="21"/>
                <w:szCs w:val="21"/>
                <w:color w:val="auto"/>
              </w:rPr>
              <w:t>Stockholder Matters</w:t>
            </w:r>
          </w:p>
        </w:tc>
        <w:tc>
          <w:tcPr>
            <w:tcW w:w="680" w:type="dxa"/>
            <w:vAlign w:val="bottom"/>
          </w:tcPr>
          <w:p>
            <w:pPr>
              <w:jc w:val="right"/>
              <w:spacing w:after="0" w:line="237" w:lineRule="exact"/>
              <w:rPr>
                <w:sz w:val="20"/>
                <w:szCs w:val="20"/>
                <w:color w:val="auto"/>
              </w:rPr>
            </w:pPr>
            <w:r>
              <w:rPr>
                <w:rFonts w:ascii="Arial" w:cs="Arial" w:eastAsia="Arial" w:hAnsi="Arial"/>
                <w:sz w:val="21"/>
                <w:szCs w:val="21"/>
                <w:color w:val="auto"/>
              </w:rPr>
              <w:t>158</w:t>
            </w:r>
          </w:p>
        </w:tc>
        <w:tc>
          <w:tcPr>
            <w:tcW w:w="0" w:type="dxa"/>
            <w:vAlign w:val="bottom"/>
          </w:tcPr>
          <w:p>
            <w:pPr>
              <w:spacing w:after="0"/>
              <w:rPr>
                <w:sz w:val="1"/>
                <w:szCs w:val="1"/>
                <w:color w:val="auto"/>
              </w:rPr>
            </w:pPr>
          </w:p>
        </w:tc>
      </w:tr>
      <w:tr>
        <w:trPr>
          <w:trHeight w:val="237"/>
        </w:trPr>
        <w:tc>
          <w:tcPr>
            <w:tcW w:w="940" w:type="dxa"/>
            <w:vAlign w:val="bottom"/>
          </w:tcPr>
          <w:p>
            <w:pPr>
              <w:ind w:left="140"/>
              <w:spacing w:after="0" w:line="237" w:lineRule="exact"/>
              <w:rPr>
                <w:sz w:val="20"/>
                <w:szCs w:val="20"/>
                <w:color w:val="auto"/>
              </w:rPr>
            </w:pPr>
            <w:r>
              <w:rPr>
                <w:rFonts w:ascii="Arial" w:cs="Arial" w:eastAsia="Arial" w:hAnsi="Arial"/>
                <w:sz w:val="21"/>
                <w:szCs w:val="21"/>
                <w:color w:val="auto"/>
              </w:rPr>
              <w:t>Item 13.</w:t>
            </w:r>
          </w:p>
        </w:tc>
        <w:tc>
          <w:tcPr>
            <w:tcW w:w="8020" w:type="dxa"/>
            <w:vAlign w:val="bottom"/>
          </w:tcPr>
          <w:p>
            <w:pPr>
              <w:ind w:left="40"/>
              <w:spacing w:after="0" w:line="237" w:lineRule="exact"/>
              <w:rPr>
                <w:sz w:val="20"/>
                <w:szCs w:val="20"/>
                <w:color w:val="auto"/>
              </w:rPr>
            </w:pPr>
            <w:r>
              <w:rPr>
                <w:rFonts w:ascii="Arial" w:cs="Arial" w:eastAsia="Arial" w:hAnsi="Arial"/>
                <w:sz w:val="21"/>
                <w:szCs w:val="21"/>
                <w:color w:val="auto"/>
              </w:rPr>
              <w:t>Certain Relationships and Related Transactions, and Director Independence</w:t>
            </w:r>
          </w:p>
        </w:tc>
        <w:tc>
          <w:tcPr>
            <w:tcW w:w="680" w:type="dxa"/>
            <w:vAlign w:val="bottom"/>
          </w:tcPr>
          <w:p>
            <w:pPr>
              <w:jc w:val="right"/>
              <w:spacing w:after="0" w:line="237" w:lineRule="exact"/>
              <w:rPr>
                <w:sz w:val="20"/>
                <w:szCs w:val="20"/>
                <w:color w:val="auto"/>
              </w:rPr>
            </w:pPr>
            <w:r>
              <w:rPr>
                <w:rFonts w:ascii="Arial" w:cs="Arial" w:eastAsia="Arial" w:hAnsi="Arial"/>
                <w:sz w:val="21"/>
                <w:szCs w:val="21"/>
                <w:color w:val="auto"/>
              </w:rPr>
              <w:t>158</w:t>
            </w:r>
          </w:p>
        </w:tc>
        <w:tc>
          <w:tcPr>
            <w:tcW w:w="0" w:type="dxa"/>
            <w:vAlign w:val="bottom"/>
          </w:tcPr>
          <w:p>
            <w:pPr>
              <w:spacing w:after="0"/>
              <w:rPr>
                <w:sz w:val="1"/>
                <w:szCs w:val="1"/>
                <w:color w:val="auto"/>
              </w:rPr>
            </w:pPr>
          </w:p>
        </w:tc>
      </w:tr>
      <w:tr>
        <w:trPr>
          <w:trHeight w:val="279"/>
        </w:trPr>
        <w:tc>
          <w:tcPr>
            <w:tcW w:w="940" w:type="dxa"/>
            <w:vAlign w:val="bottom"/>
          </w:tcPr>
          <w:p>
            <w:pPr>
              <w:ind w:left="140"/>
              <w:spacing w:after="0"/>
              <w:rPr>
                <w:sz w:val="20"/>
                <w:szCs w:val="20"/>
                <w:color w:val="auto"/>
              </w:rPr>
            </w:pPr>
            <w:r>
              <w:rPr>
                <w:rFonts w:ascii="Arial" w:cs="Arial" w:eastAsia="Arial" w:hAnsi="Arial"/>
                <w:sz w:val="21"/>
                <w:szCs w:val="21"/>
                <w:color w:val="auto"/>
              </w:rPr>
              <w:t>Item 14.</w:t>
            </w:r>
          </w:p>
        </w:tc>
        <w:tc>
          <w:tcPr>
            <w:tcW w:w="8020" w:type="dxa"/>
            <w:vAlign w:val="bottom"/>
          </w:tcPr>
          <w:p>
            <w:pPr>
              <w:ind w:left="40"/>
              <w:spacing w:after="0"/>
              <w:rPr>
                <w:sz w:val="20"/>
                <w:szCs w:val="20"/>
                <w:color w:val="auto"/>
              </w:rPr>
            </w:pPr>
            <w:r>
              <w:rPr>
                <w:rFonts w:ascii="Arial" w:cs="Arial" w:eastAsia="Arial" w:hAnsi="Arial"/>
                <w:sz w:val="21"/>
                <w:szCs w:val="21"/>
                <w:color w:val="auto"/>
              </w:rPr>
              <w:t>Principal Accounting Fees and Services</w:t>
            </w:r>
          </w:p>
        </w:tc>
        <w:tc>
          <w:tcPr>
            <w:tcW w:w="680" w:type="dxa"/>
            <w:vAlign w:val="bottom"/>
          </w:tcPr>
          <w:p>
            <w:pPr>
              <w:jc w:val="right"/>
              <w:spacing w:after="0"/>
              <w:rPr>
                <w:sz w:val="20"/>
                <w:szCs w:val="20"/>
                <w:color w:val="auto"/>
              </w:rPr>
            </w:pPr>
            <w:r>
              <w:rPr>
                <w:rFonts w:ascii="Arial" w:cs="Arial" w:eastAsia="Arial" w:hAnsi="Arial"/>
                <w:sz w:val="21"/>
                <w:szCs w:val="21"/>
                <w:color w:val="auto"/>
              </w:rPr>
              <w:t>158</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21"/>
                <w:szCs w:val="21"/>
                <w:b w:val="1"/>
                <w:bCs w:val="1"/>
                <w:color w:val="auto"/>
              </w:rPr>
              <w:t>PART IV</w:t>
            </w:r>
          </w:p>
        </w:tc>
        <w:tc>
          <w:tcPr>
            <w:tcW w:w="8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940" w:type="dxa"/>
            <w:vAlign w:val="bottom"/>
          </w:tcPr>
          <w:p>
            <w:pPr>
              <w:ind w:left="140"/>
              <w:spacing w:after="0" w:line="236" w:lineRule="exact"/>
              <w:rPr>
                <w:sz w:val="20"/>
                <w:szCs w:val="20"/>
                <w:color w:val="auto"/>
              </w:rPr>
            </w:pPr>
            <w:r>
              <w:rPr>
                <w:rFonts w:ascii="Arial" w:cs="Arial" w:eastAsia="Arial" w:hAnsi="Arial"/>
                <w:sz w:val="21"/>
                <w:szCs w:val="21"/>
                <w:color w:val="auto"/>
              </w:rPr>
              <w:t>Item 15.</w:t>
            </w:r>
          </w:p>
        </w:tc>
        <w:tc>
          <w:tcPr>
            <w:tcW w:w="8020" w:type="dxa"/>
            <w:vAlign w:val="bottom"/>
          </w:tcPr>
          <w:p>
            <w:pPr>
              <w:ind w:left="40"/>
              <w:spacing w:after="0" w:line="236" w:lineRule="exact"/>
              <w:rPr>
                <w:sz w:val="20"/>
                <w:szCs w:val="20"/>
                <w:color w:val="auto"/>
              </w:rPr>
            </w:pPr>
            <w:r>
              <w:rPr>
                <w:rFonts w:ascii="Arial" w:cs="Arial" w:eastAsia="Arial" w:hAnsi="Arial"/>
                <w:sz w:val="21"/>
                <w:szCs w:val="21"/>
                <w:color w:val="auto"/>
              </w:rPr>
              <w:t>Exhibits, Financial Statement Schedules</w:t>
            </w:r>
          </w:p>
        </w:tc>
        <w:tc>
          <w:tcPr>
            <w:tcW w:w="680" w:type="dxa"/>
            <w:vAlign w:val="bottom"/>
          </w:tcPr>
          <w:p>
            <w:pPr>
              <w:jc w:val="right"/>
              <w:spacing w:after="0" w:line="236" w:lineRule="exact"/>
              <w:rPr>
                <w:sz w:val="20"/>
                <w:szCs w:val="20"/>
                <w:color w:val="auto"/>
              </w:rPr>
            </w:pPr>
            <w:r>
              <w:rPr>
                <w:rFonts w:ascii="Arial" w:cs="Arial" w:eastAsia="Arial" w:hAnsi="Arial"/>
                <w:sz w:val="21"/>
                <w:szCs w:val="21"/>
                <w:color w:val="auto"/>
              </w:rPr>
              <w:t>159</w:t>
            </w:r>
          </w:p>
        </w:tc>
        <w:tc>
          <w:tcPr>
            <w:tcW w:w="0" w:type="dxa"/>
            <w:vAlign w:val="bottom"/>
          </w:tcPr>
          <w:p>
            <w:pPr>
              <w:spacing w:after="0"/>
              <w:rPr>
                <w:sz w:val="1"/>
                <w:szCs w:val="1"/>
                <w:color w:val="auto"/>
              </w:rPr>
            </w:pPr>
          </w:p>
        </w:tc>
      </w:tr>
      <w:tr>
        <w:trPr>
          <w:trHeight w:val="279"/>
        </w:trPr>
        <w:tc>
          <w:tcPr>
            <w:tcW w:w="940" w:type="dxa"/>
            <w:vAlign w:val="bottom"/>
          </w:tcPr>
          <w:p>
            <w:pPr>
              <w:ind w:left="140"/>
              <w:spacing w:after="0"/>
              <w:rPr>
                <w:sz w:val="20"/>
                <w:szCs w:val="20"/>
                <w:color w:val="auto"/>
              </w:rPr>
            </w:pPr>
            <w:r>
              <w:rPr>
                <w:rFonts w:ascii="Arial" w:cs="Arial" w:eastAsia="Arial" w:hAnsi="Arial"/>
                <w:sz w:val="21"/>
                <w:szCs w:val="21"/>
                <w:color w:val="auto"/>
              </w:rPr>
              <w:t>Item 16</w:t>
            </w:r>
          </w:p>
        </w:tc>
        <w:tc>
          <w:tcPr>
            <w:tcW w:w="8020" w:type="dxa"/>
            <w:vAlign w:val="bottom"/>
          </w:tcPr>
          <w:p>
            <w:pPr>
              <w:ind w:left="40"/>
              <w:spacing w:after="0"/>
              <w:rPr>
                <w:sz w:val="20"/>
                <w:szCs w:val="20"/>
                <w:color w:val="auto"/>
              </w:rPr>
            </w:pPr>
            <w:r>
              <w:rPr>
                <w:rFonts w:ascii="Arial" w:cs="Arial" w:eastAsia="Arial" w:hAnsi="Arial"/>
                <w:sz w:val="21"/>
                <w:szCs w:val="21"/>
                <w:color w:val="auto"/>
              </w:rPr>
              <w:t>Form 10-K Summary</w:t>
            </w:r>
          </w:p>
        </w:tc>
        <w:tc>
          <w:tcPr>
            <w:tcW w:w="680" w:type="dxa"/>
            <w:vAlign w:val="bottom"/>
          </w:tcPr>
          <w:p>
            <w:pPr>
              <w:jc w:val="right"/>
              <w:spacing w:after="0"/>
              <w:rPr>
                <w:sz w:val="20"/>
                <w:szCs w:val="20"/>
                <w:color w:val="auto"/>
              </w:rPr>
            </w:pPr>
            <w:r>
              <w:rPr>
                <w:rFonts w:ascii="Arial" w:cs="Arial" w:eastAsia="Arial" w:hAnsi="Arial"/>
                <w:sz w:val="21"/>
                <w:szCs w:val="21"/>
                <w:color w:val="auto"/>
              </w:rPr>
              <w:t>162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2240" w:h="15840" w:orient="portrait"/>
          <w:cols w:equalWidth="0" w:num="1">
            <w:col w:w="9640"/>
          </w:cols>
          <w:pgMar w:left="1300" w:top="1222" w:right="1300" w:bottom="0" w:gutter="0" w:footer="0" w:header="0"/>
          <w:type w:val="continuous"/>
        </w:sectPr>
      </w:pPr>
    </w:p>
    <w:bookmarkStart w:id="6" w:name="page7"/>
    <w:bookmarkEnd w:id="6"/>
    <w:p>
      <w:pPr>
        <w:spacing w:after="0"/>
        <w:rPr>
          <w:sz w:val="20"/>
          <w:szCs w:val="20"/>
          <w:color w:val="auto"/>
        </w:rPr>
      </w:pPr>
      <w:r>
        <w:rPr>
          <w:rFonts w:ascii="Arial" w:cs="Arial" w:eastAsia="Arial" w:hAnsi="Arial"/>
          <w:sz w:val="21"/>
          <w:szCs w:val="21"/>
          <w:b w:val="1"/>
          <w:bCs w:val="1"/>
          <w:color w:val="auto"/>
        </w:rPr>
        <w:t>Summary Risk Factors</w:t>
      </w:r>
    </w:p>
    <w:p>
      <w:pPr>
        <w:spacing w:after="0" w:line="122" w:lineRule="exact"/>
        <w:rPr>
          <w:sz w:val="20"/>
          <w:szCs w:val="20"/>
          <w:color w:val="auto"/>
        </w:rPr>
      </w:pPr>
    </w:p>
    <w:p>
      <w:pPr>
        <w:ind w:firstLine="504"/>
        <w:spacing w:after="0" w:line="298" w:lineRule="auto"/>
        <w:rPr>
          <w:sz w:val="20"/>
          <w:szCs w:val="20"/>
          <w:color w:val="auto"/>
        </w:rPr>
      </w:pPr>
      <w:r>
        <w:rPr>
          <w:rFonts w:ascii="Arial" w:cs="Arial" w:eastAsia="Arial" w:hAnsi="Arial"/>
          <w:sz w:val="20"/>
          <w:szCs w:val="20"/>
          <w:color w:val="auto"/>
        </w:rPr>
        <w:t>Our business is subject to numerous risks and uncertainties, including those highlighted in the section of this report captioned “Risk Factors.” The following is a summary of the principal risks we face:</w:t>
      </w:r>
    </w:p>
    <w:p>
      <w:pPr>
        <w:spacing w:after="0" w:line="41" w:lineRule="exact"/>
        <w:rPr>
          <w:sz w:val="20"/>
          <w:szCs w:val="20"/>
          <w:color w:val="auto"/>
        </w:rPr>
      </w:pPr>
    </w:p>
    <w:p>
      <w:pPr>
        <w:ind w:left="1000" w:hanging="497"/>
        <w:spacing w:after="0"/>
        <w:tabs>
          <w:tab w:leader="none" w:pos="1000" w:val="left"/>
        </w:tabs>
        <w:numPr>
          <w:ilvl w:val="0"/>
          <w:numId w:val="3"/>
        </w:numPr>
        <w:rPr>
          <w:rFonts w:ascii="Arial" w:cs="Arial" w:eastAsia="Arial" w:hAnsi="Arial"/>
          <w:sz w:val="21"/>
          <w:szCs w:val="21"/>
          <w:color w:val="auto"/>
        </w:rPr>
      </w:pPr>
      <w:r>
        <w:rPr>
          <w:rFonts w:ascii="Arial" w:cs="Arial" w:eastAsia="Arial" w:hAnsi="Arial"/>
          <w:sz w:val="21"/>
          <w:szCs w:val="21"/>
          <w:color w:val="auto"/>
        </w:rPr>
        <w:t>We are a late clinical-stage biopharmaceutical company with a limited operating history.</w:t>
      </w:r>
    </w:p>
    <w:p>
      <w:pPr>
        <w:spacing w:after="0" w:line="132" w:lineRule="exact"/>
        <w:rPr>
          <w:rFonts w:ascii="Arial" w:cs="Arial" w:eastAsia="Arial" w:hAnsi="Arial"/>
          <w:sz w:val="21"/>
          <w:szCs w:val="21"/>
          <w:color w:val="auto"/>
        </w:rPr>
      </w:pPr>
    </w:p>
    <w:p>
      <w:pPr>
        <w:ind w:left="1000" w:hanging="497"/>
        <w:spacing w:after="0" w:line="271" w:lineRule="auto"/>
        <w:tabs>
          <w:tab w:leader="none" w:pos="1000" w:val="left"/>
        </w:tabs>
        <w:numPr>
          <w:ilvl w:val="0"/>
          <w:numId w:val="3"/>
        </w:numPr>
        <w:rPr>
          <w:rFonts w:ascii="Arial" w:cs="Arial" w:eastAsia="Arial" w:hAnsi="Arial"/>
          <w:sz w:val="21"/>
          <w:szCs w:val="21"/>
          <w:color w:val="auto"/>
        </w:rPr>
      </w:pPr>
      <w:r>
        <w:rPr>
          <w:rFonts w:ascii="Arial" w:cs="Arial" w:eastAsia="Arial" w:hAnsi="Arial"/>
          <w:sz w:val="21"/>
          <w:szCs w:val="21"/>
          <w:color w:val="auto"/>
        </w:rPr>
        <w:t>Our ability to generate revenue and achieve profitability depends significantly on our ability to achieve a number of objectives.</w:t>
      </w:r>
    </w:p>
    <w:p>
      <w:pPr>
        <w:spacing w:after="0" w:line="65" w:lineRule="exact"/>
        <w:rPr>
          <w:rFonts w:ascii="Arial" w:cs="Arial" w:eastAsia="Arial" w:hAnsi="Arial"/>
          <w:sz w:val="21"/>
          <w:szCs w:val="21"/>
          <w:color w:val="auto"/>
        </w:rPr>
      </w:pPr>
    </w:p>
    <w:p>
      <w:pPr>
        <w:ind w:left="1000" w:hanging="497"/>
        <w:spacing w:after="0"/>
        <w:tabs>
          <w:tab w:leader="none" w:pos="1000" w:val="left"/>
        </w:tabs>
        <w:numPr>
          <w:ilvl w:val="0"/>
          <w:numId w:val="3"/>
        </w:numPr>
        <w:rPr>
          <w:rFonts w:ascii="Arial" w:cs="Arial" w:eastAsia="Arial" w:hAnsi="Arial"/>
          <w:sz w:val="21"/>
          <w:szCs w:val="21"/>
          <w:color w:val="auto"/>
        </w:rPr>
      </w:pPr>
      <w:r>
        <w:rPr>
          <w:rFonts w:ascii="Arial" w:cs="Arial" w:eastAsia="Arial" w:hAnsi="Arial"/>
          <w:sz w:val="21"/>
          <w:szCs w:val="21"/>
          <w:color w:val="auto"/>
        </w:rPr>
        <w:t>Our development of fosgonimeton may never lead to a marketable product.</w:t>
      </w:r>
    </w:p>
    <w:p>
      <w:pPr>
        <w:spacing w:after="0" w:line="132" w:lineRule="exact"/>
        <w:rPr>
          <w:rFonts w:ascii="Arial" w:cs="Arial" w:eastAsia="Arial" w:hAnsi="Arial"/>
          <w:sz w:val="21"/>
          <w:szCs w:val="21"/>
          <w:color w:val="auto"/>
        </w:rPr>
      </w:pPr>
    </w:p>
    <w:p>
      <w:pPr>
        <w:jc w:val="both"/>
        <w:ind w:left="1000" w:hanging="497"/>
        <w:spacing w:after="0" w:line="264" w:lineRule="auto"/>
        <w:tabs>
          <w:tab w:leader="none" w:pos="100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approach to targeting brain growth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product candidates.</w:t>
      </w:r>
    </w:p>
    <w:p>
      <w:pPr>
        <w:spacing w:after="0" w:line="73" w:lineRule="exact"/>
        <w:rPr>
          <w:rFonts w:ascii="Arial" w:cs="Arial" w:eastAsia="Arial" w:hAnsi="Arial"/>
          <w:sz w:val="20"/>
          <w:szCs w:val="20"/>
          <w:color w:val="auto"/>
        </w:rPr>
      </w:pPr>
    </w:p>
    <w:p>
      <w:pPr>
        <w:jc w:val="both"/>
        <w:ind w:left="1000" w:hanging="497"/>
        <w:spacing w:after="0" w:line="253" w:lineRule="auto"/>
        <w:tabs>
          <w:tab w:leader="none" w:pos="1000" w:val="left"/>
        </w:tabs>
        <w:numPr>
          <w:ilvl w:val="0"/>
          <w:numId w:val="3"/>
        </w:numPr>
        <w:rPr>
          <w:rFonts w:ascii="Arial" w:cs="Arial" w:eastAsia="Arial" w:hAnsi="Arial"/>
          <w:sz w:val="21"/>
          <w:szCs w:val="21"/>
          <w:color w:val="auto"/>
        </w:rPr>
      </w:pPr>
      <w:r>
        <w:rPr>
          <w:rFonts w:ascii="Arial" w:cs="Arial" w:eastAsia="Arial" w:hAnsi="Arial"/>
          <w:sz w:val="21"/>
          <w:szCs w:val="21"/>
          <w:color w:val="auto"/>
        </w:rPr>
        <w:t>We have concentrated our research and development efforts on the treatment of central and peripheral nervous system degenerative disorders, a field that has seen very limited success in product development.</w:t>
      </w:r>
    </w:p>
    <w:p>
      <w:pPr>
        <w:spacing w:after="0" w:line="84" w:lineRule="exact"/>
        <w:rPr>
          <w:rFonts w:ascii="Arial" w:cs="Arial" w:eastAsia="Arial" w:hAnsi="Arial"/>
          <w:sz w:val="21"/>
          <w:szCs w:val="21"/>
          <w:color w:val="auto"/>
        </w:rPr>
      </w:pPr>
    </w:p>
    <w:p>
      <w:pPr>
        <w:jc w:val="both"/>
        <w:ind w:left="1000" w:hanging="497"/>
        <w:spacing w:after="0" w:line="239" w:lineRule="auto"/>
        <w:tabs>
          <w:tab w:leader="none" w:pos="1000" w:val="left"/>
        </w:tabs>
        <w:numPr>
          <w:ilvl w:val="0"/>
          <w:numId w:val="3"/>
        </w:numPr>
        <w:rPr>
          <w:rFonts w:ascii="Arial" w:cs="Arial" w:eastAsia="Arial" w:hAnsi="Arial"/>
          <w:sz w:val="21"/>
          <w:szCs w:val="21"/>
          <w:color w:val="auto"/>
        </w:rPr>
      </w:pPr>
      <w:r>
        <w:rPr>
          <w:rFonts w:ascii="Arial" w:cs="Arial" w:eastAsia="Arial" w:hAnsi="Arial"/>
          <w:sz w:val="21"/>
          <w:szCs w:val="21"/>
          <w:color w:val="auto"/>
        </w:rPr>
        <w:t>An independent special committee of our board of directors engaged in a review of papers co-authored by our former chief executive officer in connection with her doctoral research at Washington State University, or WSU.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spacing w:after="0" w:line="99" w:lineRule="exact"/>
        <w:rPr>
          <w:rFonts w:ascii="Arial" w:cs="Arial" w:eastAsia="Arial" w:hAnsi="Arial"/>
          <w:sz w:val="21"/>
          <w:szCs w:val="21"/>
          <w:color w:val="auto"/>
        </w:rPr>
      </w:pPr>
    </w:p>
    <w:p>
      <w:pPr>
        <w:jc w:val="both"/>
        <w:ind w:left="1000" w:hanging="497"/>
        <w:spacing w:after="0" w:line="247" w:lineRule="auto"/>
        <w:tabs>
          <w:tab w:leader="none" w:pos="1000" w:val="left"/>
        </w:tabs>
        <w:numPr>
          <w:ilvl w:val="0"/>
          <w:numId w:val="3"/>
        </w:numPr>
        <w:rPr>
          <w:rFonts w:ascii="Arial" w:cs="Arial" w:eastAsia="Arial" w:hAnsi="Arial"/>
          <w:sz w:val="21"/>
          <w:szCs w:val="21"/>
          <w:color w:val="auto"/>
        </w:rPr>
      </w:pPr>
      <w:r>
        <w:rPr>
          <w:rFonts w:ascii="Arial" w:cs="Arial" w:eastAsia="Arial" w:hAnsi="Arial"/>
          <w:sz w:val="21"/>
          <w:szCs w:val="21"/>
          <w:color w:val="auto"/>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89" w:lineRule="exact"/>
        <w:rPr>
          <w:rFonts w:ascii="Arial" w:cs="Arial" w:eastAsia="Arial" w:hAnsi="Arial"/>
          <w:sz w:val="21"/>
          <w:szCs w:val="21"/>
          <w:color w:val="auto"/>
        </w:rPr>
      </w:pPr>
    </w:p>
    <w:p>
      <w:pPr>
        <w:jc w:val="both"/>
        <w:ind w:left="1000" w:hanging="497"/>
        <w:spacing w:after="0" w:line="243" w:lineRule="auto"/>
        <w:tabs>
          <w:tab w:leader="none" w:pos="1000" w:val="left"/>
        </w:tabs>
        <w:numPr>
          <w:ilvl w:val="0"/>
          <w:numId w:val="3"/>
        </w:numPr>
        <w:rPr>
          <w:rFonts w:ascii="Arial" w:cs="Arial" w:eastAsia="Arial" w:hAnsi="Arial"/>
          <w:sz w:val="21"/>
          <w:szCs w:val="21"/>
          <w:color w:val="auto"/>
        </w:rPr>
      </w:pPr>
      <w:r>
        <w:rPr>
          <w:rFonts w:ascii="Arial" w:cs="Arial" w:eastAsia="Arial" w:hAnsi="Arial"/>
          <w:sz w:val="21"/>
          <w:szCs w:val="21"/>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spacing w:after="0" w:line="91" w:lineRule="exact"/>
        <w:rPr>
          <w:rFonts w:ascii="Arial" w:cs="Arial" w:eastAsia="Arial" w:hAnsi="Arial"/>
          <w:sz w:val="21"/>
          <w:szCs w:val="21"/>
          <w:color w:val="auto"/>
        </w:rPr>
      </w:pPr>
    </w:p>
    <w:p>
      <w:pPr>
        <w:jc w:val="both"/>
        <w:ind w:left="1000" w:hanging="497"/>
        <w:spacing w:after="0" w:line="254" w:lineRule="auto"/>
        <w:tabs>
          <w:tab w:leader="none" w:pos="1000" w:val="left"/>
        </w:tabs>
        <w:numPr>
          <w:ilvl w:val="0"/>
          <w:numId w:val="3"/>
        </w:numPr>
        <w:rPr>
          <w:rFonts w:ascii="Arial" w:cs="Arial" w:eastAsia="Arial" w:hAnsi="Arial"/>
          <w:sz w:val="21"/>
          <w:szCs w:val="21"/>
          <w:color w:val="auto"/>
        </w:rPr>
      </w:pPr>
      <w:r>
        <w:rPr>
          <w:rFonts w:ascii="Arial" w:cs="Arial" w:eastAsia="Arial" w:hAnsi="Arial"/>
          <w:sz w:val="21"/>
          <w:szCs w:val="21"/>
          <w:color w:val="auto"/>
        </w:rPr>
        <w:t>If we experience delays or difficulties in the enrollment or retention of patients in clinical trials, our regulatory submissions or receipt of necessary marketing approvals could be delayed or prevented.</w:t>
      </w:r>
    </w:p>
    <w:p>
      <w:pPr>
        <w:spacing w:after="0" w:line="82" w:lineRule="exact"/>
        <w:rPr>
          <w:rFonts w:ascii="Arial" w:cs="Arial" w:eastAsia="Arial" w:hAnsi="Arial"/>
          <w:sz w:val="21"/>
          <w:szCs w:val="21"/>
          <w:color w:val="auto"/>
        </w:rPr>
      </w:pPr>
    </w:p>
    <w:p>
      <w:pPr>
        <w:ind w:left="1000" w:hanging="497"/>
        <w:spacing w:after="0" w:line="271" w:lineRule="auto"/>
        <w:tabs>
          <w:tab w:leader="none" w:pos="100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loss of any of our key personnel could significantly harm our business, results of operations and competitive position.</w:t>
      </w:r>
    </w:p>
    <w:p>
      <w:pPr>
        <w:spacing w:after="0" w:line="65" w:lineRule="exact"/>
        <w:rPr>
          <w:rFonts w:ascii="Arial" w:cs="Arial" w:eastAsia="Arial" w:hAnsi="Arial"/>
          <w:sz w:val="21"/>
          <w:szCs w:val="21"/>
          <w:color w:val="auto"/>
        </w:rPr>
      </w:pPr>
    </w:p>
    <w:p>
      <w:pPr>
        <w:jc w:val="both"/>
        <w:ind w:left="1000" w:hanging="497"/>
        <w:spacing w:after="0" w:line="254" w:lineRule="auto"/>
        <w:tabs>
          <w:tab w:leader="none" w:pos="1000" w:val="left"/>
        </w:tabs>
        <w:numPr>
          <w:ilvl w:val="0"/>
          <w:numId w:val="3"/>
        </w:numPr>
        <w:rPr>
          <w:rFonts w:ascii="Arial" w:cs="Arial" w:eastAsia="Arial" w:hAnsi="Arial"/>
          <w:sz w:val="21"/>
          <w:szCs w:val="21"/>
          <w:color w:val="auto"/>
        </w:rPr>
      </w:pPr>
      <w:r>
        <w:rPr>
          <w:rFonts w:ascii="Arial" w:cs="Arial" w:eastAsia="Arial" w:hAnsi="Arial"/>
          <w:sz w:val="21"/>
          <w:szCs w:val="2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81" w:lineRule="exact"/>
        <w:rPr>
          <w:rFonts w:ascii="Arial" w:cs="Arial" w:eastAsia="Arial" w:hAnsi="Arial"/>
          <w:sz w:val="21"/>
          <w:szCs w:val="21"/>
          <w:color w:val="auto"/>
        </w:rPr>
      </w:pPr>
    </w:p>
    <w:p>
      <w:pPr>
        <w:jc w:val="both"/>
        <w:ind w:left="1000" w:hanging="497"/>
        <w:spacing w:after="0" w:line="254" w:lineRule="auto"/>
        <w:tabs>
          <w:tab w:leader="none" w:pos="1000" w:val="left"/>
        </w:tabs>
        <w:numPr>
          <w:ilvl w:val="0"/>
          <w:numId w:val="3"/>
        </w:numPr>
        <w:rPr>
          <w:rFonts w:ascii="Arial" w:cs="Arial" w:eastAsia="Arial" w:hAnsi="Arial"/>
          <w:sz w:val="21"/>
          <w:szCs w:val="21"/>
          <w:color w:val="auto"/>
        </w:rPr>
      </w:pPr>
      <w:r>
        <w:rPr>
          <w:rFonts w:ascii="Arial" w:cs="Arial" w:eastAsia="Arial" w:hAnsi="Arial"/>
          <w:sz w:val="21"/>
          <w:szCs w:val="21"/>
          <w:color w:val="auto"/>
        </w:rPr>
        <w:t>We may expend our limited resources to pursue a particular product candidate or indication and fail to capitalize on product candidates or indications that may be more profitable or for which there is a greater likelihood of success.</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2240" w:h="15840" w:orient="portrait"/>
          <w:cols w:equalWidth="0" w:num="1">
            <w:col w:w="9640"/>
          </w:cols>
          <w:pgMar w:left="1300" w:top="1222" w:right="1300" w:bottom="0" w:gutter="0" w:footer="0" w:header="0"/>
          <w:type w:val="continuous"/>
        </w:sectPr>
      </w:pPr>
    </w:p>
    <w:bookmarkStart w:id="7" w:name="page8"/>
    <w:bookmarkEnd w:id="7"/>
    <w:p>
      <w:pPr>
        <w:jc w:val="both"/>
        <w:ind w:left="1000" w:hanging="497"/>
        <w:spacing w:after="0" w:line="253" w:lineRule="auto"/>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continuing and potential effects of the novel coronavirus disease, or COVID-19, pandemic or other disease outbreaks could adversely impact our business, including our nonclinical studies and clinical trials.</w:t>
      </w:r>
    </w:p>
    <w:p>
      <w:pPr>
        <w:spacing w:after="0" w:line="84" w:lineRule="exact"/>
        <w:rPr>
          <w:rFonts w:ascii="Arial" w:cs="Arial" w:eastAsia="Arial" w:hAnsi="Arial"/>
          <w:sz w:val="21"/>
          <w:szCs w:val="21"/>
          <w:color w:val="auto"/>
        </w:rPr>
      </w:pPr>
    </w:p>
    <w:p>
      <w:pPr>
        <w:ind w:left="1000" w:hanging="497"/>
        <w:spacing w:after="0" w:line="273" w:lineRule="auto"/>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color w:val="auto"/>
        </w:rPr>
        <w:t>We have incurred significant losses since our inception and anticipate that we will continue to incur significant losses for the foreseeable future.</w:t>
      </w:r>
    </w:p>
    <w:p>
      <w:pPr>
        <w:spacing w:after="0" w:line="62" w:lineRule="exact"/>
        <w:rPr>
          <w:rFonts w:ascii="Arial" w:cs="Arial" w:eastAsia="Arial" w:hAnsi="Arial"/>
          <w:sz w:val="21"/>
          <w:szCs w:val="21"/>
          <w:color w:val="auto"/>
        </w:rPr>
      </w:pPr>
    </w:p>
    <w:p>
      <w:pPr>
        <w:jc w:val="both"/>
        <w:ind w:left="1000" w:hanging="497"/>
        <w:spacing w:after="0" w:line="264" w:lineRule="auto"/>
        <w:tabs>
          <w:tab w:leader="none" w:pos="100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will require substantial additional funding to finance our operations, complete the development and commercialization of fosgonimeton, and develop and commercialize other and future product candidates. If we are unable to raise this funding when needed, we may be forced to delay, reduce, or eliminate our product development programs or other operations.</w:t>
      </w:r>
    </w:p>
    <w:p>
      <w:pPr>
        <w:spacing w:after="0" w:line="72" w:lineRule="exact"/>
        <w:rPr>
          <w:rFonts w:ascii="Arial" w:cs="Arial" w:eastAsia="Arial" w:hAnsi="Arial"/>
          <w:sz w:val="20"/>
          <w:szCs w:val="20"/>
          <w:color w:val="auto"/>
        </w:rPr>
      </w:pPr>
    </w:p>
    <w:p>
      <w:pPr>
        <w:jc w:val="both"/>
        <w:ind w:left="1000" w:hanging="497"/>
        <w:spacing w:after="0" w:line="243" w:lineRule="auto"/>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92" w:lineRule="exact"/>
        <w:rPr>
          <w:rFonts w:ascii="Arial" w:cs="Arial" w:eastAsia="Arial" w:hAnsi="Arial"/>
          <w:sz w:val="21"/>
          <w:szCs w:val="21"/>
          <w:color w:val="auto"/>
        </w:rPr>
      </w:pPr>
    </w:p>
    <w:p>
      <w:pPr>
        <w:jc w:val="both"/>
        <w:ind w:left="1000" w:hanging="497"/>
        <w:spacing w:after="0" w:line="247" w:lineRule="auto"/>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color w:val="auto"/>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w:t>
      </w:r>
    </w:p>
    <w:p>
      <w:pPr>
        <w:spacing w:after="0" w:line="89" w:lineRule="exact"/>
        <w:rPr>
          <w:rFonts w:ascii="Arial" w:cs="Arial" w:eastAsia="Arial" w:hAnsi="Arial"/>
          <w:sz w:val="21"/>
          <w:szCs w:val="21"/>
          <w:color w:val="auto"/>
        </w:rPr>
      </w:pPr>
    </w:p>
    <w:p>
      <w:pPr>
        <w:jc w:val="both"/>
        <w:ind w:left="1000" w:hanging="497"/>
        <w:spacing w:after="0" w:line="273" w:lineRule="auto"/>
        <w:tabs>
          <w:tab w:leader="none" w:pos="100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4" w:lineRule="exact"/>
        <w:rPr>
          <w:rFonts w:ascii="Arial" w:cs="Arial" w:eastAsia="Arial" w:hAnsi="Arial"/>
          <w:sz w:val="20"/>
          <w:szCs w:val="20"/>
          <w:color w:val="auto"/>
        </w:rPr>
      </w:pPr>
    </w:p>
    <w:p>
      <w:pPr>
        <w:jc w:val="both"/>
        <w:ind w:left="1000" w:hanging="497"/>
        <w:spacing w:after="0" w:line="253" w:lineRule="auto"/>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color w:val="auto"/>
        </w:rPr>
        <w:t>Even if approved, our product candidates may not achieve adequate market acceptance among physicians, patients, healthcare payors and others in the medical community necessary for commercial success.</w:t>
      </w:r>
    </w:p>
    <w:p>
      <w:pPr>
        <w:spacing w:after="0" w:line="84" w:lineRule="exact"/>
        <w:rPr>
          <w:rFonts w:ascii="Arial" w:cs="Arial" w:eastAsia="Arial" w:hAnsi="Arial"/>
          <w:sz w:val="21"/>
          <w:szCs w:val="21"/>
          <w:color w:val="auto"/>
        </w:rPr>
      </w:pPr>
    </w:p>
    <w:p>
      <w:pPr>
        <w:jc w:val="both"/>
        <w:ind w:left="1000" w:hanging="497"/>
        <w:spacing w:after="0" w:line="253" w:lineRule="auto"/>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color w:val="auto"/>
        </w:rPr>
        <w:t>We have never commercialized a product candidate before and may lack the necessary expertise, personnel and resources to successfully commercialize any products on our own or together with suitable collaborators.</w:t>
      </w:r>
    </w:p>
    <w:p>
      <w:pPr>
        <w:spacing w:after="0" w:line="84" w:lineRule="exact"/>
        <w:rPr>
          <w:rFonts w:ascii="Arial" w:cs="Arial" w:eastAsia="Arial" w:hAnsi="Arial"/>
          <w:sz w:val="21"/>
          <w:szCs w:val="21"/>
          <w:color w:val="auto"/>
        </w:rPr>
      </w:pPr>
    </w:p>
    <w:p>
      <w:pPr>
        <w:ind w:left="1000" w:hanging="497"/>
        <w:spacing w:after="0" w:line="272" w:lineRule="auto"/>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color w:val="auto"/>
        </w:rPr>
        <w:t>Our success depends on our ability to protect our intellectual property and our proprietary technologies.</w:t>
      </w:r>
    </w:p>
    <w:p>
      <w:pPr>
        <w:spacing w:after="0" w:line="63" w:lineRule="exact"/>
        <w:rPr>
          <w:rFonts w:ascii="Arial" w:cs="Arial" w:eastAsia="Arial" w:hAnsi="Arial"/>
          <w:sz w:val="21"/>
          <w:szCs w:val="21"/>
          <w:color w:val="auto"/>
        </w:rPr>
      </w:pPr>
    </w:p>
    <w:p>
      <w:pPr>
        <w:jc w:val="both"/>
        <w:ind w:left="1000" w:hanging="497"/>
        <w:spacing w:after="0" w:line="254" w:lineRule="auto"/>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82" w:lineRule="exact"/>
        <w:rPr>
          <w:rFonts w:ascii="Arial" w:cs="Arial" w:eastAsia="Arial" w:hAnsi="Arial"/>
          <w:sz w:val="21"/>
          <w:szCs w:val="21"/>
          <w:color w:val="auto"/>
        </w:rPr>
      </w:pPr>
    </w:p>
    <w:p>
      <w:pPr>
        <w:ind w:left="1000" w:hanging="497"/>
        <w:spacing w:after="0" w:line="271" w:lineRule="auto"/>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market price of our common stock has been and may continue to be volatile, which could result in substantial losses for investors.</w:t>
      </w:r>
    </w:p>
    <w:p>
      <w:pPr>
        <w:spacing w:after="0" w:line="65" w:lineRule="exact"/>
        <w:rPr>
          <w:rFonts w:ascii="Arial" w:cs="Arial" w:eastAsia="Arial" w:hAnsi="Arial"/>
          <w:sz w:val="21"/>
          <w:szCs w:val="21"/>
          <w:color w:val="auto"/>
        </w:rPr>
      </w:pPr>
    </w:p>
    <w:p>
      <w:pPr>
        <w:jc w:val="both"/>
        <w:ind w:left="1000" w:hanging="497"/>
        <w:spacing w:after="0" w:line="253" w:lineRule="auto"/>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color w:val="auto"/>
        </w:rPr>
        <w:t>We and certain of our directors and executive officers have been, and may in the future be, named as defendants in lawsuits that could result in substantial costs and divert management’s attention.</w:t>
      </w:r>
    </w:p>
    <w:p>
      <w:pPr>
        <w:spacing w:after="0" w:line="84" w:lineRule="exact"/>
        <w:rPr>
          <w:rFonts w:ascii="Arial" w:cs="Arial" w:eastAsia="Arial" w:hAnsi="Arial"/>
          <w:sz w:val="21"/>
          <w:szCs w:val="21"/>
          <w:color w:val="auto"/>
        </w:rPr>
      </w:pPr>
    </w:p>
    <w:p>
      <w:pPr>
        <w:ind w:left="1000" w:hanging="497"/>
        <w:spacing w:after="0" w:line="273" w:lineRule="auto"/>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color w:val="auto"/>
        </w:rPr>
        <w:t>Actions by activist stockholders have in the past been, and may in the future be, disruptive and could cause uncertainty about the strategic direction of our business.</w:t>
      </w:r>
    </w:p>
    <w:p>
      <w:pPr>
        <w:spacing w:after="0" w:line="213"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Our Risk Factors are not guarantees that no such conditions exist as of the date of this report and should not be interpreted as an affirmative statement that such risks or conditions have not materialized, in whole or in part.</w:t>
      </w:r>
    </w:p>
    <w:p>
      <w:pPr>
        <w:sectPr>
          <w:pgSz w:w="12240" w:h="15840" w:orient="portrait"/>
          <w:cols w:equalWidth="0" w:num="1">
            <w:col w:w="9640"/>
          </w:cols>
          <w:pgMar w:left="130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2240" w:h="15840" w:orient="portrait"/>
          <w:cols w:equalWidth="0" w:num="1">
            <w:col w:w="9640"/>
          </w:cols>
          <w:pgMar w:left="1300" w:top="1240" w:right="1300" w:bottom="0" w:gutter="0" w:footer="0" w:header="0"/>
          <w:type w:val="continuous"/>
        </w:sectPr>
      </w:pPr>
    </w:p>
    <w:bookmarkStart w:id="8" w:name="page9"/>
    <w:bookmarkEnd w:id="8"/>
    <w:p>
      <w:pPr>
        <w:ind w:left="4480"/>
        <w:spacing w:after="0"/>
        <w:rPr>
          <w:sz w:val="20"/>
          <w:szCs w:val="20"/>
          <w:color w:val="auto"/>
        </w:rPr>
      </w:pPr>
      <w:r>
        <w:rPr>
          <w:rFonts w:ascii="Arial" w:cs="Arial" w:eastAsia="Arial" w:hAnsi="Arial"/>
          <w:sz w:val="21"/>
          <w:szCs w:val="21"/>
          <w:b w:val="1"/>
          <w:bCs w:val="1"/>
          <w:color w:val="auto"/>
        </w:rPr>
        <w:t>PART I</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Special Note Regarding Forward-Looking Statements</w:t>
      </w:r>
    </w:p>
    <w:p>
      <w:pPr>
        <w:spacing w:after="0" w:line="123"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This Annual Report on Form 10-K contains forward-looking statements that are based on our management’s beliefs and assumptions and on information currently available to our management. This section should be read in conjunction with our audited consolidated financial statements and related notes included in Part II, Item 8 of this report. The statements contained in this report that are not purely historical are forward-looking statements within the meaning of Section 27A of the Securities Act of 1933, as amended, and Section 21E of the Securities Exchange Act of 1934, as amended.</w:t>
      </w:r>
    </w:p>
    <w:p>
      <w:pPr>
        <w:spacing w:after="0" w:line="208"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0"/>
          <w:szCs w:val="20"/>
          <w:color w:val="auto"/>
        </w:rPr>
        <w:t>In some cases, you can identify forward-looking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spacing w:after="0" w:line="85" w:lineRule="exact"/>
        <w:rPr>
          <w:sz w:val="20"/>
          <w:szCs w:val="20"/>
          <w:color w:val="auto"/>
        </w:rPr>
      </w:pPr>
    </w:p>
    <w:p>
      <w:pPr>
        <w:ind w:left="1000" w:hanging="497"/>
        <w:spacing w:after="0"/>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our financial performance;</w:t>
      </w:r>
    </w:p>
    <w:p>
      <w:pPr>
        <w:spacing w:after="0" w:line="132" w:lineRule="exact"/>
        <w:rPr>
          <w:rFonts w:ascii="Arial" w:cs="Arial" w:eastAsia="Arial" w:hAnsi="Arial"/>
          <w:sz w:val="21"/>
          <w:szCs w:val="21"/>
          <w:color w:val="auto"/>
        </w:rPr>
      </w:pPr>
    </w:p>
    <w:p>
      <w:pPr>
        <w:ind w:left="1000" w:hanging="497"/>
        <w:spacing w:after="0" w:line="272" w:lineRule="auto"/>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sufficiency of our existing cash, cash equivalents and investments to fund our future operating expenses and capital expenditure requirements;</w:t>
      </w:r>
    </w:p>
    <w:p>
      <w:pPr>
        <w:spacing w:after="0" w:line="64" w:lineRule="exact"/>
        <w:rPr>
          <w:rFonts w:ascii="Arial" w:cs="Arial" w:eastAsia="Arial" w:hAnsi="Arial"/>
          <w:sz w:val="21"/>
          <w:szCs w:val="21"/>
          <w:color w:val="auto"/>
        </w:rPr>
      </w:pPr>
    </w:p>
    <w:p>
      <w:pPr>
        <w:ind w:left="1000" w:hanging="497"/>
        <w:spacing w:after="0" w:line="271" w:lineRule="auto"/>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our ability to obtain funding for our operations, including funding necessary to develop and commercialize our product candidates;</w:t>
      </w:r>
    </w:p>
    <w:p>
      <w:pPr>
        <w:spacing w:after="0" w:line="65" w:lineRule="exact"/>
        <w:rPr>
          <w:rFonts w:ascii="Arial" w:cs="Arial" w:eastAsia="Arial" w:hAnsi="Arial"/>
          <w:sz w:val="21"/>
          <w:szCs w:val="21"/>
          <w:color w:val="auto"/>
        </w:rPr>
      </w:pPr>
    </w:p>
    <w:p>
      <w:pPr>
        <w:ind w:left="1000" w:hanging="497"/>
        <w:spacing w:after="0" w:line="273" w:lineRule="auto"/>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ability of our nonclinical studies and clinical trials to demonstrate safety and efficacy of our product candidates;</w:t>
      </w:r>
    </w:p>
    <w:p>
      <w:pPr>
        <w:spacing w:after="0" w:line="62" w:lineRule="exact"/>
        <w:rPr>
          <w:rFonts w:ascii="Arial" w:cs="Arial" w:eastAsia="Arial" w:hAnsi="Arial"/>
          <w:sz w:val="21"/>
          <w:szCs w:val="21"/>
          <w:color w:val="auto"/>
        </w:rPr>
      </w:pPr>
    </w:p>
    <w:p>
      <w:pPr>
        <w:ind w:left="1000" w:hanging="497"/>
        <w:spacing w:after="0"/>
        <w:tabs>
          <w:tab w:leader="none" w:pos="100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success, cost and timing of our development activities, nonclinical studies and clinical trials;</w:t>
      </w:r>
    </w:p>
    <w:p>
      <w:pPr>
        <w:spacing w:after="0" w:line="144" w:lineRule="exact"/>
        <w:rPr>
          <w:rFonts w:ascii="Arial" w:cs="Arial" w:eastAsia="Arial" w:hAnsi="Arial"/>
          <w:sz w:val="20"/>
          <w:szCs w:val="20"/>
          <w:color w:val="auto"/>
        </w:rPr>
      </w:pPr>
    </w:p>
    <w:p>
      <w:pPr>
        <w:ind w:left="1000" w:hanging="497"/>
        <w:spacing w:after="0"/>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rate and degree of market acceptance of our product candidates;</w:t>
      </w:r>
    </w:p>
    <w:p>
      <w:pPr>
        <w:spacing w:after="0" w:line="132" w:lineRule="exact"/>
        <w:rPr>
          <w:rFonts w:ascii="Arial" w:cs="Arial" w:eastAsia="Arial" w:hAnsi="Arial"/>
          <w:sz w:val="21"/>
          <w:szCs w:val="21"/>
          <w:color w:val="auto"/>
        </w:rPr>
      </w:pPr>
    </w:p>
    <w:p>
      <w:pPr>
        <w:ind w:left="1000" w:hanging="497"/>
        <w:spacing w:after="0"/>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timing or likelihood of regulatory filings and approvals;</w:t>
      </w:r>
    </w:p>
    <w:p>
      <w:pPr>
        <w:spacing w:after="0" w:line="131" w:lineRule="exact"/>
        <w:rPr>
          <w:rFonts w:ascii="Arial" w:cs="Arial" w:eastAsia="Arial" w:hAnsi="Arial"/>
          <w:sz w:val="21"/>
          <w:szCs w:val="21"/>
          <w:color w:val="auto"/>
        </w:rPr>
      </w:pPr>
    </w:p>
    <w:p>
      <w:pPr>
        <w:jc w:val="both"/>
        <w:ind w:left="1000" w:hanging="497"/>
        <w:spacing w:after="0" w:line="254" w:lineRule="auto"/>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potential learnings from our ACT-AD trial and LIFT-AD independent unblinded interim efficacy and futility analysis and their ability to inform and improve future clinical development plans;</w:t>
      </w:r>
    </w:p>
    <w:p>
      <w:pPr>
        <w:spacing w:after="0" w:line="82" w:lineRule="exact"/>
        <w:rPr>
          <w:rFonts w:ascii="Arial" w:cs="Arial" w:eastAsia="Arial" w:hAnsi="Arial"/>
          <w:sz w:val="21"/>
          <w:szCs w:val="21"/>
          <w:color w:val="auto"/>
        </w:rPr>
      </w:pPr>
    </w:p>
    <w:p>
      <w:pPr>
        <w:ind w:left="1000" w:hanging="497"/>
        <w:spacing w:after="0" w:line="271" w:lineRule="auto"/>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potential of LIFT-AD to show clinical benefits of fosgonimeton following the September 2022 protocol amendment;</w:t>
      </w:r>
    </w:p>
    <w:p>
      <w:pPr>
        <w:spacing w:after="0" w:line="65" w:lineRule="exact"/>
        <w:rPr>
          <w:rFonts w:ascii="Arial" w:cs="Arial" w:eastAsia="Arial" w:hAnsi="Arial"/>
          <w:sz w:val="21"/>
          <w:szCs w:val="21"/>
          <w:color w:val="auto"/>
        </w:rPr>
      </w:pPr>
    </w:p>
    <w:p>
      <w:pPr>
        <w:ind w:left="1000" w:hanging="497"/>
        <w:spacing w:after="0"/>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timing and focus of our future clinical trials, and the reporting of data from those trials;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our plans relating to commercializing our product candidates, if approved;</w:t>
      </w:r>
    </w:p>
    <w:p>
      <w:pPr>
        <w:spacing w:after="0" w:line="132" w:lineRule="exact"/>
        <w:rPr>
          <w:rFonts w:ascii="Arial" w:cs="Arial" w:eastAsia="Arial" w:hAnsi="Arial"/>
          <w:sz w:val="21"/>
          <w:szCs w:val="21"/>
          <w:color w:val="auto"/>
        </w:rPr>
      </w:pPr>
    </w:p>
    <w:p>
      <w:pPr>
        <w:ind w:left="1000" w:hanging="498"/>
        <w:spacing w:after="0" w:line="272" w:lineRule="auto"/>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our plans and ability to establish sales, marketing and distribution infrastructure to commercialize any product candidates for which we obtain approval;</w:t>
      </w:r>
    </w:p>
    <w:p>
      <w:pPr>
        <w:spacing w:after="0" w:line="63" w:lineRule="exact"/>
        <w:rPr>
          <w:rFonts w:ascii="Arial" w:cs="Arial" w:eastAsia="Arial" w:hAnsi="Arial"/>
          <w:sz w:val="21"/>
          <w:szCs w:val="21"/>
          <w:color w:val="auto"/>
        </w:rPr>
      </w:pPr>
    </w:p>
    <w:p>
      <w:pPr>
        <w:ind w:left="1000" w:hanging="498"/>
        <w:spacing w:after="0"/>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our ability to attract and retain key managerial, scientific and clinical personnel;</w:t>
      </w:r>
    </w:p>
    <w:p>
      <w:pPr>
        <w:spacing w:after="0" w:line="132" w:lineRule="exact"/>
        <w:rPr>
          <w:rFonts w:ascii="Arial" w:cs="Arial" w:eastAsia="Arial" w:hAnsi="Arial"/>
          <w:sz w:val="21"/>
          <w:szCs w:val="21"/>
          <w:color w:val="auto"/>
        </w:rPr>
      </w:pPr>
    </w:p>
    <w:p>
      <w:pPr>
        <w:ind w:left="1000" w:hanging="498"/>
        <w:spacing w:after="0" w:line="272" w:lineRule="auto"/>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our ability to contract with third-party suppliers and manufacturers and their ability to perform adequately;</w:t>
      </w:r>
    </w:p>
    <w:p>
      <w:pPr>
        <w:spacing w:after="0" w:line="64" w:lineRule="exact"/>
        <w:rPr>
          <w:rFonts w:ascii="Arial" w:cs="Arial" w:eastAsia="Arial" w:hAnsi="Arial"/>
          <w:sz w:val="21"/>
          <w:szCs w:val="21"/>
          <w:color w:val="auto"/>
        </w:rPr>
      </w:pPr>
    </w:p>
    <w:p>
      <w:pPr>
        <w:ind w:left="1000" w:hanging="498"/>
        <w:spacing w:after="0" w:line="271" w:lineRule="auto"/>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accuracy of our estimates regarding expenses, future revenue, capital requirements and needs for additional financing;</w:t>
      </w:r>
    </w:p>
    <w:p>
      <w:pPr>
        <w:spacing w:after="0" w:line="65" w:lineRule="exact"/>
        <w:rPr>
          <w:rFonts w:ascii="Arial" w:cs="Arial" w:eastAsia="Arial" w:hAnsi="Arial"/>
          <w:sz w:val="21"/>
          <w:szCs w:val="21"/>
          <w:color w:val="auto"/>
        </w:rPr>
      </w:pPr>
    </w:p>
    <w:p>
      <w:pPr>
        <w:ind w:left="1000" w:hanging="498"/>
        <w:spacing w:after="0"/>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pricing and reimbursement of our product candidates, if approved;</w:t>
      </w:r>
    </w:p>
    <w:p>
      <w:pPr>
        <w:spacing w:after="0" w:line="132" w:lineRule="exact"/>
        <w:rPr>
          <w:rFonts w:ascii="Arial" w:cs="Arial" w:eastAsia="Arial" w:hAnsi="Arial"/>
          <w:sz w:val="21"/>
          <w:szCs w:val="21"/>
          <w:color w:val="auto"/>
        </w:rPr>
      </w:pPr>
    </w:p>
    <w:p>
      <w:pPr>
        <w:ind w:left="1000" w:hanging="498"/>
        <w:spacing w:after="0" w:line="272" w:lineRule="auto"/>
        <w:tabs>
          <w:tab w:leader="none" w:pos="1000" w:val="left"/>
        </w:tabs>
        <w:numPr>
          <w:ilvl w:val="0"/>
          <w:numId w:val="5"/>
        </w:numPr>
        <w:rPr>
          <w:rFonts w:ascii="Arial" w:cs="Arial" w:eastAsia="Arial" w:hAnsi="Arial"/>
          <w:sz w:val="21"/>
          <w:szCs w:val="21"/>
          <w:color w:val="auto"/>
        </w:rPr>
      </w:pPr>
      <w:r>
        <w:rPr>
          <w:rFonts w:ascii="Arial" w:cs="Arial" w:eastAsia="Arial" w:hAnsi="Arial"/>
          <w:sz w:val="21"/>
          <w:szCs w:val="21"/>
          <w:color w:val="auto"/>
        </w:rPr>
        <w:t>our reliance on third parties to conduct clinical trials of our product candidates, and for the manufacture of our product candidates for nonclinical studies and clinical trials;</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2240" w:h="15840" w:orient="portrait"/>
          <w:cols w:equalWidth="0" w:num="1">
            <w:col w:w="9640"/>
          </w:cols>
          <w:pgMar w:left="1300" w:top="1222" w:right="1300" w:bottom="0" w:gutter="0" w:footer="0" w:header="0"/>
          <w:type w:val="continuous"/>
        </w:sectPr>
      </w:pPr>
    </w:p>
    <w:bookmarkStart w:id="9" w:name="page10"/>
    <w:bookmarkEnd w:id="9"/>
    <w:p>
      <w:pPr>
        <w:ind w:left="1000" w:hanging="497"/>
        <w:spacing w:after="0"/>
        <w:tabs>
          <w:tab w:leader="none" w:pos="100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success of competing therapies that are or may become available;</w:t>
      </w:r>
    </w:p>
    <w:p>
      <w:pPr>
        <w:spacing w:after="0" w:line="132" w:lineRule="exact"/>
        <w:rPr>
          <w:rFonts w:ascii="Arial" w:cs="Arial" w:eastAsia="Arial" w:hAnsi="Arial"/>
          <w:sz w:val="21"/>
          <w:szCs w:val="21"/>
          <w:color w:val="auto"/>
        </w:rPr>
      </w:pPr>
    </w:p>
    <w:p>
      <w:pPr>
        <w:ind w:left="1000" w:hanging="497"/>
        <w:spacing w:after="0"/>
        <w:tabs>
          <w:tab w:leader="none" w:pos="100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beneficial characteristics, safety and efficacy of our product candidates;</w:t>
      </w:r>
    </w:p>
    <w:p>
      <w:pPr>
        <w:spacing w:after="0" w:line="132" w:lineRule="exact"/>
        <w:rPr>
          <w:rFonts w:ascii="Arial" w:cs="Arial" w:eastAsia="Arial" w:hAnsi="Arial"/>
          <w:sz w:val="21"/>
          <w:szCs w:val="21"/>
          <w:color w:val="auto"/>
        </w:rPr>
      </w:pPr>
    </w:p>
    <w:p>
      <w:pPr>
        <w:ind w:left="1000" w:hanging="497"/>
        <w:spacing w:after="0"/>
        <w:tabs>
          <w:tab w:leader="none" w:pos="1000" w:val="left"/>
        </w:tabs>
        <w:numPr>
          <w:ilvl w:val="0"/>
          <w:numId w:val="6"/>
        </w:numPr>
        <w:rPr>
          <w:rFonts w:ascii="Arial" w:cs="Arial" w:eastAsia="Arial" w:hAnsi="Arial"/>
          <w:sz w:val="21"/>
          <w:szCs w:val="21"/>
          <w:color w:val="auto"/>
        </w:rPr>
      </w:pPr>
      <w:r>
        <w:rPr>
          <w:rFonts w:ascii="Arial" w:cs="Arial" w:eastAsia="Arial" w:hAnsi="Arial"/>
          <w:sz w:val="21"/>
          <w:szCs w:val="21"/>
          <w:color w:val="auto"/>
        </w:rPr>
        <w:t>regulatory developments in the United States and other jurisdictions;</w:t>
      </w:r>
    </w:p>
    <w:p>
      <w:pPr>
        <w:spacing w:after="0" w:line="132" w:lineRule="exact"/>
        <w:rPr>
          <w:rFonts w:ascii="Arial" w:cs="Arial" w:eastAsia="Arial" w:hAnsi="Arial"/>
          <w:sz w:val="21"/>
          <w:szCs w:val="21"/>
          <w:color w:val="auto"/>
        </w:rPr>
      </w:pPr>
    </w:p>
    <w:p>
      <w:pPr>
        <w:jc w:val="both"/>
        <w:ind w:left="1000" w:hanging="497"/>
        <w:spacing w:after="0" w:line="253" w:lineRule="auto"/>
        <w:tabs>
          <w:tab w:leader="none" w:pos="1000" w:val="left"/>
        </w:tabs>
        <w:numPr>
          <w:ilvl w:val="0"/>
          <w:numId w:val="6"/>
        </w:numPr>
        <w:rPr>
          <w:rFonts w:ascii="Arial" w:cs="Arial" w:eastAsia="Arial" w:hAnsi="Arial"/>
          <w:sz w:val="21"/>
          <w:szCs w:val="21"/>
          <w:color w:val="auto"/>
        </w:rPr>
      </w:pPr>
      <w:r>
        <w:rPr>
          <w:rFonts w:ascii="Arial" w:cs="Arial" w:eastAsia="Arial" w:hAnsi="Arial"/>
          <w:sz w:val="21"/>
          <w:szCs w:val="21"/>
          <w:color w:val="auto"/>
        </w:rPr>
        <w:t>our ability to obtain and maintain regulatory approval of our product candidates in the United States and other jurisdictions, and any related restrictions, limitations or warnings in the label of any approved product candidate;</w:t>
      </w:r>
    </w:p>
    <w:p>
      <w:pPr>
        <w:spacing w:after="0" w:line="84" w:lineRule="exact"/>
        <w:rPr>
          <w:rFonts w:ascii="Arial" w:cs="Arial" w:eastAsia="Arial" w:hAnsi="Arial"/>
          <w:sz w:val="21"/>
          <w:szCs w:val="21"/>
          <w:color w:val="auto"/>
        </w:rPr>
      </w:pPr>
    </w:p>
    <w:p>
      <w:pPr>
        <w:ind w:left="1000" w:hanging="497"/>
        <w:spacing w:after="0" w:line="271" w:lineRule="auto"/>
        <w:tabs>
          <w:tab w:leader="none" w:pos="1000" w:val="left"/>
        </w:tabs>
        <w:numPr>
          <w:ilvl w:val="0"/>
          <w:numId w:val="6"/>
        </w:numPr>
        <w:rPr>
          <w:rFonts w:ascii="Arial" w:cs="Arial" w:eastAsia="Arial" w:hAnsi="Arial"/>
          <w:sz w:val="21"/>
          <w:szCs w:val="21"/>
          <w:color w:val="auto"/>
        </w:rPr>
      </w:pPr>
      <w:r>
        <w:rPr>
          <w:rFonts w:ascii="Arial" w:cs="Arial" w:eastAsia="Arial" w:hAnsi="Arial"/>
          <w:sz w:val="21"/>
          <w:szCs w:val="21"/>
          <w:color w:val="auto"/>
        </w:rPr>
        <w:t>future agreements with third parties in connection with the commercialization of our product candidates;</w:t>
      </w:r>
    </w:p>
    <w:p>
      <w:pPr>
        <w:spacing w:after="0" w:line="65" w:lineRule="exact"/>
        <w:rPr>
          <w:rFonts w:ascii="Arial" w:cs="Arial" w:eastAsia="Arial" w:hAnsi="Arial"/>
          <w:sz w:val="21"/>
          <w:szCs w:val="21"/>
          <w:color w:val="auto"/>
        </w:rPr>
      </w:pPr>
    </w:p>
    <w:p>
      <w:pPr>
        <w:jc w:val="both"/>
        <w:ind w:left="1000" w:hanging="497"/>
        <w:spacing w:after="0" w:line="254" w:lineRule="auto"/>
        <w:tabs>
          <w:tab w:leader="none" w:pos="1000" w:val="left"/>
        </w:tabs>
        <w:numPr>
          <w:ilvl w:val="0"/>
          <w:numId w:val="6"/>
        </w:numPr>
        <w:rPr>
          <w:rFonts w:ascii="Arial" w:cs="Arial" w:eastAsia="Arial" w:hAnsi="Arial"/>
          <w:sz w:val="21"/>
          <w:szCs w:val="21"/>
          <w:color w:val="auto"/>
        </w:rPr>
      </w:pPr>
      <w:r>
        <w:rPr>
          <w:rFonts w:ascii="Arial" w:cs="Arial" w:eastAsia="Arial" w:hAnsi="Arial"/>
          <w:sz w:val="21"/>
          <w:szCs w:val="21"/>
          <w:color w:val="auto"/>
        </w:rPr>
        <w:t>our plans, capacity and capability relating to the further development and manufacturing of our product candidates, including additional indications for which we may pursue regulatory approval;</w:t>
      </w:r>
    </w:p>
    <w:p>
      <w:pPr>
        <w:spacing w:after="0" w:line="81" w:lineRule="exact"/>
        <w:rPr>
          <w:rFonts w:ascii="Arial" w:cs="Arial" w:eastAsia="Arial" w:hAnsi="Arial"/>
          <w:sz w:val="21"/>
          <w:szCs w:val="21"/>
          <w:color w:val="auto"/>
        </w:rPr>
      </w:pPr>
    </w:p>
    <w:p>
      <w:pPr>
        <w:ind w:left="1000" w:hanging="497"/>
        <w:spacing w:after="0" w:line="273" w:lineRule="auto"/>
        <w:tabs>
          <w:tab w:leader="none" w:pos="1000" w:val="left"/>
        </w:tabs>
        <w:numPr>
          <w:ilvl w:val="0"/>
          <w:numId w:val="6"/>
        </w:numPr>
        <w:rPr>
          <w:rFonts w:ascii="Arial" w:cs="Arial" w:eastAsia="Arial" w:hAnsi="Arial"/>
          <w:sz w:val="21"/>
          <w:szCs w:val="21"/>
          <w:color w:val="auto"/>
        </w:rPr>
      </w:pPr>
      <w:r>
        <w:rPr>
          <w:rFonts w:ascii="Arial" w:cs="Arial" w:eastAsia="Arial" w:hAnsi="Arial"/>
          <w:sz w:val="21"/>
          <w:szCs w:val="21"/>
          <w:color w:val="auto"/>
        </w:rPr>
        <w:t>our plans and ability to obtain or protect intellectual property rights, including extensions of existing patent terms where available;</w:t>
      </w:r>
    </w:p>
    <w:p>
      <w:pPr>
        <w:spacing w:after="0" w:line="62" w:lineRule="exact"/>
        <w:rPr>
          <w:rFonts w:ascii="Arial" w:cs="Arial" w:eastAsia="Arial" w:hAnsi="Arial"/>
          <w:sz w:val="21"/>
          <w:szCs w:val="21"/>
          <w:color w:val="auto"/>
        </w:rPr>
      </w:pPr>
    </w:p>
    <w:p>
      <w:pPr>
        <w:ind w:left="1000" w:hanging="497"/>
        <w:spacing w:after="0" w:line="272" w:lineRule="auto"/>
        <w:tabs>
          <w:tab w:leader="none" w:pos="100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scope of protection we are able to establish and maintain for intellectual property rights covering our product candidates and technology;</w:t>
      </w:r>
    </w:p>
    <w:p>
      <w:pPr>
        <w:spacing w:after="0" w:line="63" w:lineRule="exact"/>
        <w:rPr>
          <w:rFonts w:ascii="Arial" w:cs="Arial" w:eastAsia="Arial" w:hAnsi="Arial"/>
          <w:sz w:val="21"/>
          <w:szCs w:val="21"/>
          <w:color w:val="auto"/>
        </w:rPr>
      </w:pPr>
    </w:p>
    <w:p>
      <w:pPr>
        <w:jc w:val="both"/>
        <w:ind w:left="1000" w:hanging="497"/>
        <w:spacing w:after="0" w:line="254" w:lineRule="auto"/>
        <w:tabs>
          <w:tab w:leader="none" w:pos="100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outcome of legal proceedings which have been or may in the future be instituted against us and certain of our directors and officers, including the legal proceedings discussed in Part I, Item 3 — "Legal Proceedings,” and elsewhere in this report;</w:t>
      </w:r>
    </w:p>
    <w:p>
      <w:pPr>
        <w:spacing w:after="0" w:line="82" w:lineRule="exact"/>
        <w:rPr>
          <w:rFonts w:ascii="Arial" w:cs="Arial" w:eastAsia="Arial" w:hAnsi="Arial"/>
          <w:sz w:val="21"/>
          <w:szCs w:val="21"/>
          <w:color w:val="auto"/>
        </w:rPr>
      </w:pPr>
    </w:p>
    <w:p>
      <w:pPr>
        <w:ind w:left="1000" w:hanging="497"/>
        <w:spacing w:after="0" w:line="271" w:lineRule="auto"/>
        <w:tabs>
          <w:tab w:leader="none" w:pos="100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actions by activist stockholders, which have in the past been, and may in the future be, disruptive and could cause uncertainty about the strategic direction of our business;</w:t>
      </w:r>
    </w:p>
    <w:p>
      <w:pPr>
        <w:spacing w:after="0" w:line="65" w:lineRule="exact"/>
        <w:rPr>
          <w:rFonts w:ascii="Arial" w:cs="Arial" w:eastAsia="Arial" w:hAnsi="Arial"/>
          <w:sz w:val="21"/>
          <w:szCs w:val="21"/>
          <w:color w:val="auto"/>
        </w:rPr>
      </w:pPr>
    </w:p>
    <w:p>
      <w:pPr>
        <w:ind w:left="1000" w:hanging="497"/>
        <w:spacing w:after="0" w:line="273" w:lineRule="auto"/>
        <w:tabs>
          <w:tab w:leader="none" w:pos="100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size and growth potential of the markets for our product candidates, if approved for commercial use, and our ability to serve those markets;</w:t>
      </w:r>
    </w:p>
    <w:p>
      <w:pPr>
        <w:spacing w:after="0" w:line="62" w:lineRule="exact"/>
        <w:rPr>
          <w:rFonts w:ascii="Arial" w:cs="Arial" w:eastAsia="Arial" w:hAnsi="Arial"/>
          <w:sz w:val="21"/>
          <w:szCs w:val="21"/>
          <w:color w:val="auto"/>
        </w:rPr>
      </w:pPr>
    </w:p>
    <w:p>
      <w:pPr>
        <w:ind w:left="1000" w:hanging="497"/>
        <w:spacing w:after="0"/>
        <w:tabs>
          <w:tab w:leader="none" w:pos="100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potential benefits of any strategic collaboration agreements we may enter into; and</w:t>
      </w:r>
    </w:p>
    <w:p>
      <w:pPr>
        <w:spacing w:after="0" w:line="132" w:lineRule="exact"/>
        <w:rPr>
          <w:rFonts w:ascii="Arial" w:cs="Arial" w:eastAsia="Arial" w:hAnsi="Arial"/>
          <w:sz w:val="21"/>
          <w:szCs w:val="21"/>
          <w:color w:val="auto"/>
        </w:rPr>
      </w:pPr>
    </w:p>
    <w:p>
      <w:pPr>
        <w:ind w:left="1000" w:hanging="497"/>
        <w:spacing w:after="0" w:line="271" w:lineRule="auto"/>
        <w:tabs>
          <w:tab w:leader="none" w:pos="1000" w:val="left"/>
        </w:tabs>
        <w:numPr>
          <w:ilvl w:val="0"/>
          <w:numId w:val="6"/>
        </w:numPr>
        <w:rPr>
          <w:rFonts w:ascii="Arial" w:cs="Arial" w:eastAsia="Arial" w:hAnsi="Arial"/>
          <w:sz w:val="21"/>
          <w:szCs w:val="21"/>
          <w:color w:val="auto"/>
        </w:rPr>
      </w:pPr>
      <w:r>
        <w:rPr>
          <w:rFonts w:ascii="Arial" w:cs="Arial" w:eastAsia="Arial" w:hAnsi="Arial"/>
          <w:sz w:val="21"/>
          <w:szCs w:val="21"/>
          <w:color w:val="auto"/>
        </w:rPr>
        <w:t>our expectations regarding the time during which we will be an emerging growth company under the JOBS Act.</w:t>
      </w:r>
    </w:p>
    <w:p>
      <w:pPr>
        <w:spacing w:after="0" w:line="176"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These forward- 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spacing w:after="0" w:line="210"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20"/>
          <w:szCs w:val="20"/>
          <w:color w:val="auto"/>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191"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This report includes our trademarks and registered trademarks, including Athira, Athira Pharma, the Athira logo, and other trademarks or service marks of Athira. Each other trademark, trade name or service mark appearing in this report belongs to its holder.</w:t>
      </w:r>
    </w:p>
    <w:p>
      <w:pPr>
        <w:spacing w:after="0" w:line="194"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color w:val="auto"/>
        </w:rPr>
        <w:t>In this report, “we,” “our,” “us,” “Athira,” and “the Company” refer to Athira Pharma, Inc and its wholly-owned subsidiary.</w:t>
      </w:r>
    </w:p>
    <w:p>
      <w:pPr>
        <w:sectPr>
          <w:pgSz w:w="12240" w:h="15840" w:orient="portrait"/>
          <w:cols w:equalWidth="0" w:num="1">
            <w:col w:w="9640"/>
          </w:cols>
          <w:pgMar w:left="130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2240" w:h="15840" w:orient="portrait"/>
          <w:cols w:equalWidth="0" w:num="1">
            <w:col w:w="9640"/>
          </w:cols>
          <w:pgMar w:left="1300" w:top="1240" w:right="1300" w:bottom="0" w:gutter="0" w:footer="0" w:header="0"/>
          <w:type w:val="continuous"/>
        </w:sectPr>
      </w:pPr>
    </w:p>
    <w:bookmarkStart w:id="10" w:name="page11"/>
    <w:bookmarkEnd w:id="10"/>
    <w:p>
      <w:pPr>
        <w:spacing w:after="0"/>
        <w:rPr>
          <w:sz w:val="20"/>
          <w:szCs w:val="20"/>
          <w:color w:val="auto"/>
        </w:rPr>
      </w:pPr>
      <w:r>
        <w:rPr>
          <w:rFonts w:ascii="Arial" w:cs="Arial" w:eastAsia="Arial" w:hAnsi="Arial"/>
          <w:sz w:val="21"/>
          <w:szCs w:val="21"/>
          <w:b w:val="1"/>
          <w:bCs w:val="1"/>
          <w:color w:val="auto"/>
        </w:rPr>
        <w:t>Item 1. Business.</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23"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At Athira, our scientific philosophy is rooted in the need for a healthy neuronal network to help build, restore, and maintain connections. Loss of neuronal network connections can be an underlying cause for numerous neurological diseases, which in turn may result in the loss of personal connections for people afflicted by these diseases. Our mission is to restore these neuronal networks and, in turn, personal connections by advancing bold therapies for neuronal health, thoughtfully and urgently.</w:t>
      </w:r>
    </w:p>
    <w:p>
      <w:pPr>
        <w:spacing w:after="0" w:line="204"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We are a late clinical-stage biopharmaceutical company focused on developing small molecules engineered to restore neuronal health and slow neurodegeneration. Our approach is designed to target the hepatocyte growth factor (HGF), and its receptor, MET neurotrophic system, or HGF/MET system, that is critical to normal brain function and may play a key role in maintaining the health and functioning of neuronal networks. We believe that by acting on the HGF/MET system and its multiple downstream signaling pathways, we may be able to enhance the body’s natural ability to protect and repair neuronal networks by reducing inflammation, promoting regeneration, and reducing disease- specific protein pathologies, thereby positively impacting the course of disease. We aim to achieve these goals by advancing our pipeline of novel small molecule compounds which are designed to and have exhibited properties in enhancing the HGF/MET system in either the central nervous system, or CNS, by crossing the blood brain barrier, or BBB, or the peripheral nervous system, or PNS.</w:t>
      </w:r>
    </w:p>
    <w:p>
      <w:pPr>
        <w:spacing w:after="0" w:line="208"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Over time, the body’s innate ability to heal itself deteriorates due to a variety of factors associated with the normal aging process and other internal and external factors leading to various injuries and insults at the cellular and molecular level. In the case of neurodegenerative diseases, where neuronal networks may be damaged due to inflammation, oxidative stress, protein pathologies, excitotoxicity, or synaptic dysfunction, HGF/MET is often reduced, thereby limiting the body’s ability to protect and repair neurodegeneration. Hallmarks of neurodegeneration include neuronal damage, loss of network connectivity, loss of function and, ultimately, disease progression.</w:t>
      </w:r>
    </w:p>
    <w:p>
      <w:pPr>
        <w:spacing w:after="0" w:line="209"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Scientific evidence supporting the HGF/MET system as a naturally occurring repair mechanism is backed by over 30 years of research, which includes establishing its multimodal mechanism of action and critical role to healthy nervous system functioning. As a notable example, MET is one of the most stably expressed genes in the adult human brain and is a signature of a healthy, viable nervous system. In Alzheimer’s disease, or AD, neuronal MET expression is reduced in the brains of patients by approximately 25% and 75% in the frontal cortex and hippocampus, respectively. And although evidence supports HGF/MET as an attractive target with its multimodal mechanism of action for combating neurodegenerative diseases, it has proven a difficult drug target. There are approved and in-development gene therapy approaches to increase HGF expression beyond normal physiological levels, but these are limited primarily due to challenges with delivery. Athira has chosen a different path. Athira’s novel approach is to enhance the innate levels of HGF/MET through our proprietary small molecules.</w:t>
      </w:r>
    </w:p>
    <w:p>
      <w:pPr>
        <w:spacing w:after="0" w:line="197"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We have developed and tested preclinically a series of potential novel small molecule drug candidates, of which two candidates are in clinical phase, that we believe show promising evidence in modulating or enhancing the HGF/MET system and its neuroprotective, neurotrophic, and anti-inflammatory effects. Our pipeline consists of both BBB permeable and peripherally restricted drug candidates for CNS, PNS and other indications. Today, our most advanced asset is fosgonimeton (formerly known as ATH-1017), which is currently being investigated in a Phase 2/3 clinical trial for mild-to-moderate AD, and a Phase 2 clinical trial for Parkinson’s disease dementia and dementia with Lewy bodies. We are also advancing potential drug candidates for neuropathic pain, amyotrophic lateral sclerosis, or ALS, and other neurodegenerative diseases. Our neuropathic pain drug candidate, ATH-1020, completed a Phase 1 single ascending dose evaluation in healthy volunteers. For ALS, we expect to complete our investigational new drug, or IND, enabling studies with ATH-1105 in 2023, and initiate a Phase 1 clinical trial in 2024.</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2240" w:h="15840" w:orient="portrait"/>
          <w:cols w:equalWidth="0" w:num="1">
            <w:col w:w="9640"/>
          </w:cols>
          <w:pgMar w:left="1300" w:top="1222" w:right="1300" w:bottom="0" w:gutter="0" w:footer="0" w:header="0"/>
          <w:type w:val="continuous"/>
        </w:sectPr>
      </w:pPr>
    </w:p>
    <w:bookmarkStart w:id="11" w:name="page12"/>
    <w:bookmarkEnd w:id="11"/>
    <w:p>
      <w:pPr>
        <w:ind w:left="500"/>
        <w:spacing w:after="0"/>
        <w:rPr>
          <w:sz w:val="20"/>
          <w:szCs w:val="20"/>
          <w:color w:val="auto"/>
        </w:rPr>
      </w:pPr>
      <w:r>
        <w:rPr>
          <w:rFonts w:ascii="Arial" w:cs="Arial" w:eastAsia="Arial" w:hAnsi="Arial"/>
          <w:sz w:val="21"/>
          <w:szCs w:val="21"/>
          <w:b w:val="1"/>
          <w:bCs w:val="1"/>
          <w:color w:val="auto"/>
        </w:rPr>
        <w:t>Our Pipeline</w:t>
      </w:r>
    </w:p>
    <w:p>
      <w:pPr>
        <w:spacing w:after="0" w:line="122" w:lineRule="exact"/>
        <w:rPr>
          <w:sz w:val="20"/>
          <w:szCs w:val="20"/>
          <w:color w:val="auto"/>
        </w:rPr>
      </w:pPr>
    </w:p>
    <w:p>
      <w:pPr>
        <w:jc w:val="both"/>
        <w:ind w:firstLine="504"/>
        <w:spacing w:after="0" w:line="243" w:lineRule="auto"/>
        <w:rPr>
          <w:sz w:val="20"/>
          <w:szCs w:val="20"/>
          <w:color w:val="auto"/>
        </w:rPr>
      </w:pPr>
      <w:r>
        <w:rPr>
          <w:rFonts w:ascii="Arial" w:cs="Arial" w:eastAsia="Arial" w:hAnsi="Arial"/>
          <w:sz w:val="21"/>
          <w:szCs w:val="21"/>
          <w:color w:val="auto"/>
        </w:rPr>
        <w:t>Figure 1 below illustrates the current development stage of our ATH compounds and early discovery and development programs. Our pipeline consists of both BBB permeable and peripherally restricted drug candidates for CNS, PNS and other indications. In addition, we are exploring the use of our ATH compounds in additional indications in the CNS and PNS as we aim to improve neuronal health in multiple neurodegenerative diseases. Our drug discovery efforts are focused on designing and testing new early compounds to enhance the HGF/MET system for a variety of clinical applications.</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21"/>
          <w:szCs w:val="21"/>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0</wp:posOffset>
            </wp:positionV>
            <wp:extent cx="6128385" cy="2618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extLst>
                    </a:blip>
                    <a:srcRect/>
                    <a:stretch>
                      <a:fillRect/>
                    </a:stretch>
                  </pic:blipFill>
                  <pic:spPr bwMode="auto">
                    <a:xfrm>
                      <a:off x="0" y="0"/>
                      <a:ext cx="6128385" cy="261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Fosgonimeton (ATH-1017)</w:t>
      </w:r>
    </w:p>
    <w:p>
      <w:pPr>
        <w:spacing w:after="0" w:line="115"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Our lead candidate, fosgonimeton, is a subcutaneously administered, small molecule positive modulator of the HGF/MET system for CNS disorders.</w:t>
      </w: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Alzheimer’s Disease</w:t>
      </w:r>
    </w:p>
    <w:p>
      <w:pPr>
        <w:spacing w:after="0" w:line="111"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The effects of fosgonimeton in its primary target indication AD are currently being evaluated in Phase 2/3 clinical trials:</w:t>
      </w:r>
    </w:p>
    <w:p>
      <w:pPr>
        <w:spacing w:after="0" w:line="189" w:lineRule="exact"/>
        <w:rPr>
          <w:sz w:val="20"/>
          <w:szCs w:val="20"/>
          <w:color w:val="auto"/>
        </w:rPr>
      </w:pPr>
    </w:p>
    <w:p>
      <w:pPr>
        <w:jc w:val="both"/>
        <w:ind w:left="740" w:hanging="370"/>
        <w:spacing w:after="0" w:line="239" w:lineRule="auto"/>
        <w:tabs>
          <w:tab w:leader="none" w:pos="740" w:val="left"/>
        </w:tabs>
        <w:numPr>
          <w:ilvl w:val="0"/>
          <w:numId w:val="7"/>
        </w:numPr>
        <w:rPr>
          <w:rFonts w:ascii="Arial" w:cs="Arial" w:eastAsia="Arial" w:hAnsi="Arial"/>
          <w:sz w:val="21"/>
          <w:szCs w:val="21"/>
          <w:color w:val="auto"/>
        </w:rPr>
      </w:pPr>
      <w:r>
        <w:rPr>
          <w:rFonts w:ascii="Arial" w:cs="Arial" w:eastAsia="Arial" w:hAnsi="Arial"/>
          <w:sz w:val="21"/>
          <w:szCs w:val="21"/>
          <w:color w:val="auto"/>
        </w:rPr>
        <w:t>In vitro studies in primary neuron cultures with fosgonimeton active metabolite, or fosgo-AM, showed enhanced synaptogenesis and neurite outgrowth, supporting the neurotrophic effects of positively modulating HGF/MET. Neurotoxic insults were applied to primary neuron cultures that typically result in neuron death. However, treatment with fosgo-AM offered neuroprotection from several different neurotoxic insults. In an animal model of cognitive deficit and dementia, treatment with fosgo-AM rescued this cognitive impairment. In a separate inflammation-induced animal model of cognitive impairment, fosgonimeton also reversed cognitive deficits. These study results were published in Neurotherapeutics in December 2022 and support the therapeutic potential of fosgonimeton to promote neuroprotective and anti-inflammatory effects and procognitive benefits in animal models of dementia.</w:t>
      </w:r>
    </w:p>
    <w:p>
      <w:pPr>
        <w:spacing w:after="0" w:line="225" w:lineRule="exact"/>
        <w:rPr>
          <w:rFonts w:ascii="Arial" w:cs="Arial" w:eastAsia="Arial" w:hAnsi="Arial"/>
          <w:sz w:val="21"/>
          <w:szCs w:val="21"/>
          <w:color w:val="auto"/>
        </w:rPr>
      </w:pPr>
    </w:p>
    <w:p>
      <w:pPr>
        <w:jc w:val="both"/>
        <w:ind w:left="740" w:hanging="370"/>
        <w:spacing w:after="0" w:line="257" w:lineRule="auto"/>
        <w:tabs>
          <w:tab w:leader="none" w:pos="740" w:val="left"/>
        </w:tabs>
        <w:numPr>
          <w:ilvl w:val="0"/>
          <w:numId w:val="7"/>
        </w:numPr>
        <w:rPr>
          <w:rFonts w:ascii="Arial" w:cs="Arial" w:eastAsia="Arial" w:hAnsi="Arial"/>
          <w:sz w:val="20"/>
          <w:szCs w:val="20"/>
          <w:color w:val="auto"/>
        </w:rPr>
      </w:pPr>
      <w:r>
        <w:rPr>
          <w:rFonts w:ascii="Arial" w:cs="Arial" w:eastAsia="Arial" w:hAnsi="Arial"/>
          <w:sz w:val="20"/>
          <w:szCs w:val="20"/>
          <w:color w:val="auto"/>
        </w:rPr>
        <w:t>Fosgonimeton was assessed in a Phase 1a/b clinical trial and was well tolerated in healthy young and elderly volunteers and AD subjects, without serious adverse events. This clinical trial recruited a total of 88 participants, including 11 with mild to moderate AD, who were randomly assigned to active and placebo groups. Findings from the Phase 1 trial provided safety data, as well as translational and supportive evidence of fosgonimeton crossing the BBB and improving brain network activity by significantly improved event-related potential, or ERP, P300 latency. P300</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2240" w:h="15840" w:orient="portrait"/>
          <w:cols w:equalWidth="0" w:num="1">
            <w:col w:w="9640"/>
          </w:cols>
          <w:pgMar w:left="1300" w:top="1222" w:right="1300" w:bottom="0" w:gutter="0" w:footer="0" w:header="0"/>
          <w:type w:val="continuous"/>
        </w:sectPr>
      </w:pPr>
    </w:p>
    <w:bookmarkStart w:id="12" w:name="page13"/>
    <w:bookmarkEnd w:id="12"/>
    <w:p>
      <w:pPr>
        <w:jc w:val="both"/>
        <w:ind w:left="740"/>
        <w:spacing w:after="0" w:line="247" w:lineRule="auto"/>
        <w:rPr>
          <w:sz w:val="20"/>
          <w:szCs w:val="20"/>
          <w:color w:val="auto"/>
        </w:rPr>
      </w:pPr>
      <w:r>
        <w:rPr>
          <w:rFonts w:ascii="Arial" w:cs="Arial" w:eastAsia="Arial" w:hAnsi="Arial"/>
          <w:sz w:val="21"/>
          <w:szCs w:val="21"/>
          <w:color w:val="auto"/>
        </w:rPr>
        <w:t>latency is a functional measure that is highly correlated with cognition; however, we have not yet established a connection between these ERP P300 latency results and improved cognition. Trial results were published in the Journal of Alzheimer’s Disease in April 2022, and helped inform the study design of our exploratory Phase 2 ACT-AD and Phase 2/3 LIFT-AD trials.</w:t>
      </w:r>
    </w:p>
    <w:p>
      <w:pPr>
        <w:spacing w:after="0" w:line="214" w:lineRule="exact"/>
        <w:rPr>
          <w:sz w:val="20"/>
          <w:szCs w:val="20"/>
          <w:color w:val="auto"/>
        </w:rPr>
      </w:pPr>
    </w:p>
    <w:p>
      <w:pPr>
        <w:jc w:val="both"/>
        <w:ind w:left="740" w:hanging="370"/>
        <w:spacing w:after="0" w:line="251" w:lineRule="auto"/>
        <w:tabs>
          <w:tab w:leader="none" w:pos="740" w:val="left"/>
        </w:tabs>
        <w:numPr>
          <w:ilvl w:val="0"/>
          <w:numId w:val="8"/>
        </w:numPr>
        <w:rPr>
          <w:rFonts w:ascii="Arial" w:cs="Arial" w:eastAsia="Arial" w:hAnsi="Arial"/>
          <w:sz w:val="20"/>
          <w:szCs w:val="20"/>
          <w:color w:val="auto"/>
        </w:rPr>
      </w:pPr>
      <w:r>
        <w:rPr>
          <w:rFonts w:ascii="Arial" w:cs="Arial" w:eastAsia="Arial" w:hAnsi="Arial"/>
          <w:sz w:val="20"/>
          <w:szCs w:val="20"/>
          <w:color w:val="auto"/>
        </w:rPr>
        <w:t>ACT-AD* was a randomized, double-blind, placebo-controlled, parallel-group 26-week exploratory Phase 2 clinical trial in mild-to-moderate AD, with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endpoint and all secondary endpoints were not met by protocoled analysis. However, a post hoc analysis of results from ACT-AD in a pre-specified subgroup suggested positive effects on measures of cognition, function and neurodegeneration in participants taking fosgonimeton alone without background acetylcholinesterase inhibitors (AChEIs). Additionally, data from post hoc analysis of plasma biomarkers from participants on fosgonimeton without background AChEIs showed descriptive improvements (non-statistically significant) in markers of neuroinflammation and AD-specific protein pathologies when compared to placebo. Fosgonimeton was generally well tolerated in the ACT-AD study, with a favorable safety profile, and there were no treatment-related serious adverse events or deaths observed.</w:t>
      </w:r>
    </w:p>
    <w:p>
      <w:pPr>
        <w:spacing w:after="0" w:line="211" w:lineRule="exact"/>
        <w:rPr>
          <w:rFonts w:ascii="Arial" w:cs="Arial" w:eastAsia="Arial" w:hAnsi="Arial"/>
          <w:sz w:val="20"/>
          <w:szCs w:val="20"/>
          <w:color w:val="auto"/>
        </w:rPr>
      </w:pPr>
    </w:p>
    <w:p>
      <w:pPr>
        <w:jc w:val="both"/>
        <w:ind w:left="740" w:hanging="369"/>
        <w:spacing w:after="0" w:line="238" w:lineRule="auto"/>
        <w:tabs>
          <w:tab w:leader="none" w:pos="740" w:val="left"/>
        </w:tabs>
        <w:numPr>
          <w:ilvl w:val="0"/>
          <w:numId w:val="8"/>
        </w:numPr>
        <w:rPr>
          <w:rFonts w:ascii="Arial" w:cs="Arial" w:eastAsia="Arial" w:hAnsi="Arial"/>
          <w:sz w:val="21"/>
          <w:szCs w:val="21"/>
          <w:color w:val="auto"/>
        </w:rPr>
      </w:pPr>
      <w:r>
        <w:rPr>
          <w:rFonts w:ascii="Arial" w:cs="Arial" w:eastAsia="Arial" w:hAnsi="Arial"/>
          <w:sz w:val="21"/>
          <w:szCs w:val="21"/>
          <w:color w:val="auto"/>
        </w:rPr>
        <w:t>LIFT-AD, randomized, double-blind, placebo-controlled, parallel-group 26-week Phase 2/3 clinical trial with fosgonimeton for the treatment of mild-to-moderate AD. In September 2020, we began site initiation and patient screening for LIFT-AD. The primary endpoint for the Phase 2/3 LIFT-AD trial will be measured by the Global Statistical Test, or GST, which is a composite score that combines the scores from cognition (Alzheimer's Disease Assessment Scale-Cognitive Subscale or ADAS-Cog11), and function (Alzheimer’s Disease Cooperative Study-Activities of Daily Living or ADCS-ADL23). Guided by the results from the completed exploratory ACT-AD Phase 2 trial, in September 2022, we proactively amended LIFT-AD to focus on participants not on background AChEIs. In October 2022, we announced that following an unblinded interim efficacy and futility analysis, an independent data monitoring committee recommended continuation of the LIFT-AD trial. The committee also determined that, with the additional enrollment of fewer than 150 participants for a total enrollment of less than 300 participants without background AChEIs, the amended trial will be well powered for the primary endpoint given the preliminary effect size observed. We are targeting to complete enrollment in mid-2023 and report topline data in early 2024.</w:t>
      </w:r>
    </w:p>
    <w:p>
      <w:pPr>
        <w:spacing w:after="0" w:line="223" w:lineRule="exact"/>
        <w:rPr>
          <w:rFonts w:ascii="Arial" w:cs="Arial" w:eastAsia="Arial" w:hAnsi="Arial"/>
          <w:sz w:val="21"/>
          <w:szCs w:val="21"/>
          <w:color w:val="auto"/>
        </w:rPr>
      </w:pPr>
    </w:p>
    <w:p>
      <w:pPr>
        <w:jc w:val="both"/>
        <w:ind w:left="740" w:hanging="369"/>
        <w:spacing w:after="0" w:line="257" w:lineRule="auto"/>
        <w:tabs>
          <w:tab w:leader="none" w:pos="74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 July 2021, we announced that we are enrolling participants into a 26-week open-label extension study* for our LIFT-AD and ACT-AD clinical trials, which will allow us to collect up to a total of one year of safety data with fosgonimeton. In May 2022, we announced that we extended the 26-week open-label extension study for our LIFT-AD and ACT-AD clinical trials for an additional 12 months, enabling eligible participants who have completed either trial, and elect to participate in the ongoing open label extension, to now receive up to 18 months of open-label treatment with fosgonimeton.</w:t>
      </w:r>
    </w:p>
    <w:p>
      <w:pPr>
        <w:spacing w:after="0" w:line="199" w:lineRule="exact"/>
        <w:rPr>
          <w:rFonts w:ascii="Arial" w:cs="Arial" w:eastAsia="Arial" w:hAnsi="Arial"/>
          <w:sz w:val="20"/>
          <w:szCs w:val="20"/>
          <w:color w:val="auto"/>
        </w:rPr>
      </w:pPr>
    </w:p>
    <w:p>
      <w:pPr>
        <w:jc w:val="both"/>
        <w:ind w:left="740"/>
        <w:spacing w:after="0" w:line="242" w:lineRule="auto"/>
        <w:rPr>
          <w:rFonts w:ascii="Arial" w:cs="Arial" w:eastAsia="Arial" w:hAnsi="Arial"/>
          <w:sz w:val="20"/>
          <w:szCs w:val="20"/>
          <w:color w:val="auto"/>
        </w:rPr>
      </w:pPr>
      <w:r>
        <w:rPr>
          <w:rFonts w:ascii="Arial" w:cs="Arial" w:eastAsia="Arial" w:hAnsi="Arial"/>
          <w:sz w:val="21"/>
          <w:szCs w:val="21"/>
          <w:i w:val="1"/>
          <w:iCs w:val="1"/>
          <w:color w:val="auto"/>
        </w:rPr>
        <w:t>*The ACT-AD trial and the related open-label extension for ACT-AD participants (described further below) was and are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Parkinson’s Disease</w:t>
      </w:r>
    </w:p>
    <w:p>
      <w:pPr>
        <w:spacing w:after="0" w:line="111" w:lineRule="exact"/>
        <w:rPr>
          <w:sz w:val="20"/>
          <w:szCs w:val="20"/>
          <w:color w:val="auto"/>
        </w:rPr>
      </w:pPr>
    </w:p>
    <w:p>
      <w:pPr>
        <w:jc w:val="both"/>
        <w:ind w:firstLine="504"/>
        <w:spacing w:after="0" w:line="264" w:lineRule="auto"/>
        <w:rPr>
          <w:sz w:val="20"/>
          <w:szCs w:val="20"/>
          <w:color w:val="auto"/>
        </w:rPr>
      </w:pPr>
      <w:r>
        <w:rPr>
          <w:rFonts w:ascii="Arial" w:cs="Arial" w:eastAsia="Arial" w:hAnsi="Arial"/>
          <w:sz w:val="20"/>
          <w:szCs w:val="20"/>
          <w:color w:val="auto"/>
        </w:rPr>
        <w:t>In Parkinson’s-relevant cell and animal models, treatment with fosgonimeton or fosgo-AM demonstrated significant neuroprotective, neurotrophic and motor function improvements. Fosgo-AM significantly protected against neurotoxic insults and minimized PD-specific toxic protein buildup in neuron models of disease. Neurotrophic effects, with or without neurotoxic insults, were significantly improved</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2240" w:h="15840" w:orient="portrait"/>
          <w:cols w:equalWidth="0" w:num="1">
            <w:col w:w="9640"/>
          </w:cols>
          <w:pgMar w:left="1300" w:top="1226" w:right="1300" w:bottom="0" w:gutter="0" w:footer="0" w:header="0"/>
          <w:type w:val="continuous"/>
        </w:sectPr>
      </w:pPr>
    </w:p>
    <w:bookmarkStart w:id="13" w:name="page14"/>
    <w:bookmarkEnd w:id="13"/>
    <w:p>
      <w:pPr>
        <w:jc w:val="both"/>
        <w:spacing w:after="0" w:line="253" w:lineRule="auto"/>
        <w:rPr>
          <w:sz w:val="20"/>
          <w:szCs w:val="20"/>
          <w:color w:val="auto"/>
        </w:rPr>
      </w:pPr>
      <w:r>
        <w:rPr>
          <w:rFonts w:ascii="Arial" w:cs="Arial" w:eastAsia="Arial" w:hAnsi="Arial"/>
          <w:sz w:val="21"/>
          <w:szCs w:val="21"/>
          <w:color w:val="auto"/>
        </w:rPr>
        <w:t>following fosgo-AM treatment. Cellular improvements translated to improvements in motor function in several animal models, including improved coordination and balance and strength. These data were presented at the Society for Neuroscience Annual Conference in November 2022.</w:t>
      </w:r>
    </w:p>
    <w:p>
      <w:pPr>
        <w:spacing w:after="0" w:line="71"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Fosgonimeton is also being assessed in an exploratory Phase 2 trial, SHAPE, for Parkinson’s disease dementia and dementia with Lewy bodies. Enrollment in the SHAPE trial was closed in October 2022 with 28 participants. Topline data from this exploratory trial are expected to be available in 2023 and will help to inform next steps in this or related disease indications.</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ATH-1020</w:t>
      </w:r>
    </w:p>
    <w:p>
      <w:pPr>
        <w:spacing w:after="0" w:line="115"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ATH-1020 is a novel small molecule compound designed to be an orally available once-daily treatment, to enhance the HGF/MET system. We filed an Investigational New Drug (IND) application with the FDA for ATH-1020 at the end of 2021, and received notice of acceptance in January 2022. This compound was originally assessed for neuropsychiatric indications in preclinical models as presented at the American Society for Experimental Therapeutics Annual Conference in February 2022. However, upon further characterization, properties of ATH-1020 were found to be more suited for PNS and other neurodegenerative diseases.</w:t>
      </w: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Neuropathic Pain</w:t>
      </w:r>
    </w:p>
    <w:p>
      <w:pPr>
        <w:spacing w:after="0" w:line="111"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In preclinical models of diabetic neuropathic pain, we demonstrated significant improvements in two separate nerve pain paradigms that are prominent symptoms in people suffering from neuropathic pain. The significant improvements in nerve pain were sustained after seven days of not receiving ATH-1020, suggesting persistent and potentially disease-modifying effects. Data from these studies were presented at the Society for Neuroscience Annual Conference in November 2022. We completed the single ascending dose escalation portion of our Phase 1 trial with ATH-1020 demonstrating a favorable safety profile and which was well-tolerated in healthy volunteers. We plan to evaluate options with this compound and will consider its advancement in relation to other opportunities and resources.</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ATH-1105</w:t>
      </w:r>
    </w:p>
    <w:p>
      <w:pPr>
        <w:spacing w:after="0" w:line="115"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color w:val="auto"/>
        </w:rPr>
        <w:t>ATH-1105 is a novel small molecule compound designed to be an orally available once-daily treatment, to enhance the HGF/MET system.</w:t>
      </w:r>
    </w:p>
    <w:p>
      <w:pPr>
        <w:spacing w:after="0" w:line="30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Amyotrophic Lateral Sclerosis (ALS)</w:t>
      </w:r>
    </w:p>
    <w:p>
      <w:pPr>
        <w:spacing w:after="0" w:line="111"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In a preclinical model of ALS, treatment with ATH-1105 significantly protected against weight loss, while improving balance, coordination and muscle strength. We additionally reported that treatment with ATH-1105 significantly improved electrophysiological measures of muscle integrity and protected against axon degeneration and demyelination. ATH-1105 treatment also significantly reduced biomarkers of inflammation and neurodegeneration. Study results were presented at the Motor Neurone Disease Association International Symposium in December 2022. Weight loss, motor deficits, inflammatory effects, loss of muscle integrity, nerve degeneration and demyelination are all classical hallmarks of ALS disease; treatment with ATH- 1105 significantly improved all of these deficits in the preclinical model tested. IND-enabling studies are ongoing with a target towards completing such studies in 2023 and initiating a Phase 1 clinical trial in 2024.</w:t>
      </w:r>
    </w:p>
    <w:p>
      <w:pPr>
        <w:spacing w:after="0" w:line="3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Early Compounds</w:t>
      </w:r>
    </w:p>
    <w:p>
      <w:pPr>
        <w:spacing w:after="0" w:line="238"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color w:val="auto"/>
        </w:rPr>
        <w:t>In addition to the compounds described above, we have several other compounds in preclinical discovery and development for neurodegenerative diseases, including ATH-1018 and ATH-1019.</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2240" w:h="15840" w:orient="portrait"/>
          <w:cols w:equalWidth="0" w:num="1">
            <w:col w:w="9640"/>
          </w:cols>
          <w:pgMar w:left="1300" w:top="1226" w:right="1300" w:bottom="0" w:gutter="0" w:footer="0" w:header="0"/>
          <w:type w:val="continuous"/>
        </w:sectPr>
      </w:pPr>
    </w:p>
    <w:bookmarkStart w:id="14" w:name="page15"/>
    <w:bookmarkEnd w:id="14"/>
    <w:p>
      <w:pPr>
        <w:spacing w:after="0"/>
        <w:rPr>
          <w:sz w:val="20"/>
          <w:szCs w:val="20"/>
          <w:color w:val="auto"/>
        </w:rPr>
      </w:pPr>
      <w:r>
        <w:rPr>
          <w:rFonts w:ascii="Arial" w:cs="Arial" w:eastAsia="Arial" w:hAnsi="Arial"/>
          <w:sz w:val="21"/>
          <w:szCs w:val="21"/>
          <w:b w:val="1"/>
          <w:bCs w:val="1"/>
          <w:i w:val="1"/>
          <w:iCs w:val="1"/>
          <w:color w:val="auto"/>
        </w:rPr>
        <w:t>Upcoming Pipeline Milestones</w:t>
      </w:r>
    </w:p>
    <w:p>
      <w:pPr>
        <w:spacing w:after="0" w:line="253" w:lineRule="exact"/>
        <w:rPr>
          <w:sz w:val="20"/>
          <w:szCs w:val="20"/>
          <w:color w:val="auto"/>
        </w:rPr>
      </w:pPr>
    </w:p>
    <w:p>
      <w:pPr>
        <w:jc w:val="both"/>
        <w:ind w:left="1000" w:hanging="497"/>
        <w:spacing w:after="0" w:line="259" w:lineRule="auto"/>
        <w:tabs>
          <w:tab w:leader="none" w:pos="1000" w:val="left"/>
        </w:tabs>
        <w:numPr>
          <w:ilvl w:val="0"/>
          <w:numId w:val="9"/>
        </w:numPr>
        <w:rPr>
          <w:rFonts w:ascii="Arial" w:cs="Arial" w:eastAsia="Arial" w:hAnsi="Arial"/>
          <w:sz w:val="20"/>
          <w:szCs w:val="20"/>
          <w:color w:val="auto"/>
        </w:rPr>
      </w:pPr>
      <w:r>
        <w:rPr>
          <w:rFonts w:ascii="Arial" w:cs="Arial" w:eastAsia="Arial" w:hAnsi="Arial"/>
          <w:sz w:val="20"/>
          <w:szCs w:val="20"/>
          <w:color w:val="auto"/>
        </w:rPr>
        <w:t>For AD, we anticipate completing enrollment of our Phase 2/3 LIFT-AD trial for mild-to-moderate AD by mid-2023 and reporting on topline data in early 2024. We also have an ongoing open label extension, or OLEX, trial for completers of ACT-AD and LIFT-AD. As of year-end 2022, greater than 85% of participants who had completed either trial have been enrolled in the OLEX trial. As with any voluntary clinical trial, participant dropout in the OLEX has also been observed.</w:t>
      </w:r>
    </w:p>
    <w:p>
      <w:pPr>
        <w:spacing w:after="0" w:line="204" w:lineRule="exact"/>
        <w:rPr>
          <w:rFonts w:ascii="Arial" w:cs="Arial" w:eastAsia="Arial" w:hAnsi="Arial"/>
          <w:sz w:val="20"/>
          <w:szCs w:val="20"/>
          <w:color w:val="auto"/>
        </w:rPr>
      </w:pPr>
    </w:p>
    <w:p>
      <w:pPr>
        <w:jc w:val="both"/>
        <w:ind w:left="1000" w:hanging="498"/>
        <w:spacing w:after="0" w:line="253" w:lineRule="auto"/>
        <w:tabs>
          <w:tab w:leader="none" w:pos="1000" w:val="left"/>
        </w:tabs>
        <w:numPr>
          <w:ilvl w:val="0"/>
          <w:numId w:val="9"/>
        </w:numPr>
        <w:rPr>
          <w:rFonts w:ascii="Arial" w:cs="Arial" w:eastAsia="Arial" w:hAnsi="Arial"/>
          <w:sz w:val="21"/>
          <w:szCs w:val="21"/>
          <w:color w:val="auto"/>
        </w:rPr>
      </w:pPr>
      <w:r>
        <w:rPr>
          <w:rFonts w:ascii="Arial" w:cs="Arial" w:eastAsia="Arial" w:hAnsi="Arial"/>
          <w:sz w:val="21"/>
          <w:szCs w:val="21"/>
          <w:color w:val="auto"/>
        </w:rPr>
        <w:t>For Parkinson’s disease dementia and dementia with Lewy bodies, topline data from the exploratory Phase 2 trial are expected to be available in 2023 and will help to inform next steps in this or related disease indications.</w:t>
      </w:r>
    </w:p>
    <w:p>
      <w:pPr>
        <w:spacing w:after="0" w:line="207" w:lineRule="exact"/>
        <w:rPr>
          <w:rFonts w:ascii="Arial" w:cs="Arial" w:eastAsia="Arial" w:hAnsi="Arial"/>
          <w:sz w:val="21"/>
          <w:szCs w:val="21"/>
          <w:color w:val="auto"/>
        </w:rPr>
      </w:pPr>
    </w:p>
    <w:p>
      <w:pPr>
        <w:jc w:val="both"/>
        <w:ind w:left="1000" w:hanging="498"/>
        <w:spacing w:after="0" w:line="272" w:lineRule="auto"/>
        <w:tabs>
          <w:tab w:leader="none" w:pos="1000" w:val="left"/>
        </w:tabs>
        <w:numPr>
          <w:ilvl w:val="0"/>
          <w:numId w:val="9"/>
        </w:numPr>
        <w:rPr>
          <w:rFonts w:ascii="Arial" w:cs="Arial" w:eastAsia="Arial" w:hAnsi="Arial"/>
          <w:sz w:val="20"/>
          <w:szCs w:val="20"/>
          <w:color w:val="auto"/>
        </w:rPr>
      </w:pPr>
      <w:r>
        <w:rPr>
          <w:rFonts w:ascii="Arial" w:cs="Arial" w:eastAsia="Arial" w:hAnsi="Arial"/>
          <w:sz w:val="20"/>
          <w:szCs w:val="20"/>
          <w:color w:val="auto"/>
        </w:rPr>
        <w:t>For ALS, treatment with ATH-1105 demonstrated consistent improvements across measures of motor function, nerve function, and neurodegeneration in a mouse model of ALS. We plan to initiate first-in-human studies of this promising product candidate as a treatment for ALS in 2024.</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Strategy</w:t>
      </w:r>
    </w:p>
    <w:p>
      <w:pPr>
        <w:spacing w:after="0" w:line="123"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Our strategic imperative and responsibility to people with neurological diseases is to advance our pipeline of small molecule drug candidates designed to target and enhance this naturally occurring repair mechanism to help build, restore, and maintain healthy neuronal connections. The multimodal mechanism of action of the HGF/MET system has the potential to address complex multifactorial neurological diseases. We are encouraged by the scientific evidence we have generated thus far and will continue adding to the scientific foundation behind this neuroprotective and reparative approach with the potential to transform the treatment paradigm and provide meaningful therapeutic options for AD, PD, ALS, neuropathic pain, and beyond, where limited effective options exist today. Key aspects of our business strategy to achieve these goals are to:</w:t>
      </w:r>
    </w:p>
    <w:p>
      <w:pPr>
        <w:spacing w:after="0" w:line="220" w:lineRule="exact"/>
        <w:rPr>
          <w:sz w:val="20"/>
          <w:szCs w:val="20"/>
          <w:color w:val="auto"/>
        </w:rPr>
      </w:pPr>
    </w:p>
    <w:p>
      <w:pPr>
        <w:jc w:val="both"/>
        <w:ind w:left="1000" w:hanging="498"/>
        <w:spacing w:after="0" w:line="251" w:lineRule="auto"/>
        <w:tabs>
          <w:tab w:leader="none" w:pos="1000" w:val="left"/>
        </w:tabs>
        <w:numPr>
          <w:ilvl w:val="0"/>
          <w:numId w:val="10"/>
        </w:numPr>
        <w:rPr>
          <w:rFonts w:ascii="Arial" w:cs="Arial" w:eastAsia="Arial" w:hAnsi="Arial"/>
          <w:sz w:val="20"/>
          <w:szCs w:val="20"/>
          <w:color w:val="auto"/>
        </w:rPr>
      </w:pPr>
      <w:r>
        <w:rPr>
          <w:rFonts w:ascii="Arial" w:cs="Arial" w:eastAsia="Arial" w:hAnsi="Arial"/>
          <w:sz w:val="20"/>
          <w:szCs w:val="20"/>
          <w:i w:val="1"/>
          <w:iCs w:val="1"/>
          <w:color w:val="auto"/>
        </w:rPr>
        <w:t xml:space="preserve">Advance fosgonimeton through clinical development for mild-to-moderate AD. </w:t>
      </w:r>
      <w:r>
        <w:rPr>
          <w:rFonts w:ascii="Arial" w:cs="Arial" w:eastAsia="Arial" w:hAnsi="Arial"/>
          <w:sz w:val="20"/>
          <w:szCs w:val="20"/>
          <w:color w:val="auto"/>
        </w:rPr>
        <w:t>We believe</w:t>
      </w:r>
      <w:r>
        <w:rPr>
          <w:rFonts w:ascii="Arial" w:cs="Arial" w:eastAsia="Arial" w:hAnsi="Arial"/>
          <w:sz w:val="20"/>
          <w:szCs w:val="20"/>
          <w:i w:val="1"/>
          <w:iCs w:val="1"/>
          <w:color w:val="auto"/>
        </w:rPr>
        <w:t xml:space="preserve"> </w:t>
      </w:r>
      <w:r>
        <w:rPr>
          <w:rFonts w:ascii="Arial" w:cs="Arial" w:eastAsia="Arial" w:hAnsi="Arial"/>
          <w:sz w:val="20"/>
          <w:szCs w:val="20"/>
          <w:color w:val="auto"/>
        </w:rPr>
        <w:t>fosgonimeton has the potential to rapidly improve cognition and function to help improve the lives of the millions of people suffering from AD who currently have limited therapeutic options. We initiated both the exploratory Phase 2 ACT-AD trial and the ongoing Phase 2/3 LIFT-AD trial in 2020 and have applied learnings from the completed ACT-AD trial to help inform our LIFT-AD trial design. The topline results for our ACT-AD trial were announced in June 2022 and are discussed in further detail in the section of this Annual Report on Form 10-K titled “Business— Our Pipeline.” While the primary and secondary endpoints were not achieved, encouraging results from our post hoc analyses of a subgroup in the ACT-AD trial informed our decision to proactively amend LIFT-AD to focus on participants not on background AChEIs and the independent unblinded interim analysis further supported our decision. We anticipate completing recruitment in LIFT-AD by mid-2023 and reporting topline data in early 2024.</w:t>
      </w:r>
    </w:p>
    <w:p>
      <w:pPr>
        <w:spacing w:after="0" w:line="225" w:lineRule="exact"/>
        <w:rPr>
          <w:rFonts w:ascii="Arial" w:cs="Arial" w:eastAsia="Arial" w:hAnsi="Arial"/>
          <w:sz w:val="20"/>
          <w:szCs w:val="20"/>
          <w:color w:val="auto"/>
        </w:rPr>
      </w:pPr>
    </w:p>
    <w:p>
      <w:pPr>
        <w:jc w:val="both"/>
        <w:ind w:left="1000" w:hanging="498"/>
        <w:spacing w:after="0" w:line="251" w:lineRule="auto"/>
        <w:tabs>
          <w:tab w:leader="none" w:pos="1000" w:val="left"/>
        </w:tabs>
        <w:numPr>
          <w:ilvl w:val="0"/>
          <w:numId w:val="10"/>
        </w:numPr>
        <w:rPr>
          <w:rFonts w:ascii="Arial" w:cs="Arial" w:eastAsia="Arial" w:hAnsi="Arial"/>
          <w:sz w:val="20"/>
          <w:szCs w:val="20"/>
          <w:color w:val="auto"/>
        </w:rPr>
      </w:pPr>
      <w:r>
        <w:rPr>
          <w:rFonts w:ascii="Arial" w:cs="Arial" w:eastAsia="Arial" w:hAnsi="Arial"/>
          <w:sz w:val="20"/>
          <w:szCs w:val="20"/>
          <w:i w:val="1"/>
          <w:iCs w:val="1"/>
          <w:color w:val="auto"/>
        </w:rPr>
        <w:t xml:space="preserve">Expand the development of fosgonimeton to maximize opportunities in other neurodegenerative diseases. </w:t>
      </w:r>
      <w:r>
        <w:rPr>
          <w:rFonts w:ascii="Arial" w:cs="Arial" w:eastAsia="Arial" w:hAnsi="Arial"/>
          <w:sz w:val="20"/>
          <w:szCs w:val="20"/>
          <w:color w:val="auto"/>
        </w:rPr>
        <w:t>We are developing fosgonimeton as a treatment for mild-to-moderate AD, but over</w:t>
      </w:r>
      <w:r>
        <w:rPr>
          <w:rFonts w:ascii="Arial" w:cs="Arial" w:eastAsia="Arial" w:hAnsi="Arial"/>
          <w:sz w:val="20"/>
          <w:szCs w:val="20"/>
          <w:i w:val="1"/>
          <w:iCs w:val="1"/>
          <w:color w:val="auto"/>
        </w:rPr>
        <w:t xml:space="preserve"> </w:t>
      </w:r>
      <w:r>
        <w:rPr>
          <w:rFonts w:ascii="Arial" w:cs="Arial" w:eastAsia="Arial" w:hAnsi="Arial"/>
          <w:sz w:val="20"/>
          <w:szCs w:val="20"/>
          <w:color w:val="auto"/>
        </w:rPr>
        <w:t>time we aim to expand development to cover more stages of AD. Beyond AD, we believe that fosgonimeton can ultimately address a broader neurodegenerative disease population. To begin this expansion, we initiated an exploratory Phase 2 clinical trial for PDD and DLB at the end of 2021, dosing the first participant in the first quarter of 2022 and completing enrollment with 28 participants in 2022. With the compelling preclinical data recently presented at Society for Neuroscience Annual Conference in November 2022 on the broader potential of fosgonimeton to improve motor function in Parkinson’s disease, we will seek to evaluate trial designs that will further explore fosgonimeton’s therapeutic potential in this complex disease. Topline data from this exploratory trial are expected to be available in 2023 and will help to inform next steps in this or related disease indications.</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2240" w:h="15840" w:orient="portrait"/>
          <w:cols w:equalWidth="0" w:num="1">
            <w:col w:w="9640"/>
          </w:cols>
          <w:pgMar w:left="1300" w:top="1230" w:right="1300" w:bottom="0" w:gutter="0" w:footer="0" w:header="0"/>
          <w:type w:val="continuous"/>
        </w:sectPr>
      </w:pPr>
    </w:p>
    <w:bookmarkStart w:id="15" w:name="page16"/>
    <w:bookmarkEnd w:id="15"/>
    <w:p>
      <w:pPr>
        <w:jc w:val="both"/>
        <w:ind w:left="1000" w:hanging="497"/>
        <w:spacing w:after="0" w:line="251" w:lineRule="auto"/>
        <w:tabs>
          <w:tab w:leader="none" w:pos="1000" w:val="left"/>
        </w:tabs>
        <w:numPr>
          <w:ilvl w:val="0"/>
          <w:numId w:val="11"/>
        </w:numPr>
        <w:rPr>
          <w:rFonts w:ascii="Arial" w:cs="Arial" w:eastAsia="Arial" w:hAnsi="Arial"/>
          <w:sz w:val="20"/>
          <w:szCs w:val="20"/>
          <w:color w:val="auto"/>
        </w:rPr>
      </w:pPr>
      <w:r>
        <w:rPr>
          <w:rFonts w:ascii="Arial" w:cs="Arial" w:eastAsia="Arial" w:hAnsi="Arial"/>
          <w:sz w:val="20"/>
          <w:szCs w:val="20"/>
          <w:i w:val="1"/>
          <w:iCs w:val="1"/>
          <w:color w:val="auto"/>
        </w:rPr>
        <w:t xml:space="preserve">Advance innovative research to expand and develop our ATH pipeline of small molecule drug candidates. </w:t>
      </w:r>
      <w:r>
        <w:rPr>
          <w:rFonts w:ascii="Arial" w:cs="Arial" w:eastAsia="Arial" w:hAnsi="Arial"/>
          <w:sz w:val="20"/>
          <w:szCs w:val="20"/>
          <w:color w:val="auto"/>
        </w:rPr>
        <w:t>Our strategy is to advance drug candidates that show both strong pharmacokinetics</w:t>
      </w:r>
      <w:r>
        <w:rPr>
          <w:rFonts w:ascii="Arial" w:cs="Arial" w:eastAsia="Arial" w:hAnsi="Arial"/>
          <w:sz w:val="20"/>
          <w:szCs w:val="20"/>
          <w:i w:val="1"/>
          <w:iCs w:val="1"/>
          <w:color w:val="auto"/>
        </w:rPr>
        <w:t xml:space="preserve"> </w:t>
      </w:r>
      <w:r>
        <w:rPr>
          <w:rFonts w:ascii="Arial" w:cs="Arial" w:eastAsia="Arial" w:hAnsi="Arial"/>
          <w:sz w:val="20"/>
          <w:szCs w:val="20"/>
          <w:color w:val="auto"/>
        </w:rPr>
        <w:t>and pharmacodynamics, or PK/PD, translation and early predictive clinical data. We plan to continue growing our discovery organization across neurological disorders in general, but with a near-term focus on neurodegenerative diseases, by building upon the strong foundational knowledge of our ATH positive modulators and enhancing the multimodal mechanism of action through the HGF/MET system. It is our goal to advance our pipeline of ATH positive modulators, designed to enhance the body’s naturally occurring repair mechanism, HGF/MET. With several drug candidates in development, we will prioritize development to potentially address a wide range of clinical applications ranging from CNS and PNS diseases to other indications. One such candidate is ATH-1105, currently in IND-enabling studies for ALS.</w:t>
      </w:r>
    </w:p>
    <w:p>
      <w:pPr>
        <w:spacing w:after="0" w:line="221" w:lineRule="exact"/>
        <w:rPr>
          <w:rFonts w:ascii="Arial" w:cs="Arial" w:eastAsia="Arial" w:hAnsi="Arial"/>
          <w:sz w:val="20"/>
          <w:szCs w:val="20"/>
          <w:color w:val="auto"/>
        </w:rPr>
      </w:pPr>
    </w:p>
    <w:p>
      <w:pPr>
        <w:jc w:val="both"/>
        <w:ind w:left="1000" w:hanging="497"/>
        <w:spacing w:after="0" w:line="241" w:lineRule="auto"/>
        <w:tabs>
          <w:tab w:leader="none" w:pos="1000" w:val="left"/>
        </w:tabs>
        <w:numPr>
          <w:ilvl w:val="0"/>
          <w:numId w:val="11"/>
        </w:numPr>
        <w:rPr>
          <w:rFonts w:ascii="Arial" w:cs="Arial" w:eastAsia="Arial" w:hAnsi="Arial"/>
          <w:sz w:val="21"/>
          <w:szCs w:val="21"/>
          <w:color w:val="auto"/>
        </w:rPr>
      </w:pPr>
      <w:r>
        <w:rPr>
          <w:rFonts w:ascii="Arial" w:cs="Arial" w:eastAsia="Arial" w:hAnsi="Arial"/>
          <w:sz w:val="21"/>
          <w:szCs w:val="21"/>
          <w:i w:val="1"/>
          <w:iCs w:val="1"/>
          <w:color w:val="auto"/>
        </w:rPr>
        <w:t xml:space="preserve">Optimize the value of fosgonimeton and other positive modulators of the HGF/MET system in major markets. </w:t>
      </w:r>
      <w:r>
        <w:rPr>
          <w:rFonts w:ascii="Arial" w:cs="Arial" w:eastAsia="Arial" w:hAnsi="Arial"/>
          <w:sz w:val="21"/>
          <w:szCs w:val="21"/>
          <w:color w:val="auto"/>
        </w:rPr>
        <w:t>We own worldwide rights to fosgonimeton as well as our pipeline of proprietary</w:t>
      </w:r>
      <w:r>
        <w:rPr>
          <w:rFonts w:ascii="Arial" w:cs="Arial" w:eastAsia="Arial" w:hAnsi="Arial"/>
          <w:sz w:val="21"/>
          <w:szCs w:val="21"/>
          <w:i w:val="1"/>
          <w:iCs w:val="1"/>
          <w:color w:val="auto"/>
        </w:rPr>
        <w:t xml:space="preserve"> </w:t>
      </w:r>
      <w:r>
        <w:rPr>
          <w:rFonts w:ascii="Arial" w:cs="Arial" w:eastAsia="Arial" w:hAnsi="Arial"/>
          <w:sz w:val="21"/>
          <w:szCs w:val="21"/>
          <w:color w:val="auto"/>
        </w:rPr>
        <w:t>small molecule candidates. We plan to develop and pursue approval of fosgonimeton and other future candidates across major markets. Where appropriate, we may use strategic collaborations or partnerships to accelerate development and maximize the commercial potential of our programs.</w:t>
      </w:r>
    </w:p>
    <w:p>
      <w:pPr>
        <w:spacing w:after="0" w:line="3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Mechanism of Disease</w:t>
      </w:r>
    </w:p>
    <w:p>
      <w:pPr>
        <w:spacing w:after="0" w:line="123"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Causes of neurodegenerative diseases are not fully understood as these diseases are complex with several contributing factors including inflammation, oxidative stress, neurotoxicity, excitotoxicity, synaptic dysfunction, and protein pathologies that ultimately lead to neuronal damage, neuronal network degeneration and a decline in function. Intrinsic to these diseases is the disruption of a healthy neuronal network that can be overcome and repaired or maintained when the body’s natural repair mechanisms are intact. However, a loss of or reduction in ability of the body to repair itself can lead to dysregulation that then manifests as symptoms and overall functional decline. One such naturally occurring repair mechanism is the HGF/MET system.</w:t>
      </w:r>
    </w:p>
    <w:p>
      <w:pPr>
        <w:spacing w:after="0" w:line="210"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Scientific evidence supporting the HGF/MET system as a naturally occurring repair mechanism is backed by over 30 years of research. As a notable example, MET is one of the most stably expressed genes in the adult human brain and is a signature of a healthy, viable nervous system, In AD, neuronal MET expression is reduced in the brains of participants by approximately 25% and 75% in the frontal cortex and hippocampus, respectively. And although evidence supporting HGF/MET as an attractive target with a multimodal mechanism of action for neurodegenerative diseases exists, it has not been an easily druggable target. There are approved and in-development gene therapy approaches to increase HGF expression beyond normal physiological levels, but these are limited as potentially viable treatment options for neurological disorders due to more invasive delivery requirements, such as intrathecal or intravenous, or locally restricted to the periphery, such as via intramuscular routes of administration.</w:t>
      </w:r>
    </w:p>
    <w:p>
      <w:pPr>
        <w:spacing w:after="0" w:line="202"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To date, drug developers have been deploying approaches that typically address only a single factor of the cascade of pathologies that lead to neurodegeneration, yet translating early successful results to meaningful clinical benefit has been mixed if not elusive. We believe that to address such complex and multifactorial diseases requires a novel multimodal approach, such as targeting the HGF/MET system through non-invasive or minimally invasive HGF-dependent small molecules that enhance innate levels of HGF/MET activation to protect and repair neuronal networks.</w:t>
      </w:r>
    </w:p>
    <w:p>
      <w:pPr>
        <w:sectPr>
          <w:pgSz w:w="12240" w:h="15840" w:orient="portrait"/>
          <w:cols w:equalWidth="0" w:num="1">
            <w:col w:w="9640"/>
          </w:cols>
          <w:pgMar w:left="1300" w:top="1248"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2240" w:h="15840" w:orient="portrait"/>
          <w:cols w:equalWidth="0" w:num="1">
            <w:col w:w="9640"/>
          </w:cols>
          <w:pgMar w:left="1300" w:top="1248" w:right="1300" w:bottom="0" w:gutter="0" w:footer="0" w:header="0"/>
          <w:type w:val="continuous"/>
        </w:sectPr>
      </w:pPr>
    </w:p>
    <w:bookmarkStart w:id="16" w:name="page17"/>
    <w:bookmarkEnd w:id="16"/>
    <w:p>
      <w:pPr>
        <w:spacing w:after="0"/>
        <w:rPr>
          <w:sz w:val="20"/>
          <w:szCs w:val="20"/>
          <w:color w:val="auto"/>
        </w:rPr>
      </w:pPr>
      <w:r>
        <w:rPr>
          <w:rFonts w:ascii="Arial" w:cs="Arial" w:eastAsia="Arial" w:hAnsi="Arial"/>
          <w:sz w:val="21"/>
          <w:szCs w:val="21"/>
          <w:b w:val="1"/>
          <w:bCs w:val="1"/>
          <w:color w:val="auto"/>
        </w:rPr>
        <w:t>Mechanism of Action</w:t>
      </w:r>
    </w:p>
    <w:p>
      <w:pPr>
        <w:spacing w:after="0" w:line="122"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20"/>
          <w:szCs w:val="20"/>
          <w:color w:val="auto"/>
        </w:rPr>
        <w:t>We have developed a pipeline of small molecule positive modulators designed to enhance the HGF/MET system and promote its neuroprotective, neurotrophic and anti-inflammatory effects, including protection of neurons from a variety of insults. Our potential novel small molecules are designed to cross the blood-brain barrier for CNS disorders or remain in the periphery for PNS and other indications, and mechanistically provide a series of multimodal effects that support its therapeutic promise to: reduce inflammation, promote regeneration, provide neuroprotection, and, ultimately, slow disease progression.</w:t>
      </w:r>
    </w:p>
    <w:p>
      <w:pPr>
        <w:spacing w:after="0" w:line="191"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0"/>
          <w:szCs w:val="20"/>
          <w:color w:val="auto"/>
        </w:rPr>
        <w:t>Figure 2 below shows the hypothesized mechanism of action of ATH positive modulators and the cellular disease state where diseased neurons produce a biomarker of neurodegeneration, neurofilament light chain, or NfL, as well as other signature markers of neuronal damage. Contributing to a diseased neuron are also proinflammatory cytokines produced by activated microglia. In the treated neuron state where ATH positive modulators are designed to enhance HGF/MET signaling to promote neuroprotective and neurotropic pathways, reduced neuron degeneration and NfL production occurs while the treated glia show reduced activation and production of proinflammatory cytokines, thereby ATH positive modulators are reducing neurodegeneration and inhibiting neuroinflammation through HGF/MET.</w:t>
      </w:r>
    </w:p>
    <w:p>
      <w:pPr>
        <w:spacing w:after="0" w:line="327" w:lineRule="exact"/>
        <w:rPr>
          <w:sz w:val="20"/>
          <w:szCs w:val="20"/>
          <w:color w:val="auto"/>
        </w:rPr>
      </w:pPr>
    </w:p>
    <w:p>
      <w:pPr>
        <w:ind w:left="500"/>
        <w:spacing w:after="0"/>
        <w:rPr>
          <w:sz w:val="20"/>
          <w:szCs w:val="20"/>
          <w:color w:val="auto"/>
        </w:rPr>
      </w:pPr>
      <w:r>
        <w:rPr>
          <w:rFonts w:ascii="Arial" w:cs="Arial" w:eastAsia="Arial" w:hAnsi="Arial"/>
          <w:sz w:val="21"/>
          <w:szCs w:val="21"/>
          <w:i w:val="1"/>
          <w:iCs w:val="1"/>
          <w:color w:val="auto"/>
        </w:rPr>
        <w:t>Figure 2. Hypothesized Mechanism of Action of ATH Positive 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2540</wp:posOffset>
            </wp:positionV>
            <wp:extent cx="6128385" cy="3560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extLst>
                    </a:blip>
                    <a:srcRect/>
                    <a:stretch>
                      <a:fillRect/>
                    </a:stretch>
                  </pic:blipFill>
                  <pic:spPr bwMode="auto">
                    <a:xfrm>
                      <a:off x="0" y="0"/>
                      <a:ext cx="6128385" cy="356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504"/>
        <w:spacing w:after="0" w:line="243" w:lineRule="auto"/>
        <w:rPr>
          <w:sz w:val="20"/>
          <w:szCs w:val="20"/>
          <w:color w:val="auto"/>
        </w:rPr>
      </w:pPr>
      <w:r>
        <w:rPr>
          <w:rFonts w:ascii="Arial" w:cs="Arial" w:eastAsia="Arial" w:hAnsi="Arial"/>
          <w:sz w:val="21"/>
          <w:szCs w:val="21"/>
          <w:color w:val="auto"/>
        </w:rPr>
        <w:t>As ATH positive modulators interact with HGF/MET, neurotrophic and neuroprotective pathways are activated downstream, including the activation of the extracellular-signal regulated kinase, or ERK and protein kinase B, or AKT pathways, which play critical roles in protecting neurons from damage and death, including from oxidative stress, excitotoxicity, and apoptosis. Figure 3 below shows cell culture data demonstrating one of the key mechanisms of action of ATH positive modulators is through activation of ERK and AKT via MET activation.</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2240" w:h="15840" w:orient="portrait"/>
          <w:cols w:equalWidth="0" w:num="1">
            <w:col w:w="9640"/>
          </w:cols>
          <w:pgMar w:left="1300" w:top="1222" w:right="1300" w:bottom="0" w:gutter="0" w:footer="0" w:header="0"/>
          <w:type w:val="continuous"/>
        </w:sectPr>
      </w:pPr>
    </w:p>
    <w:bookmarkStart w:id="17" w:name="page18"/>
    <w:bookmarkEnd w:id="17"/>
    <w:p>
      <w:pPr>
        <w:jc w:val="both"/>
        <w:ind w:firstLine="504"/>
        <w:spacing w:after="0" w:line="263" w:lineRule="auto"/>
        <w:rPr>
          <w:sz w:val="20"/>
          <w:szCs w:val="20"/>
          <w:color w:val="auto"/>
        </w:rPr>
      </w:pPr>
      <w:r>
        <w:rPr>
          <w:rFonts w:ascii="Arial" w:cs="Arial" w:eastAsia="Arial" w:hAnsi="Arial"/>
          <w:sz w:val="21"/>
          <w:szCs w:val="21"/>
          <w:i w:val="1"/>
          <w:iCs w:val="1"/>
          <w:color w:val="auto"/>
        </w:rPr>
        <w:t>Figure 3. Enhancement of HGF/MET by Fosgonimeton Active Metabolite Activates ERK and AKT Signaling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-30480</wp:posOffset>
            </wp:positionV>
            <wp:extent cx="6128385" cy="2040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6128385"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7A7A7"/>
        </w:rPr>
        <w:t>Data presented as mean + SEM. Statistics applied: One-way ANOVA with Tukey’s multiple comparisons.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7A7A7"/>
        </w:rPr>
        <w:t>** p&lt;0.01; *** p&lt;0.001 vs. HGF only.</w:t>
      </w:r>
    </w:p>
    <w:p>
      <w:pPr>
        <w:spacing w:after="0" w:line="5"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7A7A7"/>
        </w:rPr>
        <w:t>AKT, protein kinase B; ERK, extracellular- signal regulated kinase; Fosgo-AM, fosgonimeton active metabolite; GSK3b, glycogen synthase kinase-3 beta; HGF, hepatocyte growth factor.</w:t>
      </w:r>
    </w:p>
    <w:p>
      <w:pPr>
        <w:spacing w:after="0" w:line="314"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Positively modulating HGF/MET promotes its multimodal effects, which we believe can potentially address the complex pathology in neurodegenerative diseases. These positive multimodal effects taken together may lead to improvement in function. Figure 4 below illustrates the protect and repair therapeutic potential of enhancing the HGF/MET system.</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21"/>
          <w:szCs w:val="21"/>
          <w:i w:val="1"/>
          <w:iCs w:val="1"/>
          <w:color w:val="auto"/>
        </w:rPr>
        <w:t>Figure 4. ATH Compounds are Designed to Protect and Repair Neuronal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149860</wp:posOffset>
            </wp:positionV>
            <wp:extent cx="5644515" cy="3691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5644515" cy="3691890"/>
                    </a:xfrm>
                    <a:prstGeom prst="rect">
                      <a:avLst/>
                    </a:prstGeom>
                    <a:noFill/>
                  </pic:spPr>
                </pic:pic>
              </a:graphicData>
            </a:graphic>
          </wp:anchor>
        </w:drawing>
      </w:r>
    </w:p>
    <w:p>
      <w:pPr>
        <w:sectPr>
          <w:pgSz w:w="12240" w:h="15840" w:orient="portrait"/>
          <w:cols w:equalWidth="0" w:num="1">
            <w:col w:w="9640"/>
          </w:cols>
          <w:pgMar w:left="1300" w:top="12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2240" w:h="15840" w:orient="portrait"/>
          <w:cols w:equalWidth="0" w:num="1">
            <w:col w:w="9640"/>
          </w:cols>
          <w:pgMar w:left="1300" w:top="1234" w:right="1300" w:bottom="0" w:gutter="0" w:footer="0" w:header="0"/>
          <w:type w:val="continuous"/>
        </w:sectPr>
      </w:pPr>
    </w:p>
    <w:bookmarkStart w:id="18" w:name="page19"/>
    <w:bookmarkEnd w:id="18"/>
    <w:p>
      <w:pPr>
        <w:spacing w:after="0"/>
        <w:rPr>
          <w:sz w:val="20"/>
          <w:szCs w:val="20"/>
          <w:color w:val="auto"/>
        </w:rPr>
      </w:pPr>
      <w:r>
        <w:rPr>
          <w:rFonts w:ascii="Arial" w:cs="Arial" w:eastAsia="Arial" w:hAnsi="Arial"/>
          <w:sz w:val="21"/>
          <w:szCs w:val="21"/>
          <w:b w:val="1"/>
          <w:bCs w:val="1"/>
          <w:color w:val="auto"/>
        </w:rPr>
        <w:t>Preclinical Evidence</w:t>
      </w:r>
    </w:p>
    <w:p>
      <w:pPr>
        <w:spacing w:after="0" w:line="122"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Fosgonimeton is also being assessed in multiple preclinical studies, including in vitro assays and several animal models of neurodegenerative diseases, including AD and PD.</w:t>
      </w: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ATH Positive Modulator, Fosgonimeton, for AD and PD</w:t>
      </w:r>
    </w:p>
    <w:p>
      <w:pPr>
        <w:spacing w:after="0" w:line="114"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Several preclinical studies support the therapeutic potential of our drug candidates through positively modulating HGF/MET, which leads to significant enhancement of downstream pathways that promote its multimodal effects. Studies in cultured hippocampal primary neuron cultures with the active metabolite of fosgonimeton (fosgo-AM) showed enhanced synaptogenesis and neurite outgrowth, supporting the neurotrophic effects of fosgonimeton (Figure 5).</w:t>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1"/>
          <w:szCs w:val="21"/>
          <w:i w:val="1"/>
          <w:iCs w:val="1"/>
          <w:color w:val="auto"/>
        </w:rPr>
        <w:t>Figure 5. Neurotrophic Effects of ATH Positive Modulator, Fosgo-AM in Hippocampal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0</wp:posOffset>
            </wp:positionV>
            <wp:extent cx="6118860" cy="2335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extLst>
                    </a:blip>
                    <a:srcRect/>
                    <a:stretch>
                      <a:fillRect/>
                    </a:stretch>
                  </pic:blipFill>
                  <pic:spPr bwMode="auto">
                    <a:xfrm>
                      <a:off x="0" y="0"/>
                      <a:ext cx="6118860" cy="2335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7A7A7"/>
        </w:rPr>
        <w:t>Synaptogenesis assay immunostained with Synaptobrevin II; Neurite outgrowth cultures immunostained for ȕ-tubulin III.</w:t>
      </w:r>
    </w:p>
    <w:p>
      <w:pPr>
        <w:spacing w:after="0" w:line="27" w:lineRule="exact"/>
        <w:rPr>
          <w:sz w:val="20"/>
          <w:szCs w:val="20"/>
          <w:color w:val="auto"/>
        </w:rPr>
      </w:pPr>
    </w:p>
    <w:p>
      <w:pPr>
        <w:ind w:right="380"/>
        <w:spacing w:after="0" w:line="258" w:lineRule="auto"/>
        <w:rPr>
          <w:sz w:val="20"/>
          <w:szCs w:val="20"/>
          <w:color w:val="auto"/>
        </w:rPr>
      </w:pPr>
      <w:r>
        <w:rPr>
          <w:rFonts w:ascii="Arial" w:cs="Arial" w:eastAsia="Arial" w:hAnsi="Arial"/>
          <w:sz w:val="16"/>
          <w:szCs w:val="16"/>
          <w:color w:val="A7A7A7"/>
        </w:rPr>
        <w:t>Data presented as mean + SEM. Statistics applied – 1-way ANOVA with Dunnett posttest for synaptic count; Unpaired t-test for neurite outgrowth *p&lt;0.05; ****p&lt;0.0001 vs. Control. Scale bar = 20 μm. Fosgo-AM, fosgonimeton active metabolite; HGF, hepatocyte growth factor.</w:t>
      </w:r>
    </w:p>
    <w:p>
      <w:pPr>
        <w:spacing w:after="0" w:line="322"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To demonstrate potential for neuroprotection, neurotoxic insults were applied to primary neuron cultures that typically result in neuron death. However, treatment with fosgo- AM, across all concentrations tested, offered neuroprotection from several different insults including neurotoxicity, excitotoxicity, neuroinflammation and oxidative stress (Figure 6).</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2240" w:h="15840" w:orient="portrait"/>
          <w:cols w:equalWidth="0" w:num="1">
            <w:col w:w="9640"/>
          </w:cols>
          <w:pgMar w:left="1300" w:top="1222" w:right="1300" w:bottom="0" w:gutter="0" w:footer="0" w:header="0"/>
          <w:type w:val="continuous"/>
        </w:sectPr>
      </w:pPr>
    </w:p>
    <w:bookmarkStart w:id="19" w:name="page20"/>
    <w:bookmarkEnd w:id="19"/>
    <w:p>
      <w:pPr>
        <w:jc w:val="both"/>
        <w:ind w:firstLine="504"/>
        <w:spacing w:after="0" w:line="263" w:lineRule="auto"/>
        <w:rPr>
          <w:sz w:val="20"/>
          <w:szCs w:val="20"/>
          <w:color w:val="auto"/>
        </w:rPr>
      </w:pPr>
      <w:r>
        <w:rPr>
          <w:rFonts w:ascii="Arial" w:cs="Arial" w:eastAsia="Arial" w:hAnsi="Arial"/>
          <w:sz w:val="21"/>
          <w:szCs w:val="21"/>
          <w:i w:val="1"/>
          <w:iCs w:val="1"/>
          <w:color w:val="auto"/>
        </w:rPr>
        <w:t>Figure 6. Neuroprotection by Fosgo-AM across Several Neurotoxic Insults in Primary Cortical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120015</wp:posOffset>
            </wp:positionV>
            <wp:extent cx="5544185" cy="4056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extLst>
                    </a:blip>
                    <a:srcRect/>
                    <a:stretch>
                      <a:fillRect/>
                    </a:stretch>
                  </pic:blipFill>
                  <pic:spPr bwMode="auto">
                    <a:xfrm>
                      <a:off x="0" y="0"/>
                      <a:ext cx="5544185" cy="405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80"/>
        <w:spacing w:after="0" w:line="261" w:lineRule="auto"/>
        <w:rPr>
          <w:sz w:val="20"/>
          <w:szCs w:val="20"/>
          <w:color w:val="auto"/>
        </w:rPr>
      </w:pPr>
      <w:r>
        <w:rPr>
          <w:rFonts w:ascii="Arial" w:cs="Arial" w:eastAsia="Arial" w:hAnsi="Arial"/>
          <w:sz w:val="16"/>
          <w:szCs w:val="16"/>
          <w:color w:val="auto"/>
        </w:rPr>
        <w:t>Data are presented as mean + SEM. Statistical differences were determined by one-way ANOVA followed by Tukey's multiple comparison post-test. *p&lt;0.05; **p&lt;0.01; ***p&lt;0.001 compared with insult control.</w:t>
      </w:r>
    </w:p>
    <w:p>
      <w:pPr>
        <w:spacing w:after="0" w:line="211" w:lineRule="auto"/>
        <w:rPr>
          <w:sz w:val="20"/>
          <w:szCs w:val="20"/>
          <w:color w:val="auto"/>
        </w:rPr>
      </w:pPr>
      <w:r>
        <w:rPr>
          <w:rFonts w:ascii="Arial" w:cs="Arial" w:eastAsia="Arial" w:hAnsi="Arial"/>
          <w:sz w:val="16"/>
          <w:szCs w:val="16"/>
          <w:color w:val="auto"/>
        </w:rPr>
        <w:t>Fosgo-AM, fosgonimeton active metabolite; H</w:t>
      </w:r>
      <w:r>
        <w:rPr>
          <w:rFonts w:ascii="Arial" w:cs="Arial" w:eastAsia="Arial" w:hAnsi="Arial"/>
          <w:sz w:val="20"/>
          <w:szCs w:val="20"/>
          <w:color w:val="auto"/>
          <w:vertAlign w:val="subscript"/>
        </w:rPr>
        <w:t>2</w:t>
      </w:r>
      <w:r>
        <w:rPr>
          <w:rFonts w:ascii="Arial" w:cs="Arial" w:eastAsia="Arial" w:hAnsi="Arial"/>
          <w:sz w:val="16"/>
          <w:szCs w:val="16"/>
          <w:color w:val="auto"/>
        </w:rPr>
        <w:t>O</w:t>
      </w:r>
      <w:r>
        <w:rPr>
          <w:rFonts w:ascii="Arial" w:cs="Arial" w:eastAsia="Arial" w:hAnsi="Arial"/>
          <w:sz w:val="20"/>
          <w:szCs w:val="20"/>
          <w:color w:val="auto"/>
          <w:vertAlign w:val="subscript"/>
        </w:rPr>
        <w:t>2</w:t>
      </w:r>
      <w:r>
        <w:rPr>
          <w:rFonts w:ascii="Arial" w:cs="Arial" w:eastAsia="Arial" w:hAnsi="Arial"/>
          <w:sz w:val="16"/>
          <w:szCs w:val="16"/>
          <w:color w:val="auto"/>
        </w:rPr>
        <w:t>, hydrogen peroxide; LPS, lipopolysaccharide; MPP+, methyl-4-phenylpryidinium.</w:t>
      </w:r>
    </w:p>
    <w:p>
      <w:pPr>
        <w:spacing w:after="0" w:line="335"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Aggregated amyloid- ȕ or Aȕ, proteins are hallmarks of AD and are neurotoxic. In a neuronal cell model, applied Aȕ leads to neurotoxicity and activation of phosphorylated Tau, or pTau proteins. Treatment with fosgo- AM significantly reduced pTau protein pathology and protected neurons from degeneration induced by Aȕ (Figure 7) . In images below, green represents neuronal marker, microtubule-associated protein 2, or MAP-2, and red represents pTau staining. The left most image shows cortical neurons not exposed to Aȕ toxin where MAP-2 positive neurons are healthy and abundant. In Aȕ-toxic conditions, treatment with fosgo-AM significantly rescued the number of healthy cortical neurons and reduced pTau toxic protein pathologies, as shown in the right most image, compared to the middle image also under Aȕ-toxic conditions but treated with vehicle only. Quantified effects of reduced toxic Aȕ- induced neuron death and Tau phosphorylation are shown in the bar charts.</w:t>
      </w:r>
    </w:p>
    <w:p>
      <w:pPr>
        <w:sectPr>
          <w:pgSz w:w="12240" w:h="15840" w:orient="portrait"/>
          <w:cols w:equalWidth="0" w:num="1">
            <w:col w:w="9640"/>
          </w:cols>
          <w:pgMar w:left="1300" w:top="12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2240" w:h="15840" w:orient="portrait"/>
          <w:cols w:equalWidth="0" w:num="1">
            <w:col w:w="9640"/>
          </w:cols>
          <w:pgMar w:left="1300" w:top="1234" w:right="1300" w:bottom="0" w:gutter="0" w:footer="0" w:header="0"/>
          <w:type w:val="continuous"/>
        </w:sectPr>
      </w:pPr>
    </w:p>
    <w:bookmarkStart w:id="20" w:name="page21"/>
    <w:bookmarkEnd w:id="20"/>
    <w:p>
      <w:pPr>
        <w:jc w:val="both"/>
        <w:ind w:firstLine="504"/>
        <w:spacing w:after="0" w:line="263" w:lineRule="auto"/>
        <w:rPr>
          <w:sz w:val="20"/>
          <w:szCs w:val="20"/>
          <w:color w:val="auto"/>
        </w:rPr>
      </w:pPr>
      <w:r>
        <w:rPr>
          <w:rFonts w:ascii="Arial" w:cs="Arial" w:eastAsia="Arial" w:hAnsi="Arial"/>
          <w:sz w:val="21"/>
          <w:szCs w:val="21"/>
          <w:i w:val="1"/>
          <w:iCs w:val="1"/>
          <w:color w:val="auto"/>
        </w:rPr>
        <w:t>Figure 7. Fosgo-AM Reduces Protein Pathology Associated with AD and Protects against Amyloid-ȕ-induced Neurodegeneration in Primary Cortical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-33655</wp:posOffset>
            </wp:positionV>
            <wp:extent cx="6128385" cy="2473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extLst>
                    </a:blip>
                    <a:srcRect/>
                    <a:stretch>
                      <a:fillRect/>
                    </a:stretch>
                  </pic:blipFill>
                  <pic:spPr bwMode="auto">
                    <a:xfrm>
                      <a:off x="0" y="0"/>
                      <a:ext cx="6128385" cy="2473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7A7A7"/>
        </w:rPr>
        <w:t>Data presented as mean + SEM. Statistics applied: Aȕ assay: One-way ANOVA with Dunnett’s posttest. ***p&lt;0.001 versus Aȕ</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7A7A7"/>
        </w:rPr>
        <w:t>Control. Scale bar: 100 μm.</w:t>
      </w:r>
    </w:p>
    <w:p>
      <w:pPr>
        <w:spacing w:after="0" w:line="6"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7A7A7"/>
        </w:rPr>
        <w:t>Aȕ, amyloid beta; AT100, hyperphospho-tau antibody; fosgo-AM, fosgonimeton active metabolite; MAP-2, microtubule-associated protein-2.</w:t>
      </w:r>
    </w:p>
    <w:p>
      <w:pPr>
        <w:spacing w:after="0" w:line="314"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In an inflammation-induced animal model of cognitive impairment using lipopolysaccharide, or LPS, fosgonimeton significantly improved diverse biomarkers of inflammation: interleukin-1ȕ, or IL-1ȕ; interleukin-6, or IL-6; and tumor necrosis factor-Į, or TNF-Į (Figure 8).</w:t>
      </w:r>
    </w:p>
    <w:p>
      <w:pPr>
        <w:spacing w:after="0" w:line="326" w:lineRule="exact"/>
        <w:rPr>
          <w:sz w:val="20"/>
          <w:szCs w:val="20"/>
          <w:color w:val="auto"/>
        </w:rPr>
      </w:pPr>
    </w:p>
    <w:p>
      <w:pPr>
        <w:jc w:val="both"/>
        <w:ind w:firstLine="504"/>
        <w:spacing w:after="0" w:line="265" w:lineRule="auto"/>
        <w:rPr>
          <w:sz w:val="20"/>
          <w:szCs w:val="20"/>
          <w:color w:val="auto"/>
        </w:rPr>
      </w:pPr>
      <w:r>
        <w:rPr>
          <w:rFonts w:ascii="Arial" w:cs="Arial" w:eastAsia="Arial" w:hAnsi="Arial"/>
          <w:sz w:val="21"/>
          <w:szCs w:val="21"/>
          <w:i w:val="1"/>
          <w:iCs w:val="1"/>
          <w:color w:val="auto"/>
        </w:rPr>
        <w:t>Figure 8. Treatment with Fosgo-AM Improves Biomarkers of Inflammation in an LPS-animal Model of Cognitive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-33020</wp:posOffset>
            </wp:positionV>
            <wp:extent cx="6128385" cy="254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extLst>
                    </a:blip>
                    <a:srcRect/>
                    <a:stretch>
                      <a:fillRect/>
                    </a:stretch>
                  </pic:blipFill>
                  <pic:spPr bwMode="auto">
                    <a:xfrm>
                      <a:off x="0" y="0"/>
                      <a:ext cx="6128385" cy="254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71" w:lineRule="auto"/>
        <w:rPr>
          <w:sz w:val="20"/>
          <w:szCs w:val="20"/>
          <w:color w:val="auto"/>
        </w:rPr>
      </w:pPr>
      <w:r>
        <w:rPr>
          <w:rFonts w:ascii="Arial" w:cs="Arial" w:eastAsia="Arial" w:hAnsi="Arial"/>
          <w:sz w:val="16"/>
          <w:szCs w:val="16"/>
          <w:color w:val="A7A7A7"/>
        </w:rPr>
        <w:t>Data presented as mean + SEM. Statistics applied: 1-way ANOVA with Dunnett’s test. *p&lt;0.05; **p&lt;0.01; ***p&lt;0.001 vs. LPS Control. Fosgo-AM, fosgonimeton active metabolite; IL-1ȕ, interleukin 1 beta; IL-6, interleukin 6; LPS, lipopolysaccharide; TNF-Į, tumor necrosis factor alpha.</w:t>
      </w:r>
    </w:p>
    <w:p>
      <w:pPr>
        <w:spacing w:after="0" w:line="312"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In the LPS-induced animal model of cognitive impairment, fosgonimeton also significantly reversed cognitive deficits (Figure 9) . Treatment with fosgo-AM also rescued cognitive impairment in a second animal model of cognitive deficit and dementia. These study results were published in Neurotherapeutics in December 2022 and support the therapeutic potential of fosgonimeton promoting neuroprotective and anti-inflammatory effects and procognitive benefits in animal models of dementia.</w:t>
      </w:r>
    </w:p>
    <w:p>
      <w:pPr>
        <w:sectPr>
          <w:pgSz w:w="12240" w:h="15840" w:orient="portrait"/>
          <w:cols w:equalWidth="0" w:num="1">
            <w:col w:w="9640"/>
          </w:cols>
          <w:pgMar w:left="1300" w:top="12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2240" w:h="15840" w:orient="portrait"/>
          <w:cols w:equalWidth="0" w:num="1">
            <w:col w:w="9640"/>
          </w:cols>
          <w:pgMar w:left="1300" w:top="1234" w:right="1300" w:bottom="0" w:gutter="0" w:footer="0" w:header="0"/>
          <w:type w:val="continuous"/>
        </w:sectPr>
      </w:pPr>
    </w:p>
    <w:bookmarkStart w:id="21" w:name="page22"/>
    <w:bookmarkEnd w:id="21"/>
    <w:p>
      <w:pPr>
        <w:ind w:left="500"/>
        <w:spacing w:after="0"/>
        <w:rPr>
          <w:sz w:val="20"/>
          <w:szCs w:val="20"/>
          <w:color w:val="auto"/>
        </w:rPr>
      </w:pPr>
      <w:r>
        <w:rPr>
          <w:rFonts w:ascii="Arial" w:cs="Arial" w:eastAsia="Arial" w:hAnsi="Arial"/>
          <w:sz w:val="21"/>
          <w:szCs w:val="21"/>
          <w:i w:val="1"/>
          <w:iCs w:val="1"/>
          <w:color w:val="auto"/>
        </w:rPr>
        <w:t>Figure 9. Fosgonimeton Reverses Cognitive Deficits Caused by 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753745</wp:posOffset>
            </wp:positionH>
            <wp:positionV relativeFrom="paragraph">
              <wp:posOffset>151765</wp:posOffset>
            </wp:positionV>
            <wp:extent cx="4935220" cy="4492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extLst>
                    </a:blip>
                    <a:srcRect/>
                    <a:stretch>
                      <a:fillRect/>
                    </a:stretch>
                  </pic:blipFill>
                  <pic:spPr bwMode="auto">
                    <a:xfrm>
                      <a:off x="0" y="0"/>
                      <a:ext cx="4935220" cy="4492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7A7A7"/>
        </w:rPr>
        <w:t>Data presented as means + SEM. Statistics applied: One-way ANOVA with Dunnett’s multiple comparisons.</w:t>
      </w:r>
    </w:p>
    <w:p>
      <w:pPr>
        <w:spacing w:after="0" w:line="27" w:lineRule="exact"/>
        <w:rPr>
          <w:sz w:val="20"/>
          <w:szCs w:val="20"/>
          <w:color w:val="auto"/>
        </w:rPr>
      </w:pPr>
    </w:p>
    <w:p>
      <w:pPr>
        <w:ind w:right="6480"/>
        <w:spacing w:after="0" w:line="268" w:lineRule="auto"/>
        <w:tabs>
          <w:tab w:leader="none" w:pos="239" w:val="left"/>
        </w:tabs>
        <w:numPr>
          <w:ilvl w:val="0"/>
          <w:numId w:val="12"/>
        </w:numPr>
        <w:rPr>
          <w:rFonts w:ascii="Arial" w:cs="Arial" w:eastAsia="Arial" w:hAnsi="Arial"/>
          <w:sz w:val="16"/>
          <w:szCs w:val="16"/>
          <w:color w:val="A7A7A7"/>
        </w:rPr>
      </w:pPr>
      <w:r>
        <w:rPr>
          <w:rFonts w:ascii="Arial" w:cs="Arial" w:eastAsia="Arial" w:hAnsi="Arial"/>
          <w:sz w:val="16"/>
          <w:szCs w:val="16"/>
          <w:color w:val="A7A7A7"/>
        </w:rPr>
        <w:t>p&lt;0.001; **** p&lt;0.0001 vs. LPS Control. LPS, lipopolysaccharide.</w:t>
      </w:r>
    </w:p>
    <w:p>
      <w:pPr>
        <w:spacing w:after="0" w:line="314"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1"/>
          <w:szCs w:val="21"/>
          <w:color w:val="auto"/>
        </w:rPr>
        <w:t>In PD-relevant cell and animal models, treatment with fosgonimeton or fosgo-AM demonstrated significant neuroprotective, neurotrophic and motor function improvements. Data supporting these findings were presented at the Society for Neuroscience Annual Conference in November 2022.</w:t>
      </w:r>
    </w:p>
    <w:p>
      <w:pPr>
        <w:spacing w:after="0" w:line="191"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Fosgo-AM significantly protected against neurotoxic insults and minimized PD -specific toxic protein buildup in neuron models of disease. Figure 10 below shows results from cell models of PD exposed to the neurotoxin rotenone. TH+ staining in green identifies dopaminergic neurons, the affected neurons in PD, and Į-synuclein staining in red identifies toxic proteins of PD pathology. The left most image shows cultures not exposed to rotenone toxin where TH+ dopaminergic neurons are healthy and abundant with robust processes. In rotenone-toxic conditions, treatment with fosgo -AM significantly rescued the number of healthy dopaminergic neurons and reduced toxic Į-synuclein aggregation, as shown in the right most image, compared to the middle image showing cultures exposed to rotenone but treated with vehicle only. Quantified effects of reduced rotenone-induced dopaminergic neuron death and Į-synuclein aggregation are shown in the bar charts.</w:t>
      </w:r>
    </w:p>
    <w:p>
      <w:pPr>
        <w:sectPr>
          <w:pgSz w:w="12240" w:h="15840" w:orient="portrait"/>
          <w:cols w:equalWidth="0" w:num="1">
            <w:col w:w="9640"/>
          </w:cols>
          <w:pgMar w:left="1300" w:top="12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2240" w:h="15840" w:orient="portrait"/>
          <w:cols w:equalWidth="0" w:num="1">
            <w:col w:w="9640"/>
          </w:cols>
          <w:pgMar w:left="1300" w:top="1234" w:right="1300" w:bottom="0" w:gutter="0" w:footer="0" w:header="0"/>
          <w:type w:val="continuous"/>
        </w:sectPr>
      </w:pPr>
    </w:p>
    <w:bookmarkStart w:id="22" w:name="page23"/>
    <w:bookmarkEnd w:id="22"/>
    <w:p>
      <w:pPr>
        <w:jc w:val="both"/>
        <w:ind w:firstLine="504"/>
        <w:spacing w:after="0" w:line="263" w:lineRule="auto"/>
        <w:rPr>
          <w:sz w:val="20"/>
          <w:szCs w:val="20"/>
          <w:color w:val="auto"/>
        </w:rPr>
      </w:pPr>
      <w:r>
        <w:rPr>
          <w:rFonts w:ascii="Arial" w:cs="Arial" w:eastAsia="Arial" w:hAnsi="Arial"/>
          <w:sz w:val="21"/>
          <w:szCs w:val="21"/>
          <w:i w:val="1"/>
          <w:iCs w:val="1"/>
          <w:color w:val="auto"/>
        </w:rPr>
        <w:t>Figure 10. Fosgo-AM Reduces Į-synuclein Aggregation and Protects Neurons from Degeneration Induced by the Neurotoxin Rotenone in Primary Mesencephalic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-30480</wp:posOffset>
            </wp:positionV>
            <wp:extent cx="6128385" cy="2348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extLst>
                    </a:blip>
                    <a:srcRect/>
                    <a:stretch>
                      <a:fillRect/>
                    </a:stretch>
                  </pic:blipFill>
                  <pic:spPr bwMode="auto">
                    <a:xfrm>
                      <a:off x="0" y="0"/>
                      <a:ext cx="6128385" cy="234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7A7A7"/>
        </w:rPr>
        <w:t>Data presented as mean + SEM. Statistics applied: 1-way ANOVA with Fisher least significant difference test. ***p&lt;0.001 versus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7A7A7"/>
        </w:rPr>
        <w:t>Rotenone Control.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7A7A7"/>
        </w:rPr>
        <w:t>Į-syn; alpha synuclein; fosgo-AM, fosgonimeton active metabolite; TH, tyrosine hydroxylase.</w:t>
      </w:r>
    </w:p>
    <w:p>
      <w:pPr>
        <w:spacing w:after="0" w:line="351"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Cellular improvements translated to improvements in motor function in several experimental paradigms, including improved coordination and balance and strength. Figure 11 below are two examples of improved motor function in the grip strength and rotarod tests where treatment with fosgonimeton rescues grip strength and balance and coordination deficits in a 6-hydroxydopamine, or 6-OHDA, animal model of PD.</w:t>
      </w:r>
    </w:p>
    <w:p>
      <w:pPr>
        <w:spacing w:after="0" w:line="336" w:lineRule="exact"/>
        <w:rPr>
          <w:sz w:val="20"/>
          <w:szCs w:val="20"/>
          <w:color w:val="auto"/>
        </w:rPr>
      </w:pPr>
    </w:p>
    <w:p>
      <w:pPr>
        <w:jc w:val="both"/>
        <w:ind w:firstLine="504"/>
        <w:spacing w:after="0" w:line="265" w:lineRule="auto"/>
        <w:rPr>
          <w:sz w:val="20"/>
          <w:szCs w:val="20"/>
          <w:color w:val="auto"/>
        </w:rPr>
      </w:pPr>
      <w:r>
        <w:rPr>
          <w:rFonts w:ascii="Arial" w:cs="Arial" w:eastAsia="Arial" w:hAnsi="Arial"/>
          <w:sz w:val="21"/>
          <w:szCs w:val="21"/>
          <w:i w:val="1"/>
          <w:iCs w:val="1"/>
          <w:color w:val="auto"/>
        </w:rPr>
        <w:t>Figure 11. Fosgonimeton Rescues Grip Strength and Balance and Coordination Deficits in an Animal Model of 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-33655</wp:posOffset>
            </wp:positionV>
            <wp:extent cx="6128385"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extLst>
                    </a:blip>
                    <a:srcRect/>
                    <a:stretch>
                      <a:fillRect/>
                    </a:stretch>
                  </pic:blipFill>
                  <pic:spPr bwMode="auto">
                    <a:xfrm>
                      <a:off x="0" y="0"/>
                      <a:ext cx="612838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00"/>
        <w:spacing w:after="0" w:line="256" w:lineRule="auto"/>
        <w:rPr>
          <w:sz w:val="20"/>
          <w:szCs w:val="20"/>
          <w:color w:val="auto"/>
        </w:rPr>
      </w:pPr>
      <w:r>
        <w:rPr>
          <w:rFonts w:ascii="Arial" w:cs="Arial" w:eastAsia="Arial" w:hAnsi="Arial"/>
          <w:sz w:val="16"/>
          <w:szCs w:val="16"/>
          <w:color w:val="A7A7A7"/>
        </w:rPr>
        <w:t>Data presented as means ± SEM. Statistics applied: 2-way ANOVA with Dunnett test. Statistical significance indicated with * represent sham control versus disease control; # represent fosgonimeton versus disease control. For all symbols: *p&lt;0.05; **p&lt;0.01; ***p&lt;0.001; ****p&lt;0.0001 versus disease control.</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7A7A7"/>
        </w:rPr>
        <w:t>6-OHDA, 6-hydroxydopamine.</w:t>
      </w: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ATH Positive Modulator, ATH-1020, for Neuropathic Pain</w:t>
      </w:r>
    </w:p>
    <w:p>
      <w:pPr>
        <w:sectPr>
          <w:pgSz w:w="12240" w:h="15840" w:orient="portrait"/>
          <w:cols w:equalWidth="0" w:num="1">
            <w:col w:w="9640"/>
          </w:cols>
          <w:pgMar w:left="1300" w:top="12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2240" w:h="15840" w:orient="portrait"/>
          <w:cols w:equalWidth="0" w:num="1">
            <w:col w:w="9640"/>
          </w:cols>
          <w:pgMar w:left="1300" w:top="1234" w:right="1300" w:bottom="0" w:gutter="0" w:footer="0" w:header="0"/>
          <w:type w:val="continuous"/>
        </w:sectPr>
      </w:pPr>
    </w:p>
    <w:bookmarkStart w:id="23" w:name="page24"/>
    <w:bookmarkEnd w:id="23"/>
    <w:p>
      <w:pPr>
        <w:jc w:val="both"/>
        <w:ind w:firstLine="504"/>
        <w:spacing w:after="0" w:line="242" w:lineRule="auto"/>
        <w:rPr>
          <w:sz w:val="20"/>
          <w:szCs w:val="20"/>
          <w:color w:val="auto"/>
        </w:rPr>
      </w:pPr>
      <w:r>
        <w:rPr>
          <w:rFonts w:ascii="Arial" w:cs="Arial" w:eastAsia="Arial" w:hAnsi="Arial"/>
          <w:sz w:val="21"/>
          <w:szCs w:val="21"/>
          <w:color w:val="auto"/>
        </w:rPr>
        <w:t>ATH-1020 is an oral small molecule drug candidate being assessed as a potential treatment for neuropathic pain. Enhancing HGF/MET signaling promotes neuroprotective, neurotrophic, and anti-inflammatory effects, and as neuropathic pain disorders, including diabetic neuropathy, have components of oxidative stress, nerve damage, and inflammation, positive modulation of the HGF/MET pathway may provide therapeutic benefit in these disease areas. Data below were presented at the Society for Neuroscience Annual Conference in November 2022.</w:t>
      </w:r>
    </w:p>
    <w:p>
      <w:pPr>
        <w:spacing w:after="0" w:line="208"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In animal models of diabetic neuropathy, or DNP, hypersensitivity to mechanical and thermal pain are commonly experienced, which are also representative of symptoms in people with neuropathic pain. Shown in Figure 12 below, treatment with ATH-1020 significantly reduced pain behaviors over the testing period compared to DNP controls alone, shown in the red bars. Normal controls shown in grey; pregabalin, a positive control as an approved therapy for neuropathic pain, shown in green, and treatment with ATH-1020 shown in blue.</w:t>
      </w:r>
    </w:p>
    <w:p>
      <w:pPr>
        <w:spacing w:after="0" w:line="338" w:lineRule="exact"/>
        <w:rPr>
          <w:sz w:val="20"/>
          <w:szCs w:val="20"/>
          <w:color w:val="auto"/>
        </w:rPr>
      </w:pPr>
    </w:p>
    <w:p>
      <w:pPr>
        <w:ind w:left="500"/>
        <w:spacing w:after="0"/>
        <w:rPr>
          <w:sz w:val="20"/>
          <w:szCs w:val="20"/>
          <w:color w:val="auto"/>
        </w:rPr>
      </w:pPr>
      <w:r>
        <w:rPr>
          <w:rFonts w:ascii="Arial" w:cs="Arial" w:eastAsia="Arial" w:hAnsi="Arial"/>
          <w:sz w:val="21"/>
          <w:szCs w:val="21"/>
          <w:i w:val="1"/>
          <w:iCs w:val="1"/>
          <w:color w:val="auto"/>
        </w:rPr>
        <w:t>Figure 12. Reduced Mechanical and Thermal Pain Behaviors Following ATH-1020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1270</wp:posOffset>
            </wp:positionV>
            <wp:extent cx="5883275" cy="2009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5883275" cy="200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7A7A7"/>
        </w:rPr>
        <w:t>Data presented as means + SEM. ****p&lt;0.0001 using one-way ANOVA with Dunnett test vs DNP control.</w:t>
      </w:r>
    </w:p>
    <w:p>
      <w:pPr>
        <w:spacing w:after="0" w:line="2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7A7A7"/>
        </w:rPr>
        <w:t>ANOVA, analysis of variance; AUC, area under the curve; DNP, diabetic neuropathic pain; PWL, paw withdrawal latency; PWT, paw withdrawal threshold.</w:t>
      </w:r>
    </w:p>
    <w:p>
      <w:pPr>
        <w:spacing w:after="0" w:line="312"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Persistence of reduced pain behaviors following ATH-1020 treatment were assessed after a short-term (23-hour) or a long-term (7- day) washout period. Study results demonstrated that even after short-and long- term washout periods, where no drug is present, the effects of ATH-1020 reduction of pain behaviors remained persistent, suggesting a potential disease modifying effect (Figure 13).</w:t>
      </w:r>
    </w:p>
    <w:p>
      <w:pPr>
        <w:spacing w:after="0" w:line="332" w:lineRule="exact"/>
        <w:rPr>
          <w:sz w:val="20"/>
          <w:szCs w:val="20"/>
          <w:color w:val="auto"/>
        </w:rPr>
      </w:pPr>
    </w:p>
    <w:p>
      <w:pPr>
        <w:ind w:left="500"/>
        <w:spacing w:after="0"/>
        <w:rPr>
          <w:sz w:val="20"/>
          <w:szCs w:val="20"/>
          <w:color w:val="auto"/>
        </w:rPr>
      </w:pPr>
      <w:r>
        <w:rPr>
          <w:rFonts w:ascii="Arial" w:cs="Arial" w:eastAsia="Arial" w:hAnsi="Arial"/>
          <w:sz w:val="21"/>
          <w:szCs w:val="21"/>
          <w:i w:val="1"/>
          <w:iCs w:val="1"/>
          <w:color w:val="auto"/>
        </w:rPr>
        <w:t>Figure 13. Persistent Pain Reduction after 7-day Washout Following ATH-1020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0</wp:posOffset>
            </wp:positionV>
            <wp:extent cx="5858510" cy="1921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5858510" cy="192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7A7A7"/>
        </w:rPr>
        <w:t>Data presented as means + SEM. *p&lt;0.05; **p&lt;0.01; ****p&lt;0.0001 using one-way ANOVA with Dunnett test vs DNP control. ANOVA, analysis of variance; AUC, area under the curve; DNP, diabetic neuropathic pain; PWL, paw withdrawal latency; PWT, paw withdrawal threshold.</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2240" w:h="15840" w:orient="portrait"/>
          <w:cols w:equalWidth="0" w:num="1">
            <w:col w:w="9640"/>
          </w:cols>
          <w:pgMar w:left="1300" w:top="1226" w:right="1300" w:bottom="0" w:gutter="0" w:footer="0" w:header="0"/>
          <w:type w:val="continuous"/>
        </w:sectPr>
      </w:pPr>
    </w:p>
    <w:bookmarkStart w:id="24" w:name="page25"/>
    <w:bookmarkEnd w:id="24"/>
    <w:p>
      <w:pPr>
        <w:spacing w:after="0"/>
        <w:rPr>
          <w:sz w:val="20"/>
          <w:szCs w:val="20"/>
          <w:color w:val="auto"/>
        </w:rPr>
      </w:pPr>
      <w:r>
        <w:rPr>
          <w:rFonts w:ascii="Arial" w:cs="Arial" w:eastAsia="Arial" w:hAnsi="Arial"/>
          <w:sz w:val="21"/>
          <w:szCs w:val="21"/>
          <w:b w:val="1"/>
          <w:bCs w:val="1"/>
          <w:i w:val="1"/>
          <w:iCs w:val="1"/>
          <w:color w:val="auto"/>
        </w:rPr>
        <w:t>ATH Positive Modulator, ATH-1105, for ALS</w:t>
      </w:r>
    </w:p>
    <w:p>
      <w:pPr>
        <w:spacing w:after="0" w:line="114"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ATH- 1105 is an oral small molecule drug candidate being assessed as a potential treatment for ALS. In a spinal motor neuron model, ATH-1105 significantly protected against neuron death by excitotoxicity with glutamate, while reducing proteotoxic TAR DNA-binding protein 43, or TDP-43, protein aggregates. Figure 14 summarizes the data with images of spinal motor neurons in green, MAP-2, and cytoplasmic TDP-43 protein in red. In the control image on the left with no excitotoxic insult (glutamate), there’s little overlap of healthy MAP-2 neurons with TDP- 43. When glutamate is applied to the motor neuron cultures, there’s an overall reduction in the number of neurons and increased TDP-43 in the nucleus as shown by overlapping red-green staining in the middle image. When cell cultures were treated with ATH -1105, the effect of toxic impact on overall number of motor neurons and overlapping red-green staining with toxic TDP-43 proteins in the nucleus was significantly reduced, as seen in the right most image and as quantified in the bar charts.</w:t>
      </w:r>
    </w:p>
    <w:p>
      <w:pPr>
        <w:spacing w:after="0" w:line="92" w:lineRule="exact"/>
        <w:rPr>
          <w:sz w:val="20"/>
          <w:szCs w:val="20"/>
          <w:color w:val="auto"/>
        </w:rPr>
      </w:pPr>
    </w:p>
    <w:p>
      <w:pPr>
        <w:jc w:val="both"/>
        <w:ind w:firstLine="504"/>
        <w:spacing w:after="0" w:line="265" w:lineRule="auto"/>
        <w:rPr>
          <w:sz w:val="20"/>
          <w:szCs w:val="20"/>
          <w:color w:val="auto"/>
        </w:rPr>
      </w:pPr>
      <w:r>
        <w:rPr>
          <w:rFonts w:ascii="Arial" w:cs="Arial" w:eastAsia="Arial" w:hAnsi="Arial"/>
          <w:sz w:val="21"/>
          <w:szCs w:val="21"/>
          <w:i w:val="1"/>
          <w:iCs w:val="1"/>
          <w:color w:val="auto"/>
        </w:rPr>
        <w:t>Figure 14. ATH-1105 is Neuroprotective Against Excitotoxic Insult and Reduces Toxic TDP-43 Proteinopathy in Spinal Motor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-32385</wp:posOffset>
            </wp:positionV>
            <wp:extent cx="6128385" cy="2467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6128385" cy="246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7A7A7"/>
        </w:rPr>
        <w:t>Data presented as mean + SEM. Statistics applied: 1-way ANOVA with Fisher least significant difference test. *p&lt;0.05; **p&lt;0.01;</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7A7A7"/>
        </w:rPr>
        <w:t>***p&lt;0.001 versus Glutamate Control. Scale bar: 100 μm.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7A7A7"/>
        </w:rPr>
        <w:t>MAP-2, microtubule-associated protein-2; TDP-43, TAR DNA-binding protein 43.</w:t>
      </w:r>
    </w:p>
    <w:p>
      <w:pPr>
        <w:spacing w:after="0" w:line="351"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Using an ALS animal model, treatment with ATH-1105 significantly preserved body weight compared to ALS disease control animals treated with vehicle only. Data from wild-type, or WT, healthy control animals are shown in gray and ALS disease control animals in red. Animals treated with ATH-1105, shown in blue, are indistinguishable from the healthy controls. These animals continue to gain body weight, which may suggest overall improved health (Figure 15).</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2240" w:h="15840" w:orient="portrait"/>
          <w:cols w:equalWidth="0" w:num="1">
            <w:col w:w="9640"/>
          </w:cols>
          <w:pgMar w:left="1300" w:top="1230" w:right="1300" w:bottom="0" w:gutter="0" w:footer="0" w:header="0"/>
          <w:type w:val="continuous"/>
        </w:sectPr>
      </w:pPr>
    </w:p>
    <w:bookmarkStart w:id="25" w:name="page26"/>
    <w:bookmarkEnd w:id="25"/>
    <w:p>
      <w:pPr>
        <w:jc w:val="both"/>
        <w:ind w:firstLine="504"/>
        <w:spacing w:after="0" w:line="263" w:lineRule="auto"/>
        <w:rPr>
          <w:sz w:val="20"/>
          <w:szCs w:val="20"/>
          <w:color w:val="auto"/>
        </w:rPr>
      </w:pPr>
      <w:r>
        <w:rPr>
          <w:rFonts w:ascii="Arial" w:cs="Arial" w:eastAsia="Arial" w:hAnsi="Arial"/>
          <w:sz w:val="21"/>
          <w:szCs w:val="21"/>
          <w:i w:val="1"/>
          <w:iCs w:val="1"/>
          <w:color w:val="auto"/>
        </w:rPr>
        <w:t>Figure 15. Treatment with ATH-1105 Significantly Protects Against Loss of Body Weight in Animal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1412240</wp:posOffset>
            </wp:positionH>
            <wp:positionV relativeFrom="paragraph">
              <wp:posOffset>116840</wp:posOffset>
            </wp:positionV>
            <wp:extent cx="3616325" cy="28695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extLst>
                    </a:blip>
                    <a:srcRect/>
                    <a:stretch>
                      <a:fillRect/>
                    </a:stretch>
                  </pic:blipFill>
                  <pic:spPr bwMode="auto">
                    <a:xfrm>
                      <a:off x="0" y="0"/>
                      <a:ext cx="3616325" cy="2869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80"/>
        <w:spacing w:after="0" w:line="261" w:lineRule="auto"/>
        <w:rPr>
          <w:sz w:val="20"/>
          <w:szCs w:val="20"/>
          <w:color w:val="auto"/>
        </w:rPr>
      </w:pPr>
      <w:r>
        <w:rPr>
          <w:rFonts w:ascii="Arial" w:cs="Arial" w:eastAsia="Arial" w:hAnsi="Arial"/>
          <w:sz w:val="16"/>
          <w:szCs w:val="16"/>
          <w:color w:val="A7A7A7"/>
        </w:rPr>
        <w:t>Data presented as mean ± SEM. Statistical significance was determined by 2-way ANOVA with the Dunnett test versus ALS + vehicle. **p&lt;0.01; ***p&lt;0.001.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7A7A7"/>
        </w:rPr>
        <w:t>ALS, amyotrophic lateral sclerosis; TDP-43, TAR DNA-binding protein 43; WT, wild-type.</w:t>
      </w:r>
    </w:p>
    <w:p>
      <w:pPr>
        <w:spacing w:after="0" w:line="351"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Biomarkers of inflammation and neurodegeneration were also assessed and were significantly reduced following treatment with ATH- 1105 in animal model of ALS (Figure 16). These results support the anti-inflammatory and neuroprotective effects by enhancing HGF/MET through ATH-1105. In this animal model and in ALS in humans, inflammation plays a significant role in disease pathology. In ALS disease control animals, significant increases in TNF-alpha and IL-6, which are pro-inflammatory cytokines, were observed compared to WT healthy control animals. However, when ALS animals were treated with ATH-1105 significant reductions in both TNF-alpha and IL-6 were observed, demonstrating anti-inflammatory effects. Consistent with the neuroprotective effects from cell models, a significant reduction in NfL (marker of neurodegeneration) in ALS animals treated with ATH-1105 was observed, which is indicative of neuroprotection.</w:t>
      </w:r>
    </w:p>
    <w:p>
      <w:pPr>
        <w:spacing w:after="0" w:line="344"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21"/>
          <w:szCs w:val="21"/>
          <w:i w:val="1"/>
          <w:iCs w:val="1"/>
          <w:color w:val="auto"/>
        </w:rPr>
        <w:t>Figure 16. ATH-1105 Improves Biomarkers of Inflammation and Neurodegeneration in an ALS Animal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-27305</wp:posOffset>
            </wp:positionV>
            <wp:extent cx="6120130" cy="1791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extLst>
                    </a:blip>
                    <a:srcRect/>
                    <a:stretch>
                      <a:fillRect/>
                    </a:stretch>
                  </pic:blipFill>
                  <pic:spPr bwMode="auto">
                    <a:xfrm>
                      <a:off x="0" y="0"/>
                      <a:ext cx="612013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7A7A7"/>
        </w:rPr>
        <w:t>Data presented as mean ± SEM. Statistical significance was determined by 2-way ANOVA with the Dunnett test versus ALS + vehicle. ****p&lt;0.0001.</w:t>
      </w:r>
    </w:p>
    <w:p>
      <w:pPr>
        <w:spacing w:after="0" w:line="1"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7A7A7"/>
        </w:rPr>
        <w:t>ALS, amyotrophic lateral sclerosis; IL-6, interleukin 6; NfL, neurofilament light chain; TDP-43, TAR DNA-binding protein 43; TNF-Į, tumor necrosis factor alpha; WT, wild-type.</w:t>
      </w:r>
    </w:p>
    <w:p>
      <w:pPr>
        <w:sectPr>
          <w:pgSz w:w="12240" w:h="15840" w:orient="portrait"/>
          <w:cols w:equalWidth="0" w:num="1">
            <w:col w:w="9640"/>
          </w:cols>
          <w:pgMar w:left="1300" w:top="12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2240" w:h="15840" w:orient="portrait"/>
          <w:cols w:equalWidth="0" w:num="1">
            <w:col w:w="9640"/>
          </w:cols>
          <w:pgMar w:left="1300" w:top="1234" w:right="1300" w:bottom="0" w:gutter="0" w:footer="0" w:header="0"/>
          <w:type w:val="continuous"/>
        </w:sectPr>
      </w:pPr>
    </w:p>
    <w:bookmarkStart w:id="26" w:name="page27"/>
    <w:bookmarkEnd w:id="26"/>
    <w:p>
      <w:pPr>
        <w:jc w:val="both"/>
        <w:ind w:firstLine="504"/>
        <w:spacing w:after="0" w:line="238" w:lineRule="auto"/>
        <w:rPr>
          <w:sz w:val="20"/>
          <w:szCs w:val="20"/>
          <w:color w:val="auto"/>
        </w:rPr>
      </w:pPr>
      <w:r>
        <w:rPr>
          <w:rFonts w:ascii="Arial" w:cs="Arial" w:eastAsia="Arial" w:hAnsi="Arial"/>
          <w:sz w:val="21"/>
          <w:szCs w:val="21"/>
          <w:color w:val="auto"/>
        </w:rPr>
        <w:t>Treatment with ATH-1105 in animal model of ALS protects against axon degeneration and demyelination as observed from histological examination of the sciatic nerve. Figure 17 below includes cross section images of the sciatic nerve where healthy large diameter axons surrounded by a healthy myelin sheath are seen in the left image of nerves from WT healthy control animals. In the sciatic nerve image from ALS disease control animals in the middle, a marked reduction in axon size occurs – degenerating axons are noted by the black arrows and examples of demyelination by the red stars. In contrast, when ALS animals are treated with ATH-1105, sciatic nerve integrity is preserved with a healthy population of large diameter axons and normal levels of myelin. Graphs below the images are quantified data showing a significant rescue of the number of axons and increase in overall average axonal diameters or preservation of large diameter motor neurons in ALS animals treated with ATH-1105 compared to ALS disease control animals. Myelin g-ratio informs relative thickness of the myelin versus axon diameter; in the bar chart below, treatment with ATH-1105 significantly improved this measure compared to ALS disease control animals, suggestive of normalized sciatic nerve myelination.</w:t>
      </w:r>
    </w:p>
    <w:p>
      <w:pPr>
        <w:spacing w:after="0" w:line="345" w:lineRule="exact"/>
        <w:rPr>
          <w:sz w:val="20"/>
          <w:szCs w:val="20"/>
          <w:color w:val="auto"/>
        </w:rPr>
      </w:pPr>
    </w:p>
    <w:p>
      <w:pPr>
        <w:jc w:val="both"/>
        <w:ind w:firstLine="504"/>
        <w:spacing w:after="0" w:line="265" w:lineRule="auto"/>
        <w:rPr>
          <w:sz w:val="20"/>
          <w:szCs w:val="20"/>
          <w:color w:val="auto"/>
        </w:rPr>
      </w:pPr>
      <w:r>
        <w:rPr>
          <w:rFonts w:ascii="Arial" w:cs="Arial" w:eastAsia="Arial" w:hAnsi="Arial"/>
          <w:sz w:val="21"/>
          <w:szCs w:val="21"/>
          <w:i w:val="1"/>
          <w:iCs w:val="1"/>
          <w:color w:val="auto"/>
        </w:rPr>
        <w:t>Figure 17. Treatment with ATH-1105 Protected Against Axon Degeneration and Demyelination in Animal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-35560</wp:posOffset>
            </wp:positionV>
            <wp:extent cx="6128385" cy="257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6128385" cy="257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7A7A7"/>
        </w:rPr>
        <w:t>Graphical representation of the number of axons (per 100 μ m2), axonal diameter (in micrometers), and mean of myelin g-ratio, defined as the ratio of the inner axonal diameter to the total axonal diameter, following 2 months of treatment. Data presented as mean + SEM. Statistical significance was determined by 1-way ANOVA with the Dunnett test versus ALS + vehicle. ****p&lt;0.0001. ALS, amyotrophic lateral sclerosis; TDP-43, TAR DNA-binding protein 43; WT, wild-type.</w:t>
      </w:r>
    </w:p>
    <w:p>
      <w:pPr>
        <w:spacing w:after="0" w:line="316"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20"/>
          <w:szCs w:val="20"/>
          <w:color w:val="auto"/>
        </w:rPr>
        <w:t>Further analyses of electrophysiological and behavioral assessments indicated the protection of the motor neurons with ATH-1105 translated to improved nerve and motor function (Figure 18). Compound muscle action potential, or CMAP, and nerve conduction velocity, or NCV, are two electrophysiological measures of sciatic nerve function. Treatment with ATH-1105 in animal model of ALS demonstrated consistent and significant improvements of nerve function compared ALS disease control animals.</w:t>
      </w:r>
    </w:p>
    <w:p>
      <w:pPr>
        <w:spacing w:after="0" w:line="191"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Two examples of motor function improvements are shown by the balance beam and grip test, assessments of balance and coordination, and strength. ALS disease animals showed significant motor impairments compared to WT healthy control animals. ATH-1105 treatment in animal model of ALS led to significant improvements in both the balance beam and grip tests compared to the vehicle treated ALS disease animals, demonstrating improved motor function. Other motor behaviors assessing balance, coordination and muscle strength were rotarod and Kondziela screen test. Across all motor function measures, significant improvements were seen in ALS disease animals treated with ATH-1105 compared to ALS disease control animals.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2240" w:h="15840" w:orient="portrait"/>
          <w:cols w:equalWidth="0" w:num="1">
            <w:col w:w="9640"/>
          </w:cols>
          <w:pgMar w:left="1300" w:top="1226" w:right="1300" w:bottom="0" w:gutter="0" w:footer="0" w:header="0"/>
          <w:type w:val="continuous"/>
        </w:sectPr>
      </w:pPr>
    </w:p>
    <w:bookmarkStart w:id="27" w:name="page28"/>
    <w:bookmarkEnd w:id="27"/>
    <w:p>
      <w:pPr>
        <w:ind w:left="500"/>
        <w:spacing w:after="0"/>
        <w:rPr>
          <w:sz w:val="20"/>
          <w:szCs w:val="20"/>
          <w:color w:val="auto"/>
        </w:rPr>
      </w:pPr>
      <w:r>
        <w:rPr>
          <w:rFonts w:ascii="Arial" w:cs="Arial" w:eastAsia="Arial" w:hAnsi="Arial"/>
          <w:sz w:val="21"/>
          <w:szCs w:val="21"/>
          <w:i w:val="1"/>
          <w:iCs w:val="1"/>
          <w:color w:val="auto"/>
        </w:rPr>
        <w:t>Figure 18. Treatment with ATH-1105 Improves Nerve and Motor Function in ALS Animals.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-1270</wp:posOffset>
            </wp:positionV>
            <wp:extent cx="6128385" cy="2360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6128385" cy="236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80"/>
        <w:spacing w:after="0" w:line="261" w:lineRule="auto"/>
        <w:rPr>
          <w:sz w:val="20"/>
          <w:szCs w:val="20"/>
          <w:color w:val="auto"/>
        </w:rPr>
      </w:pPr>
      <w:r>
        <w:rPr>
          <w:rFonts w:ascii="Arial" w:cs="Arial" w:eastAsia="Arial" w:hAnsi="Arial"/>
          <w:sz w:val="16"/>
          <w:szCs w:val="16"/>
          <w:color w:val="A7A7A7"/>
        </w:rPr>
        <w:t>Data presented as mean ± SEM. Statistical significance was determined by 2-way ANOVA with the Dunnett test versus ALS + vehicle. *p&lt;0.05; **p&lt;0.01; ***p&lt;0.001; ****p&lt;0.0001.</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7A7A7"/>
        </w:rPr>
        <w:t>ALS, amyotrophic lateral sclerosis; CMAP, compound muscle action potential; NCV, nerve conduction velocity; TDP-43, TAR DNA-binding protein 43; WT, wild-type.</w:t>
      </w:r>
    </w:p>
    <w:p>
      <w:pPr>
        <w:spacing w:after="0" w:line="314" w:lineRule="exact"/>
        <w:rPr>
          <w:sz w:val="20"/>
          <w:szCs w:val="20"/>
          <w:color w:val="auto"/>
        </w:rPr>
      </w:pPr>
    </w:p>
    <w:p>
      <w:pPr>
        <w:jc w:val="both"/>
        <w:ind w:firstLine="504"/>
        <w:spacing w:after="0" w:line="260" w:lineRule="auto"/>
        <w:rPr>
          <w:sz w:val="20"/>
          <w:szCs w:val="20"/>
          <w:color w:val="auto"/>
        </w:rPr>
      </w:pPr>
      <w:r>
        <w:rPr>
          <w:rFonts w:ascii="Arial" w:cs="Arial" w:eastAsia="Arial" w:hAnsi="Arial"/>
          <w:sz w:val="20"/>
          <w:szCs w:val="20"/>
          <w:color w:val="auto"/>
        </w:rPr>
        <w:t>Study results were presented at the Motor Neuron Disease Association Annual Conference in December 2022. Weight loss, motor deficits, inflammatory effects, loss of muscle integrity, nerve degeneration and demyelination are all classical hallmarks of disease in people with ALS; treatment with ATH-1105 significantly improved all of these deficits preclinically. IND -enabling studies are ongoing with a target towards completing such studies in 2023 and initiating a Phase 1 clinical trial in 2024.</w:t>
      </w: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Clinical Trials</w:t>
      </w:r>
    </w:p>
    <w:p>
      <w:pPr>
        <w:spacing w:after="0" w:line="37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Phase 1 Clinical Trial</w:t>
      </w:r>
    </w:p>
    <w:p>
      <w:pPr>
        <w:spacing w:after="0" w:line="115"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The IND for fosgonimeton in AD was submitted in September 2017. Since then, we have completed our Phase 1 clinical trial, which enrolled a total of 88 participants, including 48 healthy young male participants (mean age = 33.4 ± 6.3), 29 healthy elderly participants (mean age = 63.8 ± 4.0; 14 male, 15 female), and 11 AD participants (mean age = 69.2 ± 7.1; 5 male, 6 female, median [range] MMSE = 20 [5– 29]) was completed in 2019. In both the single ascending dose, or SAD and multiple ascending dose, or MAD parts of the trial, fosgonimeton was well tolerated, without serious adverse events. All participants were randomly assigned to active and control groups. Findings from the Phase 1 trial provided safety data, as well as translational and supportive evidence in the form of qEEG measures to evaluate effects of fosgonimeton on brain activity in study participants. Results from qEEG measures demonstrated fosgonimeton crossing the BBB and improving brain network activity by significantly improved event-related potential or ERP, P300 latency, a measure of working memory processing speed, over 8-days. Trial results were published in the Journal of Alzheimer’s Disease in April 2022, and helped inform the study design of our exploratory Phase 2 ACT-AD and Phase 2/3 LIFT-AD trials.</w:t>
      </w:r>
    </w:p>
    <w:p>
      <w:pPr>
        <w:sectPr>
          <w:pgSz w:w="12240" w:h="15840" w:orient="portrait"/>
          <w:cols w:equalWidth="0" w:num="1">
            <w:col w:w="9640"/>
          </w:cols>
          <w:pgMar w:left="1300" w:top="12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2240" w:h="15840" w:orient="portrait"/>
          <w:cols w:equalWidth="0" w:num="1">
            <w:col w:w="9640"/>
          </w:cols>
          <w:pgMar w:left="1300" w:top="1234" w:right="1300" w:bottom="0" w:gutter="0" w:footer="0" w:header="0"/>
          <w:type w:val="continuous"/>
        </w:sectPr>
      </w:pPr>
    </w:p>
    <w:bookmarkStart w:id="28" w:name="page29"/>
    <w:bookmarkEnd w:id="28"/>
    <w:p>
      <w:pPr>
        <w:spacing w:after="0"/>
        <w:rPr>
          <w:sz w:val="20"/>
          <w:szCs w:val="20"/>
          <w:color w:val="auto"/>
        </w:rPr>
      </w:pPr>
      <w:r>
        <w:rPr>
          <w:rFonts w:ascii="Arial" w:cs="Arial" w:eastAsia="Arial" w:hAnsi="Arial"/>
          <w:sz w:val="21"/>
          <w:szCs w:val="21"/>
          <w:b w:val="1"/>
          <w:bCs w:val="1"/>
          <w:i w:val="1"/>
          <w:iCs w:val="1"/>
          <w:color w:val="auto"/>
        </w:rPr>
        <w:t>Phase 2 ACT-AD Trial*</w:t>
      </w:r>
    </w:p>
    <w:p>
      <w:pPr>
        <w:spacing w:after="0" w:line="114"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20"/>
          <w:szCs w:val="20"/>
          <w:color w:val="auto"/>
        </w:rPr>
        <w:t>ACT-AD was a randomized, double-blind, placebo-controlled, parallel-group 26-week trial evaluating fosgonimeton in participants with mild-to-moderate Alzheimer’s disease. The trial enrolled 77 participants in the United States and Australia (age 55 to 85 years, Mini-Mental State Exam (MMSE) score of 14-24 and Clinical Dementia Rating, or CDR, scale global score of 1 or 2). Participants were allowed to continue receiving background acetylcholinesterase inhibitors, or AChEIs; 60% remained on stable doses of AChEIs and 40% were not receiving AChEIs during the study. Participants were randomized 1:1:1 to receive placebo or fosgonimeton at either 40 mg/day or 70 mg/day. The primary endpoint for ACT-AD was ERP P300 latency, a measure of working memory processing speed, measured by change from baseline averaged over Weeks 12, 16, 20, and 26. Secondary endpoints included correlation of change from baseline in ERP P300 latency with a composite score of cognition and executive memory defined by the Alzheimer's Disease Assessment Scale-Cognitive Subscale, or ADAS-Cog11, and the Controlled Oral Word Association Test, or COWAT; various composite scores of clinical assessments as measured by the GST, Alzheimer’s Disease Cooperative Study-Clinical Global Impression of Change, or ADCS-CGIC, a measure of global clinical change; and Alzheimer’s Disease Cooperative Study-Activities of Daily Living, 23-item version, or ADCS-ADL23, a measure of functional change as well as measures of caregiver burden, quality of life, resource utilization, and psychiatric symptoms. Plasma samples were also bio banked for future analysis. Safety data were evaluated throughout.</w:t>
      </w:r>
    </w:p>
    <w:p>
      <w:pPr>
        <w:spacing w:after="0" w:line="202"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ACT-AD was completed in 2022; topline data was reported in June 2022, later presented at the Alzheimer’s Association International Conference in August 2022, and in early 2023 was finalized. The recently finalized data show some numerical differences from the previously reported preliminary topline data, which we had reported were not statistically significant (n.s.). As reported previously, we did not meet the primary endpoint of a statistically significant change in ERP P300 latency by protocoled analysis nor did we meet the secondary endpoints. However, the data showed a numerical improvement in the functional measure of ADCS-ADL23, which evaluates participants’ activities of daily living as assessed by their caregivers, compared to placebo at 26 weeks (41% or +1.7 points improvement, n.s.). Although not statistically significant, a post hoc analysis of results from ACT-AD in a pre-specified subgroup suggested positive effects on measures of working memory processing speed and cognition, plus improvements in plasma biomarkers of neurodegeneration, inflammation and AD-specific protein pathologies in participants taking fosgonimeton alone without background AChEIs. All data and analyses presented are from pooled 40mg and 70mg of fosgonimeton. During the ACT-AD trial, fosgonimeton, at either dose, was generally well tolerated with a favorable safety profile, and there were no treatment related serious adverse events or deaths observed.</w:t>
      </w:r>
    </w:p>
    <w:p>
      <w:pPr>
        <w:spacing w:after="0" w:line="209"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Based on the recently finalized post hoc analysis, in participants treated with fosgonimeton alone, a potentially beneficial change in ERP P300 latency (-28 milliseconds, n.s.), as well as cognitive improvement, as measured by ADAS-Cog11 (74% or -3.0 points, n.s.), compared with placebo at 26 weeks was observed (Figure 19).</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2240" w:h="15840" w:orient="portrait"/>
          <w:cols w:equalWidth="0" w:num="1">
            <w:col w:w="9640"/>
          </w:cols>
          <w:pgMar w:left="1300" w:top="1230" w:right="1300" w:bottom="0" w:gutter="0" w:footer="0" w:header="0"/>
          <w:type w:val="continuous"/>
        </w:sectPr>
      </w:pPr>
    </w:p>
    <w:bookmarkStart w:id="29" w:name="page30"/>
    <w:bookmarkEnd w:id="29"/>
    <w:p>
      <w:pPr>
        <w:jc w:val="both"/>
        <w:ind w:firstLine="504"/>
        <w:spacing w:after="0" w:line="263" w:lineRule="auto"/>
        <w:rPr>
          <w:sz w:val="20"/>
          <w:szCs w:val="20"/>
          <w:color w:val="auto"/>
        </w:rPr>
      </w:pPr>
      <w:r>
        <w:rPr>
          <w:rFonts w:ascii="Arial" w:cs="Arial" w:eastAsia="Arial" w:hAnsi="Arial"/>
          <w:sz w:val="21"/>
          <w:szCs w:val="21"/>
          <w:i w:val="1"/>
          <w:iCs w:val="1"/>
          <w:color w:val="auto"/>
        </w:rPr>
        <w:t>Figure 19. Treatment with Fosgonimeton Results in Consistent Directional Improvements in Working Memory Processing Speed and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-27305</wp:posOffset>
            </wp:positionV>
            <wp:extent cx="6121400" cy="2294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6121400" cy="229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505"/>
        <w:spacing w:after="0" w:line="243" w:lineRule="auto"/>
        <w:rPr>
          <w:sz w:val="20"/>
          <w:szCs w:val="20"/>
          <w:color w:val="auto"/>
        </w:rPr>
      </w:pPr>
      <w:r>
        <w:rPr>
          <w:rFonts w:ascii="Arial" w:cs="Arial" w:eastAsia="Arial" w:hAnsi="Arial"/>
          <w:sz w:val="21"/>
          <w:szCs w:val="21"/>
          <w:color w:val="auto"/>
        </w:rPr>
        <w:t>Data from ACT-AD were additionally analyzed post hoc for effects across plasma biomarkers in participants treated with fosgonimeton without background AChEIs. In concert with the multimodal mechanism of action, targeting the HGF/MET system with fosgonimeton resulted in directional improvements across fluid biomarkers of inflammation and AD-specific protein pathologies, and a statistically significant improvement in neurodegeneration, all of which are pending further analysis and clinical investigation in our ongoing Phase 2/3 LIFT-AD clinical trial.</w:t>
      </w:r>
    </w:p>
    <w:p>
      <w:pPr>
        <w:spacing w:after="0" w:line="202" w:lineRule="exact"/>
        <w:rPr>
          <w:sz w:val="20"/>
          <w:szCs w:val="20"/>
          <w:color w:val="auto"/>
        </w:rPr>
      </w:pPr>
    </w:p>
    <w:p>
      <w:pPr>
        <w:jc w:val="both"/>
        <w:ind w:firstLine="505"/>
        <w:spacing w:after="0" w:line="260" w:lineRule="auto"/>
        <w:rPr>
          <w:sz w:val="20"/>
          <w:szCs w:val="20"/>
          <w:color w:val="auto"/>
        </w:rPr>
      </w:pPr>
      <w:r>
        <w:rPr>
          <w:rFonts w:ascii="Arial" w:cs="Arial" w:eastAsia="Arial" w:hAnsi="Arial"/>
          <w:sz w:val="20"/>
          <w:szCs w:val="20"/>
          <w:color w:val="auto"/>
        </w:rPr>
        <w:t>Figure 20 below shows that treatment with fosgonimeton appears to improve neuroinflammation in mild-to-moderate AD as measured by glial fibrillary acidic protein, or GFAP, and chitinase-3-like protein 1, or YKL-40. The observed nominal GFAP improvement and statistical trend in YKL-40 improvement, plus the magnitude of decrease below baseline for those on active treatment is encouraging in this continuously progressive condition and indicates the translation of the anti-inflammatory effects of fosgonimeton.</w:t>
      </w:r>
    </w:p>
    <w:p>
      <w:pPr>
        <w:sectPr>
          <w:pgSz w:w="12240" w:h="15840" w:orient="portrait"/>
          <w:cols w:equalWidth="0" w:num="1">
            <w:col w:w="9640"/>
          </w:cols>
          <w:pgMar w:left="1300" w:top="12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2240" w:h="15840" w:orient="portrait"/>
          <w:cols w:equalWidth="0" w:num="1">
            <w:col w:w="9640"/>
          </w:cols>
          <w:pgMar w:left="1300" w:top="1234" w:right="1300" w:bottom="0" w:gutter="0" w:footer="0" w:header="0"/>
          <w:type w:val="continuous"/>
        </w:sectPr>
      </w:pPr>
    </w:p>
    <w:bookmarkStart w:id="30" w:name="page31"/>
    <w:bookmarkEnd w:id="30"/>
    <w:p>
      <w:pPr>
        <w:ind w:left="500"/>
        <w:spacing w:after="0"/>
        <w:rPr>
          <w:sz w:val="20"/>
          <w:szCs w:val="20"/>
          <w:color w:val="auto"/>
        </w:rPr>
      </w:pPr>
      <w:r>
        <w:rPr>
          <w:rFonts w:ascii="Arial" w:cs="Arial" w:eastAsia="Arial" w:hAnsi="Arial"/>
          <w:sz w:val="21"/>
          <w:szCs w:val="21"/>
          <w:i w:val="1"/>
          <w:iCs w:val="1"/>
          <w:color w:val="auto"/>
        </w:rPr>
        <w:t>Figure 20. Treatment with Fosgonimeton Appears to Improve Neuroinflammation.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151765</wp:posOffset>
            </wp:positionV>
            <wp:extent cx="5757545" cy="2442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extLst>
                    </a:blip>
                    <a:srcRect/>
                    <a:stretch>
                      <a:fillRect/>
                    </a:stretch>
                  </pic:blipFill>
                  <pic:spPr bwMode="auto">
                    <a:xfrm>
                      <a:off x="0" y="0"/>
                      <a:ext cx="5757545" cy="244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504"/>
        <w:spacing w:after="0" w:line="264" w:lineRule="auto"/>
        <w:rPr>
          <w:sz w:val="20"/>
          <w:szCs w:val="20"/>
          <w:color w:val="auto"/>
        </w:rPr>
      </w:pPr>
      <w:r>
        <w:rPr>
          <w:rFonts w:ascii="Arial" w:cs="Arial" w:eastAsia="Arial" w:hAnsi="Arial"/>
          <w:sz w:val="20"/>
          <w:szCs w:val="20"/>
          <w:color w:val="auto"/>
        </w:rPr>
        <w:t>Treatment with fosgonimeton additionally resulted in a statistical trend and directional improvements in plasma biomarkers of AD-specific protein pathologies, Aȕ and pTau, respectively. The changes observed, as shown in Figure 21, continue to support the relevance of targeting the HGF/MET system and its relevance to AD, with a potentially disease-modifying effect by impacting these protein pathologies.</w:t>
      </w:r>
    </w:p>
    <w:p>
      <w:pPr>
        <w:spacing w:after="0" w:line="31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Figure 21. Treatment with Fosgonimeton Induces Directional Improvements in Protein Hallmarks of</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139065</wp:posOffset>
            </wp:positionV>
            <wp:extent cx="5939790" cy="256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extLst>
                    </a:blip>
                    <a:srcRect/>
                    <a:stretch>
                      <a:fillRect/>
                    </a:stretch>
                  </pic:blipFill>
                  <pic:spPr bwMode="auto">
                    <a:xfrm>
                      <a:off x="0" y="0"/>
                      <a:ext cx="5939790" cy="256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Supportive of the potentially neuroprotective mechanism of action of HGF/MET, treatment with fosgonimeton showed a statistically significant improvement in NfL (an objective marker of neurodegeneration) levels, even to the extent of improvement below baseline (Figure 22). This decrease of NfL below baseline levels (-6.49 pg/mL, p=0.0241), is suggestive of repair in this continuously progressive condition.</w:t>
      </w:r>
    </w:p>
    <w:p>
      <w:pPr>
        <w:sectPr>
          <w:pgSz w:w="12240" w:h="15840" w:orient="portrait"/>
          <w:cols w:equalWidth="0" w:num="1">
            <w:col w:w="9640"/>
          </w:cols>
          <w:pgMar w:left="1300" w:top="12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2240" w:h="15840" w:orient="portrait"/>
          <w:cols w:equalWidth="0" w:num="1">
            <w:col w:w="9640"/>
          </w:cols>
          <w:pgMar w:left="1300" w:top="1234" w:right="1300" w:bottom="0" w:gutter="0" w:footer="0" w:header="0"/>
          <w:type w:val="continuous"/>
        </w:sectPr>
      </w:pPr>
    </w:p>
    <w:bookmarkStart w:id="31" w:name="page32"/>
    <w:bookmarkEnd w:id="31"/>
    <w:p>
      <w:pPr>
        <w:ind w:left="500"/>
        <w:spacing w:after="0"/>
        <w:rPr>
          <w:sz w:val="20"/>
          <w:szCs w:val="20"/>
          <w:color w:val="auto"/>
        </w:rPr>
      </w:pPr>
      <w:r>
        <w:rPr>
          <w:rFonts w:ascii="Arial" w:cs="Arial" w:eastAsia="Arial" w:hAnsi="Arial"/>
          <w:sz w:val="21"/>
          <w:szCs w:val="21"/>
          <w:i w:val="1"/>
          <w:iCs w:val="1"/>
          <w:color w:val="auto"/>
        </w:rPr>
        <w:t>Figure 22. Treatment with Fosgonimeton Shows Neuroprotective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151765</wp:posOffset>
            </wp:positionV>
            <wp:extent cx="3528695" cy="2950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3528695" cy="295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505"/>
        <w:spacing w:after="0" w:line="254" w:lineRule="auto"/>
        <w:rPr>
          <w:sz w:val="20"/>
          <w:szCs w:val="20"/>
          <w:color w:val="auto"/>
        </w:rPr>
      </w:pPr>
      <w:r>
        <w:rPr>
          <w:rFonts w:ascii="Arial" w:cs="Arial" w:eastAsia="Arial" w:hAnsi="Arial"/>
          <w:sz w:val="20"/>
          <w:szCs w:val="20"/>
          <w:color w:val="auto"/>
        </w:rPr>
        <w:t>With the potential of fosgonimeton to be both neuroprotective and anti-inflammatory for AD, we assessed the relevance or predictive value of these biomarkers potentially translating to clinical effects. A correlation analysis of NfL and GFAP with the GST, a composite endpoint of cognition (ADAS-Cog11), and function (ADCS-ADL23), and the primary endpoint of our ongoing Phase 2/3 LIFT-AD trial was performed. In Figure 23, scatterplots from the full ACT- AD trial population are shown with the change from baseline, or CFB, in the GST on the Y axis and on the X axis, CFB in NfL on the left and GFAP on the right, respectively. From this analysis, we showed the statistically significant correlation between clinical and plasma biomarker improvements, and despite the limited trial size, these data support the interpretation of the clinical results.</w:t>
      </w:r>
    </w:p>
    <w:p>
      <w:pPr>
        <w:spacing w:after="0" w:line="327"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21"/>
          <w:szCs w:val="21"/>
          <w:i w:val="1"/>
          <w:iCs w:val="1"/>
          <w:color w:val="auto"/>
        </w:rPr>
        <w:t>Figure 23. Decreases in Disease-State Biomarkers Significantly Correlate with Improvements in Cognitive and Functional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-30480</wp:posOffset>
            </wp:positionV>
            <wp:extent cx="6122035" cy="2719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6122035" cy="271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The consistent clinical effects and plasma biomarker data from this exploratory Phase 2 ACT-AD trial clinical effects and plasma biomarkers continue to support the multimodal mechanism of action by</w:t>
      </w:r>
    </w:p>
    <w:p>
      <w:pPr>
        <w:sectPr>
          <w:pgSz w:w="12240" w:h="15840" w:orient="portrait"/>
          <w:cols w:equalWidth="0" w:num="1">
            <w:col w:w="9640"/>
          </w:cols>
          <w:pgMar w:left="1300" w:top="1234" w:right="13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2240" w:h="15840" w:orient="portrait"/>
          <w:cols w:equalWidth="0" w:num="1">
            <w:col w:w="9640"/>
          </w:cols>
          <w:pgMar w:left="1300" w:top="1234" w:right="1300" w:bottom="0" w:gutter="0" w:footer="0" w:header="0"/>
          <w:type w:val="continuous"/>
        </w:sectPr>
      </w:pPr>
    </w:p>
    <w:bookmarkStart w:id="32" w:name="page33"/>
    <w:bookmarkEnd w:id="32"/>
    <w:p>
      <w:pPr>
        <w:jc w:val="both"/>
        <w:spacing w:after="0" w:line="271" w:lineRule="auto"/>
        <w:rPr>
          <w:sz w:val="20"/>
          <w:szCs w:val="20"/>
          <w:color w:val="auto"/>
        </w:rPr>
      </w:pPr>
      <w:r>
        <w:rPr>
          <w:rFonts w:ascii="Arial" w:cs="Arial" w:eastAsia="Arial" w:hAnsi="Arial"/>
          <w:sz w:val="21"/>
          <w:szCs w:val="21"/>
          <w:color w:val="auto"/>
        </w:rPr>
        <w:t>enhancing the HGF/MET system through fosgonimeton and suggests that fosgonimeton may have potential benefit for Alzheimer’s patients.</w:t>
      </w:r>
    </w:p>
    <w:p>
      <w:pPr>
        <w:spacing w:after="0" w:line="30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*The ACT-AD trial and the related open-label extension for ACT-AD participants was and are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Phase 2/3 LIFT-AD Trial</w:t>
      </w:r>
    </w:p>
    <w:p>
      <w:pPr>
        <w:spacing w:after="0" w:line="114"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LIFT-AD is a randomized, double-blind, placebo-controlled, parallel-group 26-week Phase 2/3 clinical trial with fosgonimeton for the treatment of mild-to-moderate AD. In September 2020, we began site initiation and patient screening. The primary endpoint for LIFT-AD will be measured by the GST, which is a composite score of cognition (ADAS-Cog11) and function (ADCS-ADL23). Guided by the results from the completed exploratory Phase 2 ACT-AD trial, in September 2022, we proactively amended LIFT-AD to focus on participants not on background AChEIs. Though going forward we are focusing on LIFT-AD recruitment of participants without background AChEIs, an unblinded adjudication of drug safety was performed by the drug safety monitoring board, which resulted in no serious adverse findings to date for both participants on or off background AChEIs.</w:t>
      </w:r>
    </w:p>
    <w:p>
      <w:pPr>
        <w:spacing w:after="0" w:line="206" w:lineRule="exact"/>
        <w:rPr>
          <w:sz w:val="20"/>
          <w:szCs w:val="20"/>
          <w:color w:val="auto"/>
        </w:rPr>
      </w:pPr>
    </w:p>
    <w:p>
      <w:pPr>
        <w:jc w:val="both"/>
        <w:ind w:firstLine="505"/>
        <w:spacing w:after="0" w:line="244" w:lineRule="auto"/>
        <w:rPr>
          <w:sz w:val="20"/>
          <w:szCs w:val="20"/>
          <w:color w:val="auto"/>
        </w:rPr>
      </w:pPr>
      <w:r>
        <w:rPr>
          <w:rFonts w:ascii="Arial" w:cs="Arial" w:eastAsia="Arial" w:hAnsi="Arial"/>
          <w:sz w:val="21"/>
          <w:szCs w:val="21"/>
          <w:color w:val="auto"/>
        </w:rPr>
        <w:t>An independent data monitoring committee, or DMC, consisting of one neurologist and two biostatisticians, performed an unblinded efficacy and futility interim analysis using a 2011 published method by Mehta and Pocock. This adaptive method enables a sample-size re-estimation based on actual observed interim data based on our co-key secondary endpoints, ADAS-Cog11 and ADCS-ADL23, which these two endpoints inform our primary endpoint, GST.</w:t>
      </w:r>
    </w:p>
    <w:p>
      <w:pPr>
        <w:spacing w:after="0" w:line="204"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Pre-specified constraints were protocolled in the interim statistical analysis plan, or SAP, which consisted of a sample size range with a maximum enrollment limit, and a minimum target power. The formal efficacy analysis was then based on approximately 100 completers at week 26 (end of the double-blind treatment period) without background AChEIs. The primary analysis used was a mixed model for repeated measures, or MMRM, to compare the change from baseline in the GST between fosgonimeton treatment and placebo. Two potential outcomes were also pre-specified: 1) to stop the study for futility or 2) to continue the enrollment within the pre-specified range to achieve an adequate target power for the primary endpoint.</w:t>
      </w:r>
    </w:p>
    <w:p>
      <w:pPr>
        <w:spacing w:after="0" w:line="196"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Following this interim analysis, the DMC recommended to “continue LIFT-AD study” and also determined that, with the additional enrollment of fewer than 150 participants for a total enrollment of less than 300 participants without background AChEIs, the study will be well-powered for the primary endpoint given the preliminary effect size observed.</w:t>
      </w:r>
    </w:p>
    <w:p>
      <w:pPr>
        <w:spacing w:after="0" w:line="200"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Figure 24 below shows the pre-specified decision framework and potential outcomes for the primary GST composite endpoint of cognition (ADAS-Cog11) and function (ADCS-ADL23). The shaded area in grey was pre-determined as the futility zone where the recommended sample size would exceed Athira's pre-specified maximum and shaded in green are the GST combinations resulting in a recommendation from the DMC to continue the study.</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2240" w:h="15840" w:orient="portrait"/>
          <w:cols w:equalWidth="0" w:num="1">
            <w:col w:w="9640"/>
          </w:cols>
          <w:pgMar w:left="1300" w:top="1226" w:right="1300" w:bottom="0" w:gutter="0" w:footer="0" w:header="0"/>
          <w:type w:val="continuous"/>
        </w:sectPr>
      </w:pPr>
    </w:p>
    <w:bookmarkStart w:id="33" w:name="page34"/>
    <w:bookmarkEnd w:id="33"/>
    <w:p>
      <w:pPr>
        <w:jc w:val="both"/>
        <w:ind w:firstLine="504"/>
        <w:spacing w:after="0" w:line="263" w:lineRule="auto"/>
        <w:rPr>
          <w:sz w:val="20"/>
          <w:szCs w:val="20"/>
          <w:color w:val="auto"/>
        </w:rPr>
      </w:pPr>
      <w:r>
        <w:rPr>
          <w:rFonts w:ascii="Arial" w:cs="Arial" w:eastAsia="Arial" w:hAnsi="Arial"/>
          <w:sz w:val="21"/>
          <w:szCs w:val="21"/>
          <w:i w:val="1"/>
          <w:iCs w:val="1"/>
          <w:color w:val="auto"/>
        </w:rPr>
        <w:t>Figure 24. Independent Data Monitoring Committee Recommends to Continue LIFT-AD after Unblinded Interim Analysis Using a Published Methodology and Pre-Specified Decision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-30480</wp:posOffset>
            </wp:positionV>
            <wp:extent cx="6021705" cy="2241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6021705" cy="2241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The results from the DMC unblinded analysis give us confidence in a potentially positive outcome for LIFT-AD. Stringent evaluation criteria were applied based on validated and clinically meaningful cognitive and functional outcomes, which support the potential clinical benefits and underscores the rationale for continued development of fosgonimeton. LIFT-AD trial is ongoing and with anticipated enrollment completion by mid-2023 and reporting topline data in early 2024.</w:t>
      </w:r>
    </w:p>
    <w:p>
      <w:pPr>
        <w:spacing w:after="0" w:line="33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Open Label Extension Trial</w:t>
      </w:r>
    </w:p>
    <w:p>
      <w:pPr>
        <w:spacing w:after="0" w:line="114"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In July 2021, we announced that we are enrolling patients into an optional 26-week open-label extension, or OLEX, trial for our LIFT-AD and ACT-AD clinical trials. In May 2022, we announced a further extension of the 26-week OLEX for our LIFT-AD and ACT-AD clinical trials for an additional 12 months, enabling eligible participants who have completed either trial, and elect to participate in the ongoing OLEX, to now receive up to 18 months of open-label treatment with fosgonimeton, which will allow us to collect up to a total of two years of safety data with fosgonimeton. As of year-end 2022, greater than 85 percent of patients who have completed either study have elected to participate in the OLEX study.</w:t>
      </w: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Exploratory Phase 2 SHAPE Trial</w:t>
      </w:r>
    </w:p>
    <w:p>
      <w:pPr>
        <w:spacing w:after="0" w:line="115"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0"/>
          <w:szCs w:val="20"/>
          <w:color w:val="auto"/>
        </w:rPr>
        <w:t>Fosgonimeton is also being assessed in a randomized, double-blind, placebo-controlled, parallel group exploratory Phase 2 clinical trial, SHAPE, for Parkinson’s disease dementia and dementia with Lewy bodies. We enrolled a total of 28 participants and plan to evaluate the learnings from trial results to help determine next steps for this program. With the compelling preclinical data presented at Society for Neuroscience Annual Conference in November 2022 on the broader potential of fosgonimeton to improve motor function in Parkinson’s disease, we will seek to evaluate trial designs that will further explore fosgonimeton’s therapeutic potential in this complex disease. Topline data from this exploratory trial are expected to be available in 2023 and will help to inform next steps in this or related disease indications.</w:t>
      </w: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Phase 1 Trial with ATH-1020 in Healthy Volunteers</w:t>
      </w:r>
    </w:p>
    <w:p>
      <w:pPr>
        <w:spacing w:after="0" w:line="114"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ATH-1020 is an oral small molecule drug candidate for neuropathic pain that is being assessed in an ongoing Phase 1 trial that completed the single-ascending dose escalation phase. ATH-1020 demonstrated a favorable safety profile and was well-tolerated in healthy volunteers. We plan to evaluate options with this drug candidate for neuropathic pain and other neurodegenerative diseases.</w:t>
      </w:r>
    </w:p>
    <w:p>
      <w:pPr>
        <w:sectPr>
          <w:pgSz w:w="12240" w:h="15840" w:orient="portrait"/>
          <w:cols w:equalWidth="0" w:num="1">
            <w:col w:w="9640"/>
          </w:cols>
          <w:pgMar w:left="1300" w:top="12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2240" w:h="15840" w:orient="portrait"/>
          <w:cols w:equalWidth="0" w:num="1">
            <w:col w:w="9640"/>
          </w:cols>
          <w:pgMar w:left="1300" w:top="1234" w:right="1300" w:bottom="0" w:gutter="0" w:footer="0" w:header="0"/>
          <w:type w:val="continuous"/>
        </w:sectPr>
      </w:pPr>
    </w:p>
    <w:bookmarkStart w:id="34" w:name="page35"/>
    <w:bookmarkEnd w:id="34"/>
    <w:p>
      <w:pPr>
        <w:spacing w:after="0"/>
        <w:rPr>
          <w:sz w:val="20"/>
          <w:szCs w:val="20"/>
          <w:color w:val="auto"/>
        </w:rPr>
      </w:pPr>
      <w:r>
        <w:rPr>
          <w:rFonts w:ascii="Arial" w:cs="Arial" w:eastAsia="Arial" w:hAnsi="Arial"/>
          <w:sz w:val="21"/>
          <w:szCs w:val="21"/>
          <w:b w:val="1"/>
          <w:bCs w:val="1"/>
          <w:color w:val="auto"/>
        </w:rPr>
        <w:t>Market Opportunity</w:t>
      </w:r>
    </w:p>
    <w:p>
      <w:pPr>
        <w:spacing w:after="0" w:line="37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AD and Dementia</w:t>
      </w:r>
    </w:p>
    <w:p>
      <w:pPr>
        <w:spacing w:after="0" w:line="115"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0"/>
          <w:szCs w:val="20"/>
          <w:color w:val="auto"/>
        </w:rPr>
        <w:t>We believe fosgonimeton has the potential as a viable treatment option across all stages of AD, but is initially being developed for mild -to-moderate stage of disease. Stages of this progressive disorder start with mild cognitive impairment, or MCI, mild AD, moderate AD, and finally severe AD. The AD dementia market, as last reported in 2022, consists of approximately 6.5 million Americans age 65 and older and is projected to reach nearly 13 million by 2050 in the U.S. alone. Worldwide, as many as 55 million people are estimated to have Alzheimer’s and other dementias, and this number is projected to grow to nearly 140 million by 2050. Alzheimer’s disease may account for an approximate 60-70% of all diagnosed dementia cases, however, with the continued innovation of diagnostic approaches coupled with better understanding of the disease pathology, diagnosis of AD and overall cases could continue to grow.</w:t>
      </w:r>
    </w:p>
    <w:p>
      <w:pPr>
        <w:spacing w:after="0" w:line="198"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As shown in Figure 25 below, our initial focus is on mild-to-moderate AD as this stage has been identified where disease may progress rapidly and currently available therapies are few with only modest effects. Currently 81% of all diagnosed cases of AD are mild-to-moderate, and with many new therapies under development targeting earlier stages in AD, this is a highly underserved population with a high unmet need. Fosgonimeton is initially being developed for mild-to-moderate AD, but as we continue to advance fosgonimeton, and with our multimodal mechanism of action, we believe we will have the opportunity to address all stages of AD as well as expand into other dementias.</w:t>
      </w:r>
    </w:p>
    <w:p>
      <w:pPr>
        <w:spacing w:after="0" w:line="339" w:lineRule="exact"/>
        <w:rPr>
          <w:sz w:val="20"/>
          <w:szCs w:val="20"/>
          <w:color w:val="auto"/>
        </w:rPr>
      </w:pPr>
    </w:p>
    <w:p>
      <w:pPr>
        <w:ind w:left="500"/>
        <w:spacing w:after="0"/>
        <w:rPr>
          <w:sz w:val="20"/>
          <w:szCs w:val="20"/>
          <w:color w:val="auto"/>
        </w:rPr>
      </w:pPr>
      <w:r>
        <w:rPr>
          <w:rFonts w:ascii="Arial" w:cs="Arial" w:eastAsia="Arial" w:hAnsi="Arial"/>
          <w:sz w:val="21"/>
          <w:szCs w:val="21"/>
          <w:i w:val="1"/>
          <w:iCs w:val="1"/>
          <w:color w:val="auto"/>
        </w:rPr>
        <w:t>Figure 25. Significant Opportunity for Fosgonimeton in Alzheimer's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0</wp:posOffset>
            </wp:positionV>
            <wp:extent cx="6115685" cy="2329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extLst>
                    </a:blip>
                    <a:srcRect/>
                    <a:stretch>
                      <a:fillRect/>
                    </a:stretch>
                  </pic:blipFill>
                  <pic:spPr bwMode="auto">
                    <a:xfrm>
                      <a:off x="0" y="0"/>
                      <a:ext cx="6115685" cy="232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Other Target Indications</w:t>
      </w:r>
    </w:p>
    <w:p>
      <w:pPr>
        <w:spacing w:after="0" w:line="115"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Our next potential target indications include PD, ALS and neuropathic pain. Parkinson’s disease is the second most common neurodegenerative disease after AD with a prevalence of nearly one million people and more than 10 million people in the United States and worldwide living with PD, respectively. Growth projections of United States cases of PD are expected to reach 1.2 million in the United States by 2030.</w:t>
      </w:r>
    </w:p>
    <w:p>
      <w:pPr>
        <w:spacing w:after="0" w:line="204"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For ALS, an estimated approximately 75,000 people are affected globally and approximately 40% of those cases are in the US. Currently, there are only three approved drugs that are specifically indicated for the treatment of ALS, of which none target neurotrophic factor systems with a multimodal mechanism of action with the potential to offer neuroprotective, anti-inflammatory and potentially disease modifying effects.</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2240" w:h="15840" w:orient="portrait"/>
          <w:cols w:equalWidth="0" w:num="1">
            <w:col w:w="9640"/>
          </w:cols>
          <w:pgMar w:left="1300" w:top="1222" w:right="1300" w:bottom="0" w:gutter="0" w:footer="0" w:header="0"/>
          <w:type w:val="continuous"/>
        </w:sectPr>
      </w:pPr>
    </w:p>
    <w:bookmarkStart w:id="35" w:name="page36"/>
    <w:bookmarkEnd w:id="35"/>
    <w:p>
      <w:pPr>
        <w:spacing w:after="0"/>
        <w:rPr>
          <w:sz w:val="20"/>
          <w:szCs w:val="20"/>
          <w:color w:val="auto"/>
        </w:rPr>
      </w:pPr>
      <w:r>
        <w:rPr>
          <w:rFonts w:ascii="Arial" w:cs="Arial" w:eastAsia="Arial" w:hAnsi="Arial"/>
          <w:sz w:val="21"/>
          <w:szCs w:val="21"/>
          <w:b w:val="1"/>
          <w:bCs w:val="1"/>
          <w:i w:val="1"/>
          <w:iCs w:val="1"/>
          <w:color w:val="auto"/>
        </w:rPr>
        <w:t>Potential Commercialization Plan</w:t>
      </w:r>
    </w:p>
    <w:p>
      <w:pPr>
        <w:spacing w:after="0" w:line="114"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1"/>
          <w:szCs w:val="21"/>
          <w:color w:val="auto"/>
        </w:rPr>
        <w:t>Fosgonimeton is initially being developed as a multimodal neuroprotective, neurotrophic and anti-inflammatory therapy for AD. For the initial target patient population of mild-to-moderate AD patients, our commercialization strategy of fosgonimeton will consider the following key elements:</w:t>
      </w:r>
    </w:p>
    <w:p>
      <w:pPr>
        <w:spacing w:after="0" w:line="81" w:lineRule="exact"/>
        <w:rPr>
          <w:sz w:val="20"/>
          <w:szCs w:val="20"/>
          <w:color w:val="auto"/>
        </w:rPr>
      </w:pPr>
    </w:p>
    <w:p>
      <w:pPr>
        <w:ind w:left="1000" w:hanging="497"/>
        <w:spacing w:after="0"/>
        <w:tabs>
          <w:tab w:leader="none" w:pos="10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potential first-line therapy;</w:t>
      </w:r>
    </w:p>
    <w:p>
      <w:pPr>
        <w:spacing w:after="0" w:line="132" w:lineRule="exact"/>
        <w:rPr>
          <w:rFonts w:ascii="Arial" w:cs="Arial" w:eastAsia="Arial" w:hAnsi="Arial"/>
          <w:sz w:val="21"/>
          <w:szCs w:val="21"/>
          <w:color w:val="auto"/>
        </w:rPr>
      </w:pPr>
    </w:p>
    <w:p>
      <w:pPr>
        <w:ind w:left="1000" w:hanging="497"/>
        <w:spacing w:after="0"/>
        <w:tabs>
          <w:tab w:leader="none" w:pos="10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an add-on therapy for patients on existing therapies;</w:t>
      </w:r>
    </w:p>
    <w:p>
      <w:pPr>
        <w:spacing w:after="0" w:line="132" w:lineRule="exact"/>
        <w:rPr>
          <w:rFonts w:ascii="Arial" w:cs="Arial" w:eastAsia="Arial" w:hAnsi="Arial"/>
          <w:sz w:val="21"/>
          <w:szCs w:val="21"/>
          <w:color w:val="auto"/>
        </w:rPr>
      </w:pPr>
    </w:p>
    <w:p>
      <w:pPr>
        <w:ind w:left="1000" w:hanging="497"/>
        <w:spacing w:after="0" w:line="273" w:lineRule="auto"/>
        <w:tabs>
          <w:tab w:leader="none" w:pos="10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a therapeutic option for patients who are not suitable for acetylcholinesterase inhibitors, or AChEIs; and</w:t>
      </w:r>
    </w:p>
    <w:p>
      <w:pPr>
        <w:spacing w:after="0" w:line="62" w:lineRule="exact"/>
        <w:rPr>
          <w:rFonts w:ascii="Arial" w:cs="Arial" w:eastAsia="Arial" w:hAnsi="Arial"/>
          <w:sz w:val="21"/>
          <w:szCs w:val="21"/>
          <w:color w:val="auto"/>
        </w:rPr>
      </w:pPr>
    </w:p>
    <w:p>
      <w:pPr>
        <w:ind w:left="1000" w:hanging="497"/>
        <w:spacing w:after="0"/>
        <w:tabs>
          <w:tab w:leader="none" w:pos="10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 therapeutic option for patients who have stopped AChEIs due to loss of effect or side effects.</w:t>
      </w:r>
    </w:p>
    <w:p>
      <w:pPr>
        <w:spacing w:after="0" w:line="254"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We will initially target launching fosgonimeton in the US with plans to expand into the European Union, or EU, and Asian markets as part of our global strategy. Beyond our regional launch plans, and because of our multimodal mechanism of action, we also expect to advance fosgonimeton beyond the mild-to-moderate AD stage into both earlier and later stages of disease.</w:t>
      </w:r>
    </w:p>
    <w:p>
      <w:pPr>
        <w:spacing w:after="0" w:line="201"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We aim to demonstrate the unique short- and long-term value provided by fosgonimeton by linking the core symptoms of dementia (cognition and behavioral and psychological symptoms of dementia) to both improved outcomes and reduced costs and the benefits of fosgonimeton through increased compliance rates in our initial indications.</w:t>
      </w:r>
    </w:p>
    <w:p>
      <w:pPr>
        <w:spacing w:after="0" w:line="201"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We anticipate exploring two distribution strategies for fosgonimeton, traditional wholesaler and specialty pharmacy. While the traditional wholesaler could be a suitable option, we believe that the additional patient services that could be provided through specialty pharmacy may offer more value to patients, caregivers, and their providers. Such services could include training on subcutaneous administration, patient counseling and assistance with reimbursement or insurance issues. This could also allow us to reduce the need for costly in house or field-based resources such as patient training or reimbursement support specialists.</w:t>
      </w:r>
    </w:p>
    <w:p>
      <w:pPr>
        <w:spacing w:after="0" w:line="3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Manufacturing</w:t>
      </w:r>
    </w:p>
    <w:p>
      <w:pPr>
        <w:spacing w:after="0" w:line="123"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development and manufacturing organizations, or CDMOs, to manufacture and supply our preclinical and clinical materials during the development of our product candidates. We and various regulatory bodies have audited the CDMOs we contract with, and they have a proven track record of FDA-compliant manufacturing with an infrastructure to support large and commercial scale manufacturing.</w:t>
      </w:r>
    </w:p>
    <w:p>
      <w:pPr>
        <w:spacing w:after="0" w:line="210"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We have a robust fosgonimeton clinical supply chain to ensure sufficient supply for our LIFT -AD Phase 2/3 clinical trial in AD and the open-label extension of our LIFT-AD and ACT-AD clinical trials. We believe the synthesis of fosgonimeton is reliable and reproducible and the synthetic routes can be further optimized to enable large-scale production that continues to avoid use of toxic materials or specialized equipment or handling during the manufacturing process. We continue to optimize the manufacturing process to support future large-scale and commercial supply. Fosgonimeton is purified as a stable solid and then released to additional CDMOs for formulation and packaging into final drug product for use in clinical testing.</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2240" w:h="15840" w:orient="portrait"/>
          <w:cols w:equalWidth="0" w:num="1">
            <w:col w:w="9640"/>
          </w:cols>
          <w:pgMar w:left="1300" w:top="1230" w:right="1300" w:bottom="0" w:gutter="0" w:footer="0" w:header="0"/>
          <w:type w:val="continuous"/>
        </w:sectPr>
      </w:pPr>
    </w:p>
    <w:bookmarkStart w:id="36" w:name="page37"/>
    <w:bookmarkEnd w:id="36"/>
    <w:p>
      <w:pPr>
        <w:jc w:val="both"/>
        <w:ind w:firstLine="504"/>
        <w:spacing w:after="0" w:line="242" w:lineRule="auto"/>
        <w:rPr>
          <w:sz w:val="20"/>
          <w:szCs w:val="20"/>
          <w:color w:val="auto"/>
        </w:rPr>
      </w:pPr>
      <w:r>
        <w:rPr>
          <w:rFonts w:ascii="Arial" w:cs="Arial" w:eastAsia="Arial" w:hAnsi="Arial"/>
          <w:sz w:val="21"/>
          <w:szCs w:val="21"/>
          <w:color w:val="auto"/>
        </w:rPr>
        <w:t>The final drug product profile is a ready-to- use pre-filled syringe with a clear, non-viscous aqueous solution of fosgonimeton. The syringes utilize materials and components that are readily available commercially. The fosgonimeton drug product has shown extended stability (at least two years) in the proposed prefilled syringe supporting use of the product under refrigerated conditions as well as short-term dispensation and at-home storage in ambient conditions. Room temperature short-term storage allows patients to avoid cumbersome storage requirements and reduces overall burden.</w:t>
      </w:r>
    </w:p>
    <w:p>
      <w:pPr>
        <w:spacing w:after="0" w:line="208"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We plan to maintain our focus to identify and develop small molecule product candidates that are expected to have cost-effective manufacturing using third party CDMOs.</w:t>
      </w:r>
    </w:p>
    <w:p>
      <w:pPr>
        <w:spacing w:after="0" w:line="175"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We expect to use similar contract resources for commercialization of our products, at least until our resources and operations are at a scale that potentially justifies investment in internal manufacturing capabilities.</w:t>
      </w: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Competition</w:t>
      </w:r>
    </w:p>
    <w:p>
      <w:pPr>
        <w:spacing w:after="0" w:line="122"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The biotechnology and biopharmaceuticals industries are characterized by rapid technological advancement, significant competition, and an emphasis on intellectual property. As a late clinical-stage biopharmaceutical company developing small molecules to restore neuronal health and slow neurodegeneration, with our most advanced product candidate focused on the treatment of AD, we face, and in the future may face, increased competitive pressures from both large and small pharmaceutical companies and from established and emerging biotechnology companies, as well as academic, government, and public and private research institutions. Any product candidates that we successfully develop and commercialize will compete with current treatments and new treatments that may become available in the future. With the advancement of fosgonimeton as a novel small molecule therapeutic that positively modulates the HGF/MET neurotrophic system, we must consider companies as competitors who are developing other novel approaches, including those that target other neurotrophic systems to address AD and other neurological diseases. Additionally, because fosgonimeton is being advanced as a once daily liquid formulation for subcutaneous delivery, we must also consider as competitors companies developing AD therapies as subcutaneous or other routes of administration, including oral formulations, and dosing frequency.</w:t>
      </w:r>
    </w:p>
    <w:p>
      <w:pPr>
        <w:spacing w:after="0" w:line="209"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20"/>
          <w:szCs w:val="20"/>
          <w:color w:val="auto"/>
        </w:rPr>
        <w:t>Because of the range of potential competitors, many of our competitors, alone or with strategic partners, have greater access to financial resources, market presence, and resources and expertise in development, preclinical and clinical testing, manufacturing, commercialization, the regulatory approval process, or marketing and sales than we do.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fosgonimeton across all competitors.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payors seeking to encourage the use of other treatments.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2240" w:h="15840" w:orient="portrait"/>
          <w:cols w:equalWidth="0" w:num="1">
            <w:col w:w="9640"/>
          </w:cols>
          <w:pgMar w:left="1300" w:top="1226" w:right="1300" w:bottom="0" w:gutter="0" w:footer="0" w:header="0"/>
          <w:type w:val="continuous"/>
        </w:sectPr>
      </w:pPr>
    </w:p>
    <w:bookmarkStart w:id="37" w:name="page38"/>
    <w:bookmarkEnd w:id="37"/>
    <w:p>
      <w:pPr>
        <w:jc w:val="both"/>
        <w:ind w:firstLine="504"/>
        <w:spacing w:after="0" w:line="239" w:lineRule="auto"/>
        <w:rPr>
          <w:sz w:val="20"/>
          <w:szCs w:val="20"/>
          <w:color w:val="auto"/>
        </w:rPr>
      </w:pPr>
      <w:r>
        <w:rPr>
          <w:rFonts w:ascii="Arial" w:cs="Arial" w:eastAsia="Arial" w:hAnsi="Arial"/>
          <w:sz w:val="21"/>
          <w:szCs w:val="21"/>
          <w:color w:val="auto"/>
        </w:rPr>
        <w:t>The Alzheimer’s market is experiencing a significant transformation where innovation and drug approvals have been limited for nearly 20 years. With the recent approval of two new monoclonal antibody therapies since 2021 (Biogen’s Aduhelm and Biogen/Eisai’s Leqembi) and the increased attention on novel approaches to AD, we are focused on strategically positioning ourselves in the evolving landscape to maximize our competitive advantage. Key competitive forces that could potentially affect the success of our products, if approved, are safety, efficacy, price, adoption, convenience, time-to-market, level of promotional activity, intellectual property protection, and reimbursement likelihood from government and private payors. Despite these forces, we view our competitive advantage in not only our lead product candidate, fosgonimeton, but also our novel pipeline of therapeutics targeting the multimodal HGF/MET system with a focus on overall neuronal health. In particular, the following summarizes certain categories of our potential competition.</w:t>
      </w:r>
    </w:p>
    <w:p>
      <w:pPr>
        <w:spacing w:after="0" w:line="208"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Our direct competitors can potentially be viewed through two different lenses – stage of disease and mechanism of action, or MOA. While the AD space has just recently seen two new approvals specifically addressing earlier stages of disease, MCI and mild AD, limited options exist for the mild-to-moderate disease stage. Companies developing therapies for mild-to-moderate AD, such as AB Bioscience, Annovis Bio, Biomed Industries, BioVie, or Cassava Sciences, may emerge as direct competitors if they are quicker to market, demonstrate superior clinical effects, are safe and offer treatment options to our same initial target patient population.</w:t>
      </w:r>
    </w:p>
    <w:p>
      <w:pPr>
        <w:spacing w:after="0" w:line="208" w:lineRule="exact"/>
        <w:rPr>
          <w:sz w:val="20"/>
          <w:szCs w:val="20"/>
          <w:color w:val="auto"/>
        </w:rPr>
      </w:pPr>
    </w:p>
    <w:p>
      <w:pPr>
        <w:jc w:val="both"/>
        <w:ind w:firstLine="505"/>
        <w:spacing w:after="0" w:line="241" w:lineRule="auto"/>
        <w:rPr>
          <w:sz w:val="20"/>
          <w:szCs w:val="20"/>
          <w:color w:val="auto"/>
        </w:rPr>
      </w:pPr>
      <w:r>
        <w:rPr>
          <w:rFonts w:ascii="Arial" w:cs="Arial" w:eastAsia="Arial" w:hAnsi="Arial"/>
          <w:sz w:val="21"/>
          <w:szCs w:val="21"/>
          <w:color w:val="auto"/>
        </w:rPr>
        <w:t>Monoclonal antibody therapies have been the focus of drug developers over the past decades, and though the two recent approvals of Aduhelm and Leqembi provide options for those in early AD, more novel approaches and treatment options are needed. Through the MOA lens, companies developing non-amyloid, non-tau, or NANT, therapies may be direct competitors as well. Companies developing NANT therapies include those targeting other neurotrophic systems such as Pharmatrophix, anti-inflammation such as AB Sciences, translational inhibitors such as Annovis Bio, and several other assets with single or multiple target approaches like Cassava or Alzecure.</w:t>
      </w:r>
    </w:p>
    <w:p>
      <w:pPr>
        <w:spacing w:after="0" w:line="209" w:lineRule="exact"/>
        <w:rPr>
          <w:sz w:val="20"/>
          <w:szCs w:val="20"/>
          <w:color w:val="auto"/>
        </w:rPr>
      </w:pPr>
    </w:p>
    <w:p>
      <w:pPr>
        <w:jc w:val="both"/>
        <w:ind w:firstLine="505"/>
        <w:spacing w:after="0" w:line="252" w:lineRule="auto"/>
        <w:rPr>
          <w:sz w:val="20"/>
          <w:szCs w:val="20"/>
          <w:color w:val="auto"/>
        </w:rPr>
      </w:pPr>
      <w:r>
        <w:rPr>
          <w:rFonts w:ascii="Arial" w:cs="Arial" w:eastAsia="Arial" w:hAnsi="Arial"/>
          <w:sz w:val="20"/>
          <w:szCs w:val="20"/>
          <w:color w:val="auto"/>
        </w:rPr>
        <w:t>Specific to targeting HGF/MET however, we are not aware of any direct competitors currently targeting the HGF/MET system for neurological conditions. We are aware of several companies developing HGF/MET-directed therapies for other disease indications, including ANG-3777, an HGF mimetic, developed by Angion for the treatment of kidney injury; KP-100, a recombinant HGF protein, developed by Kringle Pharma for acute spinal cord injury and ALS; and Collategene developed by Mitsubishi Tanabe and AnGes as a gene therapy for the treatment of critical limb ischemia. Although ANG-3777 was reported to not have reached primary endpoints for their Phase 2 and 3 trials in 2021, the scientific basis remains unchanged and the company is evaluating next steps for the program. KP-100 is currently in Phase 3 studies for acute spinal cord injury and Phase 2 studies for ALS. Collategene was launched in Japan in the third quarter of 2019. In addition, we are aware of VM-202, a regenerative plasmid DNA therapy candidate in Phase 3 development by Helixmith for the treatment of diabetic peripheral neuropathy.</w:t>
      </w:r>
    </w:p>
    <w:p>
      <w:pPr>
        <w:spacing w:after="0" w:line="197"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Fosgonimeton has the potential to offer neuroprotective and anti-inflammatory effects by targeting the HGF/MET system. Our preclinical and clinical data have demonstrated this multimodal approach may have positive benefits across several biological and clinical measures. While several potential direct competitors may exist, we have not yet identified any competitive asset that has demonstrated consistent and congruent positive effects offering neuroprotection, anti-inflammation, reducing disease-specific protein pathologies, neurotrophic, and functional benefits. AD is a complex multifactorial disease, and we view our opportunity with fosgonimeton as potentially complementary to several approaches, including the recently approved monoclonal antibody therapies.</w:t>
      </w:r>
    </w:p>
    <w:p>
      <w:pPr>
        <w:spacing w:after="0" w:line="3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Intellectual Property</w:t>
      </w:r>
    </w:p>
    <w:p>
      <w:pPr>
        <w:spacing w:after="0" w:line="123"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We own or have in -licensed numerous patents and patent applications and possess substantial know-how and trade secrets relating to the development and commercialization of our product candidates, including related manufacturing processes and technologies.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2240" w:h="15840" w:orient="portrait"/>
          <w:cols w:equalWidth="0" w:num="1">
            <w:col w:w="9640"/>
          </w:cols>
          <w:pgMar w:left="1300" w:top="1226" w:right="1300" w:bottom="0" w:gutter="0" w:footer="0" w:header="0"/>
          <w:type w:val="continuous"/>
        </w:sectPr>
      </w:pPr>
    </w:p>
    <w:bookmarkStart w:id="38" w:name="page39"/>
    <w:bookmarkEnd w:id="38"/>
    <w:p>
      <w:pPr>
        <w:jc w:val="both"/>
        <w:ind w:firstLine="504"/>
        <w:spacing w:after="0" w:line="251" w:lineRule="auto"/>
        <w:rPr>
          <w:sz w:val="20"/>
          <w:szCs w:val="20"/>
          <w:color w:val="auto"/>
        </w:rPr>
      </w:pPr>
      <w:r>
        <w:rPr>
          <w:rFonts w:ascii="Arial" w:cs="Arial" w:eastAsia="Arial" w:hAnsi="Arial"/>
          <w:sz w:val="20"/>
          <w:szCs w:val="20"/>
          <w:color w:val="auto"/>
        </w:rPr>
        <w:t>As of December 31, 2022, our patent portfolio includes our exclusively owned intellectual property, including one issued U.S. patent, twelve pending U.S. patent applications, three issued patents in jurisdictions outside of the United States (not including European country validations), ten pending patent applications in jurisdictions outside of the United States, and four pending international patent applications filed under the Patent Cooperation Treaty. The patents and patent applications issued and pending outside the United States are counterparts to the foregoing U.S. patents and patent applications and are generally held in Europe, Canada, Japan, Australia, Hong Kong, India, China, Argentina and Taiwan. Our owned patents and patent applications have claims directed to fosgonimeton and our other small molecule therapeutic candidates, including ATH-1020 and ATH-1105, as compositions of matter and methods of use thereof. Our patent portfolio also includes eight issued U.S. patents and nine patents issued in jurisdictions outside of the United States (not including European country validations) that are exclusively licensed to us by Washington State University. Our in-licensed patents include, among others, claims directed to dihexa, the active metabolite of fosgonimeton, and its use.</w:t>
      </w:r>
    </w:p>
    <w:p>
      <w:pPr>
        <w:spacing w:after="0" w:line="200" w:lineRule="exact"/>
        <w:rPr>
          <w:sz w:val="20"/>
          <w:szCs w:val="20"/>
          <w:color w:val="auto"/>
        </w:rPr>
      </w:pPr>
    </w:p>
    <w:p>
      <w:pPr>
        <w:jc w:val="both"/>
        <w:ind w:firstLine="504"/>
        <w:spacing w:after="0" w:line="237" w:lineRule="auto"/>
        <w:rPr>
          <w:sz w:val="20"/>
          <w:szCs w:val="20"/>
          <w:color w:val="auto"/>
        </w:rPr>
      </w:pPr>
      <w:r>
        <w:rPr>
          <w:rFonts w:ascii="Arial" w:cs="Arial" w:eastAsia="Arial" w:hAnsi="Arial"/>
          <w:sz w:val="21"/>
          <w:szCs w:val="21"/>
          <w:color w:val="auto"/>
        </w:rPr>
        <w:t>Individual patents are in force for varying periods of time, depending upon the date of filing of the patent application, the date of patent issuance, and the legal term of patents in the countries in which they are obtained. Generally, patents issued for applications filed in the United States are in force for 20 years from the earliest nonprovisional filing date. In addition, in certain instances, a patent term can be adjusted or extended to recapture a portion of the term effectively lost as a result of the USPTO delay or the FDA regulatory review period (a patent term adjustment or patent term extension, respectively).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Our in-licensed issued patents will expire on dates ranging from 2023 to 2035, exclusive of any patent term adjustment or patent term extension. Our owned issued patents will expire in 2037, exclusive of any patent term adjustment or patent term extension. If patents are issued on our owned pending non-provisional patent applications, the resulting patents are projected to expire on dates ranging from 2037 to 2042, exclusive of any patent term adjustment or patent term extension.</w:t>
      </w:r>
    </w:p>
    <w:p>
      <w:pPr>
        <w:spacing w:after="0" w:line="220" w:lineRule="exact"/>
        <w:rPr>
          <w:sz w:val="20"/>
          <w:szCs w:val="20"/>
          <w:color w:val="auto"/>
        </w:rPr>
      </w:pPr>
    </w:p>
    <w:p>
      <w:pPr>
        <w:jc w:val="both"/>
        <w:ind w:firstLine="505"/>
        <w:spacing w:after="0" w:line="241" w:lineRule="auto"/>
        <w:rPr>
          <w:sz w:val="20"/>
          <w:szCs w:val="20"/>
          <w:color w:val="auto"/>
        </w:rPr>
      </w:pPr>
      <w:r>
        <w:rPr>
          <w:rFonts w:ascii="Arial" w:cs="Arial" w:eastAsia="Arial" w:hAnsi="Arial"/>
          <w:sz w:val="21"/>
          <w:szCs w:val="21"/>
          <w:color w:val="auto"/>
        </w:rPr>
        <w:t>When appropriate, we seek to protect aspects of our technology and business not amenable to, or that we do not consider appropriate for, patent protection as trade secrets. We seek to protect this intellectual property, in part, as trade secrets,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spacing w:after="0" w:line="208" w:lineRule="exact"/>
        <w:rPr>
          <w:sz w:val="20"/>
          <w:szCs w:val="20"/>
          <w:color w:val="auto"/>
        </w:rPr>
      </w:pPr>
    </w:p>
    <w:p>
      <w:pPr>
        <w:jc w:val="both"/>
        <w:ind w:firstLine="504"/>
        <w:spacing w:after="0" w:line="264" w:lineRule="auto"/>
        <w:rPr>
          <w:sz w:val="20"/>
          <w:szCs w:val="20"/>
          <w:color w:val="auto"/>
        </w:rPr>
      </w:pPr>
      <w:r>
        <w:rPr>
          <w:rFonts w:ascii="Arial" w:cs="Arial" w:eastAsia="Arial" w:hAnsi="Arial"/>
          <w:sz w:val="20"/>
          <w:szCs w:val="20"/>
          <w:color w:val="auto"/>
        </w:rPr>
        <w:t>We seek trademark protection in the United States and in certain other jurisdictions where available and when we deem appropriate. Our trademark portfolio currently consists of two pending trademark applications in the United States, two issued trademark registrations in Australia, two issued trademark registrations in the United Kingdom, and two issued trademark registrations in the European Union.</w:t>
      </w:r>
    </w:p>
    <w:p>
      <w:pPr>
        <w:spacing w:after="0" w:line="3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Collaboration and Grant Agreements</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Amended and Restated Washington State University License Agreement</w:t>
      </w:r>
    </w:p>
    <w:p>
      <w:pPr>
        <w:spacing w:after="0" w:line="110"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20"/>
          <w:szCs w:val="20"/>
          <w:color w:val="auto"/>
        </w:rPr>
        <w:t>We are party to an amended and restated exclusive license agreement with sublicensing terms with Washington State University, or WSU, that we entered into in 2015. Under this agreement, we have an exclusive license to make, use, sell, and offer for sale products covered by certain licensed patents, including dihexa, the chemical compound into which fosgonimeton metabolizes following administration. One of these licensed patents is jointly owned by WSU and Pacific Northwest Biotechnology, Inc. We do</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2240" w:h="15840" w:orient="portrait"/>
          <w:cols w:equalWidth="0" w:num="1">
            <w:col w:w="9640"/>
          </w:cols>
          <w:pgMar w:left="1300" w:top="1226" w:right="1300" w:bottom="0" w:gutter="0" w:footer="0" w:header="0"/>
          <w:type w:val="continuous"/>
        </w:sectPr>
      </w:pPr>
    </w:p>
    <w:bookmarkStart w:id="39" w:name="page40"/>
    <w:bookmarkEnd w:id="39"/>
    <w:p>
      <w:pPr>
        <w:spacing w:after="0" w:line="271" w:lineRule="auto"/>
        <w:rPr>
          <w:sz w:val="20"/>
          <w:szCs w:val="20"/>
          <w:color w:val="auto"/>
        </w:rPr>
      </w:pPr>
      <w:r>
        <w:rPr>
          <w:rFonts w:ascii="Arial" w:cs="Arial" w:eastAsia="Arial" w:hAnsi="Arial"/>
          <w:sz w:val="21"/>
          <w:szCs w:val="21"/>
          <w:color w:val="auto"/>
        </w:rPr>
        <w:t>not expect Pacific Northwest Biotechnology, Inc.’s joint ownership to materially affect our license of such patent or the development of any of our product candidates to which the patent relates.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initiation of our first Phase 2 clinical trial in September 2020 triggered a $50,000 liability to WSU.</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21"/>
          <w:szCs w:val="21"/>
          <w:color w:val="auto"/>
        </w:rPr>
        <w:t>We may also be obligated to pay to WSU the following if the related milestones are reached:</w:t>
      </w:r>
    </w:p>
    <w:p>
      <w:pPr>
        <w:spacing w:after="0" w:line="132" w:lineRule="exact"/>
        <w:rPr>
          <w:sz w:val="20"/>
          <w:szCs w:val="20"/>
          <w:color w:val="auto"/>
        </w:rPr>
      </w:pPr>
    </w:p>
    <w:p>
      <w:pPr>
        <w:ind w:left="1000" w:hanging="496"/>
        <w:spacing w:after="0" w:line="272" w:lineRule="auto"/>
        <w:tabs>
          <w:tab w:leader="none" w:pos="1000" w:val="left"/>
        </w:tabs>
        <w:numPr>
          <w:ilvl w:val="0"/>
          <w:numId w:val="14"/>
        </w:numPr>
        <w:rPr>
          <w:rFonts w:ascii="Arial" w:cs="Arial" w:eastAsia="Arial" w:hAnsi="Arial"/>
          <w:sz w:val="21"/>
          <w:szCs w:val="21"/>
          <w:color w:val="auto"/>
        </w:rPr>
      </w:pPr>
      <w:r>
        <w:rPr>
          <w:rFonts w:ascii="Arial" w:cs="Arial" w:eastAsia="Arial" w:hAnsi="Arial"/>
          <w:sz w:val="21"/>
          <w:szCs w:val="21"/>
          <w:color w:val="auto"/>
        </w:rPr>
        <w:t>$300,000 – At initiation of the first Phase 3 clinical trial in the United States, European Union or Japan for the first licensed product.</w:t>
      </w:r>
    </w:p>
    <w:p>
      <w:pPr>
        <w:spacing w:after="0" w:line="64"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14"/>
        </w:numPr>
        <w:rPr>
          <w:rFonts w:ascii="Arial" w:cs="Arial" w:eastAsia="Arial" w:hAnsi="Arial"/>
          <w:sz w:val="21"/>
          <w:szCs w:val="21"/>
          <w:color w:val="auto"/>
        </w:rPr>
      </w:pPr>
      <w:r>
        <w:rPr>
          <w:rFonts w:ascii="Arial" w:cs="Arial" w:eastAsia="Arial" w:hAnsi="Arial"/>
          <w:sz w:val="21"/>
          <w:szCs w:val="21"/>
          <w:color w:val="auto"/>
        </w:rPr>
        <w:t>$600,000 – Marketing approval in the United States, European Union or Japan for the first licensed product.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21"/>
          <w:szCs w:val="21"/>
          <w:color w:val="auto"/>
        </w:rPr>
        <w:t>We are obligated to pay WSU a royalty in the mid-single digits of net sales.</w:t>
      </w:r>
    </w:p>
    <w:p>
      <w:pPr>
        <w:spacing w:after="0" w:line="243"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201" w:lineRule="exact"/>
        <w:rPr>
          <w:sz w:val="20"/>
          <w:szCs w:val="20"/>
          <w:color w:val="auto"/>
        </w:rPr>
      </w:pPr>
    </w:p>
    <w:p>
      <w:pPr>
        <w:jc w:val="both"/>
        <w:ind w:firstLine="504"/>
        <w:spacing w:after="0" w:line="237" w:lineRule="auto"/>
        <w:rPr>
          <w:sz w:val="20"/>
          <w:szCs w:val="20"/>
          <w:color w:val="auto"/>
        </w:rPr>
      </w:pPr>
      <w:r>
        <w:rPr>
          <w:rFonts w:ascii="Arial" w:cs="Arial" w:eastAsia="Arial" w:hAnsi="Arial"/>
          <w:sz w:val="21"/>
          <w:szCs w:val="21"/>
          <w:color w:val="auto"/>
        </w:rPr>
        <w:t>The term of the agreement will continue until the earlier of the date that no valid claim in a licensed patent remains enforceable or payment of earned royalties, once such payments begin, ceases for more than four consecutive calendar quarters. We have not yet commenced payment of royalties to WSU pursuant to the terms of the agreement, since, as of the date of this report, we do not have any approved products with respect to which we may generate revenue. If any of our product candidates to which the patents relate are approved for commercial sale, our obligations to pay royalties would commence upon net sales of such approved product candidates and cease no later than the date that no valid claim in a licensed patent remains enforceable. Such licensed patents in major markets with respect to indications we are currently pursuing will expire on dates ranging from 2023 to 2032, exclusive of any patent term adjustment or patent term extension. We may terminate this agreement with 90 days’ prior written notice to WSU. WSU may terminate this agreement with 90 days’ prior written notice if we fail to achieve certain performance milestones by the agreed upon dates. WSU may also terminate this agreement with 90 days’ prior written notice (or thirty days’ prior written notice in the case of our failure to make a timely payment owed to WSU) following our failure to conduct certain development activities for two consecutive calendar quarters or upon our material breach of the agreement and our failure to cure any such breach within 90 days of our receipt of notice of such breach from WSU (or within 30 days in the case of our failure to make a timely payment owed to WSU).</w:t>
      </w:r>
    </w:p>
    <w:p>
      <w:pPr>
        <w:spacing w:after="0" w:line="353" w:lineRule="exact"/>
        <w:rPr>
          <w:sz w:val="20"/>
          <w:szCs w:val="20"/>
          <w:color w:val="auto"/>
        </w:rPr>
      </w:pPr>
    </w:p>
    <w:p>
      <w:pPr>
        <w:ind w:left="500"/>
        <w:spacing w:after="0"/>
        <w:rPr>
          <w:sz w:val="20"/>
          <w:szCs w:val="20"/>
          <w:color w:val="auto"/>
        </w:rPr>
      </w:pPr>
      <w:r>
        <w:rPr>
          <w:rFonts w:ascii="Arial" w:cs="Arial" w:eastAsia="Arial" w:hAnsi="Arial"/>
          <w:sz w:val="21"/>
          <w:szCs w:val="21"/>
          <w:i w:val="1"/>
          <w:iCs w:val="1"/>
          <w:color w:val="auto"/>
        </w:rPr>
        <w:t>National Institutes of Health Grant</w:t>
      </w:r>
    </w:p>
    <w:p>
      <w:pPr>
        <w:spacing w:after="0" w:line="110"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20"/>
          <w:szCs w:val="20"/>
          <w:color w:val="auto"/>
        </w:rPr>
        <w:t>In December 2020, we accepted a grant from the National Institute on Aging, or NIA, of the National Institutes of Health, or NIH, to support our ACT-AD Phase 2 clinical trial for fosgonimeton (then-named ATH-1017), our lead therapeutic candidate being developed for the treatment of individuals with mild-to-moderate Alzheimer’s disease. Under the terms of the agreement and approval received from the NIH, we may receive up to an aggregate of $15.2 million, subject to the availability of funds and satisfactory progress of the research. Post award, we received approval from NIA to use these grant funds to support our open label extension of the ACT-AD trial. As this grant involves federally funded research, per the Bayh-Dole Act, we are obligated to (1) report each new invention to the government, (2) decide whether to retain ownership, (3) file for patent protection to retain title, and (4) provide a license to the government to practice the invention. The “march-in” rights provided by the Bayh-Dole Act would apply to new subject matter arising from the use of the NIH funds, but would exclude pre-existing subject matter such as our product candidates existing prior to the receipt of such grant. We also are expected to commercialize any inventions we file patent protection on for the benefit of public health. For more information see the section of this report titled “Risk Factors—Risks Relating to Our Intellectual Property—Intellectual property discovered or developed through government funded programs may be subject to federal regulations such as “march-in” rights,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2240" w:h="15840" w:orient="portrait"/>
          <w:cols w:equalWidth="0" w:num="1">
            <w:col w:w="9640"/>
          </w:cols>
          <w:pgMar w:left="1300" w:top="1226" w:right="1300" w:bottom="0" w:gutter="0" w:footer="0" w:header="0"/>
          <w:type w:val="continuous"/>
        </w:sectPr>
      </w:pPr>
    </w:p>
    <w:bookmarkStart w:id="40" w:name="page41"/>
    <w:bookmarkEnd w:id="40"/>
    <w:p>
      <w:pPr>
        <w:jc w:val="both"/>
        <w:spacing w:after="0" w:line="271" w:lineRule="auto"/>
        <w:rPr>
          <w:sz w:val="20"/>
          <w:szCs w:val="20"/>
          <w:color w:val="auto"/>
        </w:rPr>
      </w:pPr>
      <w:r>
        <w:rPr>
          <w:rFonts w:ascii="Arial" w:cs="Arial" w:eastAsia="Arial" w:hAnsi="Arial"/>
          <w:sz w:val="21"/>
          <w:szCs w:val="21"/>
          <w:color w:val="auto"/>
        </w:rPr>
        <w:t>certain reporting requirements and a preference for U.S.-based companies. Compliance with such regulations may limit our exclusive rights and limit our ability to contract with non-U.S. manufacturers.”</w:t>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Government Regulation</w:t>
      </w:r>
    </w:p>
    <w:p>
      <w:pPr>
        <w:spacing w:after="0" w:line="123"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U.S. Drug Development Process</w:t>
      </w:r>
    </w:p>
    <w:p>
      <w:pPr>
        <w:spacing w:after="0" w:line="114"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212"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The process required by the FDA before a drug may be marketed in the United States generally involves the following:</w:t>
      </w:r>
    </w:p>
    <w:p>
      <w:pPr>
        <w:spacing w:after="0" w:line="61" w:lineRule="exact"/>
        <w:rPr>
          <w:sz w:val="20"/>
          <w:szCs w:val="20"/>
          <w:color w:val="auto"/>
        </w:rPr>
      </w:pPr>
    </w:p>
    <w:p>
      <w:pPr>
        <w:ind w:left="1000" w:hanging="496"/>
        <w:spacing w:after="0" w:line="298" w:lineRule="auto"/>
        <w:tabs>
          <w:tab w:leader="none" w:pos="10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completion of nonclinical laboratory tests, animal studies, and formulation studies in accordance with FDA’s good laboratory practice requirements and other applicable regulations;</w:t>
      </w:r>
    </w:p>
    <w:p>
      <w:pPr>
        <w:spacing w:after="0" w:line="40" w:lineRule="exact"/>
        <w:rPr>
          <w:rFonts w:ascii="Arial" w:cs="Arial" w:eastAsia="Arial" w:hAnsi="Arial"/>
          <w:sz w:val="20"/>
          <w:szCs w:val="20"/>
          <w:color w:val="auto"/>
        </w:rPr>
      </w:pPr>
    </w:p>
    <w:p>
      <w:pPr>
        <w:ind w:left="1000" w:hanging="496"/>
        <w:spacing w:after="0" w:line="272" w:lineRule="auto"/>
        <w:tabs>
          <w:tab w:leader="none" w:pos="10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submission to the FDA of an IND, which must become effective before human clinical trials may begin;</w:t>
      </w:r>
    </w:p>
    <w:p>
      <w:pPr>
        <w:spacing w:after="0" w:line="64"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approval by an independent IRB ethics committee, either centralized or with respect to each clinical site, before each clinical trial may be initiated;</w:t>
      </w:r>
    </w:p>
    <w:p>
      <w:pPr>
        <w:spacing w:after="0" w:line="65"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performance of adequate and well-controlled human clinical trials in accordance with GCP requirements to establish the safety and efficacy of the proposed drug for its intended use;</w:t>
      </w:r>
    </w:p>
    <w:p>
      <w:pPr>
        <w:spacing w:after="0" w:line="62" w:lineRule="exact"/>
        <w:rPr>
          <w:rFonts w:ascii="Arial" w:cs="Arial" w:eastAsia="Arial" w:hAnsi="Arial"/>
          <w:sz w:val="21"/>
          <w:szCs w:val="21"/>
          <w:color w:val="auto"/>
        </w:rPr>
      </w:pPr>
    </w:p>
    <w:p>
      <w:pPr>
        <w:ind w:left="1000" w:hanging="496"/>
        <w:spacing w:after="0"/>
        <w:tabs>
          <w:tab w:leader="none" w:pos="10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submission to the FDA of an NDA after completion of all pivotal trials;</w:t>
      </w:r>
    </w:p>
    <w:p>
      <w:pPr>
        <w:spacing w:after="0" w:line="131"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determination by the FDA within 60 days of its receipt of an NDA to accept the filing for substantive review;</w:t>
      </w:r>
    </w:p>
    <w:p>
      <w:pPr>
        <w:spacing w:after="0" w:line="62" w:lineRule="exact"/>
        <w:rPr>
          <w:rFonts w:ascii="Arial" w:cs="Arial" w:eastAsia="Arial" w:hAnsi="Arial"/>
          <w:sz w:val="21"/>
          <w:szCs w:val="21"/>
          <w:color w:val="auto"/>
        </w:rPr>
      </w:pPr>
    </w:p>
    <w:p>
      <w:pPr>
        <w:ind w:left="1000" w:hanging="496"/>
        <w:spacing w:after="0"/>
        <w:tabs>
          <w:tab w:leader="none" w:pos="10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satisfactory completion of an FDA advisory committee review, if applicable;</w:t>
      </w:r>
    </w:p>
    <w:p>
      <w:pPr>
        <w:spacing w:after="0" w:line="121" w:lineRule="exact"/>
        <w:rPr>
          <w:rFonts w:ascii="Arial" w:cs="Arial" w:eastAsia="Arial" w:hAnsi="Arial"/>
          <w:sz w:val="21"/>
          <w:szCs w:val="21"/>
          <w:color w:val="auto"/>
        </w:rPr>
      </w:pPr>
    </w:p>
    <w:p>
      <w:pPr>
        <w:jc w:val="both"/>
        <w:ind w:left="1000" w:hanging="496"/>
        <w:spacing w:after="0" w:line="235" w:lineRule="auto"/>
        <w:tabs>
          <w:tab w:leader="none" w:pos="10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satisfactory completion of an FDA inspection of the manufacturing facility or facilities at which the drug is produced to assess compliance with cGMP requirements to ensure that the facilities, methods and controls are adequate to preserve the drug’s identity, strength, quality, and purity, and of selected clinical investigation sites to assess compliance with GCPs; and</w:t>
      </w:r>
    </w:p>
    <w:p>
      <w:pPr>
        <w:spacing w:after="0" w:line="83" w:lineRule="exact"/>
        <w:rPr>
          <w:rFonts w:ascii="Arial" w:cs="Arial" w:eastAsia="Arial" w:hAnsi="Arial"/>
          <w:sz w:val="21"/>
          <w:szCs w:val="21"/>
          <w:color w:val="auto"/>
        </w:rPr>
      </w:pPr>
    </w:p>
    <w:p>
      <w:pPr>
        <w:ind w:left="1000" w:hanging="496"/>
        <w:spacing w:after="0" w:line="258" w:lineRule="auto"/>
        <w:tabs>
          <w:tab w:leader="none" w:pos="10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FDA review and approval of the NDA to permit commercial marketing of the product for particular indications for use in the United States.</w:t>
      </w:r>
    </w:p>
    <w:p>
      <w:pPr>
        <w:spacing w:after="0" w:line="173" w:lineRule="exact"/>
        <w:rPr>
          <w:sz w:val="20"/>
          <w:szCs w:val="20"/>
          <w:color w:val="auto"/>
        </w:rPr>
      </w:pPr>
    </w:p>
    <w:p>
      <w:pPr>
        <w:jc w:val="both"/>
        <w:ind w:firstLine="504"/>
        <w:spacing w:after="0" w:line="258" w:lineRule="auto"/>
        <w:rPr>
          <w:sz w:val="20"/>
          <w:szCs w:val="20"/>
          <w:color w:val="auto"/>
        </w:rPr>
      </w:pPr>
      <w:r>
        <w:rPr>
          <w:rFonts w:ascii="Arial" w:cs="Arial" w:eastAsia="Arial" w:hAnsi="Arial"/>
          <w:sz w:val="20"/>
          <w:szCs w:val="20"/>
          <w:color w:val="auto"/>
        </w:rPr>
        <w:t>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2240" w:h="15840" w:orient="portrait"/>
          <w:cols w:equalWidth="0" w:num="1">
            <w:col w:w="9640"/>
          </w:cols>
          <w:pgMar w:left="1300" w:top="1226" w:right="1300" w:bottom="0" w:gutter="0" w:footer="0" w:header="0"/>
          <w:type w:val="continuous"/>
        </w:sectPr>
      </w:pPr>
    </w:p>
    <w:bookmarkStart w:id="41" w:name="page42"/>
    <w:bookmarkEnd w:id="41"/>
    <w:p>
      <w:pPr>
        <w:jc w:val="both"/>
        <w:spacing w:after="0" w:line="227" w:lineRule="auto"/>
        <w:rPr>
          <w:sz w:val="20"/>
          <w:szCs w:val="20"/>
          <w:color w:val="auto"/>
        </w:rPr>
      </w:pPr>
      <w:r>
        <w:rPr>
          <w:rFonts w:ascii="Arial" w:cs="Arial" w:eastAsia="Arial" w:hAnsi="Arial"/>
          <w:sz w:val="21"/>
          <w:szCs w:val="21"/>
          <w:color w:val="auto"/>
        </w:rPr>
        <w:t xml:space="preserve">the protocol(s) for clinical studies. The IND also includes results of animal and </w:t>
      </w:r>
      <w:r>
        <w:rPr>
          <w:rFonts w:ascii="Arial" w:cs="Arial" w:eastAsia="Arial" w:hAnsi="Arial"/>
          <w:sz w:val="21"/>
          <w:szCs w:val="21"/>
          <w:i w:val="1"/>
          <w:iCs w:val="1"/>
          <w:color w:val="auto"/>
        </w:rPr>
        <w:t>in vitro</w:t>
      </w:r>
      <w:r>
        <w:rPr>
          <w:rFonts w:ascii="Arial" w:cs="Arial" w:eastAsia="Arial" w:hAnsi="Arial"/>
          <w:sz w:val="21"/>
          <w:szCs w:val="21"/>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99" w:lineRule="exact"/>
        <w:rPr>
          <w:sz w:val="20"/>
          <w:szCs w:val="20"/>
          <w:color w:val="auto"/>
        </w:rPr>
      </w:pPr>
    </w:p>
    <w:p>
      <w:pPr>
        <w:jc w:val="both"/>
        <w:ind w:firstLine="504"/>
        <w:spacing w:after="0" w:line="225" w:lineRule="auto"/>
        <w:rPr>
          <w:sz w:val="20"/>
          <w:szCs w:val="20"/>
          <w:color w:val="auto"/>
        </w:rPr>
      </w:pPr>
      <w:r>
        <w:rPr>
          <w:rFonts w:ascii="Arial" w:cs="Arial" w:eastAsia="Arial" w:hAnsi="Arial"/>
          <w:sz w:val="21"/>
          <w:szCs w:val="21"/>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3"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Human clinical trials are typically conducted in three sequential phases that may overlap or be combined:</w:t>
      </w:r>
    </w:p>
    <w:p>
      <w:pPr>
        <w:spacing w:after="0" w:line="61" w:lineRule="exact"/>
        <w:rPr>
          <w:sz w:val="20"/>
          <w:szCs w:val="20"/>
          <w:color w:val="auto"/>
        </w:rPr>
      </w:pPr>
    </w:p>
    <w:p>
      <w:pPr>
        <w:jc w:val="both"/>
        <w:ind w:left="1000" w:hanging="496"/>
        <w:spacing w:after="0" w:line="241" w:lineRule="auto"/>
        <w:tabs>
          <w:tab w:leader="none" w:pos="1000" w:val="left"/>
        </w:tabs>
        <w:numPr>
          <w:ilvl w:val="0"/>
          <w:numId w:val="16"/>
        </w:numPr>
        <w:rPr>
          <w:rFonts w:ascii="Arial" w:cs="Arial" w:eastAsia="Arial" w:hAnsi="Arial"/>
          <w:sz w:val="21"/>
          <w:szCs w:val="21"/>
          <w:color w:val="auto"/>
        </w:rPr>
      </w:pPr>
      <w:r>
        <w:rPr>
          <w:rFonts w:ascii="Arial" w:cs="Arial" w:eastAsia="Arial" w:hAnsi="Arial"/>
          <w:sz w:val="21"/>
          <w:szCs w:val="21"/>
          <w:i w:val="1"/>
          <w:iCs w:val="1"/>
          <w:color w:val="auto"/>
        </w:rPr>
        <w:t>Phase 1</w:t>
      </w:r>
      <w:r>
        <w:rPr>
          <w:rFonts w:ascii="Arial" w:cs="Arial" w:eastAsia="Arial" w:hAnsi="Arial"/>
          <w:sz w:val="21"/>
          <w:szCs w:val="21"/>
          <w:color w:val="auto"/>
        </w:rPr>
        <w:t>: The product candidate is initially introduced into healthy human subjects or patients</w:t>
      </w:r>
      <w:r>
        <w:rPr>
          <w:rFonts w:ascii="Arial" w:cs="Arial" w:eastAsia="Arial" w:hAnsi="Arial"/>
          <w:sz w:val="21"/>
          <w:szCs w:val="21"/>
          <w:i w:val="1"/>
          <w:iCs w:val="1"/>
          <w:color w:val="auto"/>
        </w:rPr>
        <w:t xml:space="preserve"> </w:t>
      </w:r>
      <w:r>
        <w:rPr>
          <w:rFonts w:ascii="Arial" w:cs="Arial" w:eastAsia="Arial" w:hAnsi="Arial"/>
          <w:sz w:val="21"/>
          <w:szCs w:val="21"/>
          <w:color w:val="auto"/>
        </w:rPr>
        <w:t>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98" w:lineRule="exact"/>
        <w:rPr>
          <w:rFonts w:ascii="Arial" w:cs="Arial" w:eastAsia="Arial" w:hAnsi="Arial"/>
          <w:sz w:val="21"/>
          <w:szCs w:val="21"/>
          <w:color w:val="auto"/>
        </w:rPr>
      </w:pPr>
    </w:p>
    <w:p>
      <w:pPr>
        <w:jc w:val="both"/>
        <w:ind w:left="1000" w:hanging="496"/>
        <w:spacing w:after="0" w:line="244" w:lineRule="auto"/>
        <w:tabs>
          <w:tab w:leader="none" w:pos="1000" w:val="left"/>
        </w:tabs>
        <w:numPr>
          <w:ilvl w:val="0"/>
          <w:numId w:val="16"/>
        </w:numPr>
        <w:rPr>
          <w:rFonts w:ascii="Arial" w:cs="Arial" w:eastAsia="Arial" w:hAnsi="Arial"/>
          <w:sz w:val="21"/>
          <w:szCs w:val="21"/>
          <w:color w:val="auto"/>
        </w:rPr>
      </w:pPr>
      <w:r>
        <w:rPr>
          <w:rFonts w:ascii="Arial" w:cs="Arial" w:eastAsia="Arial" w:hAnsi="Arial"/>
          <w:sz w:val="21"/>
          <w:szCs w:val="21"/>
          <w:i w:val="1"/>
          <w:iCs w:val="1"/>
          <w:color w:val="auto"/>
        </w:rPr>
        <w:t>Phase 2</w:t>
      </w:r>
      <w:r>
        <w:rPr>
          <w:rFonts w:ascii="Arial" w:cs="Arial" w:eastAsia="Arial" w:hAnsi="Arial"/>
          <w:sz w:val="21"/>
          <w:szCs w:val="21"/>
          <w:color w:val="auto"/>
        </w:rPr>
        <w:t>: The product candidate is administered to a limited patient population with a specified</w:t>
      </w:r>
      <w:r>
        <w:rPr>
          <w:rFonts w:ascii="Arial" w:cs="Arial" w:eastAsia="Arial" w:hAnsi="Arial"/>
          <w:sz w:val="21"/>
          <w:szCs w:val="21"/>
          <w:i w:val="1"/>
          <w:iCs w:val="1"/>
          <w:color w:val="auto"/>
        </w:rPr>
        <w:t xml:space="preserve"> </w:t>
      </w:r>
      <w:r>
        <w:rPr>
          <w:rFonts w:ascii="Arial" w:cs="Arial" w:eastAsia="Arial" w:hAnsi="Arial"/>
          <w:sz w:val="21"/>
          <w:szCs w:val="21"/>
          <w:color w:val="auto"/>
        </w:rPr>
        <w:t>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95" w:lineRule="exact"/>
        <w:rPr>
          <w:rFonts w:ascii="Arial" w:cs="Arial" w:eastAsia="Arial" w:hAnsi="Arial"/>
          <w:sz w:val="21"/>
          <w:szCs w:val="21"/>
          <w:color w:val="auto"/>
        </w:rPr>
      </w:pPr>
    </w:p>
    <w:p>
      <w:pPr>
        <w:jc w:val="both"/>
        <w:ind w:left="1000" w:hanging="496"/>
        <w:spacing w:after="0" w:line="244" w:lineRule="auto"/>
        <w:tabs>
          <w:tab w:leader="none" w:pos="1000" w:val="left"/>
        </w:tabs>
        <w:numPr>
          <w:ilvl w:val="0"/>
          <w:numId w:val="16"/>
        </w:numPr>
        <w:rPr>
          <w:rFonts w:ascii="Arial" w:cs="Arial" w:eastAsia="Arial" w:hAnsi="Arial"/>
          <w:sz w:val="21"/>
          <w:szCs w:val="21"/>
          <w:color w:val="auto"/>
        </w:rPr>
      </w:pPr>
      <w:r>
        <w:rPr>
          <w:rFonts w:ascii="Arial" w:cs="Arial" w:eastAsia="Arial" w:hAnsi="Arial"/>
          <w:sz w:val="21"/>
          <w:szCs w:val="21"/>
          <w:i w:val="1"/>
          <w:iCs w:val="1"/>
          <w:color w:val="auto"/>
        </w:rPr>
        <w:t>Phase 3</w:t>
      </w:r>
      <w:r>
        <w:rPr>
          <w:rFonts w:ascii="Arial" w:cs="Arial" w:eastAsia="Arial" w:hAnsi="Arial"/>
          <w:sz w:val="21"/>
          <w:szCs w:val="21"/>
          <w:color w:val="auto"/>
        </w:rPr>
        <w:t>: The product candidate is administered to an expanded patient population to further</w:t>
      </w:r>
      <w:r>
        <w:rPr>
          <w:rFonts w:ascii="Arial" w:cs="Arial" w:eastAsia="Arial" w:hAnsi="Arial"/>
          <w:sz w:val="21"/>
          <w:szCs w:val="21"/>
          <w:i w:val="1"/>
          <w:iCs w:val="1"/>
          <w:color w:val="auto"/>
        </w:rPr>
        <w:t xml:space="preserve"> </w:t>
      </w:r>
      <w:r>
        <w:rPr>
          <w:rFonts w:ascii="Arial" w:cs="Arial" w:eastAsia="Arial" w:hAnsi="Arial"/>
          <w:sz w:val="21"/>
          <w:szCs w:val="21"/>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204"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200" w:lineRule="exact"/>
        <w:rPr>
          <w:sz w:val="20"/>
          <w:szCs w:val="20"/>
          <w:color w:val="auto"/>
        </w:rPr>
      </w:pPr>
    </w:p>
    <w:p>
      <w:pPr>
        <w:jc w:val="both"/>
        <w:ind w:firstLine="504"/>
        <w:spacing w:after="0" w:line="297" w:lineRule="auto"/>
        <w:rPr>
          <w:sz w:val="20"/>
          <w:szCs w:val="20"/>
          <w:color w:val="auto"/>
        </w:rPr>
      </w:pPr>
      <w:r>
        <w:rPr>
          <w:rFonts w:ascii="Arial" w:cs="Arial" w:eastAsia="Arial" w:hAnsi="Arial"/>
          <w:sz w:val="20"/>
          <w:szCs w:val="20"/>
          <w:color w:val="auto"/>
        </w:rPr>
        <w:t>The FDA or the sponsor may suspend a clinical trial at any time on various grounds, including a finding that the research subjects or patients are being exposed to an unacceptable health risk. Similarly, an IRB</w:t>
      </w:r>
    </w:p>
    <w:p>
      <w:pPr>
        <w:sectPr>
          <w:pgSz w:w="12240" w:h="15840" w:orient="portrait"/>
          <w:cols w:equalWidth="0" w:num="1">
            <w:col w:w="9640"/>
          </w:cols>
          <w:pgMar w:left="1300" w:top="121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2240" w:h="15840" w:orient="portrait"/>
          <w:cols w:equalWidth="0" w:num="1">
            <w:col w:w="9640"/>
          </w:cols>
          <w:pgMar w:left="1300" w:top="1214" w:right="1300" w:bottom="0" w:gutter="0" w:footer="0" w:header="0"/>
          <w:type w:val="continuous"/>
        </w:sectPr>
      </w:pPr>
    </w:p>
    <w:bookmarkStart w:id="42" w:name="page43"/>
    <w:bookmarkEnd w:id="42"/>
    <w:p>
      <w:pPr>
        <w:jc w:val="both"/>
        <w:spacing w:after="0" w:line="242" w:lineRule="auto"/>
        <w:rPr>
          <w:sz w:val="20"/>
          <w:szCs w:val="20"/>
          <w:color w:val="auto"/>
        </w:rPr>
      </w:pPr>
      <w:r>
        <w:rPr>
          <w:rFonts w:ascii="Arial" w:cs="Arial" w:eastAsia="Arial" w:hAnsi="Arial"/>
          <w:sz w:val="21"/>
          <w:szCs w:val="21"/>
          <w:color w:val="auto"/>
        </w:rPr>
        <w:t>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208"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94"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10"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21"/>
          <w:szCs w:val="21"/>
          <w:i w:val="1"/>
          <w:iCs w:val="1"/>
          <w:color w:val="auto"/>
        </w:rPr>
        <w:t>in vitro</w:t>
      </w:r>
      <w:r>
        <w:rPr>
          <w:rFonts w:ascii="Arial" w:cs="Arial" w:eastAsia="Arial" w:hAnsi="Arial"/>
          <w:sz w:val="21"/>
          <w:szCs w:val="21"/>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NDA Review and Approval Process</w:t>
      </w:r>
    </w:p>
    <w:p>
      <w:pPr>
        <w:spacing w:after="0" w:line="115"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94"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The FDA reviews an NDA to determine, among other things, whether a product is safe and effective for its intended use and whether its manufacturing is cGMP- 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197" w:lineRule="exact"/>
        <w:rPr>
          <w:sz w:val="20"/>
          <w:szCs w:val="20"/>
          <w:color w:val="auto"/>
        </w:rPr>
      </w:pPr>
    </w:p>
    <w:p>
      <w:pPr>
        <w:jc w:val="both"/>
        <w:ind w:firstLine="504"/>
        <w:spacing w:after="0" w:line="298" w:lineRule="auto"/>
        <w:rPr>
          <w:sz w:val="20"/>
          <w:szCs w:val="20"/>
          <w:color w:val="auto"/>
        </w:rPr>
      </w:pPr>
      <w:r>
        <w:rPr>
          <w:rFonts w:ascii="Arial" w:cs="Arial" w:eastAsia="Arial" w:hAnsi="Arial"/>
          <w:sz w:val="20"/>
          <w:szCs w:val="20"/>
          <w:color w:val="auto"/>
        </w:rPr>
        <w:t>The FDA may refer an application for a novel drug to an advisory committee. An advisory committee is a panel of independent experts, including clinicians and other scientific experts, that reviews, evaluates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2240" w:h="15840" w:orient="portrait"/>
          <w:cols w:equalWidth="0" w:num="1">
            <w:col w:w="9640"/>
          </w:cols>
          <w:pgMar w:left="1300" w:top="1226" w:right="1300" w:bottom="0" w:gutter="0" w:footer="0" w:header="0"/>
          <w:type w:val="continuous"/>
        </w:sectPr>
      </w:pPr>
    </w:p>
    <w:bookmarkStart w:id="43" w:name="page44"/>
    <w:bookmarkEnd w:id="43"/>
    <w:p>
      <w:pPr>
        <w:jc w:val="both"/>
        <w:spacing w:after="0" w:line="253" w:lineRule="auto"/>
        <w:rPr>
          <w:sz w:val="20"/>
          <w:szCs w:val="20"/>
          <w:color w:val="auto"/>
        </w:rPr>
      </w:pPr>
      <w:r>
        <w:rPr>
          <w:rFonts w:ascii="Arial" w:cs="Arial" w:eastAsia="Arial" w:hAnsi="Arial"/>
          <w:sz w:val="21"/>
          <w:szCs w:val="21"/>
          <w:color w:val="auto"/>
        </w:rPr>
        <w:t>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94" w:lineRule="exact"/>
        <w:rPr>
          <w:sz w:val="20"/>
          <w:szCs w:val="20"/>
          <w:color w:val="auto"/>
        </w:rPr>
      </w:pPr>
    </w:p>
    <w:p>
      <w:pPr>
        <w:jc w:val="both"/>
        <w:ind w:firstLine="505"/>
        <w:spacing w:after="0"/>
        <w:rPr>
          <w:sz w:val="20"/>
          <w:szCs w:val="20"/>
          <w:color w:val="auto"/>
        </w:rPr>
      </w:pPr>
      <w:r>
        <w:rPr>
          <w:rFonts w:ascii="Arial" w:cs="Arial" w:eastAsia="Arial" w:hAnsi="Arial"/>
          <w:sz w:val="21"/>
          <w:szCs w:val="21"/>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5"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212"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 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Expedited Development and Review Programs</w:t>
      </w:r>
    </w:p>
    <w:p>
      <w:pPr>
        <w:spacing w:after="0" w:line="115"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0"/>
          <w:szCs w:val="20"/>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95"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0"/>
          <w:szCs w:val="20"/>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2240" w:h="15840" w:orient="portrait"/>
          <w:cols w:equalWidth="0" w:num="1">
            <w:col w:w="9640"/>
          </w:cols>
          <w:pgMar w:left="1300" w:top="1226" w:right="1300" w:bottom="0" w:gutter="0" w:footer="0" w:header="0"/>
          <w:type w:val="continuous"/>
        </w:sectPr>
      </w:pPr>
    </w:p>
    <w:bookmarkStart w:id="44" w:name="page45"/>
    <w:bookmarkEnd w:id="44"/>
    <w:p>
      <w:pPr>
        <w:jc w:val="both"/>
        <w:spacing w:after="0" w:line="242" w:lineRule="auto"/>
        <w:rPr>
          <w:sz w:val="20"/>
          <w:szCs w:val="20"/>
          <w:color w:val="auto"/>
        </w:rPr>
      </w:pPr>
      <w:r>
        <w:rPr>
          <w:rFonts w:ascii="Arial" w:cs="Arial" w:eastAsia="Arial" w:hAnsi="Arial"/>
          <w:sz w:val="21"/>
          <w:szCs w:val="21"/>
          <w:color w:val="auto"/>
        </w:rPr>
        <w:t>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208"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211"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97"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 On December 29, 2022, the Consolidated Appropriations Act, 2023, including the Food and Drug Omnibus Reform Act, or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Post-Approval Requirements</w:t>
      </w:r>
    </w:p>
    <w:p>
      <w:pPr>
        <w:spacing w:after="0" w:line="115"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2240" w:h="15840" w:orient="portrait"/>
          <w:cols w:equalWidth="0" w:num="1">
            <w:col w:w="9640"/>
          </w:cols>
          <w:pgMar w:left="1300" w:top="1226" w:right="1300" w:bottom="0" w:gutter="0" w:footer="0" w:header="0"/>
          <w:type w:val="continuous"/>
        </w:sectPr>
      </w:pPr>
    </w:p>
    <w:bookmarkStart w:id="45" w:name="page46"/>
    <w:bookmarkEnd w:id="45"/>
    <w:p>
      <w:pPr>
        <w:jc w:val="both"/>
        <w:spacing w:after="0" w:line="253" w:lineRule="auto"/>
        <w:rPr>
          <w:sz w:val="20"/>
          <w:szCs w:val="20"/>
          <w:color w:val="auto"/>
        </w:rPr>
      </w:pPr>
      <w:r>
        <w:rPr>
          <w:rFonts w:ascii="Arial" w:cs="Arial" w:eastAsia="Arial" w:hAnsi="Arial"/>
          <w:sz w:val="21"/>
          <w:szCs w:val="21"/>
          <w:color w:val="auto"/>
        </w:rPr>
        <w:t>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4"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8" w:lineRule="exact"/>
        <w:rPr>
          <w:sz w:val="20"/>
          <w:szCs w:val="20"/>
          <w:color w:val="auto"/>
        </w:rPr>
      </w:pPr>
    </w:p>
    <w:p>
      <w:pPr>
        <w:ind w:left="1000" w:hanging="496"/>
        <w:spacing w:after="0" w:line="273" w:lineRule="auto"/>
        <w:tabs>
          <w:tab w:leader="none" w:pos="10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restrictions on the marketing or manufacturing of the product, complete withdrawal of the product from the market or product recalls;</w:t>
      </w:r>
    </w:p>
    <w:p>
      <w:pPr>
        <w:spacing w:after="0" w:line="62" w:lineRule="exact"/>
        <w:rPr>
          <w:rFonts w:ascii="Arial" w:cs="Arial" w:eastAsia="Arial" w:hAnsi="Arial"/>
          <w:sz w:val="21"/>
          <w:szCs w:val="21"/>
          <w:color w:val="auto"/>
        </w:rPr>
      </w:pPr>
    </w:p>
    <w:p>
      <w:pPr>
        <w:ind w:left="1000" w:hanging="496"/>
        <w:spacing w:after="0"/>
        <w:tabs>
          <w:tab w:leader="none" w:pos="10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fines, warning letters, or untitled letters;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clinical holds on post-approval or Phase IV clinical studies, if applicable;</w:t>
      </w:r>
    </w:p>
    <w:p>
      <w:pPr>
        <w:spacing w:after="0" w:line="13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refusal of the FDA to approve pending applications or supplements to approved applications, or suspension or revocation of product license approvals;</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product seizure or detention, or refusal to permit the import or export of products;</w:t>
      </w:r>
    </w:p>
    <w:p>
      <w:pPr>
        <w:spacing w:after="0" w:line="132"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consent decrees, corporate integrity agreements, debarment, or exclusion from federal healthcare programs;</w:t>
      </w:r>
    </w:p>
    <w:p>
      <w:pPr>
        <w:spacing w:after="0" w:line="6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mandated modification of promotional materials and labeling and the issuance of corrective information;</w:t>
      </w:r>
    </w:p>
    <w:p>
      <w:pPr>
        <w:spacing w:after="0" w:line="65"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issuance of safety alerts, Dear Healthcare Provider letters, press releases, and other communications containing warnings or other safety information about the product; or</w:t>
      </w:r>
    </w:p>
    <w:p>
      <w:pPr>
        <w:spacing w:after="0" w:line="62" w:lineRule="exact"/>
        <w:rPr>
          <w:rFonts w:ascii="Arial" w:cs="Arial" w:eastAsia="Arial" w:hAnsi="Arial"/>
          <w:sz w:val="21"/>
          <w:szCs w:val="21"/>
          <w:color w:val="auto"/>
        </w:rPr>
      </w:pPr>
    </w:p>
    <w:p>
      <w:pPr>
        <w:ind w:left="1000" w:hanging="496"/>
        <w:spacing w:after="0"/>
        <w:tabs>
          <w:tab w:leader="none" w:pos="10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injunctions or the imposition of civil or criminal penalties.</w:t>
      </w:r>
    </w:p>
    <w:p>
      <w:pPr>
        <w:spacing w:after="0" w:line="242"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20"/>
          <w:szCs w:val="20"/>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33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Marketing Exclusivity</w:t>
      </w:r>
    </w:p>
    <w:p>
      <w:pPr>
        <w:spacing w:after="0" w:line="106"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0"/>
          <w:szCs w:val="20"/>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2240" w:h="15840" w:orient="portrait"/>
          <w:cols w:equalWidth="0" w:num="1">
            <w:col w:w="9640"/>
          </w:cols>
          <w:pgMar w:left="1300" w:top="1226" w:right="1300" w:bottom="0" w:gutter="0" w:footer="0" w:header="0"/>
          <w:type w:val="continuous"/>
        </w:sectPr>
      </w:pPr>
    </w:p>
    <w:bookmarkStart w:id="46" w:name="page47"/>
    <w:bookmarkEnd w:id="46"/>
    <w:p>
      <w:pPr>
        <w:jc w:val="both"/>
        <w:spacing w:after="0" w:line="231" w:lineRule="auto"/>
        <w:rPr>
          <w:sz w:val="20"/>
          <w:szCs w:val="20"/>
          <w:color w:val="auto"/>
        </w:rPr>
      </w:pPr>
      <w:r>
        <w:rPr>
          <w:rFonts w:ascii="Arial" w:cs="Arial" w:eastAsia="Arial" w:hAnsi="Arial"/>
          <w:sz w:val="21"/>
          <w:szCs w:val="21"/>
          <w:color w:val="auto"/>
        </w:rPr>
        <w:t>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9" w:lineRule="exact"/>
        <w:rPr>
          <w:sz w:val="20"/>
          <w:szCs w:val="20"/>
          <w:color w:val="auto"/>
        </w:rPr>
      </w:pPr>
    </w:p>
    <w:p>
      <w:pPr>
        <w:jc w:val="both"/>
        <w:ind w:firstLine="504"/>
        <w:spacing w:after="0" w:line="230" w:lineRule="auto"/>
        <w:rPr>
          <w:sz w:val="20"/>
          <w:szCs w:val="20"/>
          <w:color w:val="auto"/>
        </w:rPr>
      </w:pPr>
      <w:r>
        <w:rPr>
          <w:rFonts w:ascii="Arial" w:cs="Arial" w:eastAsia="Arial" w:hAnsi="Arial"/>
          <w:sz w:val="21"/>
          <w:szCs w:val="21"/>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203" w:lineRule="exact"/>
        <w:rPr>
          <w:sz w:val="20"/>
          <w:szCs w:val="20"/>
          <w:color w:val="auto"/>
        </w:rPr>
      </w:pPr>
    </w:p>
    <w:p>
      <w:pPr>
        <w:jc w:val="both"/>
        <w:ind w:firstLine="504"/>
        <w:spacing w:after="0" w:line="234" w:lineRule="auto"/>
        <w:rPr>
          <w:sz w:val="20"/>
          <w:szCs w:val="20"/>
          <w:color w:val="auto"/>
        </w:rPr>
      </w:pPr>
      <w:r>
        <w:rPr>
          <w:rFonts w:ascii="Arial" w:cs="Arial" w:eastAsia="Arial" w:hAnsi="Arial"/>
          <w:sz w:val="21"/>
          <w:szCs w:val="21"/>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97" w:lineRule="exact"/>
        <w:rPr>
          <w:sz w:val="20"/>
          <w:szCs w:val="20"/>
          <w:color w:val="auto"/>
        </w:rPr>
      </w:pPr>
    </w:p>
    <w:p>
      <w:pPr>
        <w:jc w:val="both"/>
        <w:ind w:firstLine="504"/>
        <w:spacing w:after="0" w:line="230" w:lineRule="auto"/>
        <w:rPr>
          <w:sz w:val="20"/>
          <w:szCs w:val="20"/>
          <w:color w:val="auto"/>
        </w:rPr>
      </w:pPr>
      <w:r>
        <w:rPr>
          <w:rFonts w:ascii="Arial" w:cs="Arial" w:eastAsia="Arial" w:hAnsi="Arial"/>
          <w:sz w:val="21"/>
          <w:szCs w:val="21"/>
          <w:color w:val="auto"/>
        </w:rPr>
        <w:t xml:space="preserve">In </w:t>
      </w:r>
      <w:r>
        <w:rPr>
          <w:rFonts w:ascii="Arial" w:cs="Arial" w:eastAsia="Arial" w:hAnsi="Arial"/>
          <w:sz w:val="21"/>
          <w:szCs w:val="21"/>
          <w:i w:val="1"/>
          <w:iCs w:val="1"/>
          <w:color w:val="auto"/>
        </w:rPr>
        <w:t>Catalyst Pharms., Inc. v. Becerra</w:t>
      </w:r>
      <w:r>
        <w:rPr>
          <w:rFonts w:ascii="Arial" w:cs="Arial" w:eastAsia="Arial" w:hAnsi="Arial"/>
          <w:sz w:val="21"/>
          <w:szCs w:val="21"/>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Arial" w:cs="Arial" w:eastAsia="Arial" w:hAnsi="Arial"/>
          <w:sz w:val="21"/>
          <w:szCs w:val="21"/>
          <w:i w:val="1"/>
          <w:iCs w:val="1"/>
          <w:color w:val="auto"/>
        </w:rPr>
        <w:t>Catalyst</w:t>
      </w:r>
      <w:r>
        <w:rPr>
          <w:rFonts w:ascii="Arial" w:cs="Arial" w:eastAsia="Arial" w:hAnsi="Arial"/>
          <w:sz w:val="21"/>
          <w:szCs w:val="21"/>
          <w:color w:val="auto"/>
        </w:rPr>
        <w:t xml:space="preserve">, the FDA intends to continue to apply its longstanding interpretation of the regulations to matters outside of the scope of the </w:t>
      </w:r>
      <w:r>
        <w:rPr>
          <w:rFonts w:ascii="Arial" w:cs="Arial" w:eastAsia="Arial" w:hAnsi="Arial"/>
          <w:sz w:val="21"/>
          <w:szCs w:val="21"/>
          <w:i w:val="1"/>
          <w:iCs w:val="1"/>
          <w:color w:val="auto"/>
        </w:rPr>
        <w:t>Catalyst</w:t>
      </w:r>
      <w:r>
        <w:rPr>
          <w:rFonts w:ascii="Arial" w:cs="Arial" w:eastAsia="Arial" w:hAnsi="Arial"/>
          <w:sz w:val="21"/>
          <w:szCs w:val="21"/>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Other Healthcare Laws</w:t>
      </w:r>
    </w:p>
    <w:p>
      <w:pPr>
        <w:spacing w:after="0" w:line="104" w:lineRule="exact"/>
        <w:rPr>
          <w:sz w:val="20"/>
          <w:szCs w:val="20"/>
          <w:color w:val="auto"/>
        </w:rPr>
      </w:pPr>
    </w:p>
    <w:p>
      <w:pPr>
        <w:jc w:val="both"/>
        <w:ind w:firstLine="505"/>
        <w:spacing w:after="0"/>
        <w:rPr>
          <w:sz w:val="20"/>
          <w:szCs w:val="20"/>
          <w:color w:val="auto"/>
        </w:rPr>
      </w:pPr>
      <w:r>
        <w:rPr>
          <w:rFonts w:ascii="Arial" w:cs="Arial" w:eastAsia="Arial" w:hAnsi="Arial"/>
          <w:sz w:val="20"/>
          <w:szCs w:val="20"/>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w:t>
      </w:r>
    </w:p>
    <w:p>
      <w:pPr>
        <w:sectPr>
          <w:pgSz w:w="12240" w:h="15840" w:orient="portrait"/>
          <w:cols w:equalWidth="0" w:num="1">
            <w:col w:w="9640"/>
          </w:cols>
          <w:pgMar w:left="1300" w:top="1218" w:right="130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2240" w:h="15840" w:orient="portrait"/>
          <w:cols w:equalWidth="0" w:num="1">
            <w:col w:w="9640"/>
          </w:cols>
          <w:pgMar w:left="1300" w:top="1218" w:right="1300" w:bottom="0" w:gutter="0" w:footer="0" w:header="0"/>
          <w:type w:val="continuous"/>
        </w:sectPr>
      </w:pPr>
    </w:p>
    <w:bookmarkStart w:id="47" w:name="page48"/>
    <w:bookmarkEnd w:id="47"/>
    <w:p>
      <w:pPr>
        <w:jc w:val="both"/>
        <w:spacing w:after="0" w:line="244" w:lineRule="auto"/>
        <w:rPr>
          <w:sz w:val="20"/>
          <w:szCs w:val="20"/>
          <w:color w:val="auto"/>
        </w:rPr>
      </w:pPr>
      <w:r>
        <w:rPr>
          <w:rFonts w:ascii="Arial" w:cs="Arial" w:eastAsia="Arial" w:hAnsi="Arial"/>
          <w:sz w:val="21"/>
          <w:szCs w:val="21"/>
          <w:color w:val="auto"/>
        </w:rPr>
        <w:t>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200"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 compliance with these laws, the curtailment or restructuring of operations, exclusion from participation in government healthcare programs and imprisonment.</w:t>
      </w: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Coverage and Reimbursement</w:t>
      </w:r>
    </w:p>
    <w:p>
      <w:pPr>
        <w:spacing w:after="0" w:line="114"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 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209" w:lineRule="exact"/>
        <w:rPr>
          <w:sz w:val="20"/>
          <w:szCs w:val="20"/>
          <w:color w:val="auto"/>
        </w:rPr>
      </w:pPr>
    </w:p>
    <w:p>
      <w:pPr>
        <w:jc w:val="both"/>
        <w:ind w:firstLine="505"/>
        <w:spacing w:after="0" w:line="239" w:lineRule="auto"/>
        <w:rPr>
          <w:sz w:val="20"/>
          <w:szCs w:val="20"/>
          <w:color w:val="auto"/>
        </w:rPr>
      </w:pPr>
      <w:r>
        <w:rPr>
          <w:rFonts w:ascii="Arial" w:cs="Arial" w:eastAsia="Arial" w:hAnsi="Arial"/>
          <w:sz w:val="21"/>
          <w:szCs w:val="21"/>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211"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w:t>
      </w:r>
    </w:p>
    <w:p>
      <w:pPr>
        <w:sectPr>
          <w:pgSz w:w="12240" w:h="15840" w:orient="portrait"/>
          <w:cols w:equalWidth="0" w:num="1">
            <w:col w:w="9640"/>
          </w:cols>
          <w:pgMar w:left="1300" w:top="1218"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2240" w:h="15840" w:orient="portrait"/>
          <w:cols w:equalWidth="0" w:num="1">
            <w:col w:w="9640"/>
          </w:cols>
          <w:pgMar w:left="1300" w:top="1218" w:right="1300" w:bottom="0" w:gutter="0" w:footer="0" w:header="0"/>
          <w:type w:val="continuous"/>
        </w:sectPr>
      </w:pPr>
    </w:p>
    <w:bookmarkStart w:id="48" w:name="page49"/>
    <w:bookmarkEnd w:id="48"/>
    <w:p>
      <w:pPr>
        <w:jc w:val="both"/>
        <w:spacing w:after="0" w:line="271" w:lineRule="auto"/>
        <w:rPr>
          <w:sz w:val="20"/>
          <w:szCs w:val="20"/>
          <w:color w:val="auto"/>
        </w:rPr>
      </w:pPr>
      <w:r>
        <w:rPr>
          <w:rFonts w:ascii="Arial" w:cs="Arial" w:eastAsia="Arial" w:hAnsi="Arial"/>
          <w:sz w:val="21"/>
          <w:szCs w:val="21"/>
          <w:color w:val="auto"/>
        </w:rPr>
        <w:t>payors’ reimbursement policies will not adversely affect the ability for manufacturers to sell products profitably.</w:t>
      </w:r>
    </w:p>
    <w:p>
      <w:pPr>
        <w:spacing w:after="0" w:line="30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Healthcare Reform</w:t>
      </w:r>
    </w:p>
    <w:p>
      <w:pPr>
        <w:spacing w:after="0" w:line="115"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206"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Biden administration will impact the ACA, our business, financial condition and results of operations.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200" w:lineRule="exact"/>
        <w:rPr>
          <w:sz w:val="20"/>
          <w:szCs w:val="20"/>
          <w:color w:val="auto"/>
        </w:rPr>
      </w:pPr>
    </w:p>
    <w:p>
      <w:pPr>
        <w:jc w:val="both"/>
        <w:ind w:firstLine="505"/>
        <w:spacing w:after="0" w:line="249" w:lineRule="auto"/>
        <w:rPr>
          <w:sz w:val="20"/>
          <w:szCs w:val="20"/>
          <w:color w:val="auto"/>
        </w:rPr>
      </w:pPr>
      <w:r>
        <w:rPr>
          <w:rFonts w:ascii="Arial" w:cs="Arial" w:eastAsia="Arial" w:hAnsi="Arial"/>
          <w:sz w:val="20"/>
          <w:szCs w:val="20"/>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2031 with the exception of a temporary suspension implemented under various COVID -19 relief legislation from May 1, 2020 through March 31, 2022, unless additional congressional action is taken. Under current legislation, the actual reduction in Medicare payments can vary from 1% in 2022 to up to 4% in the final fiscal year of this sequester.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2240" w:h="15840" w:orient="portrait"/>
          <w:cols w:equalWidth="0" w:num="1">
            <w:col w:w="9640"/>
          </w:cols>
          <w:pgMar w:left="1300" w:top="1226" w:right="1300" w:bottom="0" w:gutter="0" w:footer="0" w:header="0"/>
          <w:type w:val="continuous"/>
        </w:sectPr>
      </w:pPr>
    </w:p>
    <w:bookmarkStart w:id="49" w:name="page50"/>
    <w:bookmarkEnd w:id="49"/>
    <w:p>
      <w:pPr>
        <w:jc w:val="both"/>
        <w:spacing w:after="0"/>
        <w:rPr>
          <w:sz w:val="20"/>
          <w:szCs w:val="20"/>
          <w:color w:val="auto"/>
        </w:rPr>
      </w:pPr>
      <w:r>
        <w:rPr>
          <w:rFonts w:ascii="Arial" w:cs="Arial" w:eastAsia="Arial" w:hAnsi="Arial"/>
          <w:sz w:val="21"/>
          <w:szCs w:val="21"/>
          <w:color w:val="auto"/>
        </w:rPr>
        <w:t>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impact of these regulations and any future healthcare measures and agency rules implemented by the Biden administration on us and the pharmaceutical industry as a whole is currently unknown. The implementation of cost containment measures or other healthcare reforms may prevent us from being able to generate revenue, attain profitability, or commercialize our product candidates if approved.</w:t>
      </w:r>
    </w:p>
    <w:p>
      <w:pPr>
        <w:spacing w:after="0" w:line="210"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It is possible that additional governmental action may be taken to address the COVID-19 pandemic. Furthermore, there has been increased interest by third party payors and governmental authorities in reference to pricing systems and publication of discounts and list prices. The implementation of cost containment measures or other healthcare reforms may prevent us from being able to generate revenue, attain profitability or commercialize our product candidates.</w:t>
      </w: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Employees and Human Capital Resources</w:t>
      </w:r>
    </w:p>
    <w:p>
      <w:pPr>
        <w:spacing w:after="0" w:line="122"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As of December 31, 2022, we had 64 employees, 63 of whom were full-time and 39 of whom were engaged in research and development activities. Twenty-three of our employees hold Ph.D. or M.D. degrees. None of our employees is represented by a labor union or covered under a collective bargaining agreement. We consider our relationship with our employees to be good.</w:t>
      </w:r>
    </w:p>
    <w:p>
      <w:pPr>
        <w:spacing w:after="0" w:line="201"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Information</w:t>
      </w:r>
    </w:p>
    <w:p>
      <w:pPr>
        <w:spacing w:after="0" w:line="121"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(425) 620-8501. Our website is www.athira.com. Information contained in, or that can be accessed through, our website is not a part of, and is not incorporated into, this report, and the inclusion of our website address in this report is an inactive textual reference only.</w:t>
      </w:r>
    </w:p>
    <w:p>
      <w:pPr>
        <w:spacing w:after="0" w:line="209"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20"/>
          <w:szCs w:val="20"/>
          <w:color w:val="auto"/>
        </w:rPr>
        <w:t>We make available on or through our website certain reports and amendments to those reports that we file with or furnish to the SEC in accordance with the Securities Exchange Act of 1934, as amended.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2240" w:h="15840" w:orient="portrait"/>
          <w:cols w:equalWidth="0" w:num="1">
            <w:col w:w="9640"/>
          </w:cols>
          <w:pgMar w:left="1300" w:top="1226" w:right="1300" w:bottom="0" w:gutter="0" w:footer="0" w:header="0"/>
          <w:type w:val="continuous"/>
        </w:sectPr>
      </w:pPr>
    </w:p>
    <w:bookmarkStart w:id="50" w:name="page51"/>
    <w:bookmarkEnd w:id="50"/>
    <w:p>
      <w:pPr>
        <w:spacing w:after="0"/>
        <w:rPr>
          <w:sz w:val="20"/>
          <w:szCs w:val="20"/>
          <w:color w:val="auto"/>
        </w:rPr>
      </w:pPr>
      <w:r>
        <w:rPr>
          <w:rFonts w:ascii="Arial" w:cs="Arial" w:eastAsia="Arial" w:hAnsi="Arial"/>
          <w:sz w:val="21"/>
          <w:szCs w:val="21"/>
          <w:b w:val="1"/>
          <w:bCs w:val="1"/>
          <w:color w:val="auto"/>
        </w:rPr>
        <w:t>Item 1A. Risk Factors.</w:t>
      </w:r>
    </w:p>
    <w:p>
      <w:pPr>
        <w:spacing w:after="0" w:line="122"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0F0F0F"/>
        </w:rPr>
        <w:t xml:space="preserve">You should carefully consider the </w:t>
      </w:r>
      <w:r>
        <w:rPr>
          <w:rFonts w:ascii="Arial" w:cs="Arial" w:eastAsia="Arial" w:hAnsi="Arial"/>
          <w:sz w:val="20"/>
          <w:szCs w:val="20"/>
          <w:i w:val="1"/>
          <w:iCs w:val="1"/>
          <w:color w:val="0F0F0F"/>
        </w:rPr>
        <w:t>following risk factors, in addition to</w:t>
      </w:r>
      <w:r>
        <w:rPr>
          <w:rFonts w:ascii="Arial" w:cs="Arial" w:eastAsia="Arial" w:hAnsi="Arial"/>
          <w:sz w:val="20"/>
          <w:szCs w:val="20"/>
          <w:color w:val="0F0F0F"/>
        </w:rPr>
        <w:t xml:space="preserve"> the other information </w:t>
      </w:r>
      <w:r>
        <w:rPr>
          <w:rFonts w:ascii="Arial" w:cs="Arial" w:eastAsia="Arial" w:hAnsi="Arial"/>
          <w:sz w:val="20"/>
          <w:szCs w:val="20"/>
          <w:i w:val="1"/>
          <w:iCs w:val="1"/>
          <w:color w:val="0F0F0F"/>
        </w:rPr>
        <w:t>contained</w:t>
      </w:r>
      <w:r>
        <w:rPr>
          <w:rFonts w:ascii="Arial" w:cs="Arial" w:eastAsia="Arial" w:hAnsi="Arial"/>
          <w:sz w:val="20"/>
          <w:szCs w:val="20"/>
          <w:color w:val="0F0F0F"/>
        </w:rPr>
        <w:t xml:space="preserve"> </w:t>
      </w:r>
      <w:r>
        <w:rPr>
          <w:rFonts w:ascii="Arial" w:cs="Arial" w:eastAsia="Arial" w:hAnsi="Arial"/>
          <w:sz w:val="20"/>
          <w:szCs w:val="20"/>
          <w:i w:val="1"/>
          <w:iCs w:val="1"/>
          <w:color w:val="0F0F0F"/>
        </w:rPr>
        <w:t>in this Annual Report on Form 10-K</w:t>
      </w:r>
      <w:r>
        <w:rPr>
          <w:rFonts w:ascii="Arial" w:cs="Arial" w:eastAsia="Arial" w:hAnsi="Arial"/>
          <w:sz w:val="20"/>
          <w:szCs w:val="20"/>
          <w:color w:val="0F0F0F"/>
        </w:rPr>
        <w:t>, including the “Management’s Discussion and Analysis of Financial</w:t>
      </w:r>
      <w:r>
        <w:rPr>
          <w:rFonts w:ascii="Arial" w:cs="Arial" w:eastAsia="Arial" w:hAnsi="Arial"/>
          <w:sz w:val="20"/>
          <w:szCs w:val="20"/>
          <w:i w:val="1"/>
          <w:iCs w:val="1"/>
          <w:color w:val="0F0F0F"/>
        </w:rPr>
        <w:t xml:space="preserve"> </w:t>
      </w:r>
      <w:r>
        <w:rPr>
          <w:rFonts w:ascii="Arial" w:cs="Arial" w:eastAsia="Arial" w:hAnsi="Arial"/>
          <w:sz w:val="20"/>
          <w:szCs w:val="20"/>
          <w:color w:val="0F0F0F"/>
        </w:rPr>
        <w:t xml:space="preserve">Condition and Results of Operations” section </w:t>
      </w:r>
      <w:r>
        <w:rPr>
          <w:rFonts w:ascii="Arial" w:cs="Arial" w:eastAsia="Arial" w:hAnsi="Arial"/>
          <w:sz w:val="20"/>
          <w:szCs w:val="20"/>
          <w:i w:val="1"/>
          <w:iCs w:val="1"/>
          <w:color w:val="0F0F0F"/>
        </w:rPr>
        <w:t>and our consolidated financial statements and related notes.</w:t>
      </w:r>
      <w:r>
        <w:rPr>
          <w:rFonts w:ascii="Arial" w:cs="Arial" w:eastAsia="Arial" w:hAnsi="Arial"/>
          <w:sz w:val="20"/>
          <w:szCs w:val="20"/>
          <w:color w:val="0F0F0F"/>
        </w:rPr>
        <w:t xml:space="preserve"> </w:t>
      </w:r>
      <w:r>
        <w:rPr>
          <w:rFonts w:ascii="Arial" w:cs="Arial" w:eastAsia="Arial" w:hAnsi="Arial"/>
          <w:sz w:val="20"/>
          <w:szCs w:val="20"/>
          <w:i w:val="1"/>
          <w:iCs w:val="1"/>
          <w:color w:val="0F0F0F"/>
        </w:rPr>
        <w:t>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Our Risk Factors are not guarantees that no such conditions exist as of the date of this report and should not be interpreted as an affirmative statement that such risks or conditions have not materialized, in whole or in part.</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Relating to Our Business and the Development of Our Product Candidates</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We are a late clinical-stage biopharmaceutical company with a limited operating history.</w:t>
      </w:r>
    </w:p>
    <w:p>
      <w:pPr>
        <w:spacing w:after="0" w:line="280"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We are a late clinical-stage biopharmaceutical company focused on developing small molecules to restore neuronal health and slow neurodegeneration. Our limited operating history may make it difficult to evaluate the success of our business. Drug development is a highly uncertain undertaking and involves a substantial degree of risk. To date, we have not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250"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We may fail to or be unable to design and execute clinical trials to support marketing approval of fosgonimeton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61"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21"/>
          <w:szCs w:val="21"/>
          <w:b w:val="1"/>
          <w:bCs w:val="1"/>
          <w:i w:val="1"/>
          <w:iCs w:val="1"/>
          <w:color w:val="auto"/>
        </w:rPr>
        <w:t>Our ability to generate revenue and achieve profitability depends significantly on our ability to achieve a number of objectives.</w:t>
      </w:r>
    </w:p>
    <w:p>
      <w:pPr>
        <w:spacing w:after="0" w:line="200" w:lineRule="exact"/>
        <w:rPr>
          <w:sz w:val="20"/>
          <w:szCs w:val="20"/>
          <w:color w:val="auto"/>
        </w:rPr>
      </w:pPr>
    </w:p>
    <w:p>
      <w:pPr>
        <w:jc w:val="both"/>
        <w:ind w:firstLine="504"/>
        <w:spacing w:after="0" w:line="264" w:lineRule="auto"/>
        <w:rPr>
          <w:sz w:val="20"/>
          <w:szCs w:val="20"/>
          <w:color w:val="auto"/>
        </w:rPr>
      </w:pPr>
      <w:r>
        <w:rPr>
          <w:rFonts w:ascii="Arial" w:cs="Arial" w:eastAsia="Arial" w:hAnsi="Arial"/>
          <w:sz w:val="20"/>
          <w:szCs w:val="20"/>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2240" w:h="15840" w:orient="portrait"/>
          <w:cols w:equalWidth="0" w:num="1">
            <w:col w:w="9640"/>
          </w:cols>
          <w:pgMar w:left="1300" w:top="1222" w:right="1300" w:bottom="0" w:gutter="0" w:footer="0" w:header="0"/>
          <w:type w:val="continuous"/>
        </w:sectPr>
      </w:pPr>
    </w:p>
    <w:bookmarkStart w:id="51" w:name="page52"/>
    <w:bookmarkEnd w:id="51"/>
    <w:p>
      <w:pPr>
        <w:spacing w:after="0" w:line="297" w:lineRule="auto"/>
        <w:rPr>
          <w:sz w:val="20"/>
          <w:szCs w:val="20"/>
          <w:color w:val="auto"/>
        </w:rPr>
      </w:pPr>
      <w:r>
        <w:rPr>
          <w:rFonts w:ascii="Arial" w:cs="Arial" w:eastAsia="Arial" w:hAnsi="Arial"/>
          <w:sz w:val="20"/>
          <w:szCs w:val="20"/>
          <w:color w:val="auto"/>
        </w:rPr>
        <w:t>fosgonimeton and one or more of our other future product candidates. Our ability to generate revenue and achieve profitability depends significantly on our ability to achieve a number of objectives, including:</w:t>
      </w:r>
    </w:p>
    <w:p>
      <w:pPr>
        <w:spacing w:after="0" w:line="41" w:lineRule="exact"/>
        <w:rPr>
          <w:sz w:val="20"/>
          <w:szCs w:val="20"/>
          <w:color w:val="auto"/>
        </w:rPr>
      </w:pPr>
    </w:p>
    <w:p>
      <w:pPr>
        <w:jc w:val="both"/>
        <w:ind w:left="1000" w:hanging="496"/>
        <w:spacing w:after="0" w:line="253" w:lineRule="auto"/>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successful and timely completion of nonclinical and clinical development of our product candidates and any future product candidates, as well as the associated costs, including any unforeseen costs;</w:t>
      </w:r>
    </w:p>
    <w:p>
      <w:pPr>
        <w:spacing w:after="0" w:line="84" w:lineRule="exact"/>
        <w:rPr>
          <w:rFonts w:ascii="Arial" w:cs="Arial" w:eastAsia="Arial" w:hAnsi="Arial"/>
          <w:sz w:val="21"/>
          <w:szCs w:val="21"/>
          <w:color w:val="auto"/>
        </w:rPr>
      </w:pPr>
    </w:p>
    <w:p>
      <w:pPr>
        <w:jc w:val="both"/>
        <w:ind w:left="1000" w:hanging="496"/>
        <w:spacing w:after="0" w:line="254" w:lineRule="auto"/>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8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timely receipt of marketing approvals from applicable regulatory authorities for any product candidates for which we successfully complete clinical development;</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making any required post-marketing approval commitments to applicable regulatory authorities;</w:t>
      </w:r>
    </w:p>
    <w:p>
      <w:pPr>
        <w:spacing w:after="0" w:line="144" w:lineRule="exact"/>
        <w:rPr>
          <w:rFonts w:ascii="Arial" w:cs="Arial" w:eastAsia="Arial" w:hAnsi="Arial"/>
          <w:sz w:val="20"/>
          <w:szCs w:val="20"/>
          <w:color w:val="auto"/>
        </w:rPr>
      </w:pPr>
    </w:p>
    <w:p>
      <w:pPr>
        <w:ind w:left="1000" w:hanging="496"/>
        <w:spacing w:after="0" w:line="273" w:lineRule="auto"/>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developing an efficient and scalable manufacturing process for our product candidates, including obtaining finished products that are appropriately packaged for sale;</w:t>
      </w:r>
    </w:p>
    <w:p>
      <w:pPr>
        <w:spacing w:after="0" w:line="61" w:lineRule="exact"/>
        <w:rPr>
          <w:rFonts w:ascii="Arial" w:cs="Arial" w:eastAsia="Arial" w:hAnsi="Arial"/>
          <w:sz w:val="21"/>
          <w:szCs w:val="21"/>
          <w:color w:val="auto"/>
        </w:rPr>
      </w:pPr>
    </w:p>
    <w:p>
      <w:pPr>
        <w:jc w:val="both"/>
        <w:ind w:left="1000" w:hanging="496"/>
        <w:spacing w:after="0" w:line="247" w:lineRule="auto"/>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91"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successful commercial launch following any marketing approval, including the development of a commercial infrastructure, whether inhouse or with one or more collaborators;</w:t>
      </w:r>
    </w:p>
    <w:p>
      <w:pPr>
        <w:spacing w:after="0" w:line="64"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a continued acceptable safety profile following any marketing approval of our product candidates;</w:t>
      </w:r>
    </w:p>
    <w:p>
      <w:pPr>
        <w:spacing w:after="0" w:line="61"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commercial acceptance of our product candidates by patients, the medical community and third-party payors;</w:t>
      </w:r>
    </w:p>
    <w:p>
      <w:pPr>
        <w:spacing w:after="0" w:line="62" w:lineRule="exact"/>
        <w:rPr>
          <w:rFonts w:ascii="Arial" w:cs="Arial" w:eastAsia="Arial" w:hAnsi="Arial"/>
          <w:sz w:val="21"/>
          <w:szCs w:val="21"/>
          <w:color w:val="auto"/>
        </w:rPr>
      </w:pPr>
    </w:p>
    <w:p>
      <w:pPr>
        <w:ind w:left="1000" w:hanging="496"/>
        <w:spacing w:after="0"/>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identifying, assessing and developing new product candidates;</w:t>
      </w:r>
    </w:p>
    <w:p>
      <w:pPr>
        <w:spacing w:after="0" w:line="13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obtaining, maintaining and expanding patent protection, trade secret protection and regulatory exclusivity, both in the United States and internationally;</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protecting our rights in our intellectual property portfolio;</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defending against third-party interference or infringement claims, if any;</w:t>
      </w:r>
    </w:p>
    <w:p>
      <w:pPr>
        <w:spacing w:after="0" w:line="132"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negotiating favorable terms in any collaboration, licensing or other arrangements that may be necessary or desirable to develop, manufacture or commercialize our product candidates;</w:t>
      </w:r>
    </w:p>
    <w:p>
      <w:pPr>
        <w:spacing w:after="0" w:line="6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obtaining coverage and adequate reimbursement by hospitals, government and third-party payors for product candidates that we develop;</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addressing any competing therapies and technological and market developments; and</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attracting, hiring and retaining qualified personnel.</w:t>
      </w:r>
    </w:p>
    <w:p>
      <w:pPr>
        <w:spacing w:after="0" w:line="284" w:lineRule="exact"/>
        <w:rPr>
          <w:sz w:val="20"/>
          <w:szCs w:val="20"/>
          <w:color w:val="auto"/>
        </w:rPr>
      </w:pPr>
    </w:p>
    <w:p>
      <w:pPr>
        <w:jc w:val="both"/>
        <w:ind w:firstLine="505"/>
        <w:spacing w:after="0" w:line="242" w:lineRule="auto"/>
        <w:rPr>
          <w:sz w:val="20"/>
          <w:szCs w:val="20"/>
          <w:color w:val="auto"/>
        </w:rPr>
      </w:pPr>
      <w:r>
        <w:rPr>
          <w:rFonts w:ascii="Arial" w:cs="Arial" w:eastAsia="Arial" w:hAnsi="Arial"/>
          <w:sz w:val="21"/>
          <w:szCs w:val="21"/>
          <w:color w:val="auto"/>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49" w:lineRule="exact"/>
        <w:rPr>
          <w:sz w:val="20"/>
          <w:szCs w:val="20"/>
          <w:color w:val="auto"/>
        </w:rPr>
      </w:pPr>
    </w:p>
    <w:p>
      <w:pPr>
        <w:jc w:val="both"/>
        <w:ind w:firstLine="504"/>
        <w:spacing w:after="0" w:line="264" w:lineRule="auto"/>
        <w:rPr>
          <w:sz w:val="20"/>
          <w:szCs w:val="20"/>
          <w:color w:val="auto"/>
        </w:rPr>
      </w:pPr>
      <w:r>
        <w:rPr>
          <w:rFonts w:ascii="Arial" w:cs="Arial" w:eastAsia="Arial" w:hAnsi="Arial"/>
          <w:sz w:val="20"/>
          <w:szCs w:val="20"/>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2240" w:h="15840" w:orient="portrait"/>
          <w:cols w:equalWidth="0" w:num="1">
            <w:col w:w="9640"/>
          </w:cols>
          <w:pgMar w:left="1300" w:top="1226" w:right="1300" w:bottom="0" w:gutter="0" w:footer="0" w:header="0"/>
          <w:type w:val="continuous"/>
        </w:sectPr>
      </w:pPr>
    </w:p>
    <w:bookmarkStart w:id="52" w:name="page53"/>
    <w:bookmarkEnd w:id="52"/>
    <w:p>
      <w:pPr>
        <w:jc w:val="both"/>
        <w:spacing w:after="0" w:line="253" w:lineRule="auto"/>
        <w:rPr>
          <w:sz w:val="20"/>
          <w:szCs w:val="20"/>
          <w:color w:val="auto"/>
        </w:rPr>
      </w:pPr>
      <w:r>
        <w:rPr>
          <w:rFonts w:ascii="Arial" w:cs="Arial" w:eastAsia="Arial" w:hAnsi="Arial"/>
          <w:sz w:val="21"/>
          <w:szCs w:val="21"/>
          <w:color w:val="auto"/>
        </w:rPr>
        <w:t>before implementation, which could delay our clinical trials and product candidate development, and could require additional clinical trials, including bridging studies, to demonstrate consistent and continued safety and efficacy.</w:t>
      </w:r>
    </w:p>
    <w:p>
      <w:pPr>
        <w:spacing w:after="0" w:line="235"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Our development of fosgonimeton may never lead to a marketable product.</w:t>
      </w:r>
    </w:p>
    <w:p>
      <w:pPr>
        <w:spacing w:after="0" w:line="280"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We are developing fosgonimeton as a small molecule aimed at restoring neuronal health. We have not received regulatory approval for fosgonimeton and cannot be certain that our approach will lead to the development of an approvable or marketable product, alone or in combination with other therapies. The primary and all secondary endpoints of the ACT- AD trial were not met by protocoled analysis. While we are continuing with the LIFT-AD study, we may not succeed in demonstrating safety and efficacy of fosgonimeton in our LIFT-AD trial or in other clinical trials.</w:t>
      </w:r>
    </w:p>
    <w:p>
      <w:pPr>
        <w:spacing w:after="0" w:line="249"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color w:val="auto"/>
        </w:rPr>
        <w:t>Advancing fosgonimeton as a small molecule aimed at restoring neuronal health creates significant challenges for us, including:</w:t>
      </w:r>
    </w:p>
    <w:p>
      <w:pPr>
        <w:spacing w:after="0" w:line="63" w:lineRule="exact"/>
        <w:rPr>
          <w:sz w:val="20"/>
          <w:szCs w:val="20"/>
          <w:color w:val="auto"/>
        </w:rPr>
      </w:pPr>
    </w:p>
    <w:p>
      <w:pPr>
        <w:ind w:left="1000" w:hanging="496"/>
        <w:spacing w:after="0"/>
        <w:tabs>
          <w:tab w:leader="none" w:pos="1000" w:val="left"/>
        </w:tabs>
        <w:numPr>
          <w:ilvl w:val="0"/>
          <w:numId w:val="19"/>
        </w:numPr>
        <w:rPr>
          <w:rFonts w:ascii="Arial" w:cs="Arial" w:eastAsia="Arial" w:hAnsi="Arial"/>
          <w:sz w:val="21"/>
          <w:szCs w:val="21"/>
          <w:color w:val="auto"/>
        </w:rPr>
      </w:pPr>
      <w:r>
        <w:rPr>
          <w:rFonts w:ascii="Arial" w:cs="Arial" w:eastAsia="Arial" w:hAnsi="Arial"/>
          <w:sz w:val="21"/>
          <w:szCs w:val="21"/>
          <w:color w:val="auto"/>
        </w:rPr>
        <w:t>obtaining marketing approval;</w:t>
      </w:r>
    </w:p>
    <w:p>
      <w:pPr>
        <w:spacing w:after="0" w:line="132" w:lineRule="exact"/>
        <w:rPr>
          <w:rFonts w:ascii="Arial" w:cs="Arial" w:eastAsia="Arial" w:hAnsi="Arial"/>
          <w:sz w:val="21"/>
          <w:szCs w:val="21"/>
          <w:color w:val="auto"/>
        </w:rPr>
      </w:pPr>
    </w:p>
    <w:p>
      <w:pPr>
        <w:jc w:val="both"/>
        <w:ind w:left="1000" w:hanging="496"/>
        <w:spacing w:after="0" w:line="273" w:lineRule="auto"/>
        <w:tabs>
          <w:tab w:leader="none" w:pos="10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fosgonimeton is approved, educating medical personnel regarding the potential efficacy and safety benefits, as well as the challenges, of incorporating fosgonimeton into existing treatment regimens, including in combination with other treatments for AD or as a monotherapy; and</w:t>
      </w:r>
    </w:p>
    <w:p>
      <w:pPr>
        <w:spacing w:after="0" w:line="43" w:lineRule="exact"/>
        <w:rPr>
          <w:rFonts w:ascii="Arial" w:cs="Arial" w:eastAsia="Arial" w:hAnsi="Arial"/>
          <w:sz w:val="20"/>
          <w:szCs w:val="20"/>
          <w:color w:val="auto"/>
        </w:rPr>
      </w:pPr>
    </w:p>
    <w:p>
      <w:pPr>
        <w:ind w:left="1000" w:hanging="496"/>
        <w:spacing w:after="0" w:line="248" w:lineRule="auto"/>
        <w:tabs>
          <w:tab w:leader="none" w:pos="1000" w:val="left"/>
        </w:tabs>
        <w:numPr>
          <w:ilvl w:val="0"/>
          <w:numId w:val="19"/>
        </w:numPr>
        <w:rPr>
          <w:rFonts w:ascii="Arial" w:cs="Arial" w:eastAsia="Arial" w:hAnsi="Arial"/>
          <w:sz w:val="21"/>
          <w:szCs w:val="21"/>
          <w:color w:val="auto"/>
        </w:rPr>
      </w:pPr>
      <w:r>
        <w:rPr>
          <w:rFonts w:ascii="Arial" w:cs="Arial" w:eastAsia="Arial" w:hAnsi="Arial"/>
          <w:sz w:val="21"/>
          <w:szCs w:val="21"/>
          <w:color w:val="auto"/>
        </w:rPr>
        <w:t>establishing the sales and marketing capabilities upon obtaining any marketing approvals to gain market acceptance.</w:t>
      </w:r>
    </w:p>
    <w:p>
      <w:pPr>
        <w:spacing w:after="0" w:line="236"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Our prospects are highly dependent on the successful development of fosgonimeton. If we do not demonstrate the safety and efficacy of fosgonimeton in our LIFT-AD trial, we may explore strategic alternatives to maximize stockholder value, which could involve, without limitation, exploring the potential for a possible merger, business combination, investment, a purchase, license or other acquisition of assets or return of capital to stockholders.</w:t>
      </w:r>
    </w:p>
    <w:p>
      <w:pPr>
        <w:spacing w:after="0" w:line="228"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0"/>
          <w:szCs w:val="20"/>
          <w:b w:val="1"/>
          <w:bCs w:val="1"/>
          <w:i w:val="1"/>
          <w:iCs w:val="1"/>
          <w:color w:val="auto"/>
        </w:rPr>
        <w:t>Our approach to targeting brain growth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product candidates.</w:t>
      </w:r>
    </w:p>
    <w:p>
      <w:pPr>
        <w:spacing w:after="0" w:line="214" w:lineRule="exact"/>
        <w:rPr>
          <w:sz w:val="20"/>
          <w:szCs w:val="20"/>
          <w:color w:val="auto"/>
        </w:rPr>
      </w:pPr>
    </w:p>
    <w:p>
      <w:pPr>
        <w:jc w:val="both"/>
        <w:ind w:firstLine="504"/>
        <w:spacing w:after="0" w:line="232" w:lineRule="auto"/>
        <w:rPr>
          <w:sz w:val="20"/>
          <w:szCs w:val="20"/>
          <w:color w:val="auto"/>
        </w:rPr>
      </w:pPr>
      <w:r>
        <w:rPr>
          <w:rFonts w:ascii="Arial" w:cs="Arial" w:eastAsia="Arial" w:hAnsi="Arial"/>
          <w:sz w:val="20"/>
          <w:szCs w:val="20"/>
          <w:color w:val="auto"/>
        </w:rPr>
        <w:t>We have discovered and are developing a platform of small molecule product candidates from which we have selected our lead product candidate, fosgonimeton, which is under development to treat AD, Parkinson’s Disease Dementia, or PDD, and Dementia with Lewy Bodies, or DLB. Our product candidates target an endogenous brain growth factor which is expected to protect and repair neuronal networks, which we believe could ultimately result in improvements in clinical outcomes and disease-relevant biomarkers. The therapeutic promise of brain growth factors in neurodegenerative diseases had been hampered in earlier therapies by the lack of efficient and non-invasive delivery to the brain. Our small molecule product</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ectPr>
          <w:pgSz w:w="12240" w:h="15840" w:orient="portrait"/>
          <w:cols w:equalWidth="0" w:num="1">
            <w:col w:w="9640"/>
          </w:cols>
          <w:pgMar w:left="1300" w:top="1226" w:right="1300" w:bottom="0" w:gutter="0" w:footer="0" w:header="0"/>
          <w:type w:val="continuous"/>
        </w:sectPr>
      </w:pPr>
    </w:p>
    <w:bookmarkStart w:id="53" w:name="page54"/>
    <w:bookmarkEnd w:id="53"/>
    <w:p>
      <w:pPr>
        <w:jc w:val="both"/>
        <w:spacing w:after="0" w:line="228" w:lineRule="auto"/>
        <w:rPr>
          <w:sz w:val="20"/>
          <w:szCs w:val="20"/>
          <w:color w:val="auto"/>
        </w:rPr>
      </w:pPr>
      <w:r>
        <w:rPr>
          <w:rFonts w:ascii="Arial" w:cs="Arial" w:eastAsia="Arial" w:hAnsi="Arial"/>
          <w:sz w:val="21"/>
          <w:szCs w:val="21"/>
          <w:color w:val="auto"/>
        </w:rPr>
        <w:t>candidates are designed to penetrate the blood brain barrier and enhance the activity of a brain growth factor, but we cannot be certain of the safety and efficacy of our product candidates in applicable patients or that our clinical trials will provide sufficient evidence that our design approach results in the intended therapeutic effect.</w:t>
      </w:r>
    </w:p>
    <w:p>
      <w:pPr>
        <w:spacing w:after="0" w:line="224" w:lineRule="exact"/>
        <w:rPr>
          <w:sz w:val="20"/>
          <w:szCs w:val="20"/>
          <w:color w:val="auto"/>
        </w:rPr>
      </w:pPr>
    </w:p>
    <w:p>
      <w:pPr>
        <w:jc w:val="both"/>
        <w:ind w:firstLine="504"/>
        <w:spacing w:after="0" w:line="228" w:lineRule="auto"/>
        <w:rPr>
          <w:sz w:val="20"/>
          <w:szCs w:val="20"/>
          <w:color w:val="auto"/>
        </w:rPr>
      </w:pPr>
      <w:r>
        <w:rPr>
          <w:rFonts w:ascii="Arial" w:cs="Arial" w:eastAsia="Arial" w:hAnsi="Arial"/>
          <w:sz w:val="21"/>
          <w:szCs w:val="21"/>
          <w:color w:val="auto"/>
        </w:rPr>
        <w:t>Based on the results of our nonclinical and clinical studies to date, we believe fosgonimeton has the potential to rapidly improve cognition, function and restore the lives of patients suffering from AD. However, these ideas and this approach are novel, and we currently have limited data based on our Phase 1a/b and Phase 2 clinical trials to date.</w:t>
      </w:r>
    </w:p>
    <w:p>
      <w:pPr>
        <w:spacing w:after="0" w:line="223" w:lineRule="exact"/>
        <w:rPr>
          <w:sz w:val="20"/>
          <w:szCs w:val="20"/>
          <w:color w:val="auto"/>
        </w:rPr>
      </w:pPr>
    </w:p>
    <w:p>
      <w:pPr>
        <w:jc w:val="both"/>
        <w:ind w:firstLine="504"/>
        <w:spacing w:after="0" w:line="227" w:lineRule="auto"/>
        <w:rPr>
          <w:sz w:val="20"/>
          <w:szCs w:val="20"/>
          <w:color w:val="auto"/>
        </w:rPr>
      </w:pPr>
      <w:r>
        <w:rPr>
          <w:rFonts w:ascii="Arial" w:cs="Arial" w:eastAsia="Arial" w:hAnsi="Arial"/>
          <w:sz w:val="20"/>
          <w:szCs w:val="20"/>
          <w:color w:val="auto"/>
        </w:rPr>
        <w:t>The primary and all secondary endpoints of our Phase 2 ACT-AD clinical trial were not met by protocoled analysis. A subsequent post hoc analysis of the data in a pre-specified subgroup from patients on fosgonimeton without background therapy, or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Following an unblinded interim efficacy and futility analysis, an independent data monitoring committee recommended continuation of the LIFT-AD study of fosgonimeton in patients with mild-to-moderate AD. The committee also determined that, with the additional enrollment of fewer than 150 patients for a total enrollment of less than 300 patients without background therapy (AChEIs), the study will be well powered for the primary endpoint given the preliminary effect size observed. There is no assurance that the amendments to our ongoing LIFT-AD trial based on our findings from the ACT-AD trial and our interim analyses will ultimately result in a successful trial. For example, our biomarker data may not translate into a statistically significant clinical benefit, FDA may not agree with our statistical plan or analyses, or the trial may not be sufficiently powered for our endpoint measures.</w:t>
      </w:r>
    </w:p>
    <w:p>
      <w:pPr>
        <w:spacing w:after="0" w:line="228" w:lineRule="exact"/>
        <w:rPr>
          <w:sz w:val="20"/>
          <w:szCs w:val="20"/>
          <w:color w:val="auto"/>
        </w:rPr>
      </w:pPr>
    </w:p>
    <w:p>
      <w:pPr>
        <w:jc w:val="both"/>
        <w:ind w:firstLine="504"/>
        <w:spacing w:after="0" w:line="232" w:lineRule="auto"/>
        <w:rPr>
          <w:sz w:val="20"/>
          <w:szCs w:val="20"/>
          <w:color w:val="auto"/>
        </w:rPr>
      </w:pPr>
      <w:r>
        <w:rPr>
          <w:rFonts w:ascii="Arial" w:cs="Arial" w:eastAsia="Arial" w:hAnsi="Arial"/>
          <w:sz w:val="20"/>
          <w:szCs w:val="20"/>
          <w:color w:val="auto"/>
        </w:rPr>
        <w:t>Data from our Phase 1a/1b and Phase 2 clinical trials to date were obtained from a relatively small number of subjects and we cannot be certain that future trials involving a larger number of subjects and clinical sites will yield data in support of the safety, efficacy and tolerability of our product candidates. We may ultimately discover that fosgonimeton, or any of our other small molecules, do not possess certain properties required for therapeutic effectiveness. We have limited evidence regarding the efficacy, safety and tolerability of fosgonimeton and other small molecules in our product platform. We may spend substantial funds attempting to develop these product candidates and never succeed in doing so.</w:t>
      </w:r>
    </w:p>
    <w:p>
      <w:pPr>
        <w:spacing w:after="0" w:line="229" w:lineRule="exact"/>
        <w:rPr>
          <w:sz w:val="20"/>
          <w:szCs w:val="20"/>
          <w:color w:val="auto"/>
        </w:rPr>
      </w:pPr>
    </w:p>
    <w:p>
      <w:pPr>
        <w:jc w:val="both"/>
        <w:ind w:firstLine="504"/>
        <w:spacing w:after="0" w:line="235" w:lineRule="auto"/>
        <w:rPr>
          <w:sz w:val="20"/>
          <w:szCs w:val="20"/>
          <w:color w:val="auto"/>
        </w:rPr>
      </w:pPr>
      <w:r>
        <w:rPr>
          <w:rFonts w:ascii="Arial" w:cs="Arial" w:eastAsia="Arial" w:hAnsi="Arial"/>
          <w:sz w:val="21"/>
          <w:szCs w:val="21"/>
          <w:b w:val="1"/>
          <w:bCs w:val="1"/>
          <w:i w:val="1"/>
          <w:iCs w:val="1"/>
          <w:color w:val="auto"/>
        </w:rPr>
        <w:t>We have concentrated our research and development efforts on the treatment of central and peripheral nervous system degenerative disorders, a field that has seen very limited success in product development.</w:t>
      </w:r>
    </w:p>
    <w:p>
      <w:pPr>
        <w:spacing w:after="0" w:line="235"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We have focused our research and development efforts on addressing central nervous system, or CNS, and peripheral nervous system, or PNS,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53" w:lineRule="exact"/>
        <w:rPr>
          <w:sz w:val="20"/>
          <w:szCs w:val="20"/>
          <w:color w:val="auto"/>
        </w:rPr>
      </w:pPr>
    </w:p>
    <w:p>
      <w:pPr>
        <w:jc w:val="both"/>
        <w:ind w:firstLine="504"/>
        <w:spacing w:after="0" w:line="261" w:lineRule="auto"/>
        <w:rPr>
          <w:sz w:val="20"/>
          <w:szCs w:val="20"/>
          <w:color w:val="auto"/>
        </w:rPr>
      </w:pPr>
      <w:r>
        <w:rPr>
          <w:rFonts w:ascii="Arial" w:cs="Arial" w:eastAsia="Arial" w:hAnsi="Arial"/>
          <w:sz w:val="20"/>
          <w:szCs w:val="20"/>
          <w:b w:val="1"/>
          <w:bCs w:val="1"/>
          <w:i w:val="1"/>
          <w:iCs w:val="1"/>
          <w:color w:val="auto"/>
        </w:rPr>
        <w:t>An independent special committee of our board of directors engaged in a review of papers co-authored by our former chief executive officer in connection with her doctoral research at Washington State University. The special committee’s findings included that (1) our former chief executive officer altered images in her 2011 doctoral dissertation and at least four research papers that she co-authored while a graduate student at Washington State University, and published from</w:t>
      </w:r>
    </w:p>
    <w:p>
      <w:pPr>
        <w:sectPr>
          <w:pgSz w:w="12240" w:h="15840" w:orient="portrait"/>
          <w:cols w:equalWidth="0" w:num="1">
            <w:col w:w="9640"/>
          </w:cols>
          <w:pgMar w:left="1300" w:top="1205" w:right="130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2240" w:h="15840" w:orient="portrait"/>
          <w:cols w:equalWidth="0" w:num="1">
            <w:col w:w="9640"/>
          </w:cols>
          <w:pgMar w:left="1300" w:top="1205" w:right="1300" w:bottom="0" w:gutter="0" w:footer="0" w:header="0"/>
          <w:type w:val="continuous"/>
        </w:sectPr>
      </w:pPr>
    </w:p>
    <w:bookmarkStart w:id="54" w:name="page55"/>
    <w:bookmarkEnd w:id="54"/>
    <w:p>
      <w:pPr>
        <w:jc w:val="both"/>
        <w:spacing w:after="0" w:line="243" w:lineRule="auto"/>
        <w:rPr>
          <w:sz w:val="20"/>
          <w:szCs w:val="20"/>
          <w:color w:val="auto"/>
        </w:rPr>
      </w:pPr>
      <w:r>
        <w:rPr>
          <w:rFonts w:ascii="Arial" w:cs="Arial" w:eastAsia="Arial" w:hAnsi="Arial"/>
          <w:sz w:val="21"/>
          <w:szCs w:val="21"/>
          <w:b w:val="1"/>
          <w:bCs w:val="1"/>
          <w:i w:val="1"/>
          <w:iCs w:val="1"/>
          <w:color w:val="auto"/>
        </w:rPr>
        <w:t>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spacing w:after="0" w:line="238"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p>
    <w:p>
      <w:pPr>
        <w:spacing w:after="0" w:line="242"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product candidates or ongoing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w:t>
      </w:r>
    </w:p>
    <w:p>
      <w:pPr>
        <w:spacing w:after="0" w:line="236" w:lineRule="exact"/>
        <w:rPr>
          <w:sz w:val="20"/>
          <w:szCs w:val="20"/>
          <w:color w:val="auto"/>
        </w:rPr>
      </w:pPr>
    </w:p>
    <w:p>
      <w:pPr>
        <w:jc w:val="both"/>
        <w:ind w:firstLine="504"/>
        <w:spacing w:after="0" w:line="249" w:lineRule="auto"/>
        <w:rPr>
          <w:sz w:val="20"/>
          <w:szCs w:val="20"/>
          <w:color w:val="auto"/>
        </w:rPr>
      </w:pPr>
      <w:r>
        <w:rPr>
          <w:rFonts w:ascii="Arial" w:cs="Arial" w:eastAsia="Arial" w:hAnsi="Arial"/>
          <w:sz w:val="20"/>
          <w:szCs w:val="20"/>
          <w:color w:val="auto"/>
        </w:rPr>
        <w:t>As disclosed elsewhere in this report, including in this “Risk Factors” section under the heading “</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We and certain of our directors and executive officers have been named as defendants in lawsuits that could result in substantial costs and divert management’s attention</w:t>
      </w:r>
      <w:r>
        <w:rPr>
          <w:rFonts w:ascii="Arial" w:cs="Arial" w:eastAsia="Arial" w:hAnsi="Arial"/>
          <w:sz w:val="20"/>
          <w:szCs w:val="20"/>
          <w:color w:val="auto"/>
        </w:rPr>
        <w:t>,” and in “Part I, Item 3—Legal</w:t>
      </w:r>
      <w:r>
        <w:rPr>
          <w:rFonts w:ascii="Arial" w:cs="Arial" w:eastAsia="Arial" w:hAnsi="Arial"/>
          <w:sz w:val="20"/>
          <w:szCs w:val="20"/>
          <w:i w:val="1"/>
          <w:iCs w:val="1"/>
          <w:color w:val="auto"/>
        </w:rPr>
        <w:t xml:space="preserve"> </w:t>
      </w:r>
      <w:r>
        <w:rPr>
          <w:rFonts w:ascii="Arial" w:cs="Arial" w:eastAsia="Arial" w:hAnsi="Arial"/>
          <w:sz w:val="20"/>
          <w:szCs w:val="20"/>
          <w:color w:val="auto"/>
        </w:rPr>
        <w:t>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spacing w:after="0" w:line="200" w:lineRule="exact"/>
        <w:rPr>
          <w:sz w:val="20"/>
          <w:szCs w:val="20"/>
          <w:color w:val="auto"/>
        </w:rPr>
      </w:pPr>
    </w:p>
    <w:p>
      <w:pPr>
        <w:spacing w:after="0" w:line="296"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21"/>
          <w:szCs w:val="21"/>
          <w:b w:val="1"/>
          <w:bCs w:val="1"/>
          <w:i w:val="1"/>
          <w:iCs w:val="1"/>
          <w:color w:val="auto"/>
        </w:rPr>
        <w:t>Washington State University has undertaken a review of claims of potential research misconduct involving our former chief executive officer’s doctoral research at Washington State University.</w:t>
      </w:r>
    </w:p>
    <w:p>
      <w:pPr>
        <w:spacing w:after="0" w:line="222"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understand this review is ongoing, and at this time we cannot predict what, if any, effect the investigation will ultimately have on our business and reputation. We are also unable to predict with any certainty when WSU’s investigation will be completed. It is possible that the ongoing investigation by WSU will come to different conclusions, or uncover additional or different information, than the investigation of the independent special committee of our board of directors, the conclusions of which are discussed under “—</w:t>
      </w:r>
      <w:r>
        <w:rPr>
          <w:rFonts w:ascii="Arial" w:cs="Arial" w:eastAsia="Arial" w:hAnsi="Arial"/>
          <w:sz w:val="20"/>
          <w:szCs w:val="20"/>
          <w:i w:val="1"/>
          <w:iCs w:val="1"/>
          <w:color w:val="auto"/>
        </w:rPr>
        <w:t>An independent special</w:t>
      </w:r>
      <w:r>
        <w:rPr>
          <w:rFonts w:ascii="Arial" w:cs="Arial" w:eastAsia="Arial" w:hAnsi="Arial"/>
          <w:sz w:val="20"/>
          <w:szCs w:val="20"/>
          <w:color w:val="auto"/>
        </w:rPr>
        <w:t xml:space="preserve"> </w:t>
      </w:r>
      <w:r>
        <w:rPr>
          <w:rFonts w:ascii="Arial" w:cs="Arial" w:eastAsia="Arial" w:hAnsi="Arial"/>
          <w:sz w:val="20"/>
          <w:szCs w:val="20"/>
          <w:i w:val="1"/>
          <w:iCs w:val="1"/>
          <w:color w:val="auto"/>
        </w:rPr>
        <w:t>committee of our board of directors engaged in a review of papers co-authored by our former chief executive officer in connection with her doctoral research at Washington State University. The special committee’s</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ectPr>
          <w:pgSz w:w="12240" w:h="15840" w:orient="portrait"/>
          <w:cols w:equalWidth="0" w:num="1">
            <w:col w:w="9640"/>
          </w:cols>
          <w:pgMar w:left="1300" w:top="1230" w:right="1300" w:bottom="0" w:gutter="0" w:footer="0" w:header="0"/>
          <w:type w:val="continuous"/>
        </w:sectPr>
      </w:pPr>
    </w:p>
    <w:bookmarkStart w:id="55" w:name="page56"/>
    <w:bookmarkEnd w:id="55"/>
    <w:p>
      <w:pPr>
        <w:jc w:val="both"/>
        <w:spacing w:after="0" w:line="238" w:lineRule="auto"/>
        <w:rPr>
          <w:sz w:val="20"/>
          <w:szCs w:val="20"/>
          <w:color w:val="auto"/>
        </w:rPr>
      </w:pPr>
      <w:r>
        <w:rPr>
          <w:rFonts w:ascii="Arial" w:cs="Arial" w:eastAsia="Arial" w:hAnsi="Arial"/>
          <w:sz w:val="21"/>
          <w:szCs w:val="21"/>
          <w:i w:val="1"/>
          <w:iCs w:val="1"/>
          <w:color w:val="auto"/>
        </w:rPr>
        <w:t>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Arial" w:cs="Arial" w:eastAsia="Arial" w:hAnsi="Arial"/>
          <w:sz w:val="21"/>
          <w:szCs w:val="21"/>
          <w:color w:val="auto"/>
        </w:rPr>
        <w:t>”. The conclusions from WSU’s investigation could have a material adverse</w:t>
      </w:r>
      <w:r>
        <w:rPr>
          <w:rFonts w:ascii="Arial" w:cs="Arial" w:eastAsia="Arial" w:hAnsi="Arial"/>
          <w:sz w:val="21"/>
          <w:szCs w:val="21"/>
          <w:i w:val="1"/>
          <w:iCs w:val="1"/>
          <w:color w:val="auto"/>
        </w:rPr>
        <w:t xml:space="preserve"> </w:t>
      </w:r>
      <w:r>
        <w:rPr>
          <w:rFonts w:ascii="Arial" w:cs="Arial" w:eastAsia="Arial" w:hAnsi="Arial"/>
          <w:sz w:val="21"/>
          <w:szCs w:val="21"/>
          <w:color w:val="auto"/>
        </w:rPr>
        <w:t>impact on our business, reputation, scientific credibility, and prospects, as well as our in-licensed patents and pending patent applications, current grants and pending grant applications, and our relationship with WSU, from whom we in-license patents and patent applications underlying certain of our product candidates.</w:t>
      </w:r>
    </w:p>
    <w:p>
      <w:pPr>
        <w:sectPr>
          <w:pgSz w:w="12240" w:h="15840" w:orient="portrait"/>
          <w:cols w:equalWidth="0" w:num="1">
            <w:col w:w="9640"/>
          </w:cols>
          <w:pgMar w:left="1300" w:top="12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2240" w:h="15840" w:orient="portrait"/>
          <w:cols w:equalWidth="0" w:num="1">
            <w:col w:w="9640"/>
          </w:cols>
          <w:pgMar w:left="1300" w:top="1234" w:right="1300" w:bottom="0" w:gutter="0" w:footer="0" w:header="0"/>
          <w:type w:val="continuous"/>
        </w:sectPr>
      </w:pPr>
    </w:p>
    <w:bookmarkStart w:id="56" w:name="page57"/>
    <w:bookmarkEnd w:id="56"/>
    <w:p>
      <w:pPr>
        <w:jc w:val="both"/>
        <w:ind w:firstLine="504"/>
        <w:spacing w:after="0" w:line="249" w:lineRule="auto"/>
        <w:rPr>
          <w:sz w:val="20"/>
          <w:szCs w:val="20"/>
          <w:color w:val="auto"/>
        </w:rPr>
      </w:pPr>
      <w:r>
        <w:rPr>
          <w:rFonts w:ascii="Arial" w:cs="Arial" w:eastAsia="Arial" w:hAnsi="Arial"/>
          <w:sz w:val="21"/>
          <w:szCs w:val="21"/>
          <w:b w:val="1"/>
          <w:bCs w:val="1"/>
          <w:i w:val="1"/>
          <w:iCs w:val="1"/>
          <w:color w:val="auto"/>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230"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0"/>
          <w:szCs w:val="20"/>
          <w:color w:val="auto"/>
        </w:rPr>
        <w:t>We are and may in the future be subject to claims, lawsuits, arbitration proceedings, government investigations and other legal, regulatory and administrative proceedings. In November 2022, we received a Civil Investigative Demand from the Civil Division of the Department of Justice, or the Demand. The Demand seeks documents and information relating to our relationship with WSU, certain of our grant applications in 2016 and 2019 with the National Institutes of Health, or NIH, and our receipt of a NIH grant in 2020. We are cooperating with the Department of Justice with respect to the Demand. In February 2023, the Securities and Exchange Commission, or SEC, sent us a subpoena seeking documents and information relating to, among other things, our former chief executive officer’s alteration of images in certain research papers. We are cooperating with the SEC with respect to the subpoena.</w:t>
      </w:r>
    </w:p>
    <w:p>
      <w:pPr>
        <w:spacing w:after="0" w:line="238"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The outcome of these or any other investigations, claims,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247"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259" w:lineRule="exact"/>
        <w:rPr>
          <w:sz w:val="20"/>
          <w:szCs w:val="20"/>
          <w:color w:val="auto"/>
        </w:rPr>
      </w:pPr>
    </w:p>
    <w:p>
      <w:pPr>
        <w:jc w:val="both"/>
        <w:ind w:firstLine="504"/>
        <w:spacing w:after="0" w:line="261" w:lineRule="auto"/>
        <w:rPr>
          <w:sz w:val="20"/>
          <w:szCs w:val="20"/>
          <w:color w:val="auto"/>
        </w:rPr>
      </w:pPr>
      <w:r>
        <w:rPr>
          <w:rFonts w:ascii="Arial" w:cs="Arial" w:eastAsia="Arial" w:hAnsi="Arial"/>
          <w:sz w:val="20"/>
          <w:szCs w:val="20"/>
          <w:b w:val="1"/>
          <w:bCs w:val="1"/>
          <w:i w:val="1"/>
          <w:iCs w:val="1"/>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218"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Our lead product candidate, fosgonimeton, is in clinical development for the potential treatment of AD, PDD and DLB. Our additional early product candidates, including ATH-1105 for ALS, are in preclinical development. It is impossible to predict when or if any of our product candidates will prove to be effective and safe in humans or will receive regulatory approval.</w:t>
      </w:r>
    </w:p>
    <w:p>
      <w:pPr>
        <w:spacing w:after="0" w:line="242" w:lineRule="exact"/>
        <w:rPr>
          <w:sz w:val="20"/>
          <w:szCs w:val="20"/>
          <w:color w:val="auto"/>
        </w:rPr>
      </w:pPr>
    </w:p>
    <w:p>
      <w:pPr>
        <w:jc w:val="both"/>
        <w:ind w:firstLine="504"/>
        <w:spacing w:after="0" w:line="260" w:lineRule="auto"/>
        <w:rPr>
          <w:sz w:val="20"/>
          <w:szCs w:val="20"/>
          <w:color w:val="auto"/>
        </w:rPr>
      </w:pPr>
      <w:r>
        <w:rPr>
          <w:rFonts w:ascii="Arial" w:cs="Arial" w:eastAsia="Arial" w:hAnsi="Arial"/>
          <w:sz w:val="20"/>
          <w:szCs w:val="20"/>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ectPr>
          <w:pgSz w:w="12240" w:h="15840" w:orient="portrait"/>
          <w:cols w:equalWidth="0" w:num="1">
            <w:col w:w="9640"/>
          </w:cols>
          <w:pgMar w:left="1300" w:top="1230" w:right="1300" w:bottom="0" w:gutter="0" w:footer="0" w:header="0"/>
          <w:type w:val="continuous"/>
        </w:sectPr>
      </w:pPr>
    </w:p>
    <w:bookmarkStart w:id="57" w:name="page58"/>
    <w:bookmarkEnd w:id="57"/>
    <w:p>
      <w:pPr>
        <w:jc w:val="both"/>
        <w:spacing w:after="0" w:line="248" w:lineRule="auto"/>
        <w:rPr>
          <w:sz w:val="20"/>
          <w:szCs w:val="20"/>
          <w:color w:val="auto"/>
        </w:rPr>
      </w:pPr>
      <w:r>
        <w:rPr>
          <w:rFonts w:ascii="Arial" w:cs="Arial" w:eastAsia="Arial" w:hAnsi="Arial"/>
          <w:sz w:val="20"/>
          <w:szCs w:val="20"/>
          <w:color w:val="auto"/>
        </w:rPr>
        <w:t>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our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Phase 2 ACT-AD clinical trial, which included a larger patient population, approximately 60% of which were receiving standard-of-care AChEIs, did not meet its primary endpoint of a change in ERP P300 latency for the full study population nor did it meet the secondary endpoints. Although a post hoc analysis of results from ACT-AD in a pre-specified subgroup suggested positive effects on measures of cognition, function and neurodegeneration in patients taking fosgonimeton alone without background acetylcholinesterase inhibitors (AChEIs), we cannot be sure that data from future trials will support our earlier findings or demonstrate the safety and effectiveness of fosgonimeton for treatment of AD to the satisfaction of the FDA in order to support regulatory approval. Likewise, early, smaller -scale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Our ability to achieve regulatory approval for fosgonimeton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66" w:lineRule="exact"/>
        <w:rPr>
          <w:sz w:val="20"/>
          <w:szCs w:val="20"/>
          <w:color w:val="auto"/>
        </w:rPr>
      </w:pPr>
    </w:p>
    <w:p>
      <w:pPr>
        <w:jc w:val="both"/>
        <w:ind w:firstLine="505"/>
        <w:spacing w:after="0" w:line="239" w:lineRule="auto"/>
        <w:rPr>
          <w:sz w:val="20"/>
          <w:szCs w:val="20"/>
          <w:color w:val="auto"/>
        </w:rPr>
      </w:pPr>
      <w:r>
        <w:rPr>
          <w:rFonts w:ascii="Arial" w:cs="Arial" w:eastAsia="Arial" w:hAnsi="Arial"/>
          <w:sz w:val="21"/>
          <w:szCs w:val="21"/>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For example, we believe the topline results of our Phase 2 ACT- AD clinical trial may have differed from the treatment data from our Phase 1a/b clinical trial at least in part due to differences in the patient population and treatment duration, and potential effects from background AChEI treatment. If future trials show that the effect of fosgonimeton when given in combination with add-on standard-of-care AChEIs is diminished, we may be required to seek a narrower indication or restrict our target population to those where fosgonimeton shows a greater effect, which could have a material adverse effect on our business and prospects.</w:t>
      </w:r>
    </w:p>
    <w:p>
      <w:pPr>
        <w:spacing w:after="0" w:line="250"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On July 6, 2021, we announced the initiation of an open-label extension for the LIFT-AD and ACT-AD trials and in May 2022 we announced the extension of the open label extension for an additional 12 months. Following completion of the 26-week treatment period during the LIFT-AD or ACT-AD trials, patients may elect to continue on the open-label extension and receive treatment with fosgonimeton for up to an additional 18 months. Investigators and patients will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ectPr>
          <w:pgSz w:w="12240" w:h="15840" w:orient="portrait"/>
          <w:cols w:equalWidth="0" w:num="1">
            <w:col w:w="9640"/>
          </w:cols>
          <w:pgMar w:left="1300" w:top="1226" w:right="1300" w:bottom="0" w:gutter="0" w:footer="0" w:header="0"/>
          <w:type w:val="continuous"/>
        </w:sectPr>
      </w:pPr>
    </w:p>
    <w:bookmarkStart w:id="58" w:name="page59"/>
    <w:bookmarkEnd w:id="58"/>
    <w:p>
      <w:pPr>
        <w:jc w:val="both"/>
        <w:spacing w:after="0" w:line="242" w:lineRule="auto"/>
        <w:rPr>
          <w:sz w:val="20"/>
          <w:szCs w:val="20"/>
          <w:color w:val="auto"/>
        </w:rPr>
      </w:pPr>
      <w:r>
        <w:rPr>
          <w:rFonts w:ascii="Arial" w:cs="Arial" w:eastAsia="Arial" w:hAnsi="Arial"/>
          <w:sz w:val="21"/>
          <w:szCs w:val="21"/>
          <w:color w:val="auto"/>
        </w:rPr>
        <w:t>any therapeutic effect as patients in open- 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49" w:lineRule="exact"/>
        <w:rPr>
          <w:sz w:val="20"/>
          <w:szCs w:val="20"/>
          <w:color w:val="auto"/>
        </w:rPr>
      </w:pPr>
    </w:p>
    <w:p>
      <w:pPr>
        <w:jc w:val="both"/>
        <w:ind w:firstLine="504"/>
        <w:spacing w:after="0" w:line="264" w:lineRule="auto"/>
        <w:rPr>
          <w:sz w:val="20"/>
          <w:szCs w:val="20"/>
          <w:color w:val="auto"/>
        </w:rPr>
      </w:pPr>
      <w:r>
        <w:rPr>
          <w:rFonts w:ascii="Arial" w:cs="Arial" w:eastAsia="Arial" w:hAnsi="Arial"/>
          <w:sz w:val="20"/>
          <w:szCs w:val="20"/>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73" w:lineRule="exact"/>
        <w:rPr>
          <w:sz w:val="20"/>
          <w:szCs w:val="20"/>
          <w:color w:val="auto"/>
        </w:rPr>
      </w:pPr>
    </w:p>
    <w:p>
      <w:pPr>
        <w:ind w:left="1000" w:hanging="496"/>
        <w:spacing w:after="0" w:line="271" w:lineRule="auto"/>
        <w:tabs>
          <w:tab w:leader="none" w:pos="10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FDA or comparable foreign regulatory authorities disagreeing as to the design or implementation of our clinical trials;</w:t>
      </w:r>
    </w:p>
    <w:p>
      <w:pPr>
        <w:spacing w:after="0" w:line="65"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FDA or comparable foreign regulatory authorities disagreeing with our ATH clinical development strategy or statistical plan;</w:t>
      </w:r>
    </w:p>
    <w:p>
      <w:pPr>
        <w:spacing w:after="0" w:line="62" w:lineRule="exact"/>
        <w:rPr>
          <w:rFonts w:ascii="Arial" w:cs="Arial" w:eastAsia="Arial" w:hAnsi="Arial"/>
          <w:sz w:val="21"/>
          <w:szCs w:val="21"/>
          <w:color w:val="auto"/>
        </w:rPr>
      </w:pPr>
    </w:p>
    <w:p>
      <w:pPr>
        <w:ind w:left="1000" w:hanging="496"/>
        <w:spacing w:after="0"/>
        <w:tabs>
          <w:tab w:leader="none" w:pos="10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changes in governmental regulations or administrative actions;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delays in our ability to commence a clinical trial;</w:t>
      </w:r>
    </w:p>
    <w:p>
      <w:pPr>
        <w:spacing w:after="0" w:line="132" w:lineRule="exact"/>
        <w:rPr>
          <w:rFonts w:ascii="Arial" w:cs="Arial" w:eastAsia="Arial" w:hAnsi="Arial"/>
          <w:sz w:val="21"/>
          <w:szCs w:val="21"/>
          <w:color w:val="auto"/>
        </w:rPr>
      </w:pPr>
    </w:p>
    <w:p>
      <w:pPr>
        <w:jc w:val="both"/>
        <w:ind w:left="1000" w:hanging="496"/>
        <w:spacing w:after="0" w:line="253" w:lineRule="auto"/>
        <w:tabs>
          <w:tab w:leader="none" w:pos="10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84" w:lineRule="exact"/>
        <w:rPr>
          <w:rFonts w:ascii="Arial" w:cs="Arial" w:eastAsia="Arial" w:hAnsi="Arial"/>
          <w:sz w:val="21"/>
          <w:szCs w:val="21"/>
          <w:color w:val="auto"/>
        </w:rPr>
      </w:pPr>
    </w:p>
    <w:p>
      <w:pPr>
        <w:ind w:left="1000" w:hanging="496"/>
        <w:spacing w:after="0"/>
        <w:tabs>
          <w:tab w:leader="none" w:pos="10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obtaining IRB approval at each clinical trial site;</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recruiting an adequate number of suitable patients to participate in a clinical trial;</w:t>
      </w:r>
    </w:p>
    <w:p>
      <w:pPr>
        <w:spacing w:after="0" w:line="131"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number of patients required for clinical trials of our product candidates may be larger than we anticipate;</w:t>
      </w:r>
    </w:p>
    <w:p>
      <w:pPr>
        <w:spacing w:after="0" w:line="64" w:lineRule="exact"/>
        <w:rPr>
          <w:rFonts w:ascii="Arial" w:cs="Arial" w:eastAsia="Arial" w:hAnsi="Arial"/>
          <w:sz w:val="21"/>
          <w:szCs w:val="21"/>
          <w:color w:val="auto"/>
        </w:rPr>
      </w:pPr>
    </w:p>
    <w:p>
      <w:pPr>
        <w:ind w:left="1000" w:hanging="496"/>
        <w:spacing w:after="0"/>
        <w:tabs>
          <w:tab w:leader="none" w:pos="10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having subjects complete a clinical trial or return for post-treatment follow-up;</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clinical trial sites deviating from clinical trial protocol or dropping out of a clinical trial;</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failure to demonstrate a benefit from using a product candidate;</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addressing subject safety concerns that arise during the course of a clinical trial;</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adding a sufficient number of clinical trial sites; or</w:t>
      </w:r>
    </w:p>
    <w:p>
      <w:pPr>
        <w:spacing w:after="0" w:line="131"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obtaining sufficient product supply of product candidate for use in nonclinical studies or clinical trials from third-party suppliers.</w:t>
      </w:r>
    </w:p>
    <w:p>
      <w:pPr>
        <w:spacing w:after="0" w:line="215"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46" w:lineRule="exact"/>
        <w:rPr>
          <w:sz w:val="20"/>
          <w:szCs w:val="20"/>
          <w:color w:val="auto"/>
        </w:rPr>
      </w:pPr>
    </w:p>
    <w:p>
      <w:pPr>
        <w:jc w:val="both"/>
        <w:ind w:firstLine="505"/>
        <w:spacing w:after="0" w:line="253" w:lineRule="auto"/>
        <w:rPr>
          <w:sz w:val="20"/>
          <w:szCs w:val="20"/>
          <w:color w:val="auto"/>
        </w:rPr>
      </w:pPr>
      <w:r>
        <w:rPr>
          <w:rFonts w:ascii="Arial" w:cs="Arial" w:eastAsia="Arial" w:hAnsi="Arial"/>
          <w:sz w:val="20"/>
          <w:szCs w:val="20"/>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2240" w:h="15840" w:orient="portrait"/>
          <w:cols w:equalWidth="0" w:num="1">
            <w:col w:w="9640"/>
          </w:cols>
          <w:pgMar w:left="1300" w:top="1226" w:right="1300" w:bottom="0" w:gutter="0" w:footer="0" w:header="0"/>
          <w:type w:val="continuous"/>
        </w:sectPr>
      </w:pPr>
    </w:p>
    <w:bookmarkStart w:id="59" w:name="page60"/>
    <w:bookmarkEnd w:id="59"/>
    <w:p>
      <w:pPr>
        <w:jc w:val="both"/>
        <w:spacing w:after="0" w:line="242" w:lineRule="auto"/>
        <w:rPr>
          <w:sz w:val="20"/>
          <w:szCs w:val="20"/>
          <w:color w:val="auto"/>
        </w:rPr>
      </w:pPr>
      <w:r>
        <w:rPr>
          <w:rFonts w:ascii="Arial" w:cs="Arial" w:eastAsia="Arial" w:hAnsi="Arial"/>
          <w:sz w:val="21"/>
          <w:szCs w:val="21"/>
          <w:color w:val="auto"/>
        </w:rPr>
        <w:t>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249"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84" w:lineRule="exact"/>
        <w:rPr>
          <w:sz w:val="20"/>
          <w:szCs w:val="20"/>
          <w:color w:val="auto"/>
        </w:rPr>
      </w:pPr>
    </w:p>
    <w:p>
      <w:pPr>
        <w:ind w:left="1000" w:hanging="496"/>
        <w:spacing w:after="0"/>
        <w:tabs>
          <w:tab w:leader="none" w:pos="1000" w:val="left"/>
        </w:tabs>
        <w:numPr>
          <w:ilvl w:val="0"/>
          <w:numId w:val="21"/>
        </w:numPr>
        <w:rPr>
          <w:rFonts w:ascii="Arial" w:cs="Arial" w:eastAsia="Arial" w:hAnsi="Arial"/>
          <w:sz w:val="21"/>
          <w:szCs w:val="21"/>
          <w:color w:val="auto"/>
        </w:rPr>
      </w:pPr>
      <w:r>
        <w:rPr>
          <w:rFonts w:ascii="Arial" w:cs="Arial" w:eastAsia="Arial" w:hAnsi="Arial"/>
          <w:sz w:val="21"/>
          <w:szCs w:val="21"/>
          <w:color w:val="auto"/>
        </w:rPr>
        <w:t>incur unplanned costs;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1"/>
        </w:numPr>
        <w:rPr>
          <w:rFonts w:ascii="Arial" w:cs="Arial" w:eastAsia="Arial" w:hAnsi="Arial"/>
          <w:sz w:val="21"/>
          <w:szCs w:val="21"/>
          <w:color w:val="auto"/>
        </w:rPr>
      </w:pPr>
      <w:r>
        <w:rPr>
          <w:rFonts w:ascii="Arial" w:cs="Arial" w:eastAsia="Arial" w:hAnsi="Arial"/>
          <w:sz w:val="21"/>
          <w:szCs w:val="21"/>
          <w:color w:val="auto"/>
        </w:rPr>
        <w:t>be delayed in or prevented from obtaining marketing approval for our product candidates;</w:t>
      </w:r>
    </w:p>
    <w:p>
      <w:pPr>
        <w:spacing w:after="0" w:line="13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21"/>
        </w:numPr>
        <w:rPr>
          <w:rFonts w:ascii="Arial" w:cs="Arial" w:eastAsia="Arial" w:hAnsi="Arial"/>
          <w:sz w:val="21"/>
          <w:szCs w:val="21"/>
          <w:color w:val="auto"/>
        </w:rPr>
      </w:pPr>
      <w:r>
        <w:rPr>
          <w:rFonts w:ascii="Arial" w:cs="Arial" w:eastAsia="Arial" w:hAnsi="Arial"/>
          <w:sz w:val="21"/>
          <w:szCs w:val="21"/>
          <w:color w:val="auto"/>
        </w:rPr>
        <w:t>obtain approval for indications or patient populations that are not as broad as intended or desired;</w:t>
      </w:r>
    </w:p>
    <w:p>
      <w:pPr>
        <w:spacing w:after="0" w:line="65"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21"/>
        </w:numPr>
        <w:rPr>
          <w:rFonts w:ascii="Arial" w:cs="Arial" w:eastAsia="Arial" w:hAnsi="Arial"/>
          <w:sz w:val="21"/>
          <w:szCs w:val="21"/>
          <w:color w:val="auto"/>
        </w:rPr>
      </w:pPr>
      <w:r>
        <w:rPr>
          <w:rFonts w:ascii="Arial" w:cs="Arial" w:eastAsia="Arial" w:hAnsi="Arial"/>
          <w:sz w:val="21"/>
          <w:szCs w:val="21"/>
          <w:color w:val="auto"/>
        </w:rPr>
        <w:t>obtain approval with labeling that includes significant use or distribution restrictions or safety warnings including boxed warnings;</w:t>
      </w:r>
    </w:p>
    <w:p>
      <w:pPr>
        <w:spacing w:after="0" w:line="62" w:lineRule="exact"/>
        <w:rPr>
          <w:rFonts w:ascii="Arial" w:cs="Arial" w:eastAsia="Arial" w:hAnsi="Arial"/>
          <w:sz w:val="21"/>
          <w:szCs w:val="21"/>
          <w:color w:val="auto"/>
        </w:rPr>
      </w:pPr>
    </w:p>
    <w:p>
      <w:pPr>
        <w:ind w:left="1000" w:hanging="496"/>
        <w:spacing w:after="0"/>
        <w:tabs>
          <w:tab w:leader="none" w:pos="1000" w:val="left"/>
        </w:tabs>
        <w:numPr>
          <w:ilvl w:val="0"/>
          <w:numId w:val="21"/>
        </w:numPr>
        <w:rPr>
          <w:rFonts w:ascii="Arial" w:cs="Arial" w:eastAsia="Arial" w:hAnsi="Arial"/>
          <w:sz w:val="21"/>
          <w:szCs w:val="21"/>
          <w:color w:val="auto"/>
        </w:rPr>
      </w:pPr>
      <w:r>
        <w:rPr>
          <w:rFonts w:ascii="Arial" w:cs="Arial" w:eastAsia="Arial" w:hAnsi="Arial"/>
          <w:sz w:val="21"/>
          <w:szCs w:val="21"/>
          <w:color w:val="auto"/>
        </w:rPr>
        <w:t>be subject to changes in the way the product is administered;</w:t>
      </w:r>
    </w:p>
    <w:p>
      <w:pPr>
        <w:spacing w:after="0" w:line="13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21"/>
        </w:numPr>
        <w:rPr>
          <w:rFonts w:ascii="Arial" w:cs="Arial" w:eastAsia="Arial" w:hAnsi="Arial"/>
          <w:sz w:val="21"/>
          <w:szCs w:val="21"/>
          <w:color w:val="auto"/>
        </w:rPr>
      </w:pPr>
      <w:r>
        <w:rPr>
          <w:rFonts w:ascii="Arial" w:cs="Arial" w:eastAsia="Arial" w:hAnsi="Arial"/>
          <w:sz w:val="21"/>
          <w:szCs w:val="21"/>
          <w:color w:val="auto"/>
        </w:rPr>
        <w:t>be required to perform additional clinical trials to support approval or be subject to additional post-marketing testing requirements;</w:t>
      </w:r>
    </w:p>
    <w:p>
      <w:pPr>
        <w:spacing w:after="0" w:line="65"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21"/>
        </w:numPr>
        <w:rPr>
          <w:rFonts w:ascii="Arial" w:cs="Arial" w:eastAsia="Arial" w:hAnsi="Arial"/>
          <w:sz w:val="21"/>
          <w:szCs w:val="21"/>
          <w:color w:val="auto"/>
        </w:rPr>
      </w:pPr>
      <w:r>
        <w:rPr>
          <w:rFonts w:ascii="Arial" w:cs="Arial" w:eastAsia="Arial" w:hAnsi="Arial"/>
          <w:sz w:val="21"/>
          <w:szCs w:val="21"/>
          <w:color w:val="auto"/>
        </w:rPr>
        <w:t>have regulatory authorities withdraw their approval of the product or impose restrictions on its distribution in the form of a modified risk evaluation and mitigation strategy, or REMS;</w:t>
      </w:r>
    </w:p>
    <w:p>
      <w:pPr>
        <w:spacing w:after="0" w:line="62" w:lineRule="exact"/>
        <w:rPr>
          <w:rFonts w:ascii="Arial" w:cs="Arial" w:eastAsia="Arial" w:hAnsi="Arial"/>
          <w:sz w:val="21"/>
          <w:szCs w:val="21"/>
          <w:color w:val="auto"/>
        </w:rPr>
      </w:pPr>
    </w:p>
    <w:p>
      <w:pPr>
        <w:ind w:left="1000" w:hanging="496"/>
        <w:spacing w:after="0"/>
        <w:tabs>
          <w:tab w:leader="none" w:pos="1000" w:val="left"/>
        </w:tabs>
        <w:numPr>
          <w:ilvl w:val="0"/>
          <w:numId w:val="21"/>
        </w:numPr>
        <w:rPr>
          <w:rFonts w:ascii="Arial" w:cs="Arial" w:eastAsia="Arial" w:hAnsi="Arial"/>
          <w:sz w:val="21"/>
          <w:szCs w:val="21"/>
          <w:color w:val="auto"/>
        </w:rPr>
      </w:pPr>
      <w:r>
        <w:rPr>
          <w:rFonts w:ascii="Arial" w:cs="Arial" w:eastAsia="Arial" w:hAnsi="Arial"/>
          <w:sz w:val="21"/>
          <w:szCs w:val="21"/>
          <w:color w:val="auto"/>
        </w:rPr>
        <w:t>be subject to the addition of labeling statements, such as warnings or contraindications;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1"/>
        </w:numPr>
        <w:rPr>
          <w:rFonts w:ascii="Arial" w:cs="Arial" w:eastAsia="Arial" w:hAnsi="Arial"/>
          <w:sz w:val="21"/>
          <w:szCs w:val="21"/>
          <w:color w:val="auto"/>
        </w:rPr>
      </w:pPr>
      <w:r>
        <w:rPr>
          <w:rFonts w:ascii="Arial" w:cs="Arial" w:eastAsia="Arial" w:hAnsi="Arial"/>
          <w:sz w:val="21"/>
          <w:szCs w:val="21"/>
          <w:color w:val="auto"/>
        </w:rPr>
        <w:t>be sued; or</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1"/>
        </w:numPr>
        <w:rPr>
          <w:rFonts w:ascii="Arial" w:cs="Arial" w:eastAsia="Arial" w:hAnsi="Arial"/>
          <w:sz w:val="21"/>
          <w:szCs w:val="21"/>
          <w:color w:val="auto"/>
        </w:rPr>
      </w:pPr>
      <w:r>
        <w:rPr>
          <w:rFonts w:ascii="Arial" w:cs="Arial" w:eastAsia="Arial" w:hAnsi="Arial"/>
          <w:sz w:val="21"/>
          <w:szCs w:val="21"/>
          <w:color w:val="auto"/>
        </w:rPr>
        <w:t>experience damage to our reputation.</w:t>
      </w:r>
    </w:p>
    <w:p>
      <w:pPr>
        <w:spacing w:after="0" w:line="276" w:lineRule="exact"/>
        <w:rPr>
          <w:sz w:val="20"/>
          <w:szCs w:val="20"/>
          <w:color w:val="auto"/>
        </w:rPr>
      </w:pPr>
    </w:p>
    <w:p>
      <w:pPr>
        <w:jc w:val="both"/>
        <w:ind w:firstLine="504"/>
        <w:spacing w:after="0" w:line="243" w:lineRule="auto"/>
        <w:rPr>
          <w:sz w:val="20"/>
          <w:szCs w:val="20"/>
          <w:color w:val="auto"/>
        </w:rPr>
      </w:pPr>
      <w:r>
        <w:rPr>
          <w:rFonts w:ascii="Arial" w:cs="Arial" w:eastAsia="Arial" w:hAnsi="Arial"/>
          <w:sz w:val="21"/>
          <w:szCs w:val="21"/>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20" w:lineRule="exact"/>
        <w:rPr>
          <w:sz w:val="20"/>
          <w:szCs w:val="20"/>
          <w:color w:val="auto"/>
        </w:rPr>
      </w:pPr>
    </w:p>
    <w:p>
      <w:pPr>
        <w:jc w:val="both"/>
        <w:ind w:firstLine="504"/>
        <w:spacing w:after="0" w:line="226" w:lineRule="auto"/>
        <w:rPr>
          <w:sz w:val="20"/>
          <w:szCs w:val="20"/>
          <w:color w:val="auto"/>
        </w:rPr>
      </w:pPr>
      <w:r>
        <w:rPr>
          <w:rFonts w:ascii="Arial" w:cs="Arial" w:eastAsia="Arial" w:hAnsi="Arial"/>
          <w:sz w:val="21"/>
          <w:szCs w:val="21"/>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47" w:lineRule="exact"/>
        <w:rPr>
          <w:sz w:val="20"/>
          <w:szCs w:val="20"/>
          <w:color w:val="auto"/>
        </w:rPr>
      </w:pPr>
    </w:p>
    <w:p>
      <w:pPr>
        <w:jc w:val="both"/>
        <w:ind w:firstLine="510"/>
        <w:spacing w:after="0" w:line="227" w:lineRule="auto"/>
        <w:rPr>
          <w:sz w:val="20"/>
          <w:szCs w:val="20"/>
          <w:color w:val="auto"/>
        </w:rPr>
      </w:pPr>
      <w:r>
        <w:rPr>
          <w:rFonts w:ascii="Arial" w:cs="Arial" w:eastAsia="Arial" w:hAnsi="Arial"/>
          <w:sz w:val="21"/>
          <w:szCs w:val="21"/>
          <w:color w:val="auto"/>
        </w:rPr>
        <w:t>From time to time, we may also disclose interim data from our nonclinical studies and clinical trials. For example, in October 2022 we announced that an independent data monitoring committee had conducted an unblinded interim efficacy and futility analysis with respect to our Phase 2/3 LIFT-AD clinical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ectPr>
          <w:pgSz w:w="12240" w:h="15840" w:orient="portrait"/>
          <w:cols w:equalWidth="0" w:num="1">
            <w:col w:w="9640"/>
          </w:cols>
          <w:pgMar w:left="1300" w:top="1226" w:right="1300" w:bottom="0" w:gutter="0" w:footer="0" w:header="0"/>
          <w:type w:val="continuous"/>
        </w:sectPr>
      </w:pPr>
    </w:p>
    <w:bookmarkStart w:id="60" w:name="page61"/>
    <w:bookmarkEnd w:id="60"/>
    <w:p>
      <w:pPr>
        <w:jc w:val="both"/>
        <w:ind w:firstLine="510"/>
        <w:spacing w:after="0" w:line="225" w:lineRule="auto"/>
        <w:rPr>
          <w:sz w:val="20"/>
          <w:szCs w:val="20"/>
          <w:color w:val="auto"/>
        </w:rPr>
      </w:pPr>
      <w:r>
        <w:rPr>
          <w:rFonts w:ascii="Arial" w:cs="Arial" w:eastAsia="Arial" w:hAnsi="Arial"/>
          <w:sz w:val="21"/>
          <w:szCs w:val="21"/>
          <w:color w:val="auto"/>
        </w:rPr>
        <w:t>Additionally, we rely on data received from clinical trials, whether preliminary or final, to inform decisions on future clinical trials, including trial design, trial size, and whether or not to initiate additional clinical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and expect to use these data to help inform strategic decisions in the future around current clinical trials and any additional trials that we may initiate. Topline results are based on a preliminary analysis of then-available data, and a more comprehensive and full review of the data may result in different conclusions, which could have a negative impact on our decisions regarding any additional trials for fosgonimeton. There is no assurance that the amendments to our ongoing LIFT-AD trial based on our findings from the ACT-AD trial and our interim analysis of the LIFT-AD trial will ultimately result in a successful trial. For example, our biomarker data may not translate into a statistically significant clinical benefit, the FDA may not agree with our statistical plan or analyses, or the trial may not be sufficiently powered for our endpoint measures.</w:t>
      </w:r>
    </w:p>
    <w:p>
      <w:pPr>
        <w:spacing w:after="0" w:line="248" w:lineRule="exact"/>
        <w:rPr>
          <w:sz w:val="20"/>
          <w:szCs w:val="20"/>
          <w:color w:val="auto"/>
        </w:rPr>
      </w:pPr>
    </w:p>
    <w:p>
      <w:pPr>
        <w:jc w:val="both"/>
        <w:ind w:firstLine="511"/>
        <w:spacing w:after="0" w:line="238" w:lineRule="auto"/>
        <w:rPr>
          <w:sz w:val="20"/>
          <w:szCs w:val="20"/>
          <w:color w:val="auto"/>
        </w:rPr>
      </w:pPr>
      <w:r>
        <w:rPr>
          <w:rFonts w:ascii="Arial" w:cs="Arial" w:eastAsia="Arial" w:hAnsi="Arial"/>
          <w:sz w:val="20"/>
          <w:szCs w:val="20"/>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42"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b w:val="1"/>
          <w:bCs w:val="1"/>
          <w:i w:val="1"/>
          <w:iCs w:val="1"/>
          <w:color w:val="auto"/>
        </w:rPr>
        <w:t>If we experience delays or difficulties in the enrollment or retention of patients in clinical trials, our regulatory submissions or receipt of necessary marketing approvals could be delayed or prevented.</w:t>
      </w:r>
    </w:p>
    <w:p>
      <w:pPr>
        <w:spacing w:after="0" w:line="222" w:lineRule="exact"/>
        <w:rPr>
          <w:sz w:val="20"/>
          <w:szCs w:val="20"/>
          <w:color w:val="auto"/>
        </w:rPr>
      </w:pPr>
    </w:p>
    <w:p>
      <w:pPr>
        <w:jc w:val="both"/>
        <w:ind w:firstLine="504"/>
        <w:spacing w:after="0" w:line="227" w:lineRule="auto"/>
        <w:rPr>
          <w:sz w:val="20"/>
          <w:szCs w:val="20"/>
          <w:color w:val="auto"/>
        </w:rPr>
      </w:pPr>
      <w:r>
        <w:rPr>
          <w:rFonts w:ascii="Arial" w:cs="Arial" w:eastAsia="Arial" w:hAnsi="Arial"/>
          <w:sz w:val="21"/>
          <w:szCs w:val="21"/>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p>
    <w:p>
      <w:pPr>
        <w:spacing w:after="0" w:line="235"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0"/>
          <w:szCs w:val="20"/>
          <w:color w:val="auto"/>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fosgonimeton could be negatively impacted. For example, enrollment in our ongoing clinical trials had slowed due to the effects of the COVID-19 pandemic, including governmental restrictions imposed in Australia, where certain of our clinical trial sites are located. In our ACT-AD clinical trial, this slowed recruitment resulted in a change in the timing of topline results from our Phase 2 ACT-AD clinical trial, which were announced in June 2022. We cannot ensure that similar enrollment issues will not occur again in the future. Even if we are successful in enrolling the targeted number of subjects in our trials, the FDA and other regulators may request additional clinical trials with larger numbers of subjects as a condition to any regulatory approval.</w:t>
      </w:r>
    </w:p>
    <w:p>
      <w:pPr>
        <w:spacing w:after="0" w:line="245" w:lineRule="exact"/>
        <w:rPr>
          <w:sz w:val="20"/>
          <w:szCs w:val="20"/>
          <w:color w:val="auto"/>
        </w:rPr>
      </w:pPr>
    </w:p>
    <w:p>
      <w:pPr>
        <w:jc w:val="both"/>
        <w:ind w:firstLine="504"/>
        <w:spacing w:after="0" w:line="260" w:lineRule="auto"/>
        <w:rPr>
          <w:sz w:val="20"/>
          <w:szCs w:val="20"/>
          <w:color w:val="auto"/>
        </w:rPr>
      </w:pPr>
      <w:r>
        <w:rPr>
          <w:rFonts w:ascii="Arial" w:cs="Arial" w:eastAsia="Arial" w:hAnsi="Arial"/>
          <w:sz w:val="20"/>
          <w:szCs w:val="20"/>
          <w:color w:val="auto"/>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w:t>
      </w:r>
    </w:p>
    <w:p>
      <w:pPr>
        <w:sectPr>
          <w:pgSz w:w="12240" w:h="15840" w:orient="portrait"/>
          <w:cols w:equalWidth="0" w:num="1">
            <w:col w:w="9640"/>
          </w:cols>
          <w:pgMar w:left="1300" w:top="1214" w:right="130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ectPr>
          <w:pgSz w:w="12240" w:h="15840" w:orient="portrait"/>
          <w:cols w:equalWidth="0" w:num="1">
            <w:col w:w="9640"/>
          </w:cols>
          <w:pgMar w:left="1300" w:top="1214" w:right="1300" w:bottom="0" w:gutter="0" w:footer="0" w:header="0"/>
          <w:type w:val="continuous"/>
        </w:sectPr>
      </w:pPr>
    </w:p>
    <w:bookmarkStart w:id="61" w:name="page62"/>
    <w:bookmarkEnd w:id="61"/>
    <w:p>
      <w:pPr>
        <w:jc w:val="both"/>
        <w:spacing w:after="0" w:line="242" w:lineRule="auto"/>
        <w:rPr>
          <w:sz w:val="20"/>
          <w:szCs w:val="20"/>
          <w:color w:val="auto"/>
        </w:rPr>
      </w:pPr>
      <w:r>
        <w:rPr>
          <w:rFonts w:ascii="Arial" w:cs="Arial" w:eastAsia="Arial" w:hAnsi="Arial"/>
          <w:sz w:val="21"/>
          <w:szCs w:val="21"/>
          <w:color w:val="auto"/>
        </w:rPr>
        <w:t>any reason, we may be required to recruit more sites or more participants than we initially thought. Enrollment delays or other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52"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21"/>
          <w:szCs w:val="21"/>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222"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253"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Product candidates that we may successfully develop and commercialize will compete with existing therapies and new therapies that may become available in the future. For example, the FDA recently granted accelerated approval for lecanemab, a drug developed by Biogen Inc. and Eisai Co., Ltd., and Eli Lilly and Company is also developing product candidates for Alzheimer's disease.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Business—Competition” in this report.</w:t>
      </w:r>
    </w:p>
    <w:p>
      <w:pPr>
        <w:spacing w:after="0" w:line="248"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21"/>
          <w:szCs w:val="21"/>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22"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ectPr>
          <w:pgSz w:w="12240" w:h="15840" w:orient="portrait"/>
          <w:cols w:equalWidth="0" w:num="1">
            <w:col w:w="9640"/>
          </w:cols>
          <w:pgMar w:left="1300" w:top="1226" w:right="1300" w:bottom="0" w:gutter="0" w:footer="0" w:header="0"/>
          <w:type w:val="continuous"/>
        </w:sectPr>
      </w:pPr>
    </w:p>
    <w:bookmarkStart w:id="62" w:name="page63"/>
    <w:bookmarkEnd w:id="62"/>
    <w:p>
      <w:pPr>
        <w:jc w:val="both"/>
        <w:ind w:firstLine="504"/>
        <w:spacing w:after="0" w:line="277" w:lineRule="auto"/>
        <w:rPr>
          <w:sz w:val="20"/>
          <w:szCs w:val="20"/>
          <w:color w:val="auto"/>
        </w:rPr>
      </w:pPr>
      <w:r>
        <w:rPr>
          <w:rFonts w:ascii="Arial" w:cs="Arial" w:eastAsia="Arial" w:hAnsi="Arial"/>
          <w:sz w:val="21"/>
          <w:szCs w:val="21"/>
          <w:b w:val="1"/>
          <w:bCs w:val="1"/>
          <w:i w:val="1"/>
          <w:iCs w:val="1"/>
          <w:color w:val="auto"/>
        </w:rPr>
        <w:t>We may develop product candidates in combination with other therapies, which exposes us to additional risks.</w:t>
      </w:r>
    </w:p>
    <w:p>
      <w:pPr>
        <w:spacing w:after="0" w:line="200"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253"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53"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21"/>
          <w:szCs w:val="21"/>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22"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237"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The success of other future product candidates we may develop will depend on many factors, including the following:</w:t>
      </w:r>
    </w:p>
    <w:p>
      <w:pPr>
        <w:spacing w:after="0" w:line="65" w:lineRule="exact"/>
        <w:rPr>
          <w:sz w:val="20"/>
          <w:szCs w:val="20"/>
          <w:color w:val="auto"/>
        </w:rPr>
      </w:pPr>
    </w:p>
    <w:p>
      <w:pPr>
        <w:ind w:left="1000" w:hanging="496"/>
        <w:spacing w:after="0"/>
        <w:tabs>
          <w:tab w:leader="none" w:pos="1000" w:val="left"/>
        </w:tabs>
        <w:numPr>
          <w:ilvl w:val="0"/>
          <w:numId w:val="22"/>
        </w:numPr>
        <w:rPr>
          <w:rFonts w:ascii="Arial" w:cs="Arial" w:eastAsia="Arial" w:hAnsi="Arial"/>
          <w:sz w:val="21"/>
          <w:szCs w:val="21"/>
          <w:color w:val="auto"/>
        </w:rPr>
      </w:pPr>
      <w:r>
        <w:rPr>
          <w:rFonts w:ascii="Arial" w:cs="Arial" w:eastAsia="Arial" w:hAnsi="Arial"/>
          <w:sz w:val="21"/>
          <w:szCs w:val="21"/>
          <w:color w:val="auto"/>
        </w:rPr>
        <w:t>generating sufficient data to support the initiation or continuation of clinical trials;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2"/>
        </w:numPr>
        <w:rPr>
          <w:rFonts w:ascii="Arial" w:cs="Arial" w:eastAsia="Arial" w:hAnsi="Arial"/>
          <w:sz w:val="21"/>
          <w:szCs w:val="21"/>
          <w:color w:val="auto"/>
        </w:rPr>
      </w:pPr>
      <w:r>
        <w:rPr>
          <w:rFonts w:ascii="Arial" w:cs="Arial" w:eastAsia="Arial" w:hAnsi="Arial"/>
          <w:sz w:val="21"/>
          <w:szCs w:val="21"/>
          <w:color w:val="auto"/>
        </w:rPr>
        <w:t>obtaining regulatory permission to initiate clinical trials;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2"/>
        </w:numPr>
        <w:rPr>
          <w:rFonts w:ascii="Arial" w:cs="Arial" w:eastAsia="Arial" w:hAnsi="Arial"/>
          <w:sz w:val="21"/>
          <w:szCs w:val="21"/>
          <w:color w:val="auto"/>
        </w:rPr>
      </w:pPr>
      <w:r>
        <w:rPr>
          <w:rFonts w:ascii="Arial" w:cs="Arial" w:eastAsia="Arial" w:hAnsi="Arial"/>
          <w:sz w:val="21"/>
          <w:szCs w:val="21"/>
          <w:color w:val="auto"/>
        </w:rPr>
        <w:t>contracting with the necessary parties to conduct clinical trials;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2"/>
        </w:numPr>
        <w:rPr>
          <w:rFonts w:ascii="Arial" w:cs="Arial" w:eastAsia="Arial" w:hAnsi="Arial"/>
          <w:sz w:val="21"/>
          <w:szCs w:val="21"/>
          <w:color w:val="auto"/>
        </w:rPr>
      </w:pPr>
      <w:r>
        <w:rPr>
          <w:rFonts w:ascii="Arial" w:cs="Arial" w:eastAsia="Arial" w:hAnsi="Arial"/>
          <w:sz w:val="21"/>
          <w:szCs w:val="21"/>
          <w:color w:val="auto"/>
        </w:rPr>
        <w:t>successful enrollment of patients in, and the completion of, clinical trials on a timely basis;</w:t>
      </w:r>
    </w:p>
    <w:p>
      <w:pPr>
        <w:spacing w:after="0" w:line="13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timely manufacture of sufficient quantities of the product candidate for use in clinical trials; and</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22"/>
        </w:numPr>
        <w:rPr>
          <w:rFonts w:ascii="Arial" w:cs="Arial" w:eastAsia="Arial" w:hAnsi="Arial"/>
          <w:sz w:val="21"/>
          <w:szCs w:val="21"/>
          <w:color w:val="auto"/>
        </w:rPr>
      </w:pPr>
      <w:r>
        <w:rPr>
          <w:rFonts w:ascii="Arial" w:cs="Arial" w:eastAsia="Arial" w:hAnsi="Arial"/>
          <w:sz w:val="21"/>
          <w:szCs w:val="21"/>
          <w:color w:val="auto"/>
        </w:rPr>
        <w:t>adverse events in the clinical trials.</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ectPr>
          <w:pgSz w:w="12240" w:h="15840" w:orient="portrait"/>
          <w:cols w:equalWidth="0" w:num="1">
            <w:col w:w="9640"/>
          </w:cols>
          <w:pgMar w:left="1300" w:top="1230" w:right="1300" w:bottom="0" w:gutter="0" w:footer="0" w:header="0"/>
          <w:type w:val="continuous"/>
        </w:sectPr>
      </w:pPr>
    </w:p>
    <w:bookmarkStart w:id="63" w:name="page64"/>
    <w:bookmarkEnd w:id="63"/>
    <w:p>
      <w:pPr>
        <w:jc w:val="both"/>
        <w:ind w:firstLine="505"/>
        <w:spacing w:after="0" w:line="244" w:lineRule="auto"/>
        <w:rPr>
          <w:sz w:val="20"/>
          <w:szCs w:val="20"/>
          <w:color w:val="auto"/>
        </w:rPr>
      </w:pPr>
      <w:r>
        <w:rPr>
          <w:rFonts w:ascii="Arial" w:cs="Arial" w:eastAsia="Arial" w:hAnsi="Arial"/>
          <w:sz w:val="21"/>
          <w:szCs w:val="21"/>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49" w:lineRule="exact"/>
        <w:rPr>
          <w:sz w:val="20"/>
          <w:szCs w:val="20"/>
          <w:color w:val="auto"/>
        </w:rPr>
      </w:pPr>
    </w:p>
    <w:p>
      <w:pPr>
        <w:jc w:val="both"/>
        <w:ind w:firstLine="504"/>
        <w:spacing w:after="0" w:line="249" w:lineRule="auto"/>
        <w:rPr>
          <w:sz w:val="20"/>
          <w:szCs w:val="20"/>
          <w:color w:val="auto"/>
        </w:rPr>
      </w:pPr>
      <w:r>
        <w:rPr>
          <w:rFonts w:ascii="Arial" w:cs="Arial" w:eastAsia="Arial" w:hAnsi="Arial"/>
          <w:sz w:val="21"/>
          <w:szCs w:val="21"/>
          <w:b w:val="1"/>
          <w:bCs w:val="1"/>
          <w:i w:val="1"/>
          <w:iCs w:val="1"/>
          <w:color w:val="auto"/>
        </w:rPr>
        <w:t>We have conducted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230"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50"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49"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21"/>
          <w:szCs w:val="21"/>
          <w:b w:val="1"/>
          <w:bCs w:val="1"/>
          <w:i w:val="1"/>
          <w:iCs w:val="1"/>
          <w:color w:val="auto"/>
        </w:rPr>
        <w:t>The loss of any of our key personnel could significantly harm our business, results of operations and competitive position.</w:t>
      </w:r>
    </w:p>
    <w:p>
      <w:pPr>
        <w:spacing w:after="0" w:line="200"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intense. The loss of one or more of these key employees, or our inability to hire additional key personnel when needed, could have a material adverse effect on our business and prospects.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auto"/>
        </w:rPr>
        <w:t>Risks Relating to COVID-19 and Other Health Epidemics</w:t>
      </w:r>
    </w:p>
    <w:p>
      <w:pPr>
        <w:spacing w:after="0" w:line="292"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21"/>
          <w:szCs w:val="21"/>
          <w:b w:val="1"/>
          <w:bCs w:val="1"/>
          <w:i w:val="1"/>
          <w:iCs w:val="1"/>
          <w:color w:val="auto"/>
        </w:rPr>
        <w:t>The continuing and potential effects of the novel coronavirus disease, or COVID-19, pandemic and other disease outbreaks could adversely impact our business, including our nonclinical studies and clinical trials.</w:t>
      </w:r>
    </w:p>
    <w:p>
      <w:pPr>
        <w:spacing w:after="0" w:line="222"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The COVID-19 pandemic and government measures taken in response had a significant impact, both direct and indirect, on businesses and commerce, including worker shortages, supply chain disruptions, facility and production suspensions, and fluctuations in demand for certain goods and services, such as medical services and supplies. In response to the spread of COVID-19, we temporarily closed our executive offices and limited the number of staff in our research and development laboratory spaces. While at this time our offices and laboratory spaces have been reopened at full capacity, a resurgence in cases of COVID -19 or another disease outbreak could occur, which could cause us to again close down our facilities or take other measures in response. In particular, new and highly contagious variants of COVID-19 could continue to emerge and spread quickly throughout certain areas of the United States and elsewhere, and at this point we are unable to determine when and to what extent any such resurgence will affect our business. In addition, a number of our clinical trial sites have in the past been and could in the future be subject to restrictions related to COVID-19 that adversely affect their operations. While COVID-19-related restrictions have been eased in many of our clinical trial sites, new restrictions could in the future be imposed, whether in response to an outbreak of a new variant of COVID-19 or any similar outbreak. While</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ectPr>
          <w:pgSz w:w="12240" w:h="15840" w:orient="portrait"/>
          <w:cols w:equalWidth="0" w:num="1">
            <w:col w:w="9640"/>
          </w:cols>
          <w:pgMar w:left="1300" w:top="1226" w:right="1300" w:bottom="0" w:gutter="0" w:footer="0" w:header="0"/>
          <w:type w:val="continuous"/>
        </w:sectPr>
      </w:pPr>
    </w:p>
    <w:bookmarkStart w:id="64" w:name="page65"/>
    <w:bookmarkEnd w:id="64"/>
    <w:p>
      <w:pPr>
        <w:jc w:val="both"/>
        <w:spacing w:after="0" w:line="253" w:lineRule="auto"/>
        <w:rPr>
          <w:sz w:val="20"/>
          <w:szCs w:val="20"/>
          <w:color w:val="auto"/>
        </w:rPr>
      </w:pPr>
      <w:r>
        <w:rPr>
          <w:rFonts w:ascii="Arial" w:cs="Arial" w:eastAsia="Arial" w:hAnsi="Arial"/>
          <w:sz w:val="21"/>
          <w:szCs w:val="21"/>
          <w:color w:val="auto"/>
        </w:rPr>
        <w:t>the extent of the continuing impact of the COVID-19 pandemic on our business and financial results is uncertain, a surge in cases of COVID-19 or diseases could have a material negative impact on our business, financial condition and operating results.</w:t>
      </w:r>
    </w:p>
    <w:p>
      <w:pPr>
        <w:spacing w:after="0" w:line="235"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We may in the future experience disruptions that could severely impact our business, nonclinical studies and clinical trials as a result of the COVID-19 pandemic or other disease outbreaks. Such disruptions may include:</w:t>
      </w:r>
    </w:p>
    <w:p>
      <w:pPr>
        <w:spacing w:after="0" w:line="84" w:lineRule="exact"/>
        <w:rPr>
          <w:sz w:val="20"/>
          <w:szCs w:val="20"/>
          <w:color w:val="auto"/>
        </w:rPr>
      </w:pPr>
    </w:p>
    <w:p>
      <w:pPr>
        <w:jc w:val="both"/>
        <w:ind w:left="1000" w:hanging="496"/>
        <w:spacing w:after="0" w:line="253" w:lineRule="auto"/>
        <w:tabs>
          <w:tab w:leader="none" w:pos="10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delays or difficulties in enrolling and retaining patients in our clinical trials, particularly elderly subjects, who may be at a higher risk of severe illness or death, which can be further complicated by the presence of comorbidities that are often present in AD subjects;</w:t>
      </w:r>
    </w:p>
    <w:p>
      <w:pPr>
        <w:spacing w:after="0" w:line="84"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difficulties interpreting data from our clinical trials due to the possible effects of such diseases on cognition of the subjects enrolled in our clinical trials;</w:t>
      </w:r>
    </w:p>
    <w:p>
      <w:pPr>
        <w:spacing w:after="0" w:line="64"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delays or difficulties in clinical site initiation, including difficulties in recruiting clinical site investigators and clinical site staff;</w:t>
      </w:r>
    </w:p>
    <w:p>
      <w:pPr>
        <w:spacing w:after="0" w:line="65" w:lineRule="exact"/>
        <w:rPr>
          <w:rFonts w:ascii="Arial" w:cs="Arial" w:eastAsia="Arial" w:hAnsi="Arial"/>
          <w:sz w:val="21"/>
          <w:szCs w:val="21"/>
          <w:color w:val="auto"/>
        </w:rPr>
      </w:pPr>
    </w:p>
    <w:p>
      <w:pPr>
        <w:jc w:val="both"/>
        <w:ind w:left="1000" w:hanging="496"/>
        <w:spacing w:after="0" w:line="254" w:lineRule="auto"/>
        <w:tabs>
          <w:tab w:leader="none" w:pos="10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diversion of healthcare resources away from the conduct of clinical trials, including the diversion of hospitals serving as our clinical trial sites and hospital staff supporting the conduct of our clinical trials;</w:t>
      </w:r>
    </w:p>
    <w:p>
      <w:pPr>
        <w:spacing w:after="0" w:line="82" w:lineRule="exact"/>
        <w:rPr>
          <w:rFonts w:ascii="Arial" w:cs="Arial" w:eastAsia="Arial" w:hAnsi="Arial"/>
          <w:sz w:val="21"/>
          <w:szCs w:val="21"/>
          <w:color w:val="auto"/>
        </w:rPr>
      </w:pPr>
    </w:p>
    <w:p>
      <w:pPr>
        <w:jc w:val="both"/>
        <w:ind w:left="1000" w:hanging="496"/>
        <w:spacing w:after="0" w:line="244" w:lineRule="auto"/>
        <w:tabs>
          <w:tab w:leader="none" w:pos="10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93"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interruption or delays in the operations of the FDA or other regulatory authorities, which may impact review and approval timelines;</w:t>
      </w:r>
    </w:p>
    <w:p>
      <w:pPr>
        <w:spacing w:after="0" w:line="62" w:lineRule="exact"/>
        <w:rPr>
          <w:rFonts w:ascii="Arial" w:cs="Arial" w:eastAsia="Arial" w:hAnsi="Arial"/>
          <w:sz w:val="21"/>
          <w:szCs w:val="21"/>
          <w:color w:val="auto"/>
        </w:rPr>
      </w:pPr>
    </w:p>
    <w:p>
      <w:pPr>
        <w:jc w:val="both"/>
        <w:ind w:left="1000" w:hanging="496"/>
        <w:spacing w:after="0" w:line="253" w:lineRule="auto"/>
        <w:tabs>
          <w:tab w:leader="none" w:pos="10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interruption of, or delays in receiving, supplies of our product candidates from our contract manufacturing organizations due to staffing shortages, production slowdowns or stoppages and disruptions in delivery systems;</w:t>
      </w:r>
    </w:p>
    <w:p>
      <w:pPr>
        <w:spacing w:after="0" w:line="84" w:lineRule="exact"/>
        <w:rPr>
          <w:rFonts w:ascii="Arial" w:cs="Arial" w:eastAsia="Arial" w:hAnsi="Arial"/>
          <w:sz w:val="21"/>
          <w:szCs w:val="21"/>
          <w:color w:val="auto"/>
        </w:rPr>
      </w:pPr>
    </w:p>
    <w:p>
      <w:pPr>
        <w:ind w:left="1000" w:hanging="496"/>
        <w:spacing w:after="0"/>
        <w:tabs>
          <w:tab w:leader="none" w:pos="10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interruptions in nonclinical studies due to restricted or limited operations at our laboratory facility;</w:t>
      </w:r>
    </w:p>
    <w:p>
      <w:pPr>
        <w:spacing w:after="0" w:line="144" w:lineRule="exact"/>
        <w:rPr>
          <w:rFonts w:ascii="Arial" w:cs="Arial" w:eastAsia="Arial" w:hAnsi="Arial"/>
          <w:sz w:val="20"/>
          <w:szCs w:val="20"/>
          <w:color w:val="auto"/>
        </w:rPr>
      </w:pPr>
    </w:p>
    <w:p>
      <w:pPr>
        <w:jc w:val="both"/>
        <w:ind w:left="1000" w:hanging="496"/>
        <w:spacing w:after="0" w:line="253" w:lineRule="auto"/>
        <w:tabs>
          <w:tab w:leader="none" w:pos="10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84"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interruptions, difficulties or delays arising in our existing operations and company culture as a result of some or all of our employees working remotely;</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interruption or delays to our sourced discovery and clinical activities; and</w:t>
      </w:r>
    </w:p>
    <w:p>
      <w:pPr>
        <w:spacing w:after="0" w:line="132"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changes in clinical site procedures and requirements as well as regulatory requirements for conducting clinical trials during the pandemic.</w:t>
      </w:r>
    </w:p>
    <w:p>
      <w:pPr>
        <w:spacing w:after="0" w:line="215"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In the event of a resurgence of COVID-19 or the emergence of new disease outbreaks, we could be required to develop and implement additional clinical trial policies and procedures designed to help protect subjects from such diseases. Since March 2020, the FDA has issued various COVID-19 related guidance documents for sponsors and manufacturers, including guidance on conducting clinical trials during the pandemic, and guidance on good manufacturing practice considerations among others. Recently, President Biden announced that the administration intends to end the COVID-19 national and public health emergencies on May 11, 2023. The full impact of the termination of the public health emergencies on FDA and other regulatory policies and operations are unclear.</w:t>
      </w:r>
    </w:p>
    <w:p>
      <w:pPr>
        <w:spacing w:after="0" w:line="251" w:lineRule="exact"/>
        <w:rPr>
          <w:sz w:val="20"/>
          <w:szCs w:val="20"/>
          <w:color w:val="auto"/>
        </w:rPr>
      </w:pPr>
    </w:p>
    <w:p>
      <w:pPr>
        <w:jc w:val="both"/>
        <w:ind w:firstLine="504"/>
        <w:spacing w:after="0" w:line="298" w:lineRule="auto"/>
        <w:rPr>
          <w:sz w:val="20"/>
          <w:szCs w:val="20"/>
          <w:color w:val="auto"/>
        </w:rPr>
      </w:pPr>
      <w:r>
        <w:rPr>
          <w:rFonts w:ascii="Arial" w:cs="Arial" w:eastAsia="Arial" w:hAnsi="Arial"/>
          <w:sz w:val="20"/>
          <w:szCs w:val="20"/>
          <w:color w:val="auto"/>
        </w:rPr>
        <w:t>The trading prices for shares of biopharmaceutical companies have in the past been and could in the future be highly volatile as a result of the COVID-19 pandemic or other disease outbreaks, and the trading</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ectPr>
          <w:pgSz w:w="12240" w:h="15840" w:orient="portrait"/>
          <w:cols w:equalWidth="0" w:num="1">
            <w:col w:w="9640"/>
          </w:cols>
          <w:pgMar w:left="1300" w:top="1226" w:right="1300" w:bottom="0" w:gutter="0" w:footer="0" w:header="0"/>
          <w:type w:val="continuous"/>
        </w:sectPr>
      </w:pPr>
    </w:p>
    <w:bookmarkStart w:id="65" w:name="page66"/>
    <w:bookmarkEnd w:id="65"/>
    <w:p>
      <w:pPr>
        <w:jc w:val="both"/>
        <w:spacing w:after="0" w:line="244" w:lineRule="auto"/>
        <w:rPr>
          <w:sz w:val="20"/>
          <w:szCs w:val="20"/>
          <w:color w:val="auto"/>
        </w:rPr>
      </w:pPr>
      <w:r>
        <w:rPr>
          <w:rFonts w:ascii="Arial" w:cs="Arial" w:eastAsia="Arial" w:hAnsi="Arial"/>
          <w:sz w:val="21"/>
          <w:szCs w:val="21"/>
          <w:color w:val="auto"/>
        </w:rPr>
        <w:t>prices for shares of our common stock could also experience high volatility. In the event of a resurgence of COVID-19 or the emergence of new disease outbreaks, we could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245"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The ultimate impact of a resurgence of COVID-19 or other disease outbreaks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auto"/>
        </w:rPr>
        <w:t>Risks Relating to Our Financial Position and Capital Needs</w:t>
      </w:r>
    </w:p>
    <w:p>
      <w:pPr>
        <w:spacing w:after="0" w:line="291"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21"/>
          <w:szCs w:val="21"/>
          <w:b w:val="1"/>
          <w:bCs w:val="1"/>
          <w:i w:val="1"/>
          <w:iCs w:val="1"/>
          <w:color w:val="auto"/>
        </w:rPr>
        <w:t>We have incurred significant losses since our inception and anticipate that we will continue to incur significant losses for the foreseeable future.</w:t>
      </w:r>
    </w:p>
    <w:p>
      <w:pPr>
        <w:spacing w:after="0" w:line="200"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We have not generated any revenue from product sales and our product candidates will require substantial additional investment before they may provide us with any revenue. We had net losses of $95.6 million and $54.9 million for the years ended December 31, 2022 and 2021</w:t>
      </w:r>
      <w:r>
        <w:rPr>
          <w:rFonts w:ascii="Arial" w:cs="Arial" w:eastAsia="Arial" w:hAnsi="Arial"/>
          <w:sz w:val="21"/>
          <w:szCs w:val="21"/>
          <w:color w:val="121212"/>
        </w:rPr>
        <w:t>, respectively, and an</w:t>
      </w:r>
      <w:r>
        <w:rPr>
          <w:rFonts w:ascii="Arial" w:cs="Arial" w:eastAsia="Arial" w:hAnsi="Arial"/>
          <w:sz w:val="21"/>
          <w:szCs w:val="21"/>
          <w:color w:val="auto"/>
        </w:rPr>
        <w:t xml:space="preserve"> </w:t>
      </w:r>
      <w:r>
        <w:rPr>
          <w:rFonts w:ascii="Arial" w:cs="Arial" w:eastAsia="Arial" w:hAnsi="Arial"/>
          <w:sz w:val="21"/>
          <w:szCs w:val="21"/>
          <w:color w:val="121212"/>
        </w:rPr>
        <w:t>accumulated deficit of $191.5 million as of December 31, 2022.</w:t>
      </w:r>
    </w:p>
    <w:p>
      <w:pPr>
        <w:spacing w:after="0" w:line="242"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121212"/>
        </w:rPr>
        <w:t xml:space="preserve">We have devoted most of our financial resources to research and development, including our clinical and nonclinical development </w:t>
      </w:r>
      <w:r>
        <w:rPr>
          <w:rFonts w:ascii="Arial" w:cs="Arial" w:eastAsia="Arial" w:hAnsi="Arial"/>
          <w:sz w:val="21"/>
          <w:szCs w:val="21"/>
          <w:color w:val="000000"/>
        </w:rPr>
        <w:t>activities. To date, we have financed our operations primarily with proceeds</w:t>
      </w:r>
      <w:r>
        <w:rPr>
          <w:rFonts w:ascii="Arial" w:cs="Arial" w:eastAsia="Arial" w:hAnsi="Arial"/>
          <w:sz w:val="21"/>
          <w:szCs w:val="21"/>
          <w:color w:val="121212"/>
        </w:rPr>
        <w:t xml:space="preserve"> </w:t>
      </w:r>
      <w:r>
        <w:rPr>
          <w:rFonts w:ascii="Arial" w:cs="Arial" w:eastAsia="Arial" w:hAnsi="Arial"/>
          <w:sz w:val="21"/>
          <w:szCs w:val="21"/>
          <w:color w:val="000000"/>
        </w:rPr>
        <w:t>from the sale and issuance of common stock, convertible preferred stock, common stock warrants, and convertible notes, and to a lesser extent from grant income and stock option exercises.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We expect to incur significant expenses and increasing operating losses for the foreseeable future as</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we:</w:t>
      </w:r>
    </w:p>
    <w:p>
      <w:pPr>
        <w:spacing w:after="0" w:line="107" w:lineRule="exact"/>
        <w:rPr>
          <w:sz w:val="20"/>
          <w:szCs w:val="20"/>
          <w:color w:val="auto"/>
        </w:rPr>
      </w:pPr>
    </w:p>
    <w:p>
      <w:pPr>
        <w:ind w:left="1000" w:hanging="496"/>
        <w:spacing w:after="0"/>
        <w:tabs>
          <w:tab w:leader="none" w:pos="1000" w:val="left"/>
        </w:tabs>
        <w:numPr>
          <w:ilvl w:val="0"/>
          <w:numId w:val="24"/>
        </w:numPr>
        <w:rPr>
          <w:rFonts w:ascii="Arial" w:cs="Arial" w:eastAsia="Arial" w:hAnsi="Arial"/>
          <w:sz w:val="21"/>
          <w:szCs w:val="21"/>
          <w:color w:val="auto"/>
        </w:rPr>
      </w:pPr>
      <w:r>
        <w:rPr>
          <w:rFonts w:ascii="Arial" w:cs="Arial" w:eastAsia="Arial" w:hAnsi="Arial"/>
          <w:sz w:val="21"/>
          <w:szCs w:val="21"/>
          <w:color w:val="auto"/>
        </w:rPr>
        <w:t>continue our research and nonclinical and clinical development of our product candidates;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4"/>
        </w:numPr>
        <w:rPr>
          <w:rFonts w:ascii="Arial" w:cs="Arial" w:eastAsia="Arial" w:hAnsi="Arial"/>
          <w:sz w:val="21"/>
          <w:szCs w:val="21"/>
          <w:color w:val="auto"/>
        </w:rPr>
      </w:pPr>
      <w:r>
        <w:rPr>
          <w:rFonts w:ascii="Arial" w:cs="Arial" w:eastAsia="Arial" w:hAnsi="Arial"/>
          <w:sz w:val="21"/>
          <w:szCs w:val="21"/>
          <w:color w:val="auto"/>
        </w:rPr>
        <w:t>expand the scope of our clinical studies for our current and prospective product candidates;</w:t>
      </w:r>
    </w:p>
    <w:p>
      <w:pPr>
        <w:spacing w:after="0" w:line="131" w:lineRule="exact"/>
        <w:rPr>
          <w:rFonts w:ascii="Arial" w:cs="Arial" w:eastAsia="Arial" w:hAnsi="Arial"/>
          <w:sz w:val="21"/>
          <w:szCs w:val="21"/>
          <w:color w:val="auto"/>
        </w:rPr>
      </w:pPr>
    </w:p>
    <w:p>
      <w:pPr>
        <w:jc w:val="both"/>
        <w:ind w:left="1000" w:hanging="496"/>
        <w:spacing w:after="0" w:line="247" w:lineRule="auto"/>
        <w:tabs>
          <w:tab w:leader="none" w:pos="1000" w:val="left"/>
        </w:tabs>
        <w:numPr>
          <w:ilvl w:val="0"/>
          <w:numId w:val="24"/>
        </w:numPr>
        <w:rPr>
          <w:rFonts w:ascii="Arial" w:cs="Arial" w:eastAsia="Arial" w:hAnsi="Arial"/>
          <w:sz w:val="21"/>
          <w:szCs w:val="21"/>
          <w:color w:val="auto"/>
        </w:rPr>
      </w:pPr>
      <w:r>
        <w:rPr>
          <w:rFonts w:ascii="Arial" w:cs="Arial" w:eastAsia="Arial" w:hAnsi="Arial"/>
          <w:sz w:val="21"/>
          <w:szCs w:val="21"/>
          <w:color w:val="auto"/>
        </w:rPr>
        <w:t>initiate additional nonclinical, clinical or other studies for our product candidates, including any potentially pivotal trials with respect to fosgonimeton for the treatment of mild-to-moderate AD in addition to LIFT-AD, and further extend the open label extension of the ACT-AD and LIFT-AD trials;</w:t>
      </w:r>
    </w:p>
    <w:p>
      <w:pPr>
        <w:spacing w:after="0" w:line="91"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24"/>
        </w:numPr>
        <w:rPr>
          <w:rFonts w:ascii="Arial" w:cs="Arial" w:eastAsia="Arial" w:hAnsi="Arial"/>
          <w:sz w:val="21"/>
          <w:szCs w:val="21"/>
          <w:color w:val="auto"/>
        </w:rPr>
      </w:pPr>
      <w:r>
        <w:rPr>
          <w:rFonts w:ascii="Arial" w:cs="Arial" w:eastAsia="Arial" w:hAnsi="Arial"/>
          <w:sz w:val="21"/>
          <w:szCs w:val="21"/>
          <w:color w:val="auto"/>
        </w:rPr>
        <w:t>change or add additional manufacturers or suppliers and manufacture drug supply and drug product for clinical trials and commercialization;</w:t>
      </w:r>
    </w:p>
    <w:p>
      <w:pPr>
        <w:spacing w:after="0" w:line="6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24"/>
        </w:numPr>
        <w:rPr>
          <w:rFonts w:ascii="Arial" w:cs="Arial" w:eastAsia="Arial" w:hAnsi="Arial"/>
          <w:sz w:val="21"/>
          <w:szCs w:val="21"/>
          <w:color w:val="auto"/>
        </w:rPr>
      </w:pPr>
      <w:r>
        <w:rPr>
          <w:rFonts w:ascii="Arial" w:cs="Arial" w:eastAsia="Arial" w:hAnsi="Arial"/>
          <w:sz w:val="21"/>
          <w:szCs w:val="21"/>
          <w:color w:val="auto"/>
        </w:rPr>
        <w:t>seek regulatory and marketing approvals for any of our product candidates that successfully complete clinical trials;</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24"/>
        </w:numPr>
        <w:rPr>
          <w:rFonts w:ascii="Arial" w:cs="Arial" w:eastAsia="Arial" w:hAnsi="Arial"/>
          <w:sz w:val="21"/>
          <w:szCs w:val="21"/>
          <w:color w:val="auto"/>
        </w:rPr>
      </w:pPr>
      <w:r>
        <w:rPr>
          <w:rFonts w:ascii="Arial" w:cs="Arial" w:eastAsia="Arial" w:hAnsi="Arial"/>
          <w:sz w:val="21"/>
          <w:szCs w:val="21"/>
          <w:color w:val="auto"/>
        </w:rPr>
        <w:t>attract, hire and retain additional personnel;</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4"/>
        </w:numPr>
        <w:rPr>
          <w:rFonts w:ascii="Arial" w:cs="Arial" w:eastAsia="Arial" w:hAnsi="Arial"/>
          <w:sz w:val="21"/>
          <w:szCs w:val="21"/>
          <w:color w:val="auto"/>
        </w:rPr>
      </w:pPr>
      <w:r>
        <w:rPr>
          <w:rFonts w:ascii="Arial" w:cs="Arial" w:eastAsia="Arial" w:hAnsi="Arial"/>
          <w:sz w:val="21"/>
          <w:szCs w:val="21"/>
          <w:color w:val="auto"/>
        </w:rPr>
        <w:t>operate as a public company;</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ectPr>
          <w:pgSz w:w="12240" w:h="15840" w:orient="portrait"/>
          <w:cols w:equalWidth="0" w:num="1">
            <w:col w:w="9640"/>
          </w:cols>
          <w:pgMar w:left="1300" w:top="1226" w:right="1300" w:bottom="0" w:gutter="0" w:footer="0" w:header="0"/>
          <w:type w:val="continuous"/>
        </w:sectPr>
      </w:pPr>
    </w:p>
    <w:bookmarkStart w:id="66" w:name="page67"/>
    <w:bookmarkEnd w:id="66"/>
    <w:p>
      <w:pPr>
        <w:ind w:left="1000" w:hanging="496"/>
        <w:spacing w:after="0"/>
        <w:tabs>
          <w:tab w:leader="none" w:pos="10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continue to expand our facilities and lab space;</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seek to identify and validate additional product candidates;</w:t>
      </w:r>
    </w:p>
    <w:p>
      <w:pPr>
        <w:spacing w:after="0" w:line="13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acquire or in-license other product candidates and technologies or engage in other strategic transactions;</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make milestone or other payments under our in-license or other agreements;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maintain, protect and expand our intellectual property portfolio;</w:t>
      </w:r>
    </w:p>
    <w:p>
      <w:pPr>
        <w:spacing w:after="0" w:line="132"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establish a sales, marketing and distribution infrastructure to commercialize any products for which we may obtain marketing approval;</w:t>
      </w:r>
    </w:p>
    <w:p>
      <w:pPr>
        <w:spacing w:after="0" w:line="61"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create additional infrastructure to support our operations and our product development and planned future commercialization efforts;</w:t>
      </w:r>
    </w:p>
    <w:p>
      <w:pPr>
        <w:spacing w:after="0" w:line="62"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incur expenses in connection with legal proceedings, and addressing potential stockholder activism; and</w:t>
      </w:r>
    </w:p>
    <w:p>
      <w:pPr>
        <w:spacing w:after="0" w:line="64" w:lineRule="exact"/>
        <w:rPr>
          <w:rFonts w:ascii="Arial" w:cs="Arial" w:eastAsia="Arial" w:hAnsi="Arial"/>
          <w:sz w:val="21"/>
          <w:szCs w:val="21"/>
          <w:color w:val="auto"/>
        </w:rPr>
      </w:pPr>
    </w:p>
    <w:p>
      <w:pPr>
        <w:ind w:left="1000" w:hanging="496"/>
        <w:spacing w:after="0"/>
        <w:tabs>
          <w:tab w:leader="none" w:pos="10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experience any delays or encounter issues with any of the above.</w:t>
      </w:r>
    </w:p>
    <w:p>
      <w:pPr>
        <w:spacing w:after="0" w:line="284"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cs="Arial" w:eastAsia="Arial" w:hAnsi="Arial"/>
          <w:sz w:val="21"/>
          <w:szCs w:val="21"/>
          <w:color w:val="121212"/>
        </w:rPr>
        <w:t>studies</w:t>
      </w:r>
      <w:r>
        <w:rPr>
          <w:rFonts w:ascii="Arial" w:cs="Arial" w:eastAsia="Arial" w:hAnsi="Arial"/>
          <w:sz w:val="21"/>
          <w:szCs w:val="21"/>
          <w:color w:val="auto"/>
        </w:rPr>
        <w:t xml:space="preserve"> in addition to those that we currently anticipate. Our prior losses, combined with expected future losses, have had and will continue to have an adverse effect on our stockholders’ equity.</w:t>
      </w:r>
    </w:p>
    <w:p>
      <w:pPr>
        <w:spacing w:after="0" w:line="249" w:lineRule="exact"/>
        <w:rPr>
          <w:sz w:val="20"/>
          <w:szCs w:val="20"/>
          <w:color w:val="auto"/>
        </w:rPr>
      </w:pPr>
    </w:p>
    <w:p>
      <w:pPr>
        <w:jc w:val="both"/>
        <w:ind w:firstLine="504"/>
        <w:spacing w:after="0" w:line="249" w:lineRule="auto"/>
        <w:rPr>
          <w:sz w:val="20"/>
          <w:szCs w:val="20"/>
          <w:color w:val="auto"/>
        </w:rPr>
      </w:pPr>
      <w:r>
        <w:rPr>
          <w:rFonts w:ascii="Arial" w:cs="Arial" w:eastAsia="Arial" w:hAnsi="Arial"/>
          <w:sz w:val="21"/>
          <w:szCs w:val="21"/>
          <w:b w:val="1"/>
          <w:bCs w:val="1"/>
          <w:i w:val="1"/>
          <w:iCs w:val="1"/>
          <w:color w:val="auto"/>
        </w:rPr>
        <w:t>We will require substantial additional funding to finance our operations, complete the development and commercialization of fosgonimeton, and develop and commercialize other and future product candidates. If we are unable to raise this funding when needed, we may be forced to delay, reduce, or eliminate our product development programs or other operations.</w:t>
      </w:r>
    </w:p>
    <w:p>
      <w:pPr>
        <w:spacing w:after="0" w:line="230"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fosgonimeton. Developing fosgonimeton and conducting clinical trials for the treatment of AD, PDD, DLB, and any other indications that we may pursue in the future will require substantial amounts of capital. In addition, if we </w:t>
      </w:r>
      <w:r>
        <w:rPr>
          <w:rFonts w:ascii="Arial" w:cs="Arial" w:eastAsia="Arial" w:hAnsi="Arial"/>
          <w:sz w:val="21"/>
          <w:szCs w:val="21"/>
          <w:color w:val="121212"/>
        </w:rPr>
        <w:t>obtain marketing approval for fosgonimeton or any future product candidates, we</w:t>
      </w:r>
      <w:r>
        <w:rPr>
          <w:rFonts w:ascii="Arial" w:cs="Arial" w:eastAsia="Arial" w:hAnsi="Arial"/>
          <w:sz w:val="21"/>
          <w:szCs w:val="21"/>
          <w:color w:val="auto"/>
        </w:rPr>
        <w:t xml:space="preserve"> </w:t>
      </w:r>
      <w:r>
        <w:rPr>
          <w:rFonts w:ascii="Arial" w:cs="Arial" w:eastAsia="Arial" w:hAnsi="Arial"/>
          <w:sz w:val="21"/>
          <w:szCs w:val="21"/>
          <w:color w:val="121212"/>
        </w:rPr>
        <w:t>expect to incur significant commercialization expenses related to sales, marketing, manufacturing, and distribution. Furthermore, we expect to continue to incur additional costs associated with operating as a public company.</w:t>
      </w:r>
    </w:p>
    <w:p>
      <w:pPr>
        <w:spacing w:after="0" w:line="247"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Accordingly, we will need to obtain substantial additional funding in connection with our continuing operations. As of December 31, 2022, we had cash, cash equivalents and investments of $245.2 million. Based upon our current operating plan, we estimate that our existing cash, cash equivalents and investments will be sufficient to fund our operating expenses and capital expenditure requirements through at least the next 12 months following the date of this report.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47"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color w:val="121212"/>
        </w:rPr>
        <w:t xml:space="preserve">The </w:t>
      </w:r>
      <w:r>
        <w:rPr>
          <w:rFonts w:ascii="Arial" w:cs="Arial" w:eastAsia="Arial" w:hAnsi="Arial"/>
          <w:sz w:val="21"/>
          <w:szCs w:val="21"/>
          <w:color w:val="000000"/>
        </w:rPr>
        <w:t>amount and timing of our future funding requirements depends on many factors, some of which</w:t>
      </w:r>
      <w:r>
        <w:rPr>
          <w:rFonts w:ascii="Arial" w:cs="Arial" w:eastAsia="Arial" w:hAnsi="Arial"/>
          <w:sz w:val="21"/>
          <w:szCs w:val="21"/>
          <w:color w:val="121212"/>
        </w:rPr>
        <w:t xml:space="preserve"> </w:t>
      </w:r>
      <w:r>
        <w:rPr>
          <w:rFonts w:ascii="Arial" w:cs="Arial" w:eastAsia="Arial" w:hAnsi="Arial"/>
          <w:sz w:val="21"/>
          <w:szCs w:val="21"/>
          <w:color w:val="000000"/>
        </w:rPr>
        <w:t>are outside of our control, including but not limited to:</w:t>
      </w:r>
    </w:p>
    <w:p>
      <w:pPr>
        <w:spacing w:after="0" w:line="64" w:lineRule="exact"/>
        <w:rPr>
          <w:sz w:val="20"/>
          <w:szCs w:val="20"/>
          <w:color w:val="auto"/>
        </w:rPr>
      </w:pPr>
    </w:p>
    <w:p>
      <w:pPr>
        <w:jc w:val="both"/>
        <w:ind w:left="1000" w:hanging="496"/>
        <w:spacing w:after="0" w:line="298" w:lineRule="auto"/>
        <w:tabs>
          <w:tab w:leader="none" w:pos="10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progress, costs, clinical trial design, results of and timing of our LIFT-AD trial and other clinical trials of fosgonimeton, including for potential additional indications that we are pursuing</w:t>
      </w:r>
    </w:p>
    <w:p>
      <w:pPr>
        <w:sectPr>
          <w:pgSz w:w="12240" w:h="15840" w:orient="portrait"/>
          <w:cols w:equalWidth="0" w:num="1">
            <w:col w:w="9640"/>
          </w:cols>
          <w:pgMar w:left="130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ectPr>
          <w:pgSz w:w="12240" w:h="15840" w:orient="portrait"/>
          <w:cols w:equalWidth="0" w:num="1">
            <w:col w:w="9640"/>
          </w:cols>
          <w:pgMar w:left="1300" w:top="1240" w:right="1300" w:bottom="0" w:gutter="0" w:footer="0" w:header="0"/>
          <w:type w:val="continuous"/>
        </w:sectPr>
      </w:pPr>
    </w:p>
    <w:bookmarkStart w:id="67" w:name="page68"/>
    <w:bookmarkEnd w:id="67"/>
    <w:p>
      <w:pPr>
        <w:ind w:left="1000"/>
        <w:spacing w:after="0" w:line="271" w:lineRule="auto"/>
        <w:rPr>
          <w:sz w:val="20"/>
          <w:szCs w:val="20"/>
          <w:color w:val="auto"/>
        </w:rPr>
      </w:pPr>
      <w:r>
        <w:rPr>
          <w:rFonts w:ascii="Arial" w:cs="Arial" w:eastAsia="Arial" w:hAnsi="Arial"/>
          <w:sz w:val="21"/>
          <w:szCs w:val="21"/>
          <w:color w:val="auto"/>
        </w:rPr>
        <w:t>beyond AD, such as PDD, DLB, and a potential further extension of the open label extension of the ACT-AD and LIFT-AD trials;</w:t>
      </w:r>
    </w:p>
    <w:p>
      <w:pPr>
        <w:spacing w:after="0" w:line="65" w:lineRule="exact"/>
        <w:rPr>
          <w:sz w:val="20"/>
          <w:szCs w:val="20"/>
          <w:color w:val="auto"/>
        </w:rPr>
      </w:pPr>
    </w:p>
    <w:p>
      <w:pPr>
        <w:jc w:val="both"/>
        <w:ind w:left="1000" w:hanging="496"/>
        <w:spacing w:after="0" w:line="272" w:lineRule="auto"/>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willingness of the FDA and EMA to accept our LIFT-AD trial, as well as data from our completed and planned clinical and nonclinical studies and other work, as the basis for review and approval of fosgonimeton for AD and the potential need for additional clinical trials;</w:t>
      </w:r>
    </w:p>
    <w:p>
      <w:pPr>
        <w:spacing w:after="0" w:line="65" w:lineRule="exact"/>
        <w:rPr>
          <w:rFonts w:ascii="Arial" w:cs="Arial" w:eastAsia="Arial" w:hAnsi="Arial"/>
          <w:sz w:val="20"/>
          <w:szCs w:val="20"/>
          <w:color w:val="auto"/>
        </w:rPr>
      </w:pPr>
    </w:p>
    <w:p>
      <w:pPr>
        <w:ind w:left="1000" w:hanging="496"/>
        <w:spacing w:after="0" w:line="272" w:lineRule="auto"/>
        <w:tabs>
          <w:tab w:leader="none" w:pos="10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outcome, costs and timing of seeking and obtaining FDA, EMA and any other regulatory approvals;</w:t>
      </w:r>
    </w:p>
    <w:p>
      <w:pPr>
        <w:spacing w:after="0" w:line="64" w:lineRule="exact"/>
        <w:rPr>
          <w:rFonts w:ascii="Arial" w:cs="Arial" w:eastAsia="Arial" w:hAnsi="Arial"/>
          <w:sz w:val="21"/>
          <w:szCs w:val="21"/>
          <w:color w:val="auto"/>
        </w:rPr>
      </w:pPr>
    </w:p>
    <w:p>
      <w:pPr>
        <w:ind w:left="1000" w:hanging="496"/>
        <w:spacing w:after="0"/>
        <w:tabs>
          <w:tab w:leader="none" w:pos="10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number and characteristics of product candidates that we pursue;</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our ability to manufacture sufficient quantities of our product candidates;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our need to expand our research and development activities;</w:t>
      </w:r>
    </w:p>
    <w:p>
      <w:pPr>
        <w:spacing w:after="0" w:line="13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costs associated with securing and establishing commercialization and manufacturing capabilities;</w:t>
      </w:r>
    </w:p>
    <w:p>
      <w:pPr>
        <w:spacing w:after="0" w:line="65"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costs of acquiring, licensing or investing in businesses, product candidates and technologies;</w:t>
      </w:r>
    </w:p>
    <w:p>
      <w:pPr>
        <w:spacing w:after="0" w:line="62" w:lineRule="exact"/>
        <w:rPr>
          <w:rFonts w:ascii="Arial" w:cs="Arial" w:eastAsia="Arial" w:hAnsi="Arial"/>
          <w:sz w:val="21"/>
          <w:szCs w:val="21"/>
          <w:color w:val="auto"/>
        </w:rPr>
      </w:pPr>
    </w:p>
    <w:p>
      <w:pPr>
        <w:jc w:val="both"/>
        <w:ind w:left="1000" w:hanging="496"/>
        <w:spacing w:after="0" w:line="253" w:lineRule="auto"/>
        <w:tabs>
          <w:tab w:leader="none" w:pos="10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cost, timing and outcomes of any litigation involving our company, including securities class actions and government investigations which we may be or may in the future become involved in;</w:t>
      </w:r>
    </w:p>
    <w:p>
      <w:pPr>
        <w:spacing w:after="0" w:line="84" w:lineRule="exact"/>
        <w:rPr>
          <w:rFonts w:ascii="Arial" w:cs="Arial" w:eastAsia="Arial" w:hAnsi="Arial"/>
          <w:sz w:val="21"/>
          <w:szCs w:val="21"/>
          <w:color w:val="auto"/>
        </w:rPr>
      </w:pPr>
    </w:p>
    <w:p>
      <w:pPr>
        <w:jc w:val="both"/>
        <w:ind w:left="1000" w:hanging="496"/>
        <w:spacing w:after="0" w:line="247" w:lineRule="auto"/>
        <w:tabs>
          <w:tab w:leader="none" w:pos="10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91" w:lineRule="exact"/>
        <w:rPr>
          <w:rFonts w:ascii="Arial" w:cs="Arial" w:eastAsia="Arial" w:hAnsi="Arial"/>
          <w:sz w:val="21"/>
          <w:szCs w:val="21"/>
          <w:color w:val="auto"/>
        </w:rPr>
      </w:pPr>
    </w:p>
    <w:p>
      <w:pPr>
        <w:ind w:left="1000" w:hanging="496"/>
        <w:spacing w:after="0"/>
        <w:tabs>
          <w:tab w:leader="none" w:pos="10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our need and ability to retain management and hire scientific, clinical and other personnel;</w:t>
      </w:r>
    </w:p>
    <w:p>
      <w:pPr>
        <w:spacing w:after="0" w:line="131" w:lineRule="exact"/>
        <w:rPr>
          <w:rFonts w:ascii="Arial" w:cs="Arial" w:eastAsia="Arial" w:hAnsi="Arial"/>
          <w:sz w:val="21"/>
          <w:szCs w:val="21"/>
          <w:color w:val="auto"/>
        </w:rPr>
      </w:pPr>
    </w:p>
    <w:p>
      <w:pPr>
        <w:ind w:left="1000" w:hanging="496"/>
        <w:spacing w:after="0"/>
        <w:tabs>
          <w:tab w:leader="none" w:pos="10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effect of competing drugs and product candidates and other market developments;</w:t>
      </w:r>
    </w:p>
    <w:p>
      <w:pPr>
        <w:spacing w:after="0" w:line="132"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our need to implement additional internal systems and infrastructure, including financial and reporting systems; and</w:t>
      </w:r>
    </w:p>
    <w:p>
      <w:pPr>
        <w:spacing w:after="0" w:line="62"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economic and other terms, timing of and success of any collaboration, licensing or other arrangements into which we may enter in the future.</w:t>
      </w:r>
    </w:p>
    <w:p>
      <w:pPr>
        <w:spacing w:after="0" w:line="213"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 xml:space="preserve">In January 2023, we entered into a sales agreement with Cantor Fitzgerald &amp; Co., or Cantor Fitzgerald, and BTIG, LLC, or BTIG, to sell shares of our common stock having aggregate sales proceeds of up to $75.0 million, from time to time, through an at-the-market, or ATM, equity offering program under which Cantor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cs="Arial" w:eastAsia="Arial" w:hAnsi="Arial"/>
          <w:sz w:val="21"/>
          <w:szCs w:val="21"/>
          <w:color w:val="121212"/>
        </w:rPr>
        <w:t>unable</w:t>
      </w:r>
      <w:r>
        <w:rPr>
          <w:rFonts w:ascii="Arial" w:cs="Arial" w:eastAsia="Arial" w:hAnsi="Arial"/>
          <w:sz w:val="21"/>
          <w:szCs w:val="21"/>
          <w:color w:val="auto"/>
        </w:rPr>
        <w:t xml:space="preserve"> 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53"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21"/>
          <w:szCs w:val="21"/>
          <w:b w:val="1"/>
          <w:bCs w:val="1"/>
          <w:i w:val="1"/>
          <w:iCs w:val="1"/>
          <w:color w:val="auto"/>
        </w:rPr>
        <w:t>Adverse events or perceptions affecting the financial services industry could adversely affect our operating results, liquidity, financial condition and prospects.</w:t>
      </w:r>
    </w:p>
    <w:p>
      <w:pPr>
        <w:spacing w:after="0" w:line="199"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20"/>
          <w:szCs w:val="20"/>
          <w:color w:val="auto"/>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on March 10, 2023, Silicon Valley Bank, or SVB, was closed and placed in receivership and subsequently, additional financial institutions have been placed into receivership. We did not hold cash deposits or other accounts with SVB</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ectPr>
          <w:pgSz w:w="12240" w:h="15840" w:orient="portrait"/>
          <w:cols w:equalWidth="0" w:num="1">
            <w:col w:w="9640"/>
          </w:cols>
          <w:pgMar w:left="1300" w:top="1226" w:right="1300" w:bottom="0" w:gutter="0" w:footer="0" w:header="0"/>
          <w:type w:val="continuous"/>
        </w:sectPr>
      </w:pPr>
    </w:p>
    <w:bookmarkStart w:id="68" w:name="page69"/>
    <w:bookmarkEnd w:id="68"/>
    <w:p>
      <w:pPr>
        <w:jc w:val="both"/>
        <w:spacing w:after="0" w:line="253" w:lineRule="auto"/>
        <w:rPr>
          <w:sz w:val="20"/>
          <w:szCs w:val="20"/>
          <w:color w:val="auto"/>
        </w:rPr>
      </w:pPr>
      <w:r>
        <w:rPr>
          <w:rFonts w:ascii="Arial" w:cs="Arial" w:eastAsia="Arial" w:hAnsi="Arial"/>
          <w:sz w:val="21"/>
          <w:szCs w:val="21"/>
          <w:color w:val="auto"/>
        </w:rPr>
        <w:t>and did not, and as of the date of this report do not, otherwise have a direct business relationship with SVB or similarly situated financial institutions. However, companies that did have a business relationship with SVB faced:</w:t>
      </w:r>
    </w:p>
    <w:p>
      <w:pPr>
        <w:spacing w:after="0" w:line="84" w:lineRule="exact"/>
        <w:rPr>
          <w:sz w:val="20"/>
          <w:szCs w:val="20"/>
          <w:color w:val="auto"/>
        </w:rPr>
      </w:pPr>
    </w:p>
    <w:p>
      <w:pPr>
        <w:ind w:left="1000" w:hanging="497"/>
        <w:spacing w:after="0" w:line="271" w:lineRule="auto"/>
        <w:tabs>
          <w:tab w:leader="none" w:pos="1000" w:val="left"/>
        </w:tabs>
        <w:numPr>
          <w:ilvl w:val="0"/>
          <w:numId w:val="28"/>
        </w:numPr>
        <w:rPr>
          <w:rFonts w:ascii="Arial" w:cs="Arial" w:eastAsia="Arial" w:hAnsi="Arial"/>
          <w:sz w:val="21"/>
          <w:szCs w:val="21"/>
          <w:color w:val="auto"/>
        </w:rPr>
      </w:pPr>
      <w:r>
        <w:rPr>
          <w:rFonts w:ascii="Arial" w:cs="Arial" w:eastAsia="Arial" w:hAnsi="Arial"/>
          <w:sz w:val="21"/>
          <w:szCs w:val="21"/>
          <w:color w:val="auto"/>
        </w:rPr>
        <w:t>delayed access to deposits or other financial assets or the uninsured loss of deposits or other financial assets;</w:t>
      </w:r>
    </w:p>
    <w:p>
      <w:pPr>
        <w:spacing w:after="0" w:line="302" w:lineRule="exact"/>
        <w:rPr>
          <w:rFonts w:ascii="Arial" w:cs="Arial" w:eastAsia="Arial" w:hAnsi="Arial"/>
          <w:sz w:val="21"/>
          <w:szCs w:val="21"/>
          <w:color w:val="auto"/>
        </w:rPr>
      </w:pPr>
    </w:p>
    <w:p>
      <w:pPr>
        <w:jc w:val="both"/>
        <w:ind w:left="1000" w:hanging="497"/>
        <w:spacing w:after="0" w:line="253" w:lineRule="auto"/>
        <w:tabs>
          <w:tab w:leader="none" w:pos="1000" w:val="left"/>
        </w:tabs>
        <w:numPr>
          <w:ilvl w:val="0"/>
          <w:numId w:val="28"/>
        </w:numPr>
        <w:rPr>
          <w:rFonts w:ascii="Arial" w:cs="Arial" w:eastAsia="Arial" w:hAnsi="Arial"/>
          <w:sz w:val="21"/>
          <w:szCs w:val="21"/>
          <w:color w:val="auto"/>
        </w:rPr>
      </w:pPr>
      <w:r>
        <w:rPr>
          <w:rFonts w:ascii="Arial" w:cs="Arial" w:eastAsia="Arial" w:hAnsi="Arial"/>
          <w:sz w:val="21"/>
          <w:szCs w:val="21"/>
          <w:color w:val="auto"/>
        </w:rPr>
        <w:t>loss of access to revolving existing credit facilities or other working capital sources or the inability to refund, roll over or extend the maturity of, or enter into new credit facilities or other working capital resources;</w:t>
      </w:r>
    </w:p>
    <w:p>
      <w:pPr>
        <w:spacing w:after="0" w:line="321" w:lineRule="exact"/>
        <w:rPr>
          <w:rFonts w:ascii="Arial" w:cs="Arial" w:eastAsia="Arial" w:hAnsi="Arial"/>
          <w:sz w:val="21"/>
          <w:szCs w:val="21"/>
          <w:color w:val="auto"/>
        </w:rPr>
      </w:pPr>
    </w:p>
    <w:p>
      <w:pPr>
        <w:jc w:val="both"/>
        <w:ind w:left="1000" w:hanging="497"/>
        <w:spacing w:after="0" w:line="253" w:lineRule="auto"/>
        <w:tabs>
          <w:tab w:leader="none" w:pos="1000" w:val="left"/>
        </w:tabs>
        <w:numPr>
          <w:ilvl w:val="0"/>
          <w:numId w:val="28"/>
        </w:numPr>
        <w:rPr>
          <w:rFonts w:ascii="Arial" w:cs="Arial" w:eastAsia="Arial" w:hAnsi="Arial"/>
          <w:sz w:val="21"/>
          <w:szCs w:val="21"/>
          <w:color w:val="auto"/>
        </w:rPr>
      </w:pPr>
      <w:r>
        <w:rPr>
          <w:rFonts w:ascii="Arial" w:cs="Arial" w:eastAsia="Arial" w:hAnsi="Arial"/>
          <w:sz w:val="21"/>
          <w:szCs w:val="21"/>
          <w:color w:val="auto"/>
        </w:rPr>
        <w:t>potential or actual breach of obligations, including U.S. federal and state wage laws and contracts that required them to maintain letters or credit or other credit support arrangements; and</w:t>
      </w:r>
    </w:p>
    <w:p>
      <w:pPr>
        <w:spacing w:after="0" w:line="321" w:lineRule="exact"/>
        <w:rPr>
          <w:rFonts w:ascii="Arial" w:cs="Arial" w:eastAsia="Arial" w:hAnsi="Arial"/>
          <w:sz w:val="21"/>
          <w:szCs w:val="21"/>
          <w:color w:val="auto"/>
        </w:rPr>
      </w:pPr>
    </w:p>
    <w:p>
      <w:pPr>
        <w:ind w:left="1000" w:hanging="497"/>
        <w:spacing w:after="0" w:line="271" w:lineRule="auto"/>
        <w:tabs>
          <w:tab w:leader="none" w:pos="1000" w:val="left"/>
        </w:tabs>
        <w:numPr>
          <w:ilvl w:val="0"/>
          <w:numId w:val="28"/>
        </w:numPr>
        <w:rPr>
          <w:rFonts w:ascii="Arial" w:cs="Arial" w:eastAsia="Arial" w:hAnsi="Arial"/>
          <w:sz w:val="21"/>
          <w:szCs w:val="21"/>
          <w:color w:val="auto"/>
        </w:rPr>
      </w:pPr>
      <w:r>
        <w:rPr>
          <w:rFonts w:ascii="Arial" w:cs="Arial" w:eastAsia="Arial" w:hAnsi="Arial"/>
          <w:sz w:val="21"/>
          <w:szCs w:val="21"/>
          <w:color w:val="auto"/>
        </w:rPr>
        <w:t>termination of cash management arrangements or delays in accessing or actual loss of funds subject to cash management arrangements.</w:t>
      </w:r>
    </w:p>
    <w:p>
      <w:pPr>
        <w:spacing w:after="0" w:line="200" w:lineRule="exact"/>
        <w:rPr>
          <w:sz w:val="20"/>
          <w:szCs w:val="20"/>
          <w:color w:val="auto"/>
        </w:rPr>
      </w:pPr>
    </w:p>
    <w:p>
      <w:pPr>
        <w:spacing w:after="0" w:line="253" w:lineRule="exact"/>
        <w:rPr>
          <w:sz w:val="20"/>
          <w:szCs w:val="20"/>
          <w:color w:val="auto"/>
        </w:rPr>
      </w:pPr>
    </w:p>
    <w:p>
      <w:pPr>
        <w:jc w:val="both"/>
        <w:spacing w:after="0"/>
        <w:rPr>
          <w:sz w:val="20"/>
          <w:szCs w:val="20"/>
          <w:color w:val="auto"/>
        </w:rPr>
      </w:pPr>
      <w:r>
        <w:rPr>
          <w:rFonts w:ascii="Arial" w:cs="Arial" w:eastAsia="Arial" w:hAnsi="Arial"/>
          <w:sz w:val="21"/>
          <w:szCs w:val="21"/>
          <w:color w:val="auto"/>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may be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 we have commercial agreements may be unable to satisfy their obligations to, or enter into new commercial arrangements with, us.</w:t>
      </w:r>
    </w:p>
    <w:p>
      <w:pPr>
        <w:spacing w:after="0" w:line="251" w:lineRule="exact"/>
        <w:rPr>
          <w:sz w:val="20"/>
          <w:szCs w:val="20"/>
          <w:color w:val="auto"/>
        </w:rPr>
      </w:pPr>
    </w:p>
    <w:p>
      <w:pPr>
        <w:jc w:val="both"/>
        <w:ind w:firstLine="504"/>
        <w:spacing w:after="0" w:line="298" w:lineRule="auto"/>
        <w:rPr>
          <w:sz w:val="20"/>
          <w:szCs w:val="20"/>
          <w:color w:val="auto"/>
        </w:rPr>
      </w:pPr>
      <w:r>
        <w:rPr>
          <w:rFonts w:ascii="Arial" w:cs="Arial" w:eastAsia="Arial" w:hAnsi="Arial"/>
          <w:sz w:val="20"/>
          <w:szCs w:val="20"/>
          <w:color w:val="auto"/>
        </w:rPr>
        <w:t>Concerns regarding the U.S. or international financial systems could impact the availability and cost of financing, thereby making it more difficult for us to acquire financing on acceptable terms or at all.</w:t>
      </w:r>
    </w:p>
    <w:p>
      <w:pPr>
        <w:spacing w:after="0" w:line="192"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color w:val="auto"/>
        </w:rPr>
        <w:t>Any of these risks could materially impact our operating results, liquidity, financial condition and prospects.</w:t>
      </w:r>
    </w:p>
    <w:p>
      <w:pPr>
        <w:spacing w:after="0" w:line="219"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21"/>
          <w:szCs w:val="21"/>
          <w:b w:val="1"/>
          <w:bCs w:val="1"/>
          <w:i w:val="1"/>
          <w:iCs w:val="1"/>
          <w:color w:val="121212"/>
        </w:rPr>
        <w:t xml:space="preserve">Our ability to use net operating </w:t>
      </w:r>
      <w:r>
        <w:rPr>
          <w:rFonts w:ascii="Arial" w:cs="Arial" w:eastAsia="Arial" w:hAnsi="Arial"/>
          <w:sz w:val="21"/>
          <w:szCs w:val="21"/>
          <w:b w:val="1"/>
          <w:bCs w:val="1"/>
          <w:i w:val="1"/>
          <w:iCs w:val="1"/>
          <w:color w:val="000000"/>
        </w:rPr>
        <w:t>losses</w:t>
      </w:r>
      <w:r>
        <w:rPr>
          <w:rFonts w:ascii="Arial" w:cs="Arial" w:eastAsia="Arial" w:hAnsi="Arial"/>
          <w:sz w:val="21"/>
          <w:szCs w:val="21"/>
          <w:b w:val="1"/>
          <w:bCs w:val="1"/>
          <w:i w:val="1"/>
          <w:iCs w:val="1"/>
          <w:color w:val="121212"/>
        </w:rPr>
        <w:t xml:space="preserve"> to offset future taxable income may be subject to certain limitations.</w:t>
      </w:r>
    </w:p>
    <w:p>
      <w:pPr>
        <w:spacing w:after="0" w:line="200"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20"/>
          <w:szCs w:val="20"/>
          <w:color w:val="121212"/>
        </w:rPr>
        <w:t>As of December 31, 2022, we had federal net operating loss carryforwards, or NOLs, to offset future taxable income of approximately $9.5 million and federal tax credit carryforwards of approximately $5.6 million, which expire over a period of 9 to 15 years. Federal NOLs of $104.4 million were generated after 2017, and therefore do not expire. At December 31, 2022, we also had state NOLs of $2.7 million, which expire over a period of 19 to 20 years.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ectPr>
          <w:pgSz w:w="12240" w:h="15840" w:orient="portrait"/>
          <w:cols w:equalWidth="0" w:num="1">
            <w:col w:w="9640"/>
          </w:cols>
          <w:pgMar w:left="1300" w:top="1226" w:right="1300" w:bottom="0" w:gutter="0" w:footer="0" w:header="0"/>
          <w:type w:val="continuous"/>
        </w:sectPr>
      </w:pPr>
    </w:p>
    <w:bookmarkStart w:id="69" w:name="page70"/>
    <w:bookmarkEnd w:id="69"/>
    <w:p>
      <w:pPr>
        <w:jc w:val="both"/>
        <w:spacing w:after="0" w:line="271" w:lineRule="auto"/>
        <w:rPr>
          <w:sz w:val="20"/>
          <w:szCs w:val="20"/>
          <w:color w:val="auto"/>
        </w:rPr>
      </w:pPr>
      <w:r>
        <w:rPr>
          <w:rFonts w:ascii="Arial" w:cs="Arial" w:eastAsia="Arial" w:hAnsi="Arial"/>
          <w:sz w:val="21"/>
          <w:szCs w:val="21"/>
          <w:color w:val="121212"/>
        </w:rPr>
        <w:t>Security Act. We have recorded a full valuation allowance related to our NOLs and other deferred tax assets due to the uncertainty of the ultimate realization of the future benefits of those assets.</w:t>
      </w:r>
    </w:p>
    <w:p>
      <w:pPr>
        <w:spacing w:after="0" w:line="220"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21"/>
          <w:szCs w:val="21"/>
          <w:b w:val="1"/>
          <w:bCs w:val="1"/>
          <w:i w:val="1"/>
          <w:iCs w:val="1"/>
          <w:color w:val="121212"/>
        </w:rPr>
        <w:t>Changes in tax laws could have a material adverse effect on our business, cash flows, results of operations or financial condition.</w:t>
      </w:r>
    </w:p>
    <w:p>
      <w:pPr>
        <w:spacing w:after="0" w:line="199"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0"/>
          <w:szCs w:val="20"/>
          <w:color w:val="121212"/>
        </w:rPr>
        <w:t xml:space="preserve">We </w:t>
      </w:r>
      <w:r>
        <w:rPr>
          <w:rFonts w:ascii="Arial" w:cs="Arial" w:eastAsia="Arial" w:hAnsi="Arial"/>
          <w:sz w:val="20"/>
          <w:szCs w:val="20"/>
          <w:color w:val="000000"/>
        </w:rPr>
        <w:t>are subject to the tax laws, regulations, and policies of several taxing jurisdictions. Changes in</w:t>
      </w:r>
      <w:r>
        <w:rPr>
          <w:rFonts w:ascii="Arial" w:cs="Arial" w:eastAsia="Arial" w:hAnsi="Arial"/>
          <w:sz w:val="20"/>
          <w:szCs w:val="20"/>
          <w:color w:val="121212"/>
        </w:rPr>
        <w:t xml:space="preserve"> </w:t>
      </w:r>
      <w:r>
        <w:rPr>
          <w:rFonts w:ascii="Arial" w:cs="Arial" w:eastAsia="Arial" w:hAnsi="Arial"/>
          <w:sz w:val="20"/>
          <w:szCs w:val="20"/>
          <w:color w:val="000000"/>
        </w:rPr>
        <w:t>tax laws, as well as other factors, could cause us to experience fluctuations in our tax obligations and effective tax rates and otherwise adversely affect our tax positions 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r>
        <w:rPr>
          <w:rFonts w:ascii="Arial" w:cs="Arial" w:eastAsia="Arial" w:hAnsi="Arial"/>
          <w:sz w:val="20"/>
          <w:szCs w:val="20"/>
          <w:color w:val="121212"/>
        </w:rPr>
        <w:t>.</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auto"/>
        </w:rPr>
        <w:t>Risks Relating to Regulatory Approval and Other Legal Compliance Matters</w:t>
      </w:r>
    </w:p>
    <w:p>
      <w:pPr>
        <w:spacing w:after="0" w:line="292" w:lineRule="exact"/>
        <w:rPr>
          <w:sz w:val="20"/>
          <w:szCs w:val="20"/>
          <w:color w:val="auto"/>
        </w:rPr>
      </w:pPr>
    </w:p>
    <w:p>
      <w:pPr>
        <w:jc w:val="both"/>
        <w:ind w:firstLine="504"/>
        <w:spacing w:after="0" w:line="246" w:lineRule="auto"/>
        <w:rPr>
          <w:sz w:val="20"/>
          <w:szCs w:val="20"/>
          <w:color w:val="auto"/>
        </w:rPr>
      </w:pPr>
      <w:r>
        <w:rPr>
          <w:rFonts w:ascii="Arial" w:cs="Arial" w:eastAsia="Arial" w:hAnsi="Arial"/>
          <w:sz w:val="21"/>
          <w:szCs w:val="21"/>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32" w:lineRule="exact"/>
        <w:rPr>
          <w:sz w:val="20"/>
          <w:szCs w:val="20"/>
          <w:color w:val="auto"/>
        </w:rPr>
      </w:pPr>
    </w:p>
    <w:p>
      <w:pPr>
        <w:jc w:val="both"/>
        <w:ind w:firstLine="504"/>
        <w:spacing w:after="0" w:line="260" w:lineRule="auto"/>
        <w:rPr>
          <w:sz w:val="20"/>
          <w:szCs w:val="20"/>
          <w:color w:val="auto"/>
        </w:rPr>
      </w:pPr>
      <w:r>
        <w:rPr>
          <w:rFonts w:ascii="Arial" w:cs="Arial" w:eastAsia="Arial" w:hAnsi="Arial"/>
          <w:sz w:val="20"/>
          <w:szCs w:val="20"/>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228"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20"/>
          <w:szCs w:val="20"/>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or regulatory approval may be delayed for reasons beyond our control.</w:t>
      </w:r>
    </w:p>
    <w:p>
      <w:pPr>
        <w:spacing w:after="0" w:line="232" w:lineRule="exact"/>
        <w:rPr>
          <w:sz w:val="20"/>
          <w:szCs w:val="20"/>
          <w:color w:val="auto"/>
        </w:rPr>
      </w:pPr>
    </w:p>
    <w:p>
      <w:pPr>
        <w:jc w:val="both"/>
        <w:ind w:firstLine="504"/>
        <w:spacing w:after="0" w:line="258" w:lineRule="auto"/>
        <w:rPr>
          <w:sz w:val="20"/>
          <w:szCs w:val="20"/>
          <w:color w:val="auto"/>
        </w:rPr>
      </w:pPr>
      <w:r>
        <w:rPr>
          <w:rFonts w:ascii="Arial" w:cs="Arial" w:eastAsia="Arial" w:hAnsi="Arial"/>
          <w:sz w:val="21"/>
          <w:szCs w:val="21"/>
          <w:color w:val="auto"/>
        </w:rPr>
        <w:t>Applications for our product candidates could fail to receive regulatory approval for many reasons, including the following:</w:t>
      </w:r>
    </w:p>
    <w:p>
      <w:pPr>
        <w:spacing w:after="0" w:line="64" w:lineRule="exact"/>
        <w:rPr>
          <w:sz w:val="20"/>
          <w:szCs w:val="20"/>
          <w:color w:val="auto"/>
        </w:rPr>
      </w:pPr>
    </w:p>
    <w:p>
      <w:pPr>
        <w:ind w:left="1000" w:hanging="496"/>
        <w:spacing w:after="0" w:line="258" w:lineRule="auto"/>
        <w:tabs>
          <w:tab w:leader="none" w:pos="100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FDA or other comparable foreign regulatory authorities may disagree with the design, implementation or results of our clinical trials;</w:t>
      </w:r>
    </w:p>
    <w:p>
      <w:pPr>
        <w:spacing w:after="0" w:line="64" w:lineRule="exact"/>
        <w:rPr>
          <w:rFonts w:ascii="Arial" w:cs="Arial" w:eastAsia="Arial" w:hAnsi="Arial"/>
          <w:sz w:val="21"/>
          <w:szCs w:val="21"/>
          <w:color w:val="auto"/>
        </w:rPr>
      </w:pPr>
    </w:p>
    <w:p>
      <w:pPr>
        <w:jc w:val="both"/>
        <w:ind w:left="1000" w:hanging="496"/>
        <w:spacing w:after="0" w:line="283" w:lineRule="auto"/>
        <w:tabs>
          <w:tab w:leader="none" w:pos="10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FDA or other comparable foreign regulatory authorities may determine that our product candidates are not safe and effective or have undesirable or unintended side effects, toxicities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ectPr>
          <w:pgSz w:w="12240" w:h="15840" w:orient="portrait"/>
          <w:cols w:equalWidth="0" w:num="1">
            <w:col w:w="9640"/>
          </w:cols>
          <w:pgMar w:left="1300" w:top="1226" w:right="1300" w:bottom="0" w:gutter="0" w:footer="0" w:header="0"/>
          <w:type w:val="continuous"/>
        </w:sectPr>
      </w:pPr>
    </w:p>
    <w:bookmarkStart w:id="70" w:name="page71"/>
    <w:bookmarkEnd w:id="70"/>
    <w:p>
      <w:pPr>
        <w:ind w:left="1000"/>
        <w:spacing w:after="0" w:line="258" w:lineRule="auto"/>
        <w:rPr>
          <w:sz w:val="20"/>
          <w:szCs w:val="20"/>
          <w:color w:val="auto"/>
        </w:rPr>
      </w:pPr>
      <w:r>
        <w:rPr>
          <w:rFonts w:ascii="Arial" w:cs="Arial" w:eastAsia="Arial" w:hAnsi="Arial"/>
          <w:sz w:val="21"/>
          <w:szCs w:val="21"/>
          <w:color w:val="auto"/>
        </w:rPr>
        <w:t>or other characteristics that preclude our obtaining marketing approval or prevent or limit commercial use;</w:t>
      </w:r>
    </w:p>
    <w:p>
      <w:pPr>
        <w:spacing w:after="0" w:line="65" w:lineRule="exact"/>
        <w:rPr>
          <w:sz w:val="20"/>
          <w:szCs w:val="20"/>
          <w:color w:val="auto"/>
        </w:rPr>
      </w:pPr>
    </w:p>
    <w:p>
      <w:pPr>
        <w:ind w:left="1000" w:hanging="496"/>
        <w:spacing w:after="0" w:line="258" w:lineRule="auto"/>
        <w:tabs>
          <w:tab w:leader="none" w:pos="100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population studied in the clinical trial may not be sufficiently broad or representative to assure efficacy and safety in the full population for which we seek approval;</w:t>
      </w:r>
    </w:p>
    <w:p>
      <w:pPr>
        <w:spacing w:after="0" w:line="64" w:lineRule="exact"/>
        <w:rPr>
          <w:rFonts w:ascii="Arial" w:cs="Arial" w:eastAsia="Arial" w:hAnsi="Arial"/>
          <w:sz w:val="21"/>
          <w:szCs w:val="21"/>
          <w:color w:val="auto"/>
        </w:rPr>
      </w:pPr>
    </w:p>
    <w:p>
      <w:pPr>
        <w:ind w:left="1000" w:hanging="496"/>
        <w:spacing w:after="0" w:line="258" w:lineRule="auto"/>
        <w:tabs>
          <w:tab w:leader="none" w:pos="100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FDA or other comparable foreign regulatory authorities may disagree with our interpretation of data from nonclinical studies or clinical trials;</w:t>
      </w:r>
    </w:p>
    <w:p>
      <w:pPr>
        <w:spacing w:after="0" w:line="64" w:lineRule="exact"/>
        <w:rPr>
          <w:rFonts w:ascii="Arial" w:cs="Arial" w:eastAsia="Arial" w:hAnsi="Arial"/>
          <w:sz w:val="21"/>
          <w:szCs w:val="21"/>
          <w:color w:val="auto"/>
        </w:rPr>
      </w:pPr>
    </w:p>
    <w:p>
      <w:pPr>
        <w:ind w:left="1000" w:hanging="496"/>
        <w:spacing w:after="0" w:line="283" w:lineRule="auto"/>
        <w:tabs>
          <w:tab w:leader="none" w:pos="10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we may be unable to demonstrate to the FDA or other comparable foreign regulatory authorities that our product candidate’s risk-benefit ratio for its proposed indication is acceptable;</w:t>
      </w:r>
    </w:p>
    <w:p>
      <w:pPr>
        <w:spacing w:after="0" w:line="40" w:lineRule="exact"/>
        <w:rPr>
          <w:rFonts w:ascii="Arial" w:cs="Arial" w:eastAsia="Arial" w:hAnsi="Arial"/>
          <w:sz w:val="20"/>
          <w:szCs w:val="20"/>
          <w:color w:val="auto"/>
        </w:rPr>
      </w:pPr>
    </w:p>
    <w:p>
      <w:pPr>
        <w:jc w:val="both"/>
        <w:ind w:left="1000" w:hanging="496"/>
        <w:spacing w:after="0"/>
        <w:tabs>
          <w:tab w:leader="none" w:pos="100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82" w:lineRule="exact"/>
        <w:rPr>
          <w:rFonts w:ascii="Arial" w:cs="Arial" w:eastAsia="Arial" w:hAnsi="Arial"/>
          <w:sz w:val="21"/>
          <w:szCs w:val="21"/>
          <w:color w:val="auto"/>
        </w:rPr>
      </w:pPr>
    </w:p>
    <w:p>
      <w:pPr>
        <w:jc w:val="both"/>
        <w:ind w:left="1000" w:hanging="496"/>
        <w:spacing w:after="0" w:line="230" w:lineRule="auto"/>
        <w:tabs>
          <w:tab w:leader="none" w:pos="100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spacing w:after="0" w:line="238"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0"/>
          <w:szCs w:val="20"/>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39" w:lineRule="exact"/>
        <w:rPr>
          <w:sz w:val="20"/>
          <w:szCs w:val="20"/>
          <w:color w:val="auto"/>
        </w:rPr>
      </w:pPr>
    </w:p>
    <w:p>
      <w:pPr>
        <w:jc w:val="both"/>
        <w:ind w:firstLine="504"/>
        <w:spacing w:after="0" w:line="232" w:lineRule="auto"/>
        <w:rPr>
          <w:sz w:val="20"/>
          <w:szCs w:val="20"/>
          <w:color w:val="auto"/>
        </w:rPr>
      </w:pPr>
      <w:r>
        <w:rPr>
          <w:rFonts w:ascii="Arial" w:cs="Arial" w:eastAsia="Arial" w:hAnsi="Arial"/>
          <w:sz w:val="21"/>
          <w:szCs w:val="21"/>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241" w:lineRule="exact"/>
        <w:rPr>
          <w:sz w:val="20"/>
          <w:szCs w:val="20"/>
          <w:color w:val="auto"/>
        </w:rPr>
      </w:pPr>
    </w:p>
    <w:p>
      <w:pPr>
        <w:jc w:val="both"/>
        <w:ind w:firstLine="504"/>
        <w:spacing w:after="0" w:line="233" w:lineRule="auto"/>
        <w:rPr>
          <w:sz w:val="20"/>
          <w:szCs w:val="20"/>
          <w:color w:val="auto"/>
        </w:rPr>
      </w:pPr>
      <w:r>
        <w:rPr>
          <w:rFonts w:ascii="Arial" w:cs="Arial" w:eastAsia="Arial" w:hAnsi="Arial"/>
          <w:sz w:val="21"/>
          <w:szCs w:val="21"/>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33"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20"/>
          <w:szCs w:val="20"/>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246"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0"/>
          <w:szCs w:val="20"/>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ectPr>
          <w:pgSz w:w="12240" w:h="15840" w:orient="portrait"/>
          <w:cols w:equalWidth="0" w:num="1">
            <w:col w:w="9640"/>
          </w:cols>
          <w:pgMar w:left="1300" w:top="1214" w:right="130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ectPr>
          <w:pgSz w:w="12240" w:h="15840" w:orient="portrait"/>
          <w:cols w:equalWidth="0" w:num="1">
            <w:col w:w="9640"/>
          </w:cols>
          <w:pgMar w:left="1300" w:top="1214" w:right="1300" w:bottom="0" w:gutter="0" w:footer="0" w:header="0"/>
          <w:type w:val="continuous"/>
        </w:sectPr>
      </w:pPr>
    </w:p>
    <w:bookmarkStart w:id="71" w:name="page72"/>
    <w:bookmarkEnd w:id="71"/>
    <w:p>
      <w:pPr>
        <w:jc w:val="both"/>
        <w:spacing w:after="0" w:line="235" w:lineRule="auto"/>
        <w:rPr>
          <w:sz w:val="20"/>
          <w:szCs w:val="20"/>
          <w:color w:val="auto"/>
        </w:rPr>
      </w:pPr>
      <w:r>
        <w:rPr>
          <w:rFonts w:ascii="Arial" w:cs="Arial" w:eastAsia="Arial" w:hAnsi="Arial"/>
          <w:sz w:val="21"/>
          <w:szCs w:val="21"/>
          <w:color w:val="auto"/>
        </w:rPr>
        <w:t>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232" w:lineRule="exact"/>
        <w:rPr>
          <w:sz w:val="20"/>
          <w:szCs w:val="20"/>
          <w:color w:val="auto"/>
        </w:rPr>
      </w:pPr>
    </w:p>
    <w:p>
      <w:pPr>
        <w:jc w:val="both"/>
        <w:ind w:firstLine="510"/>
        <w:spacing w:after="0" w:line="227" w:lineRule="auto"/>
        <w:rPr>
          <w:sz w:val="20"/>
          <w:szCs w:val="20"/>
          <w:color w:val="auto"/>
        </w:rPr>
      </w:pPr>
      <w:r>
        <w:rPr>
          <w:rFonts w:ascii="Arial" w:cs="Arial" w:eastAsia="Arial" w:hAnsi="Arial"/>
          <w:sz w:val="20"/>
          <w:szCs w:val="20"/>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including, for example, by interfering with the effects of our product candidates. A pre-specified group analysis of patients in our ACT-AD clinical trial identified a potential diminished effect of the combination of standard-of-care (AChEIs) and fosgonimeton. While more clinical studies are needed to determine the safety and efficacy of fosgonimeton, to the extent standard-of-care AChEIs impact the effects of fosgonimeton and if a significant portion of the patient population has already been treated with AChEIs, the potential target patient population or the indication we seek for fosgonimeton may be significantly smaller than we had anticipated, which could materially harm our business and prospects.</w:t>
      </w:r>
    </w:p>
    <w:p>
      <w:pPr>
        <w:spacing w:after="0" w:line="233" w:lineRule="exact"/>
        <w:rPr>
          <w:sz w:val="20"/>
          <w:szCs w:val="20"/>
          <w:color w:val="auto"/>
        </w:rPr>
      </w:pPr>
    </w:p>
    <w:p>
      <w:pPr>
        <w:jc w:val="both"/>
        <w:ind w:firstLine="510"/>
        <w:spacing w:after="0" w:line="216" w:lineRule="auto"/>
        <w:rPr>
          <w:sz w:val="20"/>
          <w:szCs w:val="20"/>
          <w:color w:val="auto"/>
        </w:rPr>
      </w:pPr>
      <w:r>
        <w:rPr>
          <w:rFonts w:ascii="Arial" w:cs="Arial" w:eastAsia="Arial" w:hAnsi="Arial"/>
          <w:sz w:val="21"/>
          <w:szCs w:val="21"/>
          <w:color w:val="auto"/>
        </w:rPr>
        <w:t>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240" w:lineRule="exact"/>
        <w:rPr>
          <w:sz w:val="20"/>
          <w:szCs w:val="20"/>
          <w:color w:val="auto"/>
        </w:rPr>
      </w:pPr>
    </w:p>
    <w:p>
      <w:pPr>
        <w:jc w:val="both"/>
        <w:ind w:firstLine="511"/>
        <w:spacing w:after="0" w:line="221" w:lineRule="auto"/>
        <w:rPr>
          <w:sz w:val="20"/>
          <w:szCs w:val="20"/>
          <w:color w:val="auto"/>
        </w:rPr>
      </w:pPr>
      <w:r>
        <w:rPr>
          <w:rFonts w:ascii="Arial" w:cs="Arial" w:eastAsia="Arial" w:hAnsi="Arial"/>
          <w:sz w:val="21"/>
          <w:szCs w:val="21"/>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48"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21"/>
          <w:szCs w:val="21"/>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22"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ectPr>
          <w:pgSz w:w="12240" w:h="15840" w:orient="portrait"/>
          <w:cols w:equalWidth="0" w:num="1">
            <w:col w:w="9640"/>
          </w:cols>
          <w:pgMar w:left="1300" w:top="121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ectPr>
          <w:pgSz w:w="12240" w:h="15840" w:orient="portrait"/>
          <w:cols w:equalWidth="0" w:num="1">
            <w:col w:w="9640"/>
          </w:cols>
          <w:pgMar w:left="1300" w:top="1214" w:right="1300" w:bottom="0" w:gutter="0" w:footer="0" w:header="0"/>
          <w:type w:val="continuous"/>
        </w:sectPr>
      </w:pPr>
    </w:p>
    <w:bookmarkStart w:id="72" w:name="page73"/>
    <w:bookmarkEnd w:id="72"/>
    <w:p>
      <w:pPr>
        <w:jc w:val="both"/>
        <w:ind w:firstLine="504"/>
        <w:spacing w:after="0" w:line="254" w:lineRule="auto"/>
        <w:rPr>
          <w:sz w:val="20"/>
          <w:szCs w:val="20"/>
          <w:color w:val="auto"/>
        </w:rPr>
      </w:pPr>
      <w:r>
        <w:rPr>
          <w:rFonts w:ascii="Arial" w:cs="Arial" w:eastAsia="Arial" w:hAnsi="Arial"/>
          <w:sz w:val="20"/>
          <w:szCs w:val="20"/>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40" w:lineRule="exact"/>
        <w:rPr>
          <w:sz w:val="20"/>
          <w:szCs w:val="20"/>
          <w:color w:val="auto"/>
        </w:rPr>
      </w:pPr>
    </w:p>
    <w:p>
      <w:pPr>
        <w:jc w:val="both"/>
        <w:ind w:firstLine="504"/>
        <w:spacing w:after="0" w:line="249" w:lineRule="auto"/>
        <w:rPr>
          <w:sz w:val="20"/>
          <w:szCs w:val="20"/>
          <w:color w:val="auto"/>
        </w:rPr>
      </w:pPr>
      <w:r>
        <w:rPr>
          <w:rFonts w:ascii="Arial" w:cs="Arial" w:eastAsia="Arial" w:hAnsi="Arial"/>
          <w:sz w:val="21"/>
          <w:szCs w:val="21"/>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230"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1000" w:hanging="496"/>
        <w:spacing w:after="0" w:line="273" w:lineRule="auto"/>
        <w:tabs>
          <w:tab w:leader="none" w:pos="1000" w:val="left"/>
        </w:tabs>
        <w:numPr>
          <w:ilvl w:val="0"/>
          <w:numId w:val="31"/>
        </w:numPr>
        <w:rPr>
          <w:rFonts w:ascii="Arial" w:cs="Arial" w:eastAsia="Arial" w:hAnsi="Arial"/>
          <w:sz w:val="21"/>
          <w:szCs w:val="21"/>
          <w:color w:val="auto"/>
        </w:rPr>
      </w:pPr>
      <w:r>
        <w:rPr>
          <w:rFonts w:ascii="Arial" w:cs="Arial" w:eastAsia="Arial" w:hAnsi="Arial"/>
          <w:sz w:val="21"/>
          <w:szCs w:val="21"/>
          <w:color w:val="auto"/>
        </w:rPr>
        <w:t>restrictions on the marketing or manufacturing of our product candidates, withdrawal of the product from the market or voluntary or mandatory product recalls;</w:t>
      </w:r>
    </w:p>
    <w:p>
      <w:pPr>
        <w:spacing w:after="0" w:line="62"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31"/>
        </w:numPr>
        <w:rPr>
          <w:rFonts w:ascii="Arial" w:cs="Arial" w:eastAsia="Arial" w:hAnsi="Arial"/>
          <w:sz w:val="21"/>
          <w:szCs w:val="21"/>
          <w:color w:val="auto"/>
        </w:rPr>
      </w:pPr>
      <w:r>
        <w:rPr>
          <w:rFonts w:ascii="Arial" w:cs="Arial" w:eastAsia="Arial" w:hAnsi="Arial"/>
          <w:sz w:val="21"/>
          <w:szCs w:val="21"/>
          <w:color w:val="auto"/>
        </w:rPr>
        <w:t>manufacturing delays and supply disruptions where regulatory inspections identify observations of noncompliance requiring remediation;</w:t>
      </w:r>
    </w:p>
    <w:p>
      <w:pPr>
        <w:spacing w:after="0" w:line="64"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31"/>
        </w:numPr>
        <w:rPr>
          <w:rFonts w:ascii="Arial" w:cs="Arial" w:eastAsia="Arial" w:hAnsi="Arial"/>
          <w:sz w:val="21"/>
          <w:szCs w:val="21"/>
          <w:color w:val="auto"/>
        </w:rPr>
      </w:pPr>
      <w:r>
        <w:rPr>
          <w:rFonts w:ascii="Arial" w:cs="Arial" w:eastAsia="Arial" w:hAnsi="Arial"/>
          <w:sz w:val="21"/>
          <w:szCs w:val="21"/>
          <w:color w:val="auto"/>
        </w:rPr>
        <w:t>revisions to the labeling, including limitation on approved uses or the addition of additional warnings, contraindications or other safety information, including boxed warnings;</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31"/>
        </w:numPr>
        <w:rPr>
          <w:rFonts w:ascii="Arial" w:cs="Arial" w:eastAsia="Arial" w:hAnsi="Arial"/>
          <w:sz w:val="21"/>
          <w:szCs w:val="21"/>
          <w:color w:val="auto"/>
        </w:rPr>
      </w:pPr>
      <w:r>
        <w:rPr>
          <w:rFonts w:ascii="Arial" w:cs="Arial" w:eastAsia="Arial" w:hAnsi="Arial"/>
          <w:sz w:val="21"/>
          <w:szCs w:val="21"/>
          <w:color w:val="auto"/>
        </w:rPr>
        <w:t>imposition of a REMS, which may include distribution or use restrictions;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requirements to conduct additional post-market clinical trials to assess the safety of the product;</w:t>
      </w:r>
    </w:p>
    <w:p>
      <w:pPr>
        <w:spacing w:after="0" w:line="144" w:lineRule="exact"/>
        <w:rPr>
          <w:rFonts w:ascii="Arial" w:cs="Arial" w:eastAsia="Arial" w:hAnsi="Arial"/>
          <w:sz w:val="20"/>
          <w:szCs w:val="20"/>
          <w:color w:val="auto"/>
        </w:rPr>
      </w:pPr>
    </w:p>
    <w:p>
      <w:pPr>
        <w:ind w:left="1000" w:hanging="496"/>
        <w:spacing w:after="0"/>
        <w:tabs>
          <w:tab w:leader="none" w:pos="1000" w:val="left"/>
        </w:tabs>
        <w:numPr>
          <w:ilvl w:val="0"/>
          <w:numId w:val="31"/>
        </w:numPr>
        <w:rPr>
          <w:rFonts w:ascii="Arial" w:cs="Arial" w:eastAsia="Arial" w:hAnsi="Arial"/>
          <w:sz w:val="21"/>
          <w:szCs w:val="21"/>
          <w:color w:val="auto"/>
        </w:rPr>
      </w:pPr>
      <w:r>
        <w:rPr>
          <w:rFonts w:ascii="Arial" w:cs="Arial" w:eastAsia="Arial" w:hAnsi="Arial"/>
          <w:sz w:val="21"/>
          <w:szCs w:val="21"/>
          <w:color w:val="auto"/>
        </w:rPr>
        <w:t>fines, warning letters or holds on clinical trials;</w:t>
      </w:r>
    </w:p>
    <w:p>
      <w:pPr>
        <w:spacing w:after="0" w:line="13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31"/>
        </w:numPr>
        <w:rPr>
          <w:rFonts w:ascii="Arial" w:cs="Arial" w:eastAsia="Arial" w:hAnsi="Arial"/>
          <w:sz w:val="21"/>
          <w:szCs w:val="21"/>
          <w:color w:val="auto"/>
        </w:rPr>
      </w:pPr>
      <w:r>
        <w:rPr>
          <w:rFonts w:ascii="Arial" w:cs="Arial" w:eastAsia="Arial" w:hAnsi="Arial"/>
          <w:sz w:val="21"/>
          <w:szCs w:val="21"/>
          <w:color w:val="auto"/>
        </w:rPr>
        <w:t>refusal by the FDA to approve pending applications or supplements to approved applications filed by us or suspension or revocation of approvals;</w:t>
      </w:r>
    </w:p>
    <w:p>
      <w:pPr>
        <w:spacing w:after="0" w:line="65"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31"/>
        </w:numPr>
        <w:rPr>
          <w:rFonts w:ascii="Arial" w:cs="Arial" w:eastAsia="Arial" w:hAnsi="Arial"/>
          <w:sz w:val="21"/>
          <w:szCs w:val="21"/>
          <w:color w:val="auto"/>
        </w:rPr>
      </w:pPr>
      <w:r>
        <w:rPr>
          <w:rFonts w:ascii="Arial" w:cs="Arial" w:eastAsia="Arial" w:hAnsi="Arial"/>
          <w:sz w:val="21"/>
          <w:szCs w:val="21"/>
          <w:color w:val="auto"/>
        </w:rPr>
        <w:t>product seizure or detention, or refusal to permit the import or export of our product candidates; and</w:t>
      </w:r>
    </w:p>
    <w:p>
      <w:pPr>
        <w:spacing w:after="0" w:line="62" w:lineRule="exact"/>
        <w:rPr>
          <w:rFonts w:ascii="Arial" w:cs="Arial" w:eastAsia="Arial" w:hAnsi="Arial"/>
          <w:sz w:val="21"/>
          <w:szCs w:val="21"/>
          <w:color w:val="auto"/>
        </w:rPr>
      </w:pPr>
    </w:p>
    <w:p>
      <w:pPr>
        <w:ind w:left="1000" w:hanging="496"/>
        <w:spacing w:after="0"/>
        <w:tabs>
          <w:tab w:leader="none" w:pos="1000" w:val="left"/>
        </w:tabs>
        <w:numPr>
          <w:ilvl w:val="0"/>
          <w:numId w:val="31"/>
        </w:numPr>
        <w:rPr>
          <w:rFonts w:ascii="Arial" w:cs="Arial" w:eastAsia="Arial" w:hAnsi="Arial"/>
          <w:sz w:val="21"/>
          <w:szCs w:val="21"/>
          <w:color w:val="auto"/>
        </w:rPr>
      </w:pPr>
      <w:r>
        <w:rPr>
          <w:rFonts w:ascii="Arial" w:cs="Arial" w:eastAsia="Arial" w:hAnsi="Arial"/>
          <w:sz w:val="21"/>
          <w:szCs w:val="21"/>
          <w:color w:val="auto"/>
        </w:rPr>
        <w:t>injunctions or the imposition of civil or criminal penalties.</w:t>
      </w:r>
    </w:p>
    <w:p>
      <w:pPr>
        <w:spacing w:after="0" w:line="284"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ectPr>
          <w:pgSz w:w="12240" w:h="15840" w:orient="portrait"/>
          <w:cols w:equalWidth="0" w:num="1">
            <w:col w:w="9640"/>
          </w:cols>
          <w:pgMar w:left="1300" w:top="1226" w:right="1300" w:bottom="0" w:gutter="0" w:footer="0" w:header="0"/>
          <w:type w:val="continuous"/>
        </w:sectPr>
      </w:pPr>
    </w:p>
    <w:bookmarkStart w:id="73" w:name="page74"/>
    <w:bookmarkEnd w:id="73"/>
    <w:p>
      <w:pPr>
        <w:jc w:val="both"/>
        <w:spacing w:after="0" w:line="242" w:lineRule="auto"/>
        <w:rPr>
          <w:sz w:val="20"/>
          <w:szCs w:val="20"/>
          <w:color w:val="auto"/>
        </w:rPr>
      </w:pPr>
      <w:r>
        <w:rPr>
          <w:rFonts w:ascii="Arial" w:cs="Arial" w:eastAsia="Arial" w:hAnsi="Arial"/>
          <w:sz w:val="21"/>
          <w:szCs w:val="21"/>
          <w:color w:val="auto"/>
        </w:rPr>
        <w:t>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spacing w:after="0" w:line="249"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55"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234"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236" w:lineRule="exact"/>
        <w:rPr>
          <w:sz w:val="20"/>
          <w:szCs w:val="20"/>
          <w:color w:val="auto"/>
        </w:rPr>
      </w:pPr>
    </w:p>
    <w:p>
      <w:pPr>
        <w:jc w:val="both"/>
        <w:ind w:firstLine="511"/>
        <w:spacing w:after="0" w:line="225" w:lineRule="auto"/>
        <w:rPr>
          <w:sz w:val="20"/>
          <w:szCs w:val="20"/>
          <w:color w:val="auto"/>
        </w:rPr>
      </w:pPr>
      <w:r>
        <w:rPr>
          <w:rFonts w:ascii="Arial" w:cs="Arial" w:eastAsia="Arial" w:hAnsi="Arial"/>
          <w:sz w:val="20"/>
          <w:szCs w:val="20"/>
          <w:color w:val="auto"/>
        </w:rPr>
        <w:t>Disruptions at the FDA and other agencies may also slow the time necessary for new drugs to be reviewed or approved by necessary government agencies, which would adversely affect our business. For example, in 2018 and 2019, the U.S. government shut down several times and certain regulatory agencies, such as the FDA and the SEC, had to furlough critical employees and stop critical activities. Separately, in response to the COVID- 19 public health emergency, since March 2020 when foreign and domestic inspections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and review timelines could be extended, including where a pre-approval inspection or an inspection of clinical sites is required and due to the ongoing COVID-19 pandemic, travel restrictions, or staffing shortages,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47" w:lineRule="exact"/>
        <w:rPr>
          <w:sz w:val="20"/>
          <w:szCs w:val="20"/>
          <w:color w:val="auto"/>
        </w:rPr>
      </w:pPr>
    </w:p>
    <w:p>
      <w:pPr>
        <w:jc w:val="both"/>
        <w:ind w:firstLine="510"/>
        <w:spacing w:after="0" w:line="250" w:lineRule="auto"/>
        <w:rPr>
          <w:sz w:val="20"/>
          <w:szCs w:val="20"/>
          <w:color w:val="auto"/>
        </w:rPr>
      </w:pPr>
      <w:r>
        <w:rPr>
          <w:rFonts w:ascii="Arial" w:cs="Arial" w:eastAsia="Arial" w:hAnsi="Arial"/>
          <w:sz w:val="20"/>
          <w:szCs w:val="20"/>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ectPr>
          <w:pgSz w:w="12240" w:h="15840" w:orient="portrait"/>
          <w:cols w:equalWidth="0" w:num="1">
            <w:col w:w="9640"/>
          </w:cols>
          <w:pgMar w:left="1300" w:top="1226" w:right="1300" w:bottom="0" w:gutter="0" w:footer="0" w:header="0"/>
          <w:type w:val="continuous"/>
        </w:sectPr>
      </w:pPr>
    </w:p>
    <w:bookmarkStart w:id="74" w:name="page75"/>
    <w:bookmarkEnd w:id="74"/>
    <w:p>
      <w:pPr>
        <w:jc w:val="both"/>
        <w:spacing w:after="0" w:line="229" w:lineRule="auto"/>
        <w:rPr>
          <w:sz w:val="20"/>
          <w:szCs w:val="20"/>
          <w:color w:val="auto"/>
        </w:rPr>
      </w:pPr>
      <w:r>
        <w:rPr>
          <w:rFonts w:ascii="Arial" w:cs="Arial" w:eastAsia="Arial" w:hAnsi="Arial"/>
          <w:sz w:val="21"/>
          <w:szCs w:val="21"/>
          <w:b w:val="1"/>
          <w:bCs w:val="1"/>
          <w:i w:val="1"/>
          <w:iCs w:val="1"/>
          <w:color w:val="auto"/>
        </w:rPr>
        <w:t>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221" w:lineRule="exact"/>
        <w:rPr>
          <w:sz w:val="20"/>
          <w:szCs w:val="20"/>
          <w:color w:val="auto"/>
        </w:rPr>
      </w:pPr>
    </w:p>
    <w:p>
      <w:pPr>
        <w:jc w:val="both"/>
        <w:ind w:firstLine="510"/>
        <w:spacing w:after="0" w:line="215" w:lineRule="auto"/>
        <w:rPr>
          <w:sz w:val="20"/>
          <w:szCs w:val="20"/>
          <w:color w:val="auto"/>
        </w:rPr>
      </w:pPr>
      <w:r>
        <w:rPr>
          <w:rFonts w:ascii="Arial" w:cs="Arial" w:eastAsia="Arial" w:hAnsi="Arial"/>
          <w:sz w:val="21"/>
          <w:szCs w:val="21"/>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56"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20"/>
          <w:szCs w:val="20"/>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49"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In view of the recent controversy regarding the FDA’s approval of Biogen’s Aduhelm, a biologic, through the accelerated approval pathway, the FDA has requested the Office of the Inspector General to investigate the FDA’s review of Aduhelm leading up to its approval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It is unclear how these proposals, future policy changes, and changes in FDA regulation will impact new drug applications in the treatment of Alzheimer’s disease and our clinical development programs.</w:t>
      </w:r>
    </w:p>
    <w:p>
      <w:pPr>
        <w:sectPr>
          <w:pgSz w:w="12240" w:h="15840" w:orient="portrait"/>
          <w:cols w:equalWidth="0" w:num="1">
            <w:col w:w="9640"/>
          </w:cols>
          <w:pgMar w:left="1300" w:top="1209"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ectPr>
          <w:pgSz w:w="12240" w:h="15840" w:orient="portrait"/>
          <w:cols w:equalWidth="0" w:num="1">
            <w:col w:w="9640"/>
          </w:cols>
          <w:pgMar w:left="1300" w:top="1209" w:right="1300" w:bottom="0" w:gutter="0" w:footer="0" w:header="0"/>
          <w:type w:val="continuous"/>
        </w:sectPr>
      </w:pPr>
    </w:p>
    <w:bookmarkStart w:id="75" w:name="page76"/>
    <w:bookmarkEnd w:id="75"/>
    <w:p>
      <w:pPr>
        <w:jc w:val="both"/>
        <w:ind w:firstLine="504"/>
        <w:spacing w:after="0" w:line="256" w:lineRule="auto"/>
        <w:rPr>
          <w:sz w:val="20"/>
          <w:szCs w:val="20"/>
          <w:color w:val="auto"/>
        </w:rPr>
      </w:pPr>
      <w:r>
        <w:rPr>
          <w:rFonts w:ascii="Arial" w:cs="Arial" w:eastAsia="Arial" w:hAnsi="Arial"/>
          <w:sz w:val="21"/>
          <w:szCs w:val="21"/>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222" w:lineRule="exact"/>
        <w:rPr>
          <w:sz w:val="20"/>
          <w:szCs w:val="20"/>
          <w:color w:val="auto"/>
        </w:rPr>
      </w:pPr>
    </w:p>
    <w:p>
      <w:pPr>
        <w:jc w:val="both"/>
        <w:ind w:firstLine="504"/>
        <w:spacing w:after="0" w:line="260" w:lineRule="auto"/>
        <w:rPr>
          <w:sz w:val="20"/>
          <w:szCs w:val="20"/>
          <w:color w:val="auto"/>
        </w:rPr>
      </w:pPr>
      <w:r>
        <w:rPr>
          <w:rFonts w:ascii="Arial" w:cs="Arial" w:eastAsia="Arial" w:hAnsi="Arial"/>
          <w:sz w:val="20"/>
          <w:szCs w:val="20"/>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76" w:lineRule="exact"/>
        <w:rPr>
          <w:sz w:val="20"/>
          <w:szCs w:val="20"/>
          <w:color w:val="auto"/>
        </w:rPr>
      </w:pPr>
    </w:p>
    <w:p>
      <w:pPr>
        <w:ind w:left="1000" w:hanging="496"/>
        <w:spacing w:after="0"/>
        <w:tabs>
          <w:tab w:leader="none" w:pos="10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changes to our manufacturing arrangements;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additions or modifications to product labeling;</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recall or discontinuation of our products; or</w:t>
      </w:r>
    </w:p>
    <w:p>
      <w:pPr>
        <w:spacing w:after="0" w:line="132"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additional record-keeping requirements. If any such changes were to be imposed, they could adversely affect the operation of our business.</w:t>
      </w:r>
    </w:p>
    <w:p>
      <w:pPr>
        <w:spacing w:after="0" w:line="202" w:lineRule="exact"/>
        <w:rPr>
          <w:sz w:val="20"/>
          <w:szCs w:val="20"/>
          <w:color w:val="auto"/>
        </w:rPr>
      </w:pPr>
    </w:p>
    <w:p>
      <w:pPr>
        <w:jc w:val="both"/>
        <w:ind w:firstLine="510"/>
        <w:spacing w:after="0" w:line="229" w:lineRule="auto"/>
        <w:rPr>
          <w:sz w:val="20"/>
          <w:szCs w:val="20"/>
          <w:color w:val="auto"/>
        </w:rPr>
      </w:pPr>
      <w:r>
        <w:rPr>
          <w:rFonts w:ascii="Arial" w:cs="Arial" w:eastAsia="Arial" w:hAnsi="Arial"/>
          <w:sz w:val="20"/>
          <w:szCs w:val="20"/>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w:t>
      </w:r>
    </w:p>
    <w:p>
      <w:pPr>
        <w:spacing w:after="0" w:line="1" w:lineRule="exact"/>
        <w:rPr>
          <w:sz w:val="20"/>
          <w:szCs w:val="20"/>
          <w:color w:val="auto"/>
        </w:rPr>
      </w:pPr>
    </w:p>
    <w:p>
      <w:pPr>
        <w:jc w:val="both"/>
        <w:spacing w:after="0" w:line="221" w:lineRule="auto"/>
        <w:tabs>
          <w:tab w:leader="none" w:pos="221" w:val="left"/>
        </w:tabs>
        <w:numPr>
          <w:ilvl w:val="0"/>
          <w:numId w:val="33"/>
        </w:numPr>
        <w:rPr>
          <w:rFonts w:ascii="Arial" w:cs="Arial" w:eastAsia="Arial" w:hAnsi="Arial"/>
          <w:sz w:val="21"/>
          <w:szCs w:val="21"/>
          <w:color w:val="auto"/>
        </w:rPr>
      </w:pPr>
      <w:r>
        <w:rPr>
          <w:rFonts w:ascii="Arial" w:cs="Arial" w:eastAsia="Arial" w:hAnsi="Arial"/>
          <w:sz w:val="21"/>
          <w:szCs w:val="21"/>
          <w:color w:val="auto"/>
        </w:rPr>
        <w:t>Medicaid Services, or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202"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ectPr>
          <w:pgSz w:w="12240" w:h="15840" w:orient="portrait"/>
          <w:cols w:equalWidth="0" w:num="1">
            <w:col w:w="9640"/>
          </w:cols>
          <w:pgMar w:left="1300" w:top="1230" w:right="1300" w:bottom="0" w:gutter="0" w:footer="0" w:header="0"/>
          <w:type w:val="continuous"/>
        </w:sectPr>
      </w:pPr>
    </w:p>
    <w:bookmarkStart w:id="76" w:name="page77"/>
    <w:bookmarkEnd w:id="76"/>
    <w:p>
      <w:pPr>
        <w:jc w:val="both"/>
        <w:spacing w:after="0" w:line="247" w:lineRule="auto"/>
        <w:rPr>
          <w:sz w:val="20"/>
          <w:szCs w:val="20"/>
          <w:color w:val="auto"/>
        </w:rPr>
      </w:pPr>
      <w:r>
        <w:rPr>
          <w:rFonts w:ascii="Arial" w:cs="Arial" w:eastAsia="Arial" w:hAnsi="Arial"/>
          <w:sz w:val="21"/>
          <w:szCs w:val="21"/>
          <w:color w:val="auto"/>
        </w:rPr>
        <w:t>program. It is possible that the ACA will be subject to judicial or Congressional challenges in the future. It is unclear how additional challenges and healthcare reform measures of the Biden administration will impact the ACA. Complying with any new legislation and regulatory requirements could be time-intensive and expensive, resulting in a material adverse effect on our business.</w:t>
      </w:r>
    </w:p>
    <w:p>
      <w:pPr>
        <w:spacing w:after="0" w:line="242"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20"/>
          <w:szCs w:val="20"/>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2031 with the exception of a temporary suspension implemented under various COVID-19 relief legislation from May 1, 2020 through March 31, 2022, unless additional Congressional action is taken. Under current legislation, the actual reduction in Medicare payments can vary from 1% in 2022 to up to 4% in the final fiscal year of this sequester.</w:t>
      </w:r>
    </w:p>
    <w:p>
      <w:pPr>
        <w:spacing w:after="0" w:line="243" w:lineRule="exact"/>
        <w:rPr>
          <w:sz w:val="20"/>
          <w:szCs w:val="20"/>
          <w:color w:val="auto"/>
        </w:rPr>
      </w:pPr>
    </w:p>
    <w:p>
      <w:pPr>
        <w:jc w:val="both"/>
        <w:ind w:firstLine="504"/>
        <w:spacing w:after="0" w:line="249" w:lineRule="auto"/>
        <w:rPr>
          <w:sz w:val="20"/>
          <w:szCs w:val="20"/>
          <w:color w:val="auto"/>
        </w:rPr>
      </w:pPr>
      <w:r>
        <w:rPr>
          <w:rFonts w:ascii="Arial" w:cs="Arial" w:eastAsia="Arial" w:hAnsi="Arial"/>
          <w:sz w:val="20"/>
          <w:szCs w:val="20"/>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ectPr>
          <w:pgSz w:w="12240" w:h="15840" w:orient="portrait"/>
          <w:cols w:equalWidth="0" w:num="1">
            <w:col w:w="9640"/>
          </w:cols>
          <w:pgMar w:left="1300" w:top="1226" w:right="1300" w:bottom="0" w:gutter="0" w:footer="0" w:header="0"/>
          <w:type w:val="continuous"/>
        </w:sectPr>
      </w:pPr>
    </w:p>
    <w:bookmarkStart w:id="77" w:name="page78"/>
    <w:bookmarkEnd w:id="77"/>
    <w:p>
      <w:pPr>
        <w:jc w:val="both"/>
        <w:ind w:firstLine="504"/>
        <w:spacing w:after="0" w:line="238" w:lineRule="auto"/>
        <w:rPr>
          <w:sz w:val="20"/>
          <w:szCs w:val="20"/>
          <w:color w:val="auto"/>
        </w:rPr>
      </w:pPr>
      <w:r>
        <w:rPr>
          <w:rFonts w:ascii="Arial" w:cs="Arial" w:eastAsia="Arial" w:hAnsi="Arial"/>
          <w:sz w:val="21"/>
          <w:szCs w:val="21"/>
          <w:color w:val="auto"/>
        </w:rPr>
        <w:t>In April 2022, CMS released a finalized national policy for coverage of aducanumab, or Aduhelm, and any future monoclonal antibodies directed against amyloid approved by the FDA with an indication for use in treating Alzheimer’s disease. According to the two-part National Coverage Determination, or NCD, Medicare will cover monoclonal antibodies that target amyloid (or plaque) for the treatment of Alzheimer’s disease that receive traditional approval from the FDA when furnished in accordance with the coverage criteria specified under coverage with evidence development. CMS will also provide enhanced access and coverage for Medicare patients participating in CMS-approved studies, such as data collection through routine clinical practice or registries. Additionally, for drugs that FDA has not determined to have shown a clinical benefit or that received an accelerated approval, Medicare will provide coverage in FDA or National Institutes of Health approved clinical trials. If CMS adopts similar coverage restrictions for other classes of FDA-approved drugs for the treatment of Alzheimer’s disease that encompass our product candidates, our ability to commercialize our product candidates, if approved, generate revenue and attain profitability could be negatively impacted. It is unclear how future CMS coverage decisions and policies will impact our business.</w:t>
      </w:r>
    </w:p>
    <w:p>
      <w:pPr>
        <w:spacing w:after="0" w:line="252"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39"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45"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spacing w:after="0" w:line="98" w:lineRule="exact"/>
        <w:rPr>
          <w:sz w:val="20"/>
          <w:szCs w:val="20"/>
          <w:color w:val="auto"/>
        </w:rPr>
      </w:pPr>
    </w:p>
    <w:p>
      <w:pPr>
        <w:ind w:left="1000" w:hanging="496"/>
        <w:spacing w:after="0"/>
        <w:tabs>
          <w:tab w:leader="none" w:pos="10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demand for our product candidates, if we obtain regulatory approval;</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our ability to set a price that we believe is fair for our products;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our ability to obtain coverage and reimbursement approval for a product;</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our ability to generate revenue and achieve or maintain profitability;</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level of taxes that we are required to pay; and</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availability of capital.</w:t>
      </w:r>
    </w:p>
    <w:p>
      <w:pPr>
        <w:spacing w:after="0" w:line="284" w:lineRule="exact"/>
        <w:rPr>
          <w:sz w:val="20"/>
          <w:szCs w:val="20"/>
          <w:color w:val="auto"/>
        </w:rPr>
      </w:pPr>
    </w:p>
    <w:p>
      <w:pPr>
        <w:ind w:firstLine="504"/>
        <w:spacing w:after="0" w:line="271" w:lineRule="auto"/>
        <w:rPr>
          <w:sz w:val="20"/>
          <w:szCs w:val="20"/>
          <w:color w:val="auto"/>
        </w:rPr>
      </w:pPr>
      <w:r>
        <w:rPr>
          <w:rFonts w:ascii="Arial" w:cs="Arial" w:eastAsia="Arial" w:hAnsi="Arial"/>
          <w:sz w:val="21"/>
          <w:szCs w:val="21"/>
          <w:color w:val="auto"/>
        </w:rPr>
        <w:t>Any reduction in reimbursement from Medicare or other government programs may result in a similar reduction in payments from private payors, which may adversely affect our future profitability.</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ectPr>
          <w:pgSz w:w="12240" w:h="15840" w:orient="portrait"/>
          <w:cols w:equalWidth="0" w:num="1">
            <w:col w:w="9640"/>
          </w:cols>
          <w:pgMar w:left="1300" w:top="1226" w:right="1300" w:bottom="0" w:gutter="0" w:footer="0" w:header="0"/>
          <w:type w:val="continuous"/>
        </w:sectPr>
      </w:pPr>
    </w:p>
    <w:bookmarkStart w:id="78" w:name="page79"/>
    <w:bookmarkEnd w:id="78"/>
    <w:p>
      <w:pPr>
        <w:jc w:val="both"/>
        <w:ind w:firstLine="504"/>
        <w:spacing w:after="0" w:line="251" w:lineRule="auto"/>
        <w:rPr>
          <w:sz w:val="20"/>
          <w:szCs w:val="20"/>
          <w:color w:val="auto"/>
        </w:rPr>
      </w:pPr>
      <w:r>
        <w:rPr>
          <w:rFonts w:ascii="Arial" w:cs="Arial" w:eastAsia="Arial" w:hAnsi="Arial"/>
          <w:sz w:val="20"/>
          <w:szCs w:val="20"/>
          <w:color w:val="auto"/>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44"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b w:val="1"/>
          <w:bCs w:val="1"/>
          <w:i w:val="1"/>
          <w:iCs w:val="1"/>
          <w:color w:val="auto"/>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National Institutes of Health,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25"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21"/>
          <w:szCs w:val="21"/>
          <w:color w:val="auto"/>
        </w:rPr>
        <w:t>The laws that may affect our ability to operate include, but are not limited to:</w:t>
      </w:r>
    </w:p>
    <w:p>
      <w:pPr>
        <w:spacing w:after="0" w:line="133" w:lineRule="exact"/>
        <w:rPr>
          <w:sz w:val="20"/>
          <w:szCs w:val="20"/>
          <w:color w:val="auto"/>
        </w:rPr>
      </w:pPr>
    </w:p>
    <w:p>
      <w:pPr>
        <w:jc w:val="both"/>
        <w:ind w:left="1000" w:hanging="496"/>
        <w:spacing w:after="0" w:line="238" w:lineRule="auto"/>
        <w:tabs>
          <w:tab w:leader="none" w:pos="1000"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99" w:lineRule="exact"/>
        <w:rPr>
          <w:rFonts w:ascii="Arial" w:cs="Arial" w:eastAsia="Arial" w:hAnsi="Arial"/>
          <w:sz w:val="21"/>
          <w:szCs w:val="21"/>
          <w:color w:val="auto"/>
        </w:rPr>
      </w:pPr>
    </w:p>
    <w:p>
      <w:pPr>
        <w:jc w:val="both"/>
        <w:ind w:left="1000" w:hanging="496"/>
        <w:spacing w:after="0" w:line="260" w:lineRule="auto"/>
        <w:tabs>
          <w:tab w:leader="none" w:pos="10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ectPr>
          <w:pgSz w:w="12240" w:h="15840" w:orient="portrait"/>
          <w:cols w:equalWidth="0" w:num="1">
            <w:col w:w="9640"/>
          </w:cols>
          <w:pgMar w:left="1300" w:top="1226" w:right="1300" w:bottom="0" w:gutter="0" w:footer="0" w:header="0"/>
          <w:type w:val="continuous"/>
        </w:sectPr>
      </w:pPr>
    </w:p>
    <w:bookmarkStart w:id="79" w:name="page80"/>
    <w:bookmarkEnd w:id="79"/>
    <w:p>
      <w:pPr>
        <w:jc w:val="both"/>
        <w:ind w:left="860"/>
        <w:spacing w:after="0" w:line="238" w:lineRule="auto"/>
        <w:rPr>
          <w:sz w:val="20"/>
          <w:szCs w:val="20"/>
          <w:color w:val="auto"/>
        </w:rPr>
      </w:pPr>
      <w:r>
        <w:rPr>
          <w:rFonts w:ascii="Arial" w:cs="Arial" w:eastAsia="Arial" w:hAnsi="Arial"/>
          <w:sz w:val="21"/>
          <w:szCs w:val="21"/>
          <w:color w:val="auto"/>
        </w:rPr>
        <w:t>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spacing w:after="0" w:line="96" w:lineRule="exact"/>
        <w:rPr>
          <w:sz w:val="20"/>
          <w:szCs w:val="20"/>
          <w:color w:val="auto"/>
        </w:rPr>
      </w:pPr>
    </w:p>
    <w:p>
      <w:pPr>
        <w:jc w:val="both"/>
        <w:ind w:left="860" w:hanging="496"/>
        <w:spacing w:after="0" w:line="252" w:lineRule="auto"/>
        <w:tabs>
          <w:tab w:leader="none" w:pos="8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92" w:lineRule="exact"/>
        <w:rPr>
          <w:rFonts w:ascii="Arial" w:cs="Arial" w:eastAsia="Arial" w:hAnsi="Arial"/>
          <w:sz w:val="20"/>
          <w:szCs w:val="20"/>
          <w:color w:val="auto"/>
        </w:rPr>
      </w:pPr>
    </w:p>
    <w:p>
      <w:pPr>
        <w:jc w:val="both"/>
        <w:ind w:left="860" w:hanging="496"/>
        <w:spacing w:after="0" w:line="239" w:lineRule="auto"/>
        <w:tabs>
          <w:tab w:leader="none" w:pos="8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7" w:lineRule="exact"/>
        <w:rPr>
          <w:rFonts w:ascii="Arial" w:cs="Arial" w:eastAsia="Arial" w:hAnsi="Arial"/>
          <w:sz w:val="21"/>
          <w:szCs w:val="21"/>
          <w:color w:val="auto"/>
        </w:rPr>
      </w:pPr>
    </w:p>
    <w:p>
      <w:pPr>
        <w:jc w:val="both"/>
        <w:ind w:left="860" w:hanging="496"/>
        <w:spacing w:after="0"/>
        <w:tabs>
          <w:tab w:leader="none" w:pos="8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96" w:lineRule="exact"/>
        <w:rPr>
          <w:rFonts w:ascii="Arial" w:cs="Arial" w:eastAsia="Arial" w:hAnsi="Arial"/>
          <w:sz w:val="21"/>
          <w:szCs w:val="21"/>
          <w:color w:val="auto"/>
        </w:rPr>
      </w:pPr>
    </w:p>
    <w:p>
      <w:pPr>
        <w:ind w:left="860" w:hanging="496"/>
        <w:spacing w:after="0" w:line="273" w:lineRule="auto"/>
        <w:tabs>
          <w:tab w:leader="none" w:pos="8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21"/>
          <w:szCs w:val="21"/>
          <w:color w:val="auto"/>
        </w:rPr>
      </w:pPr>
    </w:p>
    <w:p>
      <w:pPr>
        <w:jc w:val="both"/>
        <w:ind w:left="860" w:hanging="496"/>
        <w:spacing w:after="0" w:line="260" w:lineRule="auto"/>
        <w:tabs>
          <w:tab w:leader="none" w:pos="8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w:t>
      </w:r>
    </w:p>
    <w:p>
      <w:pPr>
        <w:sectPr>
          <w:pgSz w:w="12240" w:h="15840" w:orient="portrait"/>
          <w:cols w:equalWidth="0" w:num="1">
            <w:col w:w="9500"/>
          </w:cols>
          <w:pgMar w:left="1440" w:top="1226" w:right="130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40"/>
        <w:spacing w:after="0"/>
        <w:rPr>
          <w:sz w:val="20"/>
          <w:szCs w:val="20"/>
          <w:color w:val="auto"/>
        </w:rPr>
      </w:pPr>
      <w:r>
        <w:rPr>
          <w:rFonts w:ascii="Arial" w:cs="Arial" w:eastAsia="Arial" w:hAnsi="Arial"/>
          <w:sz w:val="21"/>
          <w:szCs w:val="21"/>
          <w:color w:val="auto"/>
        </w:rPr>
        <w:t>74</w:t>
      </w:r>
    </w:p>
    <w:p>
      <w:pPr>
        <w:sectPr>
          <w:pgSz w:w="12240" w:h="15840" w:orient="portrait"/>
          <w:cols w:equalWidth="0" w:num="1">
            <w:col w:w="9500"/>
          </w:cols>
          <w:pgMar w:left="1440" w:top="1226" w:right="1300" w:bottom="0" w:gutter="0" w:footer="0" w:header="0"/>
          <w:type w:val="continuous"/>
        </w:sectPr>
      </w:pPr>
    </w:p>
    <w:bookmarkStart w:id="80" w:name="page81"/>
    <w:bookmarkEnd w:id="80"/>
    <w:p>
      <w:pPr>
        <w:jc w:val="both"/>
        <w:ind w:left="1000"/>
        <w:spacing w:after="0" w:line="239" w:lineRule="auto"/>
        <w:rPr>
          <w:sz w:val="20"/>
          <w:szCs w:val="20"/>
          <w:color w:val="auto"/>
        </w:rPr>
      </w:pPr>
      <w:r>
        <w:rPr>
          <w:rFonts w:ascii="Arial" w:cs="Arial" w:eastAsia="Arial" w:hAnsi="Arial"/>
          <w:sz w:val="21"/>
          <w:szCs w:val="21"/>
          <w:color w:val="auto"/>
        </w:rPr>
        <w:t>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52"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41" w:lineRule="exact"/>
        <w:rPr>
          <w:sz w:val="20"/>
          <w:szCs w:val="20"/>
          <w:color w:val="auto"/>
        </w:rPr>
      </w:pPr>
    </w:p>
    <w:p>
      <w:pPr>
        <w:jc w:val="both"/>
        <w:ind w:firstLine="504"/>
        <w:spacing w:after="0" w:line="246" w:lineRule="auto"/>
        <w:rPr>
          <w:sz w:val="20"/>
          <w:szCs w:val="20"/>
          <w:color w:val="auto"/>
        </w:rPr>
      </w:pPr>
      <w:r>
        <w:rPr>
          <w:rFonts w:ascii="Arial" w:cs="Arial" w:eastAsia="Arial" w:hAnsi="Arial"/>
          <w:sz w:val="21"/>
          <w:szCs w:val="21"/>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222"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0"/>
          <w:szCs w:val="20"/>
          <w:color w:val="auto"/>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ectPr>
          <w:pgSz w:w="12240" w:h="15840" w:orient="portrait"/>
          <w:cols w:equalWidth="0" w:num="1">
            <w:col w:w="9640"/>
          </w:cols>
          <w:pgMar w:left="1300" w:top="1226" w:right="1300" w:bottom="0" w:gutter="0" w:footer="0" w:header="0"/>
          <w:type w:val="continuous"/>
        </w:sectPr>
      </w:pPr>
    </w:p>
    <w:bookmarkStart w:id="81" w:name="page82"/>
    <w:bookmarkEnd w:id="81"/>
    <w:p>
      <w:pPr>
        <w:jc w:val="both"/>
        <w:ind w:firstLine="504"/>
        <w:spacing w:after="0" w:line="246" w:lineRule="auto"/>
        <w:rPr>
          <w:sz w:val="20"/>
          <w:szCs w:val="20"/>
          <w:color w:val="auto"/>
        </w:rPr>
      </w:pPr>
      <w:r>
        <w:rPr>
          <w:rFonts w:ascii="Arial" w:cs="Arial" w:eastAsia="Arial" w:hAnsi="Arial"/>
          <w:sz w:val="21"/>
          <w:szCs w:val="21"/>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22"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37"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43" w:lineRule="exact"/>
        <w:rPr>
          <w:sz w:val="20"/>
          <w:szCs w:val="20"/>
          <w:color w:val="auto"/>
        </w:rPr>
      </w:pPr>
    </w:p>
    <w:p>
      <w:pPr>
        <w:jc w:val="both"/>
        <w:ind w:firstLine="504"/>
        <w:spacing w:after="0" w:line="246" w:lineRule="auto"/>
        <w:rPr>
          <w:sz w:val="20"/>
          <w:szCs w:val="20"/>
          <w:color w:val="auto"/>
        </w:rPr>
      </w:pPr>
      <w:r>
        <w:rPr>
          <w:rFonts w:ascii="Arial" w:cs="Arial" w:eastAsia="Arial" w:hAnsi="Arial"/>
          <w:sz w:val="21"/>
          <w:szCs w:val="21"/>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22"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0"/>
          <w:szCs w:val="20"/>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auto"/>
        </w:rPr>
        <w:t>Risks Relating to Our Reliance on Third Parties</w:t>
      </w:r>
    </w:p>
    <w:p>
      <w:pPr>
        <w:spacing w:after="0" w:line="292" w:lineRule="exact"/>
        <w:rPr>
          <w:sz w:val="20"/>
          <w:szCs w:val="20"/>
          <w:color w:val="auto"/>
        </w:rPr>
      </w:pPr>
    </w:p>
    <w:p>
      <w:pPr>
        <w:jc w:val="both"/>
        <w:ind w:firstLine="504"/>
        <w:spacing w:after="0" w:line="249" w:lineRule="auto"/>
        <w:rPr>
          <w:sz w:val="20"/>
          <w:szCs w:val="20"/>
          <w:color w:val="auto"/>
        </w:rPr>
      </w:pPr>
      <w:r>
        <w:rPr>
          <w:rFonts w:ascii="Arial" w:cs="Arial" w:eastAsia="Arial" w:hAnsi="Arial"/>
          <w:sz w:val="21"/>
          <w:szCs w:val="21"/>
          <w:b w:val="1"/>
          <w:bCs w:val="1"/>
          <w:i w:val="1"/>
          <w:iCs w:val="1"/>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230"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1"/>
          <w:szCs w:val="21"/>
          <w:color w:val="auto"/>
        </w:rPr>
        <w:t>We utilize and depend upon independent investigators and collaborators, such as medical institutions, CROs, CMOs, and strategic partners to conduct and support our nonclinical studies and clinical trials under agreements with us.</w:t>
      </w:r>
    </w:p>
    <w:p>
      <w:pPr>
        <w:spacing w:after="0" w:line="23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20"/>
          <w:szCs w:val="20"/>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ectPr>
          <w:pgSz w:w="12240" w:h="15840" w:orient="portrait"/>
          <w:cols w:equalWidth="0" w:num="1">
            <w:col w:w="9640"/>
          </w:cols>
          <w:pgMar w:left="1300" w:top="1222" w:right="1300" w:bottom="0" w:gutter="0" w:footer="0" w:header="0"/>
          <w:type w:val="continuous"/>
        </w:sectPr>
      </w:pPr>
    </w:p>
    <w:bookmarkStart w:id="82" w:name="page83"/>
    <w:bookmarkEnd w:id="82"/>
    <w:p>
      <w:pPr>
        <w:jc w:val="both"/>
        <w:spacing w:after="0" w:line="237" w:lineRule="auto"/>
        <w:rPr>
          <w:sz w:val="20"/>
          <w:szCs w:val="20"/>
          <w:color w:val="auto"/>
        </w:rPr>
      </w:pPr>
      <w:r>
        <w:rPr>
          <w:rFonts w:ascii="Arial" w:cs="Arial" w:eastAsia="Arial" w:hAnsi="Arial"/>
          <w:sz w:val="21"/>
          <w:szCs w:val="21"/>
          <w:color w:val="auto"/>
        </w:rPr>
        <w:t>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57"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55"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46" w:lineRule="exact"/>
        <w:rPr>
          <w:sz w:val="20"/>
          <w:szCs w:val="20"/>
          <w:color w:val="auto"/>
        </w:rPr>
      </w:pPr>
    </w:p>
    <w:p>
      <w:pPr>
        <w:jc w:val="both"/>
        <w:ind w:firstLine="504"/>
        <w:spacing w:after="0" w:line="246" w:lineRule="auto"/>
        <w:rPr>
          <w:sz w:val="20"/>
          <w:szCs w:val="20"/>
          <w:color w:val="auto"/>
        </w:rPr>
      </w:pPr>
      <w:r>
        <w:rPr>
          <w:rFonts w:ascii="Arial" w:cs="Arial" w:eastAsia="Arial" w:hAnsi="Arial"/>
          <w:sz w:val="21"/>
          <w:szCs w:val="21"/>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232"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and sometimes involve long lead times from order to receipt of the materials.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ectPr>
          <w:pgSz w:w="12240" w:h="15840" w:orient="portrait"/>
          <w:cols w:equalWidth="0" w:num="1">
            <w:col w:w="9640"/>
          </w:cols>
          <w:pgMar w:left="1300" w:top="1226" w:right="1300" w:bottom="0" w:gutter="0" w:footer="0" w:header="0"/>
          <w:type w:val="continuous"/>
        </w:sectPr>
      </w:pPr>
    </w:p>
    <w:bookmarkStart w:id="83" w:name="page84"/>
    <w:bookmarkEnd w:id="83"/>
    <w:p>
      <w:pPr>
        <w:jc w:val="both"/>
        <w:spacing w:after="0" w:line="247" w:lineRule="auto"/>
        <w:rPr>
          <w:sz w:val="20"/>
          <w:szCs w:val="20"/>
          <w:color w:val="auto"/>
        </w:rPr>
      </w:pPr>
      <w:r>
        <w:rPr>
          <w:rFonts w:ascii="Arial" w:cs="Arial" w:eastAsia="Arial" w:hAnsi="Arial"/>
          <w:sz w:val="21"/>
          <w:szCs w:val="21"/>
          <w:color w:val="auto"/>
        </w:rPr>
        <w:t>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90" w:lineRule="exact"/>
        <w:rPr>
          <w:sz w:val="20"/>
          <w:szCs w:val="20"/>
          <w:color w:val="auto"/>
        </w:rPr>
      </w:pPr>
    </w:p>
    <w:p>
      <w:pPr>
        <w:jc w:val="both"/>
        <w:ind w:left="1000" w:hanging="496"/>
        <w:spacing w:after="0" w:line="247" w:lineRule="auto"/>
        <w:tabs>
          <w:tab w:leader="none" w:pos="10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91"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reduction or termination of production or deliveries by suppliers, or the raising of prices or renegotiation of terms;</w:t>
      </w:r>
    </w:p>
    <w:p>
      <w:pPr>
        <w:spacing w:after="0" w:line="6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termination or nonrenewal of arrangements or agreements by our third-party contractors at a time that is costly or inconvenient for us;</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breach by the third-party contractors of our agreements with them;</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failure of third-party contractors to comply with applicable regulatory requirements;</w:t>
      </w:r>
    </w:p>
    <w:p>
      <w:pPr>
        <w:spacing w:after="0" w:line="132"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failure of the third party to manufacture our product candidates according to our specifications;</w:t>
      </w:r>
    </w:p>
    <w:p>
      <w:pPr>
        <w:spacing w:after="0" w:line="64"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mislabeling of clinical supplies, potentially resulting in the wrong dose amounts being supplied or active drug or placebo not being properly identified;</w:t>
      </w:r>
    </w:p>
    <w:p>
      <w:pPr>
        <w:spacing w:after="0" w:line="65" w:lineRule="exact"/>
        <w:rPr>
          <w:rFonts w:ascii="Arial" w:cs="Arial" w:eastAsia="Arial" w:hAnsi="Arial"/>
          <w:sz w:val="21"/>
          <w:szCs w:val="21"/>
          <w:color w:val="auto"/>
        </w:rPr>
      </w:pPr>
    </w:p>
    <w:p>
      <w:pPr>
        <w:jc w:val="both"/>
        <w:ind w:left="1000" w:hanging="496"/>
        <w:spacing w:after="0" w:line="254" w:lineRule="auto"/>
        <w:tabs>
          <w:tab w:leader="none" w:pos="10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clinical supplies not being delivered to clinical sites on time, leading to clinical trial interruptions, or of drug supplies not being distributed to commercial vendors in a timely manner, resulting in lost sales; and</w:t>
      </w:r>
    </w:p>
    <w:p>
      <w:pPr>
        <w:spacing w:after="0" w:line="81" w:lineRule="exact"/>
        <w:rPr>
          <w:rFonts w:ascii="Arial" w:cs="Arial" w:eastAsia="Arial" w:hAnsi="Arial"/>
          <w:sz w:val="21"/>
          <w:szCs w:val="21"/>
          <w:color w:val="auto"/>
        </w:rPr>
      </w:pPr>
    </w:p>
    <w:p>
      <w:pPr>
        <w:ind w:left="1000" w:hanging="496"/>
        <w:spacing w:after="0"/>
        <w:tabs>
          <w:tab w:leader="none" w:pos="10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misappropriation of our proprietary information, including our trade secrets and know-how.</w:t>
      </w:r>
    </w:p>
    <w:p>
      <w:pPr>
        <w:spacing w:after="0" w:line="291"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0"/>
          <w:szCs w:val="20"/>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 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57"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230" w:lineRule="exact"/>
        <w:rPr>
          <w:sz w:val="20"/>
          <w:szCs w:val="20"/>
          <w:color w:val="auto"/>
        </w:rPr>
      </w:pPr>
    </w:p>
    <w:p>
      <w:pPr>
        <w:jc w:val="both"/>
        <w:ind w:firstLine="504"/>
        <w:spacing w:after="0" w:line="267" w:lineRule="auto"/>
        <w:rPr>
          <w:sz w:val="20"/>
          <w:szCs w:val="20"/>
          <w:color w:val="auto"/>
        </w:rPr>
      </w:pPr>
      <w:r>
        <w:rPr>
          <w:rFonts w:ascii="Arial" w:cs="Arial" w:eastAsia="Arial" w:hAnsi="Arial"/>
          <w:sz w:val="20"/>
          <w:szCs w:val="20"/>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ectPr>
          <w:pgSz w:w="12240" w:h="15840" w:orient="portrait"/>
          <w:cols w:equalWidth="0" w:num="1">
            <w:col w:w="9640"/>
          </w:cols>
          <w:pgMar w:left="1300" w:top="1226" w:right="1300" w:bottom="0" w:gutter="0" w:footer="0" w:header="0"/>
          <w:type w:val="continuous"/>
        </w:sectPr>
      </w:pPr>
    </w:p>
    <w:bookmarkStart w:id="84" w:name="page85"/>
    <w:bookmarkEnd w:id="84"/>
    <w:p>
      <w:pPr>
        <w:jc w:val="both"/>
        <w:spacing w:after="0" w:line="234" w:lineRule="auto"/>
        <w:rPr>
          <w:sz w:val="20"/>
          <w:szCs w:val="20"/>
          <w:color w:val="auto"/>
        </w:rPr>
      </w:pPr>
      <w:r>
        <w:rPr>
          <w:rFonts w:ascii="Arial" w:cs="Arial" w:eastAsia="Arial" w:hAnsi="Arial"/>
          <w:sz w:val="21"/>
          <w:szCs w:val="21"/>
          <w:color w:val="auto"/>
        </w:rPr>
        <w:t>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47"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b w:val="1"/>
          <w:bCs w:val="1"/>
          <w:i w:val="1"/>
          <w:iCs w:val="1"/>
          <w:color w:val="auto"/>
        </w:rPr>
        <w:t>If our third-party manufacturers use hazardous materials in a manner that causes injury or violates applicable law, we may be liable for damages.</w:t>
      </w:r>
    </w:p>
    <w:p>
      <w:pPr>
        <w:spacing w:after="0" w:line="200" w:lineRule="exact"/>
        <w:rPr>
          <w:sz w:val="20"/>
          <w:szCs w:val="20"/>
          <w:color w:val="auto"/>
        </w:rPr>
      </w:pPr>
    </w:p>
    <w:p>
      <w:pPr>
        <w:jc w:val="both"/>
        <w:ind w:firstLine="504"/>
        <w:spacing w:after="0" w:line="246" w:lineRule="auto"/>
        <w:rPr>
          <w:sz w:val="20"/>
          <w:szCs w:val="20"/>
          <w:color w:val="auto"/>
        </w:rPr>
      </w:pPr>
      <w:r>
        <w:rPr>
          <w:rFonts w:ascii="Arial" w:cs="Arial" w:eastAsia="Arial" w:hAnsi="Arial"/>
          <w:sz w:val="20"/>
          <w:szCs w:val="20"/>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48"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21"/>
          <w:szCs w:val="21"/>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222" w:lineRule="exact"/>
        <w:rPr>
          <w:sz w:val="20"/>
          <w:szCs w:val="20"/>
          <w:color w:val="auto"/>
        </w:rPr>
      </w:pPr>
    </w:p>
    <w:p>
      <w:pPr>
        <w:jc w:val="both"/>
        <w:ind w:firstLine="504"/>
        <w:spacing w:after="0" w:line="260" w:lineRule="auto"/>
        <w:rPr>
          <w:sz w:val="20"/>
          <w:szCs w:val="20"/>
          <w:color w:val="auto"/>
        </w:rPr>
      </w:pPr>
      <w:r>
        <w:rPr>
          <w:rFonts w:ascii="Arial" w:cs="Arial" w:eastAsia="Arial" w:hAnsi="Arial"/>
          <w:sz w:val="20"/>
          <w:szCs w:val="20"/>
          <w:color w:val="auto"/>
        </w:rPr>
        <w:t>We own worldwide rights to fosgonimeton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228"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In addition, the effects to our business and reputation discussed in “—</w:t>
      </w:r>
      <w:r>
        <w:rPr>
          <w:rFonts w:ascii="Arial" w:cs="Arial" w:eastAsia="Arial" w:hAnsi="Arial"/>
          <w:sz w:val="20"/>
          <w:szCs w:val="20"/>
          <w:i w:val="1"/>
          <w:iCs w:val="1"/>
          <w:color w:val="auto"/>
        </w:rPr>
        <w:t>An independent special</w:t>
      </w:r>
      <w:r>
        <w:rPr>
          <w:rFonts w:ascii="Arial" w:cs="Arial" w:eastAsia="Arial" w:hAnsi="Arial"/>
          <w:sz w:val="20"/>
          <w:szCs w:val="20"/>
          <w:color w:val="auto"/>
        </w:rPr>
        <w:t xml:space="preserve"> </w:t>
      </w:r>
      <w:r>
        <w:rPr>
          <w:rFonts w:ascii="Arial" w:cs="Arial" w:eastAsia="Arial" w:hAnsi="Arial"/>
          <w:sz w:val="20"/>
          <w:szCs w:val="20"/>
          <w:i w:val="1"/>
          <w:iCs w:val="1"/>
          <w:color w:val="auto"/>
        </w:rPr>
        <w:t>committee of our board of directors engaged in a review of papers co-authored by our former chief executive officer in connection with her doctoral research at Washington State University.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w:t>
      </w:r>
    </w:p>
    <w:p>
      <w:pPr>
        <w:sectPr>
          <w:pgSz w:w="12240" w:h="15840" w:orient="portrait"/>
          <w:cols w:equalWidth="0" w:num="1">
            <w:col w:w="9640"/>
          </w:cols>
          <w:pgMar w:left="1300" w:top="1221"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ectPr>
          <w:pgSz w:w="12240" w:h="15840" w:orient="portrait"/>
          <w:cols w:equalWidth="0" w:num="1">
            <w:col w:w="9640"/>
          </w:cols>
          <w:pgMar w:left="1300" w:top="1221" w:right="1300" w:bottom="0" w:gutter="0" w:footer="0" w:header="0"/>
          <w:type w:val="continuous"/>
        </w:sectPr>
      </w:pPr>
    </w:p>
    <w:bookmarkStart w:id="85" w:name="page86"/>
    <w:bookmarkEnd w:id="85"/>
    <w:p>
      <w:pPr>
        <w:jc w:val="both"/>
        <w:spacing w:after="0" w:line="249" w:lineRule="auto"/>
        <w:rPr>
          <w:sz w:val="20"/>
          <w:szCs w:val="20"/>
          <w:color w:val="auto"/>
        </w:rPr>
      </w:pPr>
      <w:r>
        <w:rPr>
          <w:rFonts w:ascii="Arial" w:cs="Arial" w:eastAsia="Arial" w:hAnsi="Arial"/>
          <w:sz w:val="21"/>
          <w:szCs w:val="21"/>
          <w:i w:val="1"/>
          <w:iCs w:val="1"/>
          <w:color w:val="auto"/>
        </w:rPr>
        <w:t>Washington State University. We cannot predict when WSU’s investigation will be completed or what conclusions WSU will reach</w:t>
      </w:r>
      <w:r>
        <w:rPr>
          <w:rFonts w:ascii="Arial" w:cs="Arial" w:eastAsia="Arial" w:hAnsi="Arial"/>
          <w:sz w:val="21"/>
          <w:szCs w:val="21"/>
          <w:color w:val="auto"/>
        </w:rPr>
        <w:t>,” may discourage potential counterparties from entering into relationships with</w:t>
      </w:r>
      <w:r>
        <w:rPr>
          <w:rFonts w:ascii="Arial" w:cs="Arial" w:eastAsia="Arial" w:hAnsi="Arial"/>
          <w:sz w:val="21"/>
          <w:szCs w:val="21"/>
          <w:i w:val="1"/>
          <w:iCs w:val="1"/>
          <w:color w:val="auto"/>
        </w:rPr>
        <w:t xml:space="preserve"> </w:t>
      </w:r>
      <w:r>
        <w:rPr>
          <w:rFonts w:ascii="Arial" w:cs="Arial" w:eastAsia="Arial" w:hAnsi="Arial"/>
          <w:sz w:val="21"/>
          <w:szCs w:val="21"/>
          <w:color w:val="auto"/>
        </w:rPr>
        <w:t>us.</w:t>
      </w:r>
    </w:p>
    <w:p>
      <w:pPr>
        <w:spacing w:after="0" w:line="239"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47"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color w:val="auto"/>
        </w:rPr>
        <w:t>Even if we are successful in entering into collaborations involving our product candidates, these relationships are subject to numerous risks, which may include the following:</w:t>
      </w:r>
    </w:p>
    <w:p>
      <w:pPr>
        <w:spacing w:after="0" w:line="64" w:lineRule="exact"/>
        <w:rPr>
          <w:sz w:val="20"/>
          <w:szCs w:val="20"/>
          <w:color w:val="auto"/>
        </w:rPr>
      </w:pPr>
    </w:p>
    <w:p>
      <w:pPr>
        <w:ind w:left="1000" w:hanging="496"/>
        <w:spacing w:after="0" w:line="271" w:lineRule="auto"/>
        <w:tabs>
          <w:tab w:leader="none" w:pos="10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collaborators have significant discretion in determining the efforts and resources that they will apply to a collaboration;</w:t>
      </w:r>
    </w:p>
    <w:p>
      <w:pPr>
        <w:spacing w:after="0" w:line="65" w:lineRule="exact"/>
        <w:rPr>
          <w:rFonts w:ascii="Arial" w:cs="Arial" w:eastAsia="Arial" w:hAnsi="Arial"/>
          <w:sz w:val="21"/>
          <w:szCs w:val="21"/>
          <w:color w:val="auto"/>
        </w:rPr>
      </w:pPr>
    </w:p>
    <w:p>
      <w:pPr>
        <w:jc w:val="both"/>
        <w:ind w:left="1000" w:hanging="496"/>
        <w:spacing w:after="0" w:line="244" w:lineRule="auto"/>
        <w:tabs>
          <w:tab w:leader="none" w:pos="10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5" w:lineRule="exact"/>
        <w:rPr>
          <w:rFonts w:ascii="Arial" w:cs="Arial" w:eastAsia="Arial" w:hAnsi="Arial"/>
          <w:sz w:val="21"/>
          <w:szCs w:val="21"/>
          <w:color w:val="auto"/>
        </w:rPr>
      </w:pPr>
    </w:p>
    <w:p>
      <w:pPr>
        <w:jc w:val="both"/>
        <w:ind w:left="1000" w:hanging="496"/>
        <w:spacing w:after="0" w:line="253" w:lineRule="auto"/>
        <w:tabs>
          <w:tab w:leader="none" w:pos="10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84"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collaborators could independently develop, or develop with third parties, products that compete directly or indirectly with our product candidates;</w:t>
      </w:r>
    </w:p>
    <w:p>
      <w:pPr>
        <w:spacing w:after="0" w:line="65"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a collaborator with marketing and distribution rights to one or more products may not commit sufficient resources to their marketing and distribution;</w:t>
      </w:r>
    </w:p>
    <w:p>
      <w:pPr>
        <w:spacing w:after="0" w:line="64" w:lineRule="exact"/>
        <w:rPr>
          <w:rFonts w:ascii="Arial" w:cs="Arial" w:eastAsia="Arial" w:hAnsi="Arial"/>
          <w:sz w:val="21"/>
          <w:szCs w:val="21"/>
          <w:color w:val="auto"/>
        </w:rPr>
      </w:pPr>
    </w:p>
    <w:p>
      <w:pPr>
        <w:jc w:val="both"/>
        <w:ind w:left="1000" w:hanging="496"/>
        <w:spacing w:after="0" w:line="247" w:lineRule="auto"/>
        <w:tabs>
          <w:tab w:leader="none" w:pos="10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1" w:lineRule="exact"/>
        <w:rPr>
          <w:rFonts w:ascii="Arial" w:cs="Arial" w:eastAsia="Arial" w:hAnsi="Arial"/>
          <w:sz w:val="21"/>
          <w:szCs w:val="21"/>
          <w:color w:val="auto"/>
        </w:rPr>
      </w:pPr>
    </w:p>
    <w:p>
      <w:pPr>
        <w:jc w:val="both"/>
        <w:ind w:left="1000" w:hanging="496"/>
        <w:spacing w:after="0" w:line="253" w:lineRule="auto"/>
        <w:tabs>
          <w:tab w:leader="none" w:pos="10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84" w:lineRule="exact"/>
        <w:rPr>
          <w:rFonts w:ascii="Arial" w:cs="Arial" w:eastAsia="Arial" w:hAnsi="Arial"/>
          <w:sz w:val="21"/>
          <w:szCs w:val="21"/>
          <w:color w:val="auto"/>
        </w:rPr>
      </w:pPr>
    </w:p>
    <w:p>
      <w:pPr>
        <w:ind w:left="1000" w:hanging="496"/>
        <w:spacing w:after="0" w:line="298" w:lineRule="auto"/>
        <w:tabs>
          <w:tab w:leader="none" w:pos="10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collaborations may be terminated and, if terminated, may result in a need for additional capital to pursue further development or commercialization of the applicable product candidates; and</w:t>
      </w:r>
    </w:p>
    <w:p>
      <w:pPr>
        <w:spacing w:after="0" w:line="39" w:lineRule="exact"/>
        <w:rPr>
          <w:rFonts w:ascii="Arial" w:cs="Arial" w:eastAsia="Arial" w:hAnsi="Arial"/>
          <w:sz w:val="20"/>
          <w:szCs w:val="20"/>
          <w:color w:val="auto"/>
        </w:rPr>
      </w:pPr>
    </w:p>
    <w:p>
      <w:pPr>
        <w:jc w:val="both"/>
        <w:ind w:left="1000" w:hanging="496"/>
        <w:spacing w:after="0" w:line="254" w:lineRule="auto"/>
        <w:tabs>
          <w:tab w:leader="none" w:pos="10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233"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w:t>
      </w:r>
    </w:p>
    <w:p>
      <w:pPr>
        <w:sectPr>
          <w:pgSz w:w="12240" w:h="15840" w:orient="portrait"/>
          <w:cols w:equalWidth="0" w:num="1">
            <w:col w:w="9640"/>
          </w:cols>
          <w:pgMar w:left="1300" w:top="1234" w:right="130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ectPr>
          <w:pgSz w:w="12240" w:h="15840" w:orient="portrait"/>
          <w:cols w:equalWidth="0" w:num="1">
            <w:col w:w="9640"/>
          </w:cols>
          <w:pgMar w:left="1300" w:top="1234" w:right="1300" w:bottom="0" w:gutter="0" w:footer="0" w:header="0"/>
          <w:type w:val="continuous"/>
        </w:sectPr>
      </w:pPr>
    </w:p>
    <w:bookmarkStart w:id="86" w:name="page87"/>
    <w:bookmarkEnd w:id="86"/>
    <w:p>
      <w:pPr>
        <w:jc w:val="both"/>
        <w:spacing w:after="0" w:line="271" w:lineRule="auto"/>
        <w:rPr>
          <w:sz w:val="20"/>
          <w:szCs w:val="20"/>
          <w:color w:val="auto"/>
        </w:rPr>
      </w:pPr>
      <w:r>
        <w:rPr>
          <w:rFonts w:ascii="Arial" w:cs="Arial" w:eastAsia="Arial" w:hAnsi="Arial"/>
          <w:sz w:val="21"/>
          <w:szCs w:val="21"/>
          <w:color w:val="auto"/>
        </w:rPr>
        <w:t>product candidates in certain geographies for certain indications, which would harm our business prospects, financial condition and results of operations.</w:t>
      </w:r>
    </w:p>
    <w:p>
      <w:pPr>
        <w:spacing w:after="0" w:line="220"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21"/>
          <w:szCs w:val="21"/>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20"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spacing w:after="0" w:line="90" w:lineRule="exact"/>
        <w:rPr>
          <w:sz w:val="20"/>
          <w:szCs w:val="20"/>
          <w:color w:val="auto"/>
        </w:rPr>
      </w:pPr>
    </w:p>
    <w:p>
      <w:pPr>
        <w:ind w:left="1000" w:hanging="496"/>
        <w:spacing w:after="0"/>
        <w:tabs>
          <w:tab w:leader="none" w:pos="1000" w:val="left"/>
        </w:tabs>
        <w:numPr>
          <w:ilvl w:val="0"/>
          <w:numId w:val="39"/>
        </w:numPr>
        <w:rPr>
          <w:rFonts w:ascii="Arial" w:cs="Arial" w:eastAsia="Arial" w:hAnsi="Arial"/>
          <w:sz w:val="21"/>
          <w:szCs w:val="21"/>
          <w:color w:val="auto"/>
        </w:rPr>
      </w:pPr>
      <w:r>
        <w:rPr>
          <w:rFonts w:ascii="Arial" w:cs="Arial" w:eastAsia="Arial" w:hAnsi="Arial"/>
          <w:sz w:val="21"/>
          <w:szCs w:val="21"/>
          <w:color w:val="auto"/>
        </w:rPr>
        <w:t>increased operating expenses and cash requirements;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assumption of additional indebtedness or contingent liabilities;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issuance of our equity securities;</w:t>
      </w:r>
    </w:p>
    <w:p>
      <w:pPr>
        <w:spacing w:after="0" w:line="132"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39"/>
        </w:numPr>
        <w:rPr>
          <w:rFonts w:ascii="Arial" w:cs="Arial" w:eastAsia="Arial" w:hAnsi="Arial"/>
          <w:sz w:val="21"/>
          <w:szCs w:val="21"/>
          <w:color w:val="auto"/>
        </w:rPr>
      </w:pPr>
      <w:r>
        <w:rPr>
          <w:rFonts w:ascii="Arial" w:cs="Arial" w:eastAsia="Arial" w:hAnsi="Arial"/>
          <w:sz w:val="21"/>
          <w:szCs w:val="21"/>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diversion of our management’s attention from our existing programs and initiatives in pursuing such a strategic merger or acquisition;</w:t>
      </w:r>
    </w:p>
    <w:p>
      <w:pPr>
        <w:spacing w:after="0" w:line="65"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39"/>
        </w:numPr>
        <w:rPr>
          <w:rFonts w:ascii="Arial" w:cs="Arial" w:eastAsia="Arial" w:hAnsi="Arial"/>
          <w:sz w:val="21"/>
          <w:szCs w:val="21"/>
          <w:color w:val="auto"/>
        </w:rPr>
      </w:pPr>
      <w:r>
        <w:rPr>
          <w:rFonts w:ascii="Arial" w:cs="Arial" w:eastAsia="Arial" w:hAnsi="Arial"/>
          <w:sz w:val="21"/>
          <w:szCs w:val="21"/>
          <w:color w:val="auto"/>
        </w:rPr>
        <w:t>retention of key employees, the loss of key personnel and uncertainties in our ability to maintain key business relationships;</w:t>
      </w:r>
    </w:p>
    <w:p>
      <w:pPr>
        <w:spacing w:after="0" w:line="62" w:lineRule="exact"/>
        <w:rPr>
          <w:rFonts w:ascii="Arial" w:cs="Arial" w:eastAsia="Arial" w:hAnsi="Arial"/>
          <w:sz w:val="21"/>
          <w:szCs w:val="21"/>
          <w:color w:val="auto"/>
        </w:rPr>
      </w:pPr>
    </w:p>
    <w:p>
      <w:pPr>
        <w:jc w:val="both"/>
        <w:ind w:left="1000" w:hanging="496"/>
        <w:spacing w:after="0" w:line="253" w:lineRule="auto"/>
        <w:tabs>
          <w:tab w:leader="none" w:pos="1000" w:val="left"/>
        </w:tabs>
        <w:numPr>
          <w:ilvl w:val="0"/>
          <w:numId w:val="39"/>
        </w:numPr>
        <w:rPr>
          <w:rFonts w:ascii="Arial" w:cs="Arial" w:eastAsia="Arial" w:hAnsi="Arial"/>
          <w:sz w:val="21"/>
          <w:szCs w:val="21"/>
          <w:color w:val="auto"/>
        </w:rPr>
      </w:pPr>
      <w:r>
        <w:rPr>
          <w:rFonts w:ascii="Arial" w:cs="Arial" w:eastAsia="Arial" w:hAnsi="Arial"/>
          <w:sz w:val="21"/>
          <w:szCs w:val="21"/>
          <w:color w:val="auto"/>
        </w:rPr>
        <w:t>risks and uncertainties associated with the other party to such a transaction, including the prospects of that party and their existing products or product candidates and marketing approvals; and</w:t>
      </w:r>
    </w:p>
    <w:p>
      <w:pPr>
        <w:spacing w:after="0" w:line="84" w:lineRule="exact"/>
        <w:rPr>
          <w:rFonts w:ascii="Arial" w:cs="Arial" w:eastAsia="Arial" w:hAnsi="Arial"/>
          <w:sz w:val="21"/>
          <w:szCs w:val="21"/>
          <w:color w:val="auto"/>
        </w:rPr>
      </w:pPr>
    </w:p>
    <w:p>
      <w:pPr>
        <w:jc w:val="both"/>
        <w:ind w:left="1000" w:hanging="496"/>
        <w:spacing w:after="0" w:line="253" w:lineRule="auto"/>
        <w:tabs>
          <w:tab w:leader="none" w:pos="1000" w:val="left"/>
        </w:tabs>
        <w:numPr>
          <w:ilvl w:val="0"/>
          <w:numId w:val="39"/>
        </w:numPr>
        <w:rPr>
          <w:rFonts w:ascii="Arial" w:cs="Arial" w:eastAsia="Arial" w:hAnsi="Arial"/>
          <w:sz w:val="21"/>
          <w:szCs w:val="21"/>
          <w:color w:val="auto"/>
        </w:rPr>
      </w:pPr>
      <w:r>
        <w:rPr>
          <w:rFonts w:ascii="Arial" w:cs="Arial" w:eastAsia="Arial" w:hAnsi="Arial"/>
          <w:sz w:val="21"/>
          <w:szCs w:val="21"/>
          <w:color w:val="auto"/>
        </w:rPr>
        <w:t>our inability to generate revenue from acquired technology or products sufficient to meet our objectives in undertaking the acquisition or even to offset the associated acquisition and maintenance costs.</w:t>
      </w:r>
    </w:p>
    <w:p>
      <w:pPr>
        <w:spacing w:after="0" w:line="235"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auto"/>
        </w:rPr>
        <w:t>Risks Relating to Our Ability to Commercialize our Product</w:t>
      </w:r>
    </w:p>
    <w:p>
      <w:pPr>
        <w:spacing w:after="0" w:line="292"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21"/>
          <w:szCs w:val="21"/>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220"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Even if our product candidates receive regulatory approval, they may not gain adequate market acceptance among physicians, patients, healthcare payors and others in the medical community. The degree of market acceptance or reimbursement of any of our approved product candidates will depend on a number of factors, including:</w:t>
      </w:r>
    </w:p>
    <w:p>
      <w:pPr>
        <w:spacing w:after="0" w:line="90" w:lineRule="exact"/>
        <w:rPr>
          <w:sz w:val="20"/>
          <w:szCs w:val="20"/>
          <w:color w:val="auto"/>
        </w:rPr>
      </w:pPr>
    </w:p>
    <w:p>
      <w:pPr>
        <w:ind w:left="1000" w:hanging="496"/>
        <w:spacing w:after="0" w:line="273" w:lineRule="auto"/>
        <w:tabs>
          <w:tab w:leader="none" w:pos="100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efficacy and safety profile as demonstrated in clinical trials compared to alternative treatments;</w:t>
      </w:r>
    </w:p>
    <w:p>
      <w:pPr>
        <w:spacing w:after="0" w:line="62" w:lineRule="exact"/>
        <w:rPr>
          <w:rFonts w:ascii="Arial" w:cs="Arial" w:eastAsia="Arial" w:hAnsi="Arial"/>
          <w:sz w:val="21"/>
          <w:szCs w:val="21"/>
          <w:color w:val="auto"/>
        </w:rPr>
      </w:pPr>
    </w:p>
    <w:p>
      <w:pPr>
        <w:ind w:left="1000" w:hanging="496"/>
        <w:spacing w:after="0"/>
        <w:tabs>
          <w:tab w:leader="none" w:pos="100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timing of market introduction of the product candidate as well as competitive products;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clinical indications for which the product candidate is approved;</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extent of physician acceptance of FDA-approved therapies for AD or other target indications;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ectPr>
          <w:pgSz w:w="12240" w:h="15840" w:orient="portrait"/>
          <w:cols w:equalWidth="0" w:num="1">
            <w:col w:w="9640"/>
          </w:cols>
          <w:pgMar w:left="1300" w:top="1226" w:right="1300" w:bottom="0" w:gutter="0" w:footer="0" w:header="0"/>
          <w:type w:val="continuous"/>
        </w:sectPr>
      </w:pPr>
    </w:p>
    <w:bookmarkStart w:id="87" w:name="page88"/>
    <w:bookmarkEnd w:id="87"/>
    <w:p>
      <w:pPr>
        <w:jc w:val="both"/>
        <w:ind w:left="1000" w:hanging="496"/>
        <w:spacing w:after="0" w:line="253" w:lineRule="auto"/>
        <w:tabs>
          <w:tab w:leader="none" w:pos="10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restrictions on the use of our product candidates, such as boxed warnings or contraindications in labeling, or a REMS, if any, which may not be required of alternative treatments and competitor products;</w:t>
      </w:r>
    </w:p>
    <w:p>
      <w:pPr>
        <w:spacing w:after="0" w:line="84" w:lineRule="exact"/>
        <w:rPr>
          <w:rFonts w:ascii="Arial" w:cs="Arial" w:eastAsia="Arial" w:hAnsi="Arial"/>
          <w:sz w:val="21"/>
          <w:szCs w:val="21"/>
          <w:color w:val="auto"/>
        </w:rPr>
      </w:pPr>
    </w:p>
    <w:p>
      <w:pPr>
        <w:ind w:left="1000" w:hanging="496"/>
        <w:spacing w:after="0"/>
        <w:tabs>
          <w:tab w:leader="none" w:pos="10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potential and perceived advantages of product candidates over alternative treatments;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cost of treatment in relation to alternative treatments;</w:t>
      </w:r>
    </w:p>
    <w:p>
      <w:pPr>
        <w:spacing w:after="0" w:line="113" w:lineRule="exact"/>
        <w:rPr>
          <w:rFonts w:ascii="Arial" w:cs="Arial" w:eastAsia="Arial" w:hAnsi="Arial"/>
          <w:sz w:val="21"/>
          <w:szCs w:val="21"/>
          <w:color w:val="auto"/>
        </w:rPr>
      </w:pPr>
    </w:p>
    <w:p>
      <w:pPr>
        <w:ind w:left="1000" w:hanging="496"/>
        <w:spacing w:after="0" w:line="248" w:lineRule="auto"/>
        <w:tabs>
          <w:tab w:leader="none" w:pos="10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pricing and the availability of coverage and adequate reimbursement by third-party payors, including government authorities;</w:t>
      </w:r>
    </w:p>
    <w:p>
      <w:pPr>
        <w:spacing w:after="0" w:line="64" w:lineRule="exact"/>
        <w:rPr>
          <w:rFonts w:ascii="Arial" w:cs="Arial" w:eastAsia="Arial" w:hAnsi="Arial"/>
          <w:sz w:val="21"/>
          <w:szCs w:val="21"/>
          <w:color w:val="auto"/>
        </w:rPr>
      </w:pPr>
    </w:p>
    <w:p>
      <w:pPr>
        <w:ind w:left="1000" w:hanging="496"/>
        <w:spacing w:after="0"/>
        <w:tabs>
          <w:tab w:leader="none" w:pos="10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availability of the approved product candidate for use as a combination therapy;</w:t>
      </w:r>
    </w:p>
    <w:p>
      <w:pPr>
        <w:spacing w:after="0" w:line="109" w:lineRule="exact"/>
        <w:rPr>
          <w:rFonts w:ascii="Arial" w:cs="Arial" w:eastAsia="Arial" w:hAnsi="Arial"/>
          <w:sz w:val="21"/>
          <w:szCs w:val="21"/>
          <w:color w:val="auto"/>
        </w:rPr>
      </w:pPr>
    </w:p>
    <w:p>
      <w:pPr>
        <w:ind w:left="1000" w:hanging="496"/>
        <w:spacing w:after="0"/>
        <w:tabs>
          <w:tab w:leader="none" w:pos="10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relative convenience and ease of administration;</w:t>
      </w:r>
    </w:p>
    <w:p>
      <w:pPr>
        <w:spacing w:after="0" w:line="108" w:lineRule="exact"/>
        <w:rPr>
          <w:rFonts w:ascii="Arial" w:cs="Arial" w:eastAsia="Arial" w:hAnsi="Arial"/>
          <w:sz w:val="21"/>
          <w:szCs w:val="21"/>
          <w:color w:val="auto"/>
        </w:rPr>
      </w:pPr>
    </w:p>
    <w:p>
      <w:pPr>
        <w:ind w:left="1000" w:hanging="496"/>
        <w:spacing w:after="0" w:line="248" w:lineRule="auto"/>
        <w:tabs>
          <w:tab w:leader="none" w:pos="10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willingness of the target patient population to try new therapies and of physicians to prescribe these therapies;</w:t>
      </w:r>
    </w:p>
    <w:p>
      <w:pPr>
        <w:spacing w:after="0" w:line="64" w:lineRule="exact"/>
        <w:rPr>
          <w:rFonts w:ascii="Arial" w:cs="Arial" w:eastAsia="Arial" w:hAnsi="Arial"/>
          <w:sz w:val="21"/>
          <w:szCs w:val="21"/>
          <w:color w:val="auto"/>
        </w:rPr>
      </w:pPr>
    </w:p>
    <w:p>
      <w:pPr>
        <w:ind w:left="1000" w:hanging="496"/>
        <w:spacing w:after="0"/>
        <w:tabs>
          <w:tab w:leader="none" w:pos="10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effectiveness of sales and marketing efforts;</w:t>
      </w:r>
    </w:p>
    <w:p>
      <w:pPr>
        <w:spacing w:after="0" w:line="109" w:lineRule="exact"/>
        <w:rPr>
          <w:rFonts w:ascii="Arial" w:cs="Arial" w:eastAsia="Arial" w:hAnsi="Arial"/>
          <w:sz w:val="21"/>
          <w:szCs w:val="21"/>
          <w:color w:val="auto"/>
        </w:rPr>
      </w:pPr>
    </w:p>
    <w:p>
      <w:pPr>
        <w:ind w:left="1000" w:hanging="496"/>
        <w:spacing w:after="0" w:line="248" w:lineRule="auto"/>
        <w:tabs>
          <w:tab w:leader="none" w:pos="10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unfavorable publicity relating to our products or product candidates or similar approved products or product candidates in development by third parties; and</w:t>
      </w:r>
    </w:p>
    <w:p>
      <w:pPr>
        <w:spacing w:after="0" w:line="64" w:lineRule="exact"/>
        <w:rPr>
          <w:rFonts w:ascii="Arial" w:cs="Arial" w:eastAsia="Arial" w:hAnsi="Arial"/>
          <w:sz w:val="21"/>
          <w:szCs w:val="21"/>
          <w:color w:val="auto"/>
        </w:rPr>
      </w:pPr>
    </w:p>
    <w:p>
      <w:pPr>
        <w:ind w:left="1000" w:hanging="496"/>
        <w:spacing w:after="0"/>
        <w:tabs>
          <w:tab w:leader="none" w:pos="10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approval of other new therapies for the same indications.</w:t>
      </w:r>
    </w:p>
    <w:p>
      <w:pPr>
        <w:spacing w:after="0" w:line="260" w:lineRule="exact"/>
        <w:rPr>
          <w:sz w:val="20"/>
          <w:szCs w:val="20"/>
          <w:color w:val="auto"/>
        </w:rPr>
      </w:pPr>
    </w:p>
    <w:p>
      <w:pPr>
        <w:jc w:val="both"/>
        <w:ind w:firstLine="504"/>
        <w:spacing w:after="0" w:line="233" w:lineRule="auto"/>
        <w:rPr>
          <w:sz w:val="20"/>
          <w:szCs w:val="20"/>
          <w:color w:val="auto"/>
        </w:rPr>
      </w:pPr>
      <w:r>
        <w:rPr>
          <w:rFonts w:ascii="Arial" w:cs="Arial" w:eastAsia="Arial" w:hAnsi="Arial"/>
          <w:sz w:val="21"/>
          <w:szCs w:val="21"/>
          <w:color w:val="auto"/>
        </w:rPr>
        <w:t xml:space="preserve">If any of our product candidates are approved but do not achieve an adequate level of acceptance by physicians, hospitals, healthcare payors and patients, we may not generate or derive sufficient revenue from such product candidates and our financial </w:t>
      </w:r>
      <w:r>
        <w:rPr>
          <w:rFonts w:ascii="Arial" w:cs="Arial" w:eastAsia="Arial" w:hAnsi="Arial"/>
          <w:sz w:val="21"/>
          <w:szCs w:val="21"/>
          <w:color w:val="121212"/>
        </w:rPr>
        <w:t>results</w:t>
      </w:r>
      <w:r>
        <w:rPr>
          <w:rFonts w:ascii="Arial" w:cs="Arial" w:eastAsia="Arial" w:hAnsi="Arial"/>
          <w:sz w:val="21"/>
          <w:szCs w:val="21"/>
          <w:color w:val="auto"/>
        </w:rPr>
        <w:t xml:space="preserve"> could be negatively impacted.</w:t>
      </w:r>
    </w:p>
    <w:p>
      <w:pPr>
        <w:spacing w:after="0" w:line="228" w:lineRule="exact"/>
        <w:rPr>
          <w:sz w:val="20"/>
          <w:szCs w:val="20"/>
          <w:color w:val="auto"/>
        </w:rPr>
      </w:pPr>
    </w:p>
    <w:p>
      <w:pPr>
        <w:jc w:val="both"/>
        <w:ind w:firstLine="504"/>
        <w:spacing w:after="0" w:line="235" w:lineRule="auto"/>
        <w:rPr>
          <w:sz w:val="20"/>
          <w:szCs w:val="20"/>
          <w:color w:val="auto"/>
        </w:rPr>
      </w:pPr>
      <w:r>
        <w:rPr>
          <w:rFonts w:ascii="Arial" w:cs="Arial" w:eastAsia="Arial" w:hAnsi="Arial"/>
          <w:sz w:val="21"/>
          <w:szCs w:val="21"/>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5" w:lineRule="exact"/>
        <w:rPr>
          <w:sz w:val="20"/>
          <w:szCs w:val="20"/>
          <w:color w:val="auto"/>
        </w:rPr>
      </w:pPr>
    </w:p>
    <w:p>
      <w:pPr>
        <w:jc w:val="both"/>
        <w:ind w:firstLine="504"/>
        <w:spacing w:after="0" w:line="224" w:lineRule="auto"/>
        <w:rPr>
          <w:sz w:val="20"/>
          <w:szCs w:val="20"/>
          <w:color w:val="auto"/>
        </w:rPr>
      </w:pPr>
      <w:r>
        <w:rPr>
          <w:rFonts w:ascii="Arial" w:cs="Arial" w:eastAsia="Arial" w:hAnsi="Arial"/>
          <w:sz w:val="21"/>
          <w:szCs w:val="21"/>
          <w:color w:val="auto"/>
        </w:rPr>
        <w:t xml:space="preserve">We have never commercialized a product candidate. We may license certain rights with respect to our product candidates to collaborators, and, if so, we will rely on the assistance and guidance of those collaborators. For product candidates for </w:t>
      </w:r>
      <w:r>
        <w:rPr>
          <w:rFonts w:ascii="Arial" w:cs="Arial" w:eastAsia="Arial" w:hAnsi="Arial"/>
          <w:sz w:val="21"/>
          <w:szCs w:val="21"/>
          <w:color w:val="121212"/>
        </w:rPr>
        <w:t>which we retain commercialization rights and marketing approval,</w:t>
      </w:r>
      <w:r>
        <w:rPr>
          <w:rFonts w:ascii="Arial" w:cs="Arial" w:eastAsia="Arial" w:hAnsi="Arial"/>
          <w:sz w:val="21"/>
          <w:szCs w:val="21"/>
          <w:color w:val="auto"/>
        </w:rPr>
        <w:t xml:space="preserve"> </w:t>
      </w:r>
      <w:r>
        <w:rPr>
          <w:rFonts w:ascii="Arial" w:cs="Arial" w:eastAsia="Arial" w:hAnsi="Arial"/>
          <w:sz w:val="21"/>
          <w:szCs w:val="21"/>
          <w:color w:val="121212"/>
        </w:rPr>
        <w:t>we will have to develop our own sales, marketing and supply organization or outsource these activities to a third party.</w:t>
      </w:r>
    </w:p>
    <w:p>
      <w:pPr>
        <w:spacing w:after="0" w:line="228" w:lineRule="exact"/>
        <w:rPr>
          <w:sz w:val="20"/>
          <w:szCs w:val="20"/>
          <w:color w:val="auto"/>
        </w:rPr>
      </w:pPr>
    </w:p>
    <w:p>
      <w:pPr>
        <w:jc w:val="both"/>
        <w:ind w:firstLine="504"/>
        <w:spacing w:after="0" w:line="229" w:lineRule="auto"/>
        <w:rPr>
          <w:sz w:val="20"/>
          <w:szCs w:val="20"/>
          <w:color w:val="auto"/>
        </w:rPr>
      </w:pPr>
      <w:r>
        <w:rPr>
          <w:rFonts w:ascii="Arial" w:cs="Arial" w:eastAsia="Arial" w:hAnsi="Arial"/>
          <w:sz w:val="20"/>
          <w:szCs w:val="20"/>
          <w:color w:val="121212"/>
        </w:rPr>
        <w:t xml:space="preserve">Factors that may affect our ability to commercialize our product candidates, if approved, on our own include recruiting and retaining </w:t>
      </w:r>
      <w:r>
        <w:rPr>
          <w:rFonts w:ascii="Arial" w:cs="Arial" w:eastAsia="Arial" w:hAnsi="Arial"/>
          <w:sz w:val="20"/>
          <w:szCs w:val="20"/>
          <w:color w:val="000000"/>
        </w:rPr>
        <w:t>adequate numbers of effective sales and marketing personnel, developing</w:t>
      </w:r>
      <w:r>
        <w:rPr>
          <w:rFonts w:ascii="Arial" w:cs="Arial" w:eastAsia="Arial" w:hAnsi="Arial"/>
          <w:sz w:val="20"/>
          <w:szCs w:val="20"/>
          <w:color w:val="121212"/>
        </w:rPr>
        <w:t xml:space="preserve"> </w:t>
      </w:r>
      <w:r>
        <w:rPr>
          <w:rFonts w:ascii="Arial" w:cs="Arial" w:eastAsia="Arial" w:hAnsi="Arial"/>
          <w:sz w:val="20"/>
          <w:szCs w:val="20"/>
          <w:color w:val="000000"/>
        </w:rPr>
        <w:t>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49"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21"/>
          <w:szCs w:val="21"/>
          <w:b w:val="1"/>
          <w:bCs w:val="1"/>
          <w:i w:val="1"/>
          <w:iCs w:val="1"/>
          <w:color w:val="auto"/>
        </w:rPr>
        <w:t>If the market opportunity for any product candidate that we develop is smaller than we believe, our revenue may be adversely affected and our business may suffer.</w:t>
      </w:r>
    </w:p>
    <w:p>
      <w:pPr>
        <w:spacing w:after="0" w:line="199"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0"/>
          <w:szCs w:val="20"/>
          <w:color w:val="auto"/>
        </w:rPr>
        <w:t xml:space="preserve">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w:t>
      </w:r>
      <w:r>
        <w:rPr>
          <w:rFonts w:ascii="Arial" w:cs="Arial" w:eastAsia="Arial" w:hAnsi="Arial"/>
          <w:sz w:val="20"/>
          <w:szCs w:val="20"/>
          <w:color w:val="121212"/>
        </w:rPr>
        <w:t>surveys</w:t>
      </w:r>
      <w:r>
        <w:rPr>
          <w:rFonts w:ascii="Arial" w:cs="Arial" w:eastAsia="Arial" w:hAnsi="Arial"/>
          <w:sz w:val="20"/>
          <w:szCs w:val="20"/>
          <w:color w:val="auto"/>
        </w:rPr>
        <w:t xml:space="preserve">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w:t>
      </w:r>
    </w:p>
    <w:p>
      <w:pPr>
        <w:sectPr>
          <w:pgSz w:w="12240" w:h="15840" w:orient="portrait"/>
          <w:cols w:equalWidth="0" w:num="1">
            <w:col w:w="9640"/>
          </w:cols>
          <w:pgMar w:left="130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ectPr>
          <w:pgSz w:w="12240" w:h="15840" w:orient="portrait"/>
          <w:cols w:equalWidth="0" w:num="1">
            <w:col w:w="9640"/>
          </w:cols>
          <w:pgMar w:left="1300" w:top="1240" w:right="1300" w:bottom="0" w:gutter="0" w:footer="0" w:header="0"/>
          <w:type w:val="continuous"/>
        </w:sectPr>
      </w:pPr>
    </w:p>
    <w:bookmarkStart w:id="88" w:name="page89"/>
    <w:bookmarkEnd w:id="88"/>
    <w:p>
      <w:pPr>
        <w:jc w:val="both"/>
        <w:spacing w:after="0" w:line="252" w:lineRule="auto"/>
        <w:rPr>
          <w:sz w:val="20"/>
          <w:szCs w:val="20"/>
          <w:color w:val="auto"/>
        </w:rPr>
      </w:pPr>
      <w:r>
        <w:rPr>
          <w:rFonts w:ascii="Arial" w:cs="Arial" w:eastAsia="Arial" w:hAnsi="Arial"/>
          <w:sz w:val="20"/>
          <w:szCs w:val="20"/>
          <w:color w:val="auto"/>
        </w:rPr>
        <w:t>the FDA. Additionally, the potentially addressable patient population for our product candidates may not ultimately be amenable to treatment with our product candidates. For example, pre-specified subgroup analysis based on topline data from our ACT-AD clinical trial identified a potential diminished effect of the combination of standard-of-care (AChEIs) and fosgonimeton. If such hypothesis is supported by additional research, patients receiving AChEIs could be excluded from the addressable patient population for fosgonimeton.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45"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21"/>
          <w:szCs w:val="21"/>
          <w:b w:val="1"/>
          <w:bCs w:val="1"/>
          <w:i w:val="1"/>
          <w:iCs w:val="1"/>
          <w:color w:val="auto"/>
        </w:rPr>
        <w:t>If product liability lawsuits are brought against us, we may incur substantial liabilities and may be required to limit commercialization of our product candidates.</w:t>
      </w:r>
    </w:p>
    <w:p>
      <w:pPr>
        <w:spacing w:after="0" w:line="199"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 xml:space="preserve">We face an inherent risk of product liability as a result of the planned clinical testing of our product candidates and will face an even greater risk if we commercialize any products. For example, we may be sued if our product candidates cause or </w:t>
      </w:r>
      <w:r>
        <w:rPr>
          <w:rFonts w:ascii="Arial" w:cs="Arial" w:eastAsia="Arial" w:hAnsi="Arial"/>
          <w:sz w:val="21"/>
          <w:szCs w:val="21"/>
          <w:color w:val="121212"/>
        </w:rPr>
        <w:t>are</w:t>
      </w:r>
      <w:r>
        <w:rPr>
          <w:rFonts w:ascii="Arial" w:cs="Arial" w:eastAsia="Arial" w:hAnsi="Arial"/>
          <w:sz w:val="21"/>
          <w:szCs w:val="21"/>
          <w:color w:val="auto"/>
        </w:rPr>
        <w:t xml:space="preserv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02" w:lineRule="exact"/>
        <w:rPr>
          <w:sz w:val="20"/>
          <w:szCs w:val="20"/>
          <w:color w:val="auto"/>
        </w:rPr>
      </w:pPr>
    </w:p>
    <w:p>
      <w:pPr>
        <w:ind w:left="1000" w:hanging="496"/>
        <w:spacing w:after="0"/>
        <w:tabs>
          <w:tab w:leader="none" w:pos="10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decreased demand for our product candidates or products that we may develop;</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injury to our reputation;</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withdrawal of clinical trial participants;</w:t>
      </w:r>
    </w:p>
    <w:p>
      <w:pPr>
        <w:spacing w:after="0" w:line="131" w:lineRule="exact"/>
        <w:rPr>
          <w:rFonts w:ascii="Arial" w:cs="Arial" w:eastAsia="Arial" w:hAnsi="Arial"/>
          <w:sz w:val="21"/>
          <w:szCs w:val="21"/>
          <w:color w:val="auto"/>
        </w:rPr>
      </w:pPr>
    </w:p>
    <w:p>
      <w:pPr>
        <w:ind w:left="1000" w:hanging="496"/>
        <w:spacing w:after="0"/>
        <w:tabs>
          <w:tab w:leader="none" w:pos="10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initiation of investigations by regulators;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costs to defend the related litigation;</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diversion of management’s time and our resources;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substantial monetary awards to clinical trial participants or patients;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product recalls, withdrawals or labeling, marketing or promotional restrictions;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loss of revenue;</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exhaustion of any available insurance and our capital resources;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inability to commercialize any product candidate; and</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a decline in our share price.</w:t>
      </w:r>
    </w:p>
    <w:p>
      <w:pPr>
        <w:spacing w:after="0" w:line="284"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 xml:space="preserve">Failure to obtain or retain sufficient product liability insurance at an acceptable cost to protect against potential product liability claims could prevent or inhibit the commercialization of products we develop, alone or with corporate </w:t>
      </w:r>
      <w:r>
        <w:rPr>
          <w:rFonts w:ascii="Arial" w:cs="Arial" w:eastAsia="Arial" w:hAnsi="Arial"/>
          <w:sz w:val="21"/>
          <w:szCs w:val="21"/>
          <w:color w:val="121212"/>
        </w:rPr>
        <w:t>collaborators</w:t>
      </w:r>
      <w:r>
        <w:rPr>
          <w:rFonts w:ascii="Arial" w:cs="Arial" w:eastAsia="Arial" w:hAnsi="Arial"/>
          <w:sz w:val="21"/>
          <w:szCs w:val="21"/>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ectPr>
          <w:pgSz w:w="12240" w:h="15840" w:orient="portrait"/>
          <w:cols w:equalWidth="0" w:num="1">
            <w:col w:w="9640"/>
          </w:cols>
          <w:pgMar w:left="1300" w:top="1226" w:right="1300" w:bottom="0" w:gutter="0" w:footer="0" w:header="0"/>
          <w:type w:val="continuous"/>
        </w:sectPr>
      </w:pPr>
    </w:p>
    <w:bookmarkStart w:id="89" w:name="page90"/>
    <w:bookmarkEnd w:id="89"/>
    <w:p>
      <w:pPr>
        <w:jc w:val="both"/>
        <w:ind w:firstLine="504"/>
        <w:spacing w:after="0" w:line="243" w:lineRule="auto"/>
        <w:rPr>
          <w:sz w:val="20"/>
          <w:szCs w:val="20"/>
          <w:color w:val="auto"/>
        </w:rPr>
      </w:pPr>
      <w:r>
        <w:rPr>
          <w:rFonts w:ascii="Arial" w:cs="Arial" w:eastAsia="Arial" w:hAnsi="Arial"/>
          <w:sz w:val="21"/>
          <w:szCs w:val="21"/>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238"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 xml:space="preserve">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w:t>
      </w:r>
      <w:r>
        <w:rPr>
          <w:rFonts w:ascii="Arial" w:cs="Arial" w:eastAsia="Arial" w:hAnsi="Arial"/>
          <w:sz w:val="20"/>
          <w:szCs w:val="20"/>
          <w:color w:val="121212"/>
        </w:rPr>
        <w:t>product</w:t>
      </w:r>
      <w:r>
        <w:rPr>
          <w:rFonts w:ascii="Arial" w:cs="Arial" w:eastAsia="Arial" w:hAnsi="Arial"/>
          <w:sz w:val="20"/>
          <w:szCs w:val="20"/>
          <w:color w:val="auto"/>
        </w:rPr>
        <w:t xml:space="preserve">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38" w:lineRule="exact"/>
        <w:rPr>
          <w:sz w:val="20"/>
          <w:szCs w:val="20"/>
          <w:color w:val="auto"/>
        </w:rPr>
      </w:pPr>
    </w:p>
    <w:p>
      <w:pPr>
        <w:jc w:val="both"/>
        <w:ind w:firstLine="504"/>
        <w:spacing w:after="0" w:line="237" w:lineRule="auto"/>
        <w:rPr>
          <w:sz w:val="20"/>
          <w:szCs w:val="20"/>
          <w:color w:val="auto"/>
        </w:rPr>
      </w:pPr>
      <w:r>
        <w:rPr>
          <w:rFonts w:ascii="Arial" w:cs="Arial" w:eastAsia="Arial" w:hAnsi="Arial"/>
          <w:sz w:val="21"/>
          <w:szCs w:val="21"/>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w:t>
      </w:r>
      <w:r>
        <w:rPr>
          <w:rFonts w:ascii="Arial" w:cs="Arial" w:eastAsia="Arial" w:hAnsi="Arial"/>
          <w:sz w:val="21"/>
          <w:szCs w:val="21"/>
          <w:color w:val="121212"/>
        </w:rPr>
        <w:t>products</w:t>
      </w:r>
      <w:r>
        <w:rPr>
          <w:rFonts w:ascii="Arial" w:cs="Arial" w:eastAsia="Arial" w:hAnsi="Arial"/>
          <w:sz w:val="21"/>
          <w:szCs w:val="21"/>
          <w:color w:val="auto"/>
        </w:rPr>
        <w:t xml:space="preserve">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108" w:lineRule="exact"/>
        <w:rPr>
          <w:sz w:val="20"/>
          <w:szCs w:val="20"/>
          <w:color w:val="auto"/>
        </w:rPr>
      </w:pPr>
    </w:p>
    <w:p>
      <w:pPr>
        <w:ind w:left="1000" w:hanging="496"/>
        <w:spacing w:after="0"/>
        <w:tabs>
          <w:tab w:leader="none" w:pos="1000" w:val="left"/>
        </w:tabs>
        <w:numPr>
          <w:ilvl w:val="0"/>
          <w:numId w:val="43"/>
        </w:numPr>
        <w:rPr>
          <w:rFonts w:ascii="Arial" w:cs="Arial" w:eastAsia="Arial" w:hAnsi="Arial"/>
          <w:sz w:val="21"/>
          <w:szCs w:val="21"/>
          <w:color w:val="auto"/>
        </w:rPr>
      </w:pPr>
      <w:r>
        <w:rPr>
          <w:rFonts w:ascii="Arial" w:cs="Arial" w:eastAsia="Arial" w:hAnsi="Arial"/>
          <w:sz w:val="21"/>
          <w:szCs w:val="21"/>
          <w:color w:val="auto"/>
        </w:rPr>
        <w:t>a covered benefit under its health plan;</w:t>
      </w:r>
    </w:p>
    <w:p>
      <w:pPr>
        <w:spacing w:after="0" w:line="131" w:lineRule="exact"/>
        <w:rPr>
          <w:rFonts w:ascii="Arial" w:cs="Arial" w:eastAsia="Arial" w:hAnsi="Arial"/>
          <w:sz w:val="21"/>
          <w:szCs w:val="21"/>
          <w:color w:val="auto"/>
        </w:rPr>
      </w:pPr>
    </w:p>
    <w:p>
      <w:pPr>
        <w:ind w:left="1000" w:hanging="496"/>
        <w:spacing w:after="0"/>
        <w:tabs>
          <w:tab w:leader="none" w:pos="1000" w:val="left"/>
        </w:tabs>
        <w:numPr>
          <w:ilvl w:val="0"/>
          <w:numId w:val="43"/>
        </w:numPr>
        <w:rPr>
          <w:rFonts w:ascii="Arial" w:cs="Arial" w:eastAsia="Arial" w:hAnsi="Arial"/>
          <w:sz w:val="21"/>
          <w:szCs w:val="21"/>
          <w:color w:val="auto"/>
        </w:rPr>
      </w:pPr>
      <w:r>
        <w:rPr>
          <w:rFonts w:ascii="Arial" w:cs="Arial" w:eastAsia="Arial" w:hAnsi="Arial"/>
          <w:sz w:val="21"/>
          <w:szCs w:val="21"/>
          <w:color w:val="auto"/>
        </w:rPr>
        <w:t>safe, effective and medically necessary;</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3"/>
        </w:numPr>
        <w:rPr>
          <w:rFonts w:ascii="Arial" w:cs="Arial" w:eastAsia="Arial" w:hAnsi="Arial"/>
          <w:sz w:val="21"/>
          <w:szCs w:val="21"/>
          <w:color w:val="auto"/>
        </w:rPr>
      </w:pPr>
      <w:r>
        <w:rPr>
          <w:rFonts w:ascii="Arial" w:cs="Arial" w:eastAsia="Arial" w:hAnsi="Arial"/>
          <w:sz w:val="21"/>
          <w:szCs w:val="21"/>
          <w:color w:val="auto"/>
        </w:rPr>
        <w:t>appropriate for the specific patient;</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3"/>
        </w:numPr>
        <w:rPr>
          <w:rFonts w:ascii="Arial" w:cs="Arial" w:eastAsia="Arial" w:hAnsi="Arial"/>
          <w:sz w:val="21"/>
          <w:szCs w:val="21"/>
          <w:color w:val="auto"/>
        </w:rPr>
      </w:pPr>
      <w:r>
        <w:rPr>
          <w:rFonts w:ascii="Arial" w:cs="Arial" w:eastAsia="Arial" w:hAnsi="Arial"/>
          <w:sz w:val="21"/>
          <w:szCs w:val="21"/>
          <w:color w:val="auto"/>
        </w:rPr>
        <w:t>cost-effective; and</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3"/>
        </w:numPr>
        <w:rPr>
          <w:rFonts w:ascii="Arial" w:cs="Arial" w:eastAsia="Arial" w:hAnsi="Arial"/>
          <w:sz w:val="21"/>
          <w:szCs w:val="21"/>
          <w:color w:val="auto"/>
        </w:rPr>
      </w:pPr>
      <w:r>
        <w:rPr>
          <w:rFonts w:ascii="Arial" w:cs="Arial" w:eastAsia="Arial" w:hAnsi="Arial"/>
          <w:sz w:val="21"/>
          <w:szCs w:val="21"/>
          <w:color w:val="auto"/>
        </w:rPr>
        <w:t>neither experimental nor investigational.</w:t>
      </w:r>
    </w:p>
    <w:p>
      <w:pPr>
        <w:spacing w:after="0" w:line="284"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cs="Arial" w:eastAsia="Arial" w:hAnsi="Arial"/>
          <w:sz w:val="20"/>
          <w:szCs w:val="20"/>
          <w:color w:val="121212"/>
        </w:rPr>
        <w:t>prices</w:t>
      </w:r>
      <w:r>
        <w:rPr>
          <w:rFonts w:ascii="Arial" w:cs="Arial" w:eastAsia="Arial" w:hAnsi="Arial"/>
          <w:sz w:val="20"/>
          <w:szCs w:val="20"/>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ectPr>
          <w:pgSz w:w="12240" w:h="15840" w:orient="portrait"/>
          <w:cols w:equalWidth="0" w:num="1">
            <w:col w:w="9640"/>
          </w:cols>
          <w:pgMar w:left="1300" w:top="1230" w:right="1300" w:bottom="0" w:gutter="0" w:footer="0" w:header="0"/>
          <w:type w:val="continuous"/>
        </w:sectPr>
      </w:pPr>
    </w:p>
    <w:bookmarkStart w:id="90" w:name="page91"/>
    <w:bookmarkEnd w:id="90"/>
    <w:p>
      <w:pPr>
        <w:jc w:val="both"/>
        <w:spacing w:after="0" w:line="253" w:lineRule="auto"/>
        <w:rPr>
          <w:sz w:val="20"/>
          <w:szCs w:val="20"/>
          <w:color w:val="auto"/>
        </w:rPr>
      </w:pPr>
      <w:r>
        <w:rPr>
          <w:rFonts w:ascii="Arial" w:cs="Arial" w:eastAsia="Arial" w:hAnsi="Arial"/>
          <w:sz w:val="21"/>
          <w:szCs w:val="21"/>
          <w:color w:val="auto"/>
        </w:rPr>
        <w:t>candidates. Accordingly, in markets outside the United States, the reimbursement for products may be reduced compared with the United States and may be insufficient to generate commercially reasonable revenue and profits.</w:t>
      </w:r>
    </w:p>
    <w:p>
      <w:pPr>
        <w:spacing w:after="0" w:line="235" w:lineRule="exact"/>
        <w:rPr>
          <w:sz w:val="20"/>
          <w:szCs w:val="20"/>
          <w:color w:val="auto"/>
        </w:rPr>
      </w:pPr>
    </w:p>
    <w:p>
      <w:pPr>
        <w:jc w:val="both"/>
        <w:ind w:firstLine="505"/>
        <w:spacing w:after="0" w:line="249" w:lineRule="auto"/>
        <w:rPr>
          <w:sz w:val="20"/>
          <w:szCs w:val="20"/>
          <w:color w:val="auto"/>
        </w:rPr>
      </w:pPr>
      <w:r>
        <w:rPr>
          <w:rFonts w:ascii="Arial" w:cs="Arial" w:eastAsia="Arial" w:hAnsi="Arial"/>
          <w:sz w:val="20"/>
          <w:szCs w:val="20"/>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r>
        <w:rPr>
          <w:rFonts w:ascii="Arial" w:cs="Arial" w:eastAsia="Arial" w:hAnsi="Arial"/>
          <w:sz w:val="20"/>
          <w:szCs w:val="20"/>
          <w:color w:val="121212"/>
        </w:rPr>
        <w:t>.</w:t>
      </w:r>
    </w:p>
    <w:p>
      <w:pPr>
        <w:spacing w:after="0" w:line="253" w:lineRule="exact"/>
        <w:rPr>
          <w:sz w:val="20"/>
          <w:szCs w:val="20"/>
          <w:color w:val="auto"/>
        </w:rPr>
      </w:pPr>
    </w:p>
    <w:p>
      <w:pPr>
        <w:jc w:val="both"/>
        <w:ind w:firstLine="505"/>
        <w:spacing w:after="0" w:line="242" w:lineRule="auto"/>
        <w:rPr>
          <w:sz w:val="20"/>
          <w:szCs w:val="20"/>
          <w:color w:val="auto"/>
        </w:rPr>
      </w:pPr>
      <w:r>
        <w:rPr>
          <w:rFonts w:ascii="Arial" w:cs="Arial" w:eastAsia="Arial" w:hAnsi="Arial"/>
          <w:sz w:val="21"/>
          <w:szCs w:val="21"/>
          <w:color w:val="121212"/>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249" w:lineRule="exact"/>
        <w:rPr>
          <w:sz w:val="20"/>
          <w:szCs w:val="20"/>
          <w:color w:val="auto"/>
        </w:rPr>
      </w:pPr>
    </w:p>
    <w:p>
      <w:pPr>
        <w:jc w:val="both"/>
        <w:ind w:firstLine="505"/>
        <w:spacing w:after="0" w:line="251" w:lineRule="auto"/>
        <w:rPr>
          <w:sz w:val="20"/>
          <w:szCs w:val="20"/>
          <w:color w:val="auto"/>
        </w:rPr>
      </w:pPr>
      <w:r>
        <w:rPr>
          <w:rFonts w:ascii="Arial" w:cs="Arial" w:eastAsia="Arial" w:hAnsi="Arial"/>
          <w:sz w:val="20"/>
          <w:szCs w:val="20"/>
          <w:color w:val="121212"/>
        </w:rPr>
        <w:t xml:space="preserve">Increasingly, third-party payors are requiring that drug companies provide them with predetermined discounts from list prices and are challenging the prices charged for medical products. We cannot be sure that reimbursement will be available for any </w:t>
      </w:r>
      <w:r>
        <w:rPr>
          <w:rFonts w:ascii="Arial" w:cs="Arial" w:eastAsia="Arial" w:hAnsi="Arial"/>
          <w:sz w:val="20"/>
          <w:szCs w:val="20"/>
          <w:color w:val="000000"/>
        </w:rPr>
        <w:t>product candidate that we commercialize and, if reimbursement</w:t>
      </w:r>
      <w:r>
        <w:rPr>
          <w:rFonts w:ascii="Arial" w:cs="Arial" w:eastAsia="Arial" w:hAnsi="Arial"/>
          <w:sz w:val="20"/>
          <w:szCs w:val="20"/>
          <w:color w:val="121212"/>
        </w:rPr>
        <w:t xml:space="preserve"> </w:t>
      </w:r>
      <w:r>
        <w:rPr>
          <w:rFonts w:ascii="Arial" w:cs="Arial" w:eastAsia="Arial" w:hAnsi="Arial"/>
          <w:sz w:val="20"/>
          <w:szCs w:val="20"/>
          <w:color w:val="000000"/>
        </w:rPr>
        <w:t>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ectPr>
          <w:pgSz w:w="12240" w:h="15840" w:orient="portrait"/>
          <w:cols w:equalWidth="0" w:num="1">
            <w:col w:w="9640"/>
          </w:cols>
          <w:pgMar w:left="1300" w:top="1226" w:right="1300" w:bottom="0" w:gutter="0" w:footer="0" w:header="0"/>
          <w:type w:val="continuous"/>
        </w:sectPr>
      </w:pPr>
    </w:p>
    <w:bookmarkStart w:id="91" w:name="page92"/>
    <w:bookmarkEnd w:id="91"/>
    <w:p>
      <w:pPr>
        <w:jc w:val="both"/>
        <w:ind w:firstLine="504"/>
        <w:spacing w:after="0" w:line="277" w:lineRule="auto"/>
        <w:rPr>
          <w:sz w:val="20"/>
          <w:szCs w:val="20"/>
          <w:color w:val="auto"/>
        </w:rPr>
      </w:pPr>
      <w:r>
        <w:rPr>
          <w:rFonts w:ascii="Arial" w:cs="Arial" w:eastAsia="Arial" w:hAnsi="Arial"/>
          <w:sz w:val="21"/>
          <w:szCs w:val="21"/>
          <w:b w:val="1"/>
          <w:bCs w:val="1"/>
          <w:i w:val="1"/>
          <w:iCs w:val="1"/>
          <w:color w:val="auto"/>
        </w:rPr>
        <w:t>A variety of risks associated with marketing our product candidates internationally may materially adversely affect our business.</w:t>
      </w:r>
    </w:p>
    <w:p>
      <w:pPr>
        <w:spacing w:after="0" w:line="200"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1"/>
          <w:szCs w:val="21"/>
          <w:color w:val="auto"/>
        </w:rPr>
        <w:t xml:space="preserve">We plan to eventually seek regulatory approval of our product candidates outside of the United States and, accordingly, we </w:t>
      </w:r>
      <w:r>
        <w:rPr>
          <w:rFonts w:ascii="Arial" w:cs="Arial" w:eastAsia="Arial" w:hAnsi="Arial"/>
          <w:sz w:val="21"/>
          <w:szCs w:val="21"/>
          <w:color w:val="121212"/>
        </w:rPr>
        <w:t>expect</w:t>
      </w:r>
      <w:r>
        <w:rPr>
          <w:rFonts w:ascii="Arial" w:cs="Arial" w:eastAsia="Arial" w:hAnsi="Arial"/>
          <w:sz w:val="21"/>
          <w:szCs w:val="21"/>
          <w:color w:val="auto"/>
        </w:rPr>
        <w:t xml:space="preserve"> that we will be subject to additional risks related to operating in foreign countries if we obtain the necessary approvals, including:</w:t>
      </w:r>
    </w:p>
    <w:p>
      <w:pPr>
        <w:spacing w:after="0" w:line="81" w:lineRule="exact"/>
        <w:rPr>
          <w:sz w:val="20"/>
          <w:szCs w:val="20"/>
          <w:color w:val="auto"/>
        </w:rPr>
      </w:pPr>
    </w:p>
    <w:p>
      <w:pPr>
        <w:jc w:val="both"/>
        <w:ind w:left="1000" w:hanging="496"/>
        <w:spacing w:after="0" w:line="254" w:lineRule="auto"/>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8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foreign regulatory authorities may disagree with the design, implementation or results of our clinical trials or our interpretation of data from nonclinical studies or clinical trials;</w:t>
      </w:r>
    </w:p>
    <w:p>
      <w:pPr>
        <w:spacing w:after="0" w:line="65"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approval policies or regulations of foreign regulatory authorities may significantly change in a manner rendering our clinical data insufficient for approval;</w:t>
      </w:r>
    </w:p>
    <w:p>
      <w:pPr>
        <w:spacing w:after="0" w:line="64"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impact of the COVID-19 pandemic or other health epidemic on our ability to produce our product candidates and conduct clinical trials in foreign countries;</w:t>
      </w:r>
    </w:p>
    <w:p>
      <w:pPr>
        <w:spacing w:after="0" w:line="65"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unexpected changes in tariffs, trade barriers, price and exchange controls and other regulatory requirements;</w:t>
      </w:r>
    </w:p>
    <w:p>
      <w:pPr>
        <w:spacing w:after="0" w:line="6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economic weakness, including inflation, or political instability in particular foreign economies and markets;</w:t>
      </w:r>
    </w:p>
    <w:p>
      <w:pPr>
        <w:spacing w:after="0" w:line="65"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compliance with legal requirements applicable to privacy, data protection, information security and other matters;</w:t>
      </w:r>
    </w:p>
    <w:p>
      <w:pPr>
        <w:spacing w:after="0" w:line="6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compliance with tax, employment, immigration and labor laws for employees living or traveling abroad;</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foreign taxes, including withholding of payroll taxes;</w:t>
      </w:r>
    </w:p>
    <w:p>
      <w:pPr>
        <w:spacing w:after="0" w:line="132"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21"/>
          <w:szCs w:val="21"/>
          <w:color w:val="auto"/>
        </w:rPr>
      </w:pPr>
    </w:p>
    <w:p>
      <w:pPr>
        <w:ind w:left="1000" w:hanging="496"/>
        <w:spacing w:after="0"/>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difficulties staffing and managing foreign operations;</w:t>
      </w:r>
    </w:p>
    <w:p>
      <w:pPr>
        <w:spacing w:after="0" w:line="13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complexities associated with managing multiple payor reimbursement regimes and government payors in foreign countries;</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workforce uncertainty in countries where labor unrest is more common than in the United States;</w:t>
      </w:r>
    </w:p>
    <w:p>
      <w:pPr>
        <w:spacing w:after="0" w:line="144" w:lineRule="exact"/>
        <w:rPr>
          <w:rFonts w:ascii="Arial" w:cs="Arial" w:eastAsia="Arial" w:hAnsi="Arial"/>
          <w:sz w:val="20"/>
          <w:szCs w:val="20"/>
          <w:color w:val="auto"/>
        </w:rPr>
      </w:pPr>
    </w:p>
    <w:p>
      <w:pPr>
        <w:ind w:left="1000" w:hanging="496"/>
        <w:spacing w:after="0" w:line="272" w:lineRule="auto"/>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potential liability under the Foreign Corrupt Practices Act of 1977 or comparable foreign regulations;</w:t>
      </w:r>
    </w:p>
    <w:p>
      <w:pPr>
        <w:spacing w:after="0" w:line="64" w:lineRule="exact"/>
        <w:rPr>
          <w:rFonts w:ascii="Arial" w:cs="Arial" w:eastAsia="Arial" w:hAnsi="Arial"/>
          <w:sz w:val="21"/>
          <w:szCs w:val="21"/>
          <w:color w:val="auto"/>
        </w:rPr>
      </w:pPr>
    </w:p>
    <w:p>
      <w:pPr>
        <w:jc w:val="both"/>
        <w:ind w:left="1000" w:hanging="496"/>
        <w:spacing w:after="0" w:line="253" w:lineRule="auto"/>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challenges enforcing our contractual and intellectual property rights, especially in those foreign countries that do not respect and protect intellectual property rights to the same extent as the United States;</w:t>
      </w:r>
    </w:p>
    <w:p>
      <w:pPr>
        <w:spacing w:after="0" w:line="84"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production shortages resulting from any events affecting raw material supply or manufacturing capabilities abroad; and</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business interruptions resulting from geo-political actions, including war and terrorism.</w:t>
      </w:r>
    </w:p>
    <w:p>
      <w:pPr>
        <w:spacing w:after="0" w:line="284" w:lineRule="exact"/>
        <w:rPr>
          <w:sz w:val="20"/>
          <w:szCs w:val="20"/>
          <w:color w:val="auto"/>
        </w:rPr>
      </w:pPr>
    </w:p>
    <w:p>
      <w:pPr>
        <w:ind w:firstLine="504"/>
        <w:spacing w:after="0" w:line="273" w:lineRule="auto"/>
        <w:rPr>
          <w:sz w:val="20"/>
          <w:szCs w:val="20"/>
          <w:color w:val="auto"/>
        </w:rPr>
      </w:pPr>
      <w:r>
        <w:rPr>
          <w:rFonts w:ascii="Arial" w:cs="Arial" w:eastAsia="Arial" w:hAnsi="Arial"/>
          <w:sz w:val="21"/>
          <w:szCs w:val="21"/>
          <w:color w:val="auto"/>
        </w:rPr>
        <w:t xml:space="preserve">These and other risks associated with international operations may materially adversely affect our ability to attain or maintain </w:t>
      </w:r>
      <w:r>
        <w:rPr>
          <w:rFonts w:ascii="Arial" w:cs="Arial" w:eastAsia="Arial" w:hAnsi="Arial"/>
          <w:sz w:val="21"/>
          <w:szCs w:val="21"/>
          <w:color w:val="121212"/>
        </w:rPr>
        <w:t>profitable</w:t>
      </w:r>
      <w:r>
        <w:rPr>
          <w:rFonts w:ascii="Arial" w:cs="Arial" w:eastAsia="Arial" w:hAnsi="Arial"/>
          <w:sz w:val="21"/>
          <w:szCs w:val="21"/>
          <w:color w:val="auto"/>
        </w:rPr>
        <w:t xml:space="preserve"> operations.</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ectPr>
          <w:pgSz w:w="12240" w:h="15840" w:orient="portrait"/>
          <w:cols w:equalWidth="0" w:num="1">
            <w:col w:w="9640"/>
          </w:cols>
          <w:pgMar w:left="1300" w:top="1230" w:right="1300" w:bottom="0" w:gutter="0" w:footer="0" w:header="0"/>
          <w:type w:val="continuous"/>
        </w:sectPr>
      </w:pPr>
    </w:p>
    <w:bookmarkStart w:id="92" w:name="page93"/>
    <w:bookmarkEnd w:id="92"/>
    <w:p>
      <w:pPr>
        <w:ind w:left="500"/>
        <w:spacing w:after="0"/>
        <w:rPr>
          <w:sz w:val="20"/>
          <w:szCs w:val="20"/>
          <w:color w:val="auto"/>
        </w:rPr>
      </w:pPr>
      <w:r>
        <w:rPr>
          <w:rFonts w:ascii="Arial" w:cs="Arial" w:eastAsia="Arial" w:hAnsi="Arial"/>
          <w:sz w:val="21"/>
          <w:szCs w:val="21"/>
          <w:b w:val="1"/>
          <w:bCs w:val="1"/>
          <w:color w:val="auto"/>
        </w:rPr>
        <w:t>Risks Relating to Our Intellectual Property</w:t>
      </w:r>
    </w:p>
    <w:p>
      <w:pPr>
        <w:spacing w:after="0" w:line="292"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21"/>
          <w:szCs w:val="21"/>
          <w:b w:val="1"/>
          <w:bCs w:val="1"/>
          <w:i w:val="1"/>
          <w:iCs w:val="1"/>
          <w:color w:val="auto"/>
        </w:rPr>
        <w:t>Our success depends on our ability to protect our intellectual property and our proprietary technologies.</w:t>
      </w:r>
    </w:p>
    <w:p>
      <w:pPr>
        <w:spacing w:after="0" w:line="200"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241" w:lineRule="exact"/>
        <w:rPr>
          <w:sz w:val="20"/>
          <w:szCs w:val="20"/>
          <w:color w:val="auto"/>
        </w:rPr>
      </w:pPr>
    </w:p>
    <w:p>
      <w:pPr>
        <w:jc w:val="both"/>
        <w:ind w:firstLine="504"/>
        <w:spacing w:after="0" w:line="232" w:lineRule="auto"/>
        <w:rPr>
          <w:sz w:val="20"/>
          <w:szCs w:val="20"/>
          <w:color w:val="auto"/>
        </w:rPr>
      </w:pPr>
      <w:r>
        <w:rPr>
          <w:rFonts w:ascii="Arial" w:cs="Arial" w:eastAsia="Arial" w:hAnsi="Arial"/>
          <w:sz w:val="21"/>
          <w:szCs w:val="21"/>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spacing w:after="0" w:line="200"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product candidates could have a material adverse effect on our financial condition and results of operations.</w:t>
      </w:r>
    </w:p>
    <w:p>
      <w:pPr>
        <w:spacing w:after="0" w:line="241"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0"/>
          <w:szCs w:val="20"/>
          <w:color w:val="auto"/>
        </w:rPr>
        <w:t>As of December 31, 2022, our patent portfolio includes one issued U.S. patent, twelve pending U.S. patent applications, three issued patents in jurisdictions outside of the U.S. (not including European country validations), ten pending patent applications in jurisdictions outside of the U.S., and four pending international patent applications filed under the Patent Cooperation Treaty. Our owned patents and patent applications have claims directed to fosgonimeton and our other small molecule therapeutic candidates, including ATH-1020 and ATH-1105, as compositions of matter and methods of use thereof. The U.S. patent will expire in June 2037, absent any patent term extensions for regulatory delay. Dr. Kawas is an inventor on our company-owned patents. Our patent portfolio also includes eight issued U.S. patents and nine patents issued in jurisdictions outside of the United States (not including European country validations) that are exclusively licensed to us by WSU. The in-licensed patent portfolio includes issued U.S. patents that do not directly cover fosgonimeton as a composition of matter or pharmaceutical formulation, but instead cover the active metabolite of fosgonimeton, which is hexanoic-tyrosine-isoleucine-(6)-amino-hexanoic amide, or dihexa, and uses of dihexa. Dr. Kawas is an inventor on five of the in-licensed issued U.S. patents.</w:t>
      </w:r>
    </w:p>
    <w:p>
      <w:pPr>
        <w:spacing w:after="0" w:line="237" w:lineRule="exact"/>
        <w:rPr>
          <w:sz w:val="20"/>
          <w:szCs w:val="20"/>
          <w:color w:val="auto"/>
        </w:rPr>
      </w:pPr>
    </w:p>
    <w:p>
      <w:pPr>
        <w:jc w:val="both"/>
        <w:ind w:firstLine="504"/>
        <w:spacing w:after="0" w:line="235" w:lineRule="auto"/>
        <w:rPr>
          <w:sz w:val="20"/>
          <w:szCs w:val="20"/>
          <w:color w:val="auto"/>
        </w:rPr>
      </w:pPr>
      <w:r>
        <w:rPr>
          <w:rFonts w:ascii="Arial" w:cs="Arial" w:eastAsia="Arial" w:hAnsi="Arial"/>
          <w:sz w:val="21"/>
          <w:szCs w:val="21"/>
          <w:color w:val="auto"/>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ectPr>
          <w:pgSz w:w="12240" w:h="15840" w:orient="portrait"/>
          <w:cols w:equalWidth="0" w:num="1">
            <w:col w:w="9640"/>
          </w:cols>
          <w:pgMar w:left="1300" w:top="1222" w:right="1300" w:bottom="0" w:gutter="0" w:footer="0" w:header="0"/>
          <w:type w:val="continuous"/>
        </w:sectPr>
      </w:pPr>
    </w:p>
    <w:bookmarkStart w:id="93" w:name="page94"/>
    <w:bookmarkEnd w:id="93"/>
    <w:p>
      <w:pPr>
        <w:jc w:val="both"/>
        <w:ind w:firstLine="504"/>
        <w:spacing w:after="0" w:line="262" w:lineRule="auto"/>
        <w:rPr>
          <w:sz w:val="20"/>
          <w:szCs w:val="20"/>
          <w:color w:val="auto"/>
        </w:rPr>
      </w:pPr>
      <w:r>
        <w:rPr>
          <w:rFonts w:ascii="Arial" w:cs="Arial" w:eastAsia="Arial" w:hAnsi="Arial"/>
          <w:sz w:val="20"/>
          <w:szCs w:val="20"/>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65" w:lineRule="exact"/>
        <w:rPr>
          <w:sz w:val="20"/>
          <w:szCs w:val="20"/>
          <w:color w:val="auto"/>
        </w:rPr>
      </w:pPr>
    </w:p>
    <w:p>
      <w:pPr>
        <w:jc w:val="both"/>
        <w:ind w:left="1000" w:hanging="496"/>
        <w:spacing w:after="0" w:line="238" w:lineRule="auto"/>
        <w:tabs>
          <w:tab w:leader="none" w:pos="10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87" w:lineRule="exact"/>
        <w:rPr>
          <w:rFonts w:ascii="Arial" w:cs="Arial" w:eastAsia="Arial" w:hAnsi="Arial"/>
          <w:sz w:val="21"/>
          <w:szCs w:val="21"/>
          <w:color w:val="auto"/>
        </w:rPr>
      </w:pPr>
    </w:p>
    <w:p>
      <w:pPr>
        <w:ind w:left="1000" w:hanging="496"/>
        <w:spacing w:after="0"/>
        <w:tabs>
          <w:tab w:leader="none" w:pos="10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patent applications may not result in any patents being issued;</w:t>
      </w:r>
    </w:p>
    <w:p>
      <w:pPr>
        <w:spacing w:after="0" w:line="123" w:lineRule="exact"/>
        <w:rPr>
          <w:rFonts w:ascii="Arial" w:cs="Arial" w:eastAsia="Arial" w:hAnsi="Arial"/>
          <w:sz w:val="21"/>
          <w:szCs w:val="21"/>
          <w:color w:val="auto"/>
        </w:rPr>
      </w:pPr>
    </w:p>
    <w:p>
      <w:pPr>
        <w:jc w:val="both"/>
        <w:ind w:left="1000" w:hanging="496"/>
        <w:spacing w:after="0" w:line="244" w:lineRule="auto"/>
        <w:tabs>
          <w:tab w:leader="none" w:pos="10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patents and patent applications may be challenged, invalidated, modified, revoked, circumvented, found to be unenforceable or otherwise may not provide any competitive advantage;</w:t>
      </w:r>
    </w:p>
    <w:p>
      <w:pPr>
        <w:spacing w:after="0" w:line="81" w:lineRule="exact"/>
        <w:rPr>
          <w:rFonts w:ascii="Arial" w:cs="Arial" w:eastAsia="Arial" w:hAnsi="Arial"/>
          <w:sz w:val="21"/>
          <w:szCs w:val="21"/>
          <w:color w:val="auto"/>
        </w:rPr>
      </w:pPr>
    </w:p>
    <w:p>
      <w:pPr>
        <w:ind w:left="1000" w:hanging="496"/>
        <w:spacing w:after="0" w:line="288" w:lineRule="auto"/>
        <w:tabs>
          <w:tab w:leader="none" w:pos="10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changes to patent laws in the United States or in other countries may limit the ability to obtain, defend or enforce patents, or may apply retroactively to affect the terms or scope of patents;</w:t>
      </w:r>
    </w:p>
    <w:p>
      <w:pPr>
        <w:spacing w:after="0" w:line="38" w:lineRule="exact"/>
        <w:rPr>
          <w:rFonts w:ascii="Arial" w:cs="Arial" w:eastAsia="Arial" w:hAnsi="Arial"/>
          <w:sz w:val="20"/>
          <w:szCs w:val="20"/>
          <w:color w:val="auto"/>
        </w:rPr>
      </w:pPr>
    </w:p>
    <w:p>
      <w:pPr>
        <w:jc w:val="both"/>
        <w:ind w:left="1000" w:hanging="496"/>
        <w:spacing w:after="0" w:line="238" w:lineRule="auto"/>
        <w:tabs>
          <w:tab w:leader="none" w:pos="10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87" w:lineRule="exact"/>
        <w:rPr>
          <w:rFonts w:ascii="Arial" w:cs="Arial" w:eastAsia="Arial" w:hAnsi="Arial"/>
          <w:sz w:val="21"/>
          <w:szCs w:val="21"/>
          <w:color w:val="auto"/>
        </w:rPr>
      </w:pPr>
    </w:p>
    <w:p>
      <w:pPr>
        <w:jc w:val="both"/>
        <w:ind w:left="1000" w:hanging="496"/>
        <w:spacing w:after="0" w:line="238" w:lineRule="auto"/>
        <w:tabs>
          <w:tab w:leader="none" w:pos="10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spacing w:after="0" w:line="87" w:lineRule="exact"/>
        <w:rPr>
          <w:rFonts w:ascii="Arial" w:cs="Arial" w:eastAsia="Arial" w:hAnsi="Arial"/>
          <w:sz w:val="21"/>
          <w:szCs w:val="21"/>
          <w:color w:val="auto"/>
        </w:rPr>
      </w:pPr>
    </w:p>
    <w:p>
      <w:pPr>
        <w:jc w:val="both"/>
        <w:ind w:left="1000" w:hanging="496"/>
        <w:spacing w:after="0" w:line="244" w:lineRule="auto"/>
        <w:tabs>
          <w:tab w:leader="none" w:pos="10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234" w:lineRule="exact"/>
        <w:rPr>
          <w:sz w:val="20"/>
          <w:szCs w:val="20"/>
          <w:color w:val="auto"/>
        </w:rPr>
      </w:pPr>
    </w:p>
    <w:p>
      <w:pPr>
        <w:jc w:val="both"/>
        <w:ind w:firstLine="504"/>
        <w:spacing w:after="0" w:line="235" w:lineRule="auto"/>
        <w:rPr>
          <w:sz w:val="20"/>
          <w:szCs w:val="20"/>
          <w:color w:val="auto"/>
        </w:rPr>
      </w:pPr>
      <w:r>
        <w:rPr>
          <w:rFonts w:ascii="Arial" w:cs="Arial" w:eastAsia="Arial" w:hAnsi="Arial"/>
          <w:sz w:val="21"/>
          <w:szCs w:val="21"/>
          <w:color w:val="auto"/>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spacing w:after="0" w:line="240" w:lineRule="exact"/>
        <w:rPr>
          <w:sz w:val="20"/>
          <w:szCs w:val="20"/>
          <w:color w:val="auto"/>
        </w:rPr>
      </w:pPr>
    </w:p>
    <w:p>
      <w:pPr>
        <w:jc w:val="both"/>
        <w:ind w:firstLine="504"/>
        <w:spacing w:after="0" w:line="235" w:lineRule="auto"/>
        <w:rPr>
          <w:sz w:val="20"/>
          <w:szCs w:val="20"/>
          <w:color w:val="auto"/>
        </w:rPr>
      </w:pPr>
      <w:r>
        <w:rPr>
          <w:rFonts w:ascii="Arial" w:cs="Arial" w:eastAsia="Arial" w:hAnsi="Arial"/>
          <w:sz w:val="21"/>
          <w:szCs w:val="21"/>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242"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Given the amount of time required for the development, testing and regulatory review of new product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spacing w:after="0" w:line="251"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21"/>
          <w:szCs w:val="21"/>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22"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product candidates or their use or which effectively prevent others from commercializing competitive product candidates.</w:t>
      </w:r>
    </w:p>
    <w:p>
      <w:pPr>
        <w:sectPr>
          <w:pgSz w:w="12240" w:h="15840" w:orient="portrait"/>
          <w:cols w:equalWidth="0" w:num="1">
            <w:col w:w="9640"/>
          </w:cols>
          <w:pgMar w:left="1300" w:top="1218"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ectPr>
          <w:pgSz w:w="12240" w:h="15840" w:orient="portrait"/>
          <w:cols w:equalWidth="0" w:num="1">
            <w:col w:w="9640"/>
          </w:cols>
          <w:pgMar w:left="1300" w:top="1218" w:right="1300" w:bottom="0" w:gutter="0" w:footer="0" w:header="0"/>
          <w:type w:val="continuous"/>
        </w:sectPr>
      </w:pPr>
    </w:p>
    <w:bookmarkStart w:id="94" w:name="page95"/>
    <w:bookmarkEnd w:id="94"/>
    <w:p>
      <w:pPr>
        <w:jc w:val="both"/>
        <w:ind w:firstLine="504"/>
        <w:spacing w:after="0" w:line="239" w:lineRule="auto"/>
        <w:rPr>
          <w:sz w:val="20"/>
          <w:szCs w:val="20"/>
          <w:color w:val="auto"/>
        </w:rPr>
      </w:pPr>
      <w:r>
        <w:rPr>
          <w:rFonts w:ascii="Arial" w:cs="Arial" w:eastAsia="Arial" w:hAnsi="Arial"/>
          <w:sz w:val="21"/>
          <w:szCs w:val="21"/>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product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spacing w:after="0" w:line="248"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21"/>
          <w:szCs w:val="21"/>
          <w:i w:val="1"/>
          <w:iCs w:val="1"/>
          <w:color w:val="auto"/>
        </w:rPr>
        <w:t>inter partes</w:t>
      </w:r>
      <w:r>
        <w:rPr>
          <w:rFonts w:ascii="Arial" w:cs="Arial" w:eastAsia="Arial" w:hAnsi="Arial"/>
          <w:sz w:val="21"/>
          <w:szCs w:val="21"/>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w:t>
      </w:r>
    </w:p>
    <w:p>
      <w:pPr>
        <w:spacing w:after="0" w:line="247"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spacing w:after="0" w:line="242"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For example, in view of the lawsuits disclosed elsewhere in this report including in this “Risk Factors” section under the heading “</w:t>
      </w:r>
      <w:r>
        <w:rPr>
          <w:rFonts w:ascii="Arial" w:cs="Arial" w:eastAsia="Arial" w:hAnsi="Arial"/>
          <w:sz w:val="21"/>
          <w:szCs w:val="21"/>
          <w:i w:val="1"/>
          <w:iCs w:val="1"/>
          <w:color w:val="auto"/>
        </w:rPr>
        <w:t>—We and certain of our directors and executive officers have been, and may in</w:t>
      </w:r>
      <w:r>
        <w:rPr>
          <w:rFonts w:ascii="Arial" w:cs="Arial" w:eastAsia="Arial" w:hAnsi="Arial"/>
          <w:sz w:val="21"/>
          <w:szCs w:val="21"/>
          <w:color w:val="auto"/>
        </w:rPr>
        <w:t xml:space="preserve"> </w:t>
      </w:r>
      <w:r>
        <w:rPr>
          <w:rFonts w:ascii="Arial" w:cs="Arial" w:eastAsia="Arial" w:hAnsi="Arial"/>
          <w:sz w:val="21"/>
          <w:szCs w:val="21"/>
          <w:i w:val="1"/>
          <w:iCs w:val="1"/>
          <w:color w:val="auto"/>
        </w:rPr>
        <w:t>the future be, named as defendants in lawsuits that could result in substantial costs and divert management’s attention</w:t>
      </w:r>
      <w:r>
        <w:rPr>
          <w:rFonts w:ascii="Arial" w:cs="Arial" w:eastAsia="Arial" w:hAnsi="Arial"/>
          <w:sz w:val="21"/>
          <w:szCs w:val="21"/>
          <w:color w:val="auto"/>
        </w:rPr>
        <w:t>,” and in “Part I, Item 3—Legal Proceedings,” third parties may challenge the validity</w:t>
      </w:r>
      <w:r>
        <w:rPr>
          <w:rFonts w:ascii="Arial" w:cs="Arial" w:eastAsia="Arial" w:hAnsi="Arial"/>
          <w:sz w:val="21"/>
          <w:szCs w:val="21"/>
          <w:i w:val="1"/>
          <w:iCs w:val="1"/>
          <w:color w:val="auto"/>
        </w:rPr>
        <w:t xml:space="preserve"> </w:t>
      </w:r>
      <w:r>
        <w:rPr>
          <w:rFonts w:ascii="Arial" w:cs="Arial" w:eastAsia="Arial" w:hAnsi="Arial"/>
          <w:sz w:val="21"/>
          <w:szCs w:val="21"/>
          <w:color w:val="auto"/>
        </w:rPr>
        <w:t>or 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product candidates. Further, these proceedings could have a material adverse effect on our business, results of operations and financial condition.</w:t>
      </w:r>
    </w:p>
    <w:p>
      <w:pPr>
        <w:spacing w:after="0" w:line="249"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0"/>
          <w:szCs w:val="20"/>
          <w:color w:val="auto"/>
        </w:rPr>
        <w:t>Even though we own patents and patent applications covering fosgonimeton and its use, our patents and any future patents we obtain may not effectively prevent others from developing or commercializing products similar to our product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product candidates, even if the eventual outcome is favorable to us.</w:t>
      </w:r>
    </w:p>
    <w:p>
      <w:pPr>
        <w:spacing w:after="0" w:line="239"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We or WSU may in the future file one or more requests for supplemental examination of certain patents for the USPTO to reconsider the enforceability and validity of the patents (including any patents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ectPr>
          <w:pgSz w:w="12240" w:h="15840" w:orient="portrait"/>
          <w:cols w:equalWidth="0" w:num="1">
            <w:col w:w="9640"/>
          </w:cols>
          <w:pgMar w:left="1300" w:top="1226" w:right="1300" w:bottom="0" w:gutter="0" w:footer="0" w:header="0"/>
          <w:type w:val="continuous"/>
        </w:sectPr>
      </w:pPr>
    </w:p>
    <w:bookmarkStart w:id="95" w:name="page96"/>
    <w:bookmarkEnd w:id="95"/>
    <w:p>
      <w:pPr>
        <w:jc w:val="both"/>
        <w:spacing w:after="0" w:line="255" w:lineRule="auto"/>
        <w:rPr>
          <w:sz w:val="20"/>
          <w:szCs w:val="20"/>
          <w:color w:val="auto"/>
        </w:rPr>
      </w:pPr>
      <w:r>
        <w:rPr>
          <w:rFonts w:ascii="Arial" w:cs="Arial" w:eastAsia="Arial" w:hAnsi="Arial"/>
          <w:sz w:val="20"/>
          <w:szCs w:val="20"/>
          <w:color w:val="auto"/>
        </w:rPr>
        <w:t>relating to dihexa) in view of the allegations that Dr. Kawas altered images in connection with her doctoral studies. The outcome of any supplemental examination procedure is unpredictable. If a substantial new question of patentability is found, the USPTO Director will order ex parte reexamination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spacing w:after="0" w:line="240"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21"/>
          <w:szCs w:val="21"/>
          <w:b w:val="1"/>
          <w:bCs w:val="1"/>
          <w:i w:val="1"/>
          <w:iCs w:val="1"/>
          <w:color w:val="auto"/>
        </w:rPr>
        <w:t>Intellectual property rights do not necessarily address all potential threats to our competitive advantage.</w:t>
      </w:r>
    </w:p>
    <w:p>
      <w:pPr>
        <w:spacing w:after="0" w:line="200"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4" w:lineRule="exact"/>
        <w:rPr>
          <w:sz w:val="20"/>
          <w:szCs w:val="20"/>
          <w:color w:val="auto"/>
        </w:rPr>
      </w:pPr>
    </w:p>
    <w:p>
      <w:pPr>
        <w:ind w:left="1000" w:hanging="496"/>
        <w:spacing w:after="0" w:line="273" w:lineRule="auto"/>
        <w:tabs>
          <w:tab w:leader="none" w:pos="1000" w:val="left"/>
        </w:tabs>
        <w:numPr>
          <w:ilvl w:val="0"/>
          <w:numId w:val="46"/>
        </w:numPr>
        <w:rPr>
          <w:rFonts w:ascii="Arial" w:cs="Arial" w:eastAsia="Arial" w:hAnsi="Arial"/>
          <w:sz w:val="21"/>
          <w:szCs w:val="21"/>
          <w:color w:val="auto"/>
        </w:rPr>
      </w:pPr>
      <w:r>
        <w:rPr>
          <w:rFonts w:ascii="Arial" w:cs="Arial" w:eastAsia="Arial" w:hAnsi="Arial"/>
          <w:sz w:val="21"/>
          <w:szCs w:val="21"/>
          <w:color w:val="auto"/>
        </w:rPr>
        <w:t>others may be able to develop products that are similar to our product candidates but that are not covered by the claims of the patents that we own or license;</w:t>
      </w:r>
    </w:p>
    <w:p>
      <w:pPr>
        <w:spacing w:after="0" w:line="62"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46"/>
        </w:numPr>
        <w:rPr>
          <w:rFonts w:ascii="Arial" w:cs="Arial" w:eastAsia="Arial" w:hAnsi="Arial"/>
          <w:sz w:val="21"/>
          <w:szCs w:val="21"/>
          <w:color w:val="auto"/>
        </w:rPr>
      </w:pPr>
      <w:r>
        <w:rPr>
          <w:rFonts w:ascii="Arial" w:cs="Arial" w:eastAsia="Arial" w:hAnsi="Arial"/>
          <w:sz w:val="21"/>
          <w:szCs w:val="21"/>
          <w:color w:val="auto"/>
        </w:rPr>
        <w:t>we or any current or future licensors or collaborators might not have been the first to make the inventions covered by the issued patents or patent application that we own or license;</w:t>
      </w:r>
    </w:p>
    <w:p>
      <w:pPr>
        <w:spacing w:after="0" w:line="63"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46"/>
        </w:numPr>
        <w:rPr>
          <w:rFonts w:ascii="Arial" w:cs="Arial" w:eastAsia="Arial" w:hAnsi="Arial"/>
          <w:sz w:val="21"/>
          <w:szCs w:val="21"/>
          <w:color w:val="auto"/>
        </w:rPr>
      </w:pPr>
      <w:r>
        <w:rPr>
          <w:rFonts w:ascii="Arial" w:cs="Arial" w:eastAsia="Arial" w:hAnsi="Arial"/>
          <w:sz w:val="21"/>
          <w:szCs w:val="21"/>
          <w:color w:val="auto"/>
        </w:rPr>
        <w:t>we or any current or future licensors or collaborators might not have been the first to file patent applications covering certain of our or their inventions;</w:t>
      </w:r>
    </w:p>
    <w:p>
      <w:pPr>
        <w:spacing w:after="0" w:line="62"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46"/>
        </w:numPr>
        <w:rPr>
          <w:rFonts w:ascii="Arial" w:cs="Arial" w:eastAsia="Arial" w:hAnsi="Arial"/>
          <w:sz w:val="21"/>
          <w:szCs w:val="21"/>
          <w:color w:val="auto"/>
        </w:rPr>
      </w:pPr>
      <w:r>
        <w:rPr>
          <w:rFonts w:ascii="Arial" w:cs="Arial" w:eastAsia="Arial" w:hAnsi="Arial"/>
          <w:sz w:val="21"/>
          <w:szCs w:val="21"/>
          <w:color w:val="auto"/>
        </w:rPr>
        <w:t>others may independently develop similar or alternative technologies or duplicate any of our technologies without infringing our intellectual property rights;</w:t>
      </w:r>
    </w:p>
    <w:p>
      <w:pPr>
        <w:spacing w:after="0" w:line="61"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46"/>
        </w:numPr>
        <w:rPr>
          <w:rFonts w:ascii="Arial" w:cs="Arial" w:eastAsia="Arial" w:hAnsi="Arial"/>
          <w:sz w:val="21"/>
          <w:szCs w:val="21"/>
          <w:color w:val="auto"/>
        </w:rPr>
      </w:pPr>
      <w:r>
        <w:rPr>
          <w:rFonts w:ascii="Arial" w:cs="Arial" w:eastAsia="Arial" w:hAnsi="Arial"/>
          <w:sz w:val="21"/>
          <w:szCs w:val="21"/>
          <w:color w:val="auto"/>
        </w:rPr>
        <w:t>it is possible that the pending patent applications we own or license will not lead to issued patents;</w:t>
      </w:r>
    </w:p>
    <w:p>
      <w:pPr>
        <w:spacing w:after="0" w:line="64"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46"/>
        </w:numPr>
        <w:rPr>
          <w:rFonts w:ascii="Arial" w:cs="Arial" w:eastAsia="Arial" w:hAnsi="Arial"/>
          <w:sz w:val="21"/>
          <w:szCs w:val="21"/>
          <w:color w:val="auto"/>
        </w:rPr>
      </w:pPr>
      <w:r>
        <w:rPr>
          <w:rFonts w:ascii="Arial" w:cs="Arial" w:eastAsia="Arial" w:hAnsi="Arial"/>
          <w:sz w:val="21"/>
          <w:szCs w:val="21"/>
          <w:color w:val="auto"/>
        </w:rPr>
        <w:t>issued patents that we own or license may be held invalid or unenforceable, as a result of legal challenges by our competitors;</w:t>
      </w:r>
    </w:p>
    <w:p>
      <w:pPr>
        <w:spacing w:after="0" w:line="64" w:lineRule="exact"/>
        <w:rPr>
          <w:rFonts w:ascii="Arial" w:cs="Arial" w:eastAsia="Arial" w:hAnsi="Arial"/>
          <w:sz w:val="21"/>
          <w:szCs w:val="21"/>
          <w:color w:val="auto"/>
        </w:rPr>
      </w:pPr>
    </w:p>
    <w:p>
      <w:pPr>
        <w:jc w:val="both"/>
        <w:ind w:left="1000" w:hanging="496"/>
        <w:spacing w:after="0" w:line="253" w:lineRule="auto"/>
        <w:tabs>
          <w:tab w:leader="none" w:pos="1000" w:val="left"/>
        </w:tabs>
        <w:numPr>
          <w:ilvl w:val="0"/>
          <w:numId w:val="46"/>
        </w:numPr>
        <w:rPr>
          <w:rFonts w:ascii="Arial" w:cs="Arial" w:eastAsia="Arial" w:hAnsi="Arial"/>
          <w:sz w:val="21"/>
          <w:szCs w:val="21"/>
          <w:color w:val="auto"/>
        </w:rPr>
      </w:pPr>
      <w:r>
        <w:rPr>
          <w:rFonts w:ascii="Arial" w:cs="Arial" w:eastAsia="Arial" w:hAnsi="Arial"/>
          <w:sz w:val="21"/>
          <w:szCs w:val="21"/>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4" w:lineRule="exact"/>
        <w:rPr>
          <w:rFonts w:ascii="Arial" w:cs="Arial" w:eastAsia="Arial" w:hAnsi="Arial"/>
          <w:sz w:val="21"/>
          <w:szCs w:val="21"/>
          <w:color w:val="auto"/>
        </w:rPr>
      </w:pPr>
    </w:p>
    <w:p>
      <w:pPr>
        <w:ind w:left="1000" w:hanging="496"/>
        <w:spacing w:after="0"/>
        <w:tabs>
          <w:tab w:leader="none" w:pos="1000" w:val="left"/>
        </w:tabs>
        <w:numPr>
          <w:ilvl w:val="0"/>
          <w:numId w:val="46"/>
        </w:numPr>
        <w:rPr>
          <w:rFonts w:ascii="Arial" w:cs="Arial" w:eastAsia="Arial" w:hAnsi="Arial"/>
          <w:sz w:val="21"/>
          <w:szCs w:val="21"/>
          <w:color w:val="auto"/>
        </w:rPr>
      </w:pPr>
      <w:r>
        <w:rPr>
          <w:rFonts w:ascii="Arial" w:cs="Arial" w:eastAsia="Arial" w:hAnsi="Arial"/>
          <w:sz w:val="21"/>
          <w:szCs w:val="21"/>
          <w:color w:val="auto"/>
        </w:rPr>
        <w:t>we may not develop additional proprietary technologies that are patentable;</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the patents of others may have an adverse effect on our business; and</w:t>
      </w:r>
    </w:p>
    <w:p>
      <w:pPr>
        <w:spacing w:after="0" w:line="131"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46"/>
        </w:numPr>
        <w:rPr>
          <w:rFonts w:ascii="Arial" w:cs="Arial" w:eastAsia="Arial" w:hAnsi="Arial"/>
          <w:sz w:val="21"/>
          <w:szCs w:val="21"/>
          <w:color w:val="auto"/>
        </w:rPr>
      </w:pPr>
      <w:r>
        <w:rPr>
          <w:rFonts w:ascii="Arial" w:cs="Arial" w:eastAsia="Arial" w:hAnsi="Arial"/>
          <w:sz w:val="21"/>
          <w:szCs w:val="21"/>
          <w:color w:val="auto"/>
        </w:rPr>
        <w:t>we may choose not to file a patent in order to maintain certain trade secrets or know-how, and a third party may subsequently file a patent covering such intellectual property.</w:t>
      </w:r>
    </w:p>
    <w:p>
      <w:pPr>
        <w:spacing w:after="0" w:line="214"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color w:val="auto"/>
        </w:rPr>
        <w:t>Should any of these events occur, it could significantly harm our business, results of operations and prospects.</w:t>
      </w:r>
    </w:p>
    <w:p>
      <w:pPr>
        <w:spacing w:after="0" w:line="219" w:lineRule="exact"/>
        <w:rPr>
          <w:sz w:val="20"/>
          <w:szCs w:val="20"/>
          <w:color w:val="auto"/>
        </w:rPr>
      </w:pPr>
    </w:p>
    <w:p>
      <w:pPr>
        <w:jc w:val="both"/>
        <w:ind w:firstLine="504"/>
        <w:spacing w:after="0" w:line="249" w:lineRule="auto"/>
        <w:rPr>
          <w:sz w:val="20"/>
          <w:szCs w:val="20"/>
          <w:color w:val="auto"/>
        </w:rPr>
      </w:pPr>
      <w:r>
        <w:rPr>
          <w:rFonts w:ascii="Arial" w:cs="Arial" w:eastAsia="Arial" w:hAnsi="Arial"/>
          <w:sz w:val="21"/>
          <w:szCs w:val="21"/>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230"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and other legal actions, both within and outside the United States, involving patent and other intellectual property rights in the</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ectPr>
          <w:pgSz w:w="12240" w:h="15840" w:orient="portrait"/>
          <w:cols w:equalWidth="0" w:num="1">
            <w:col w:w="9640"/>
          </w:cols>
          <w:pgMar w:left="1300" w:top="1226" w:right="1300" w:bottom="0" w:gutter="0" w:footer="0" w:header="0"/>
          <w:type w:val="continuous"/>
        </w:sectPr>
      </w:pPr>
    </w:p>
    <w:bookmarkStart w:id="96" w:name="page97"/>
    <w:bookmarkEnd w:id="96"/>
    <w:p>
      <w:pPr>
        <w:jc w:val="both"/>
        <w:spacing w:after="0" w:line="242" w:lineRule="auto"/>
        <w:rPr>
          <w:sz w:val="20"/>
          <w:szCs w:val="20"/>
          <w:color w:val="auto"/>
        </w:rPr>
      </w:pPr>
      <w:r>
        <w:rPr>
          <w:rFonts w:ascii="Arial" w:cs="Arial" w:eastAsia="Arial" w:hAnsi="Arial"/>
          <w:sz w:val="21"/>
          <w:szCs w:val="21"/>
          <w:color w:val="auto"/>
        </w:rPr>
        <w:t>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compositions, materials, formulations, methods of manufacture or methods for treatment related to the use or manufacture of our product candidates.</w:t>
      </w:r>
    </w:p>
    <w:p>
      <w:pPr>
        <w:spacing w:after="0" w:line="248"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20"/>
          <w:szCs w:val="20"/>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product candidates, and we cannot be certain that we were the first to file a patent application related to a product candidate, its use, or our technology. Moreover, because patent applications can take many years to issue, there may be currently-pending patent applications that may later result in issued patents that our product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spacing w:after="0" w:line="95" w:lineRule="exact"/>
        <w:rPr>
          <w:sz w:val="20"/>
          <w:szCs w:val="20"/>
          <w:color w:val="auto"/>
        </w:rPr>
      </w:pPr>
    </w:p>
    <w:p>
      <w:pPr>
        <w:ind w:left="1000" w:hanging="496"/>
        <w:spacing w:after="0"/>
        <w:tabs>
          <w:tab w:leader="none" w:pos="10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result in costly litigation that may cause negative publicity;</w:t>
      </w:r>
    </w:p>
    <w:p>
      <w:pPr>
        <w:spacing w:after="0" w:line="131" w:lineRule="exact"/>
        <w:rPr>
          <w:rFonts w:ascii="Arial" w:cs="Arial" w:eastAsia="Arial" w:hAnsi="Arial"/>
          <w:sz w:val="21"/>
          <w:szCs w:val="21"/>
          <w:color w:val="auto"/>
        </w:rPr>
      </w:pPr>
    </w:p>
    <w:p>
      <w:pPr>
        <w:ind w:left="1000" w:hanging="496"/>
        <w:spacing w:after="0"/>
        <w:tabs>
          <w:tab w:leader="none" w:pos="10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divert the time and attention of our technical personnel and management;</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cause development delays;</w:t>
      </w:r>
    </w:p>
    <w:p>
      <w:pPr>
        <w:spacing w:after="0" w:line="132"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prevent us from commercializing any of our product candidates until the asserted patent expires or is held finally invalid or not infringed in a court of law;</w:t>
      </w:r>
    </w:p>
    <w:p>
      <w:pPr>
        <w:spacing w:after="0" w:line="6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require us to develop non-infringing technology, which may not be possible on a cost-effective basis;</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subject us to significant liability to third parties; or</w:t>
      </w:r>
    </w:p>
    <w:p>
      <w:pPr>
        <w:spacing w:after="0" w:line="132" w:lineRule="exact"/>
        <w:rPr>
          <w:rFonts w:ascii="Arial" w:cs="Arial" w:eastAsia="Arial" w:hAnsi="Arial"/>
          <w:sz w:val="21"/>
          <w:szCs w:val="21"/>
          <w:color w:val="auto"/>
        </w:rPr>
      </w:pPr>
    </w:p>
    <w:p>
      <w:pPr>
        <w:jc w:val="both"/>
        <w:ind w:left="1000" w:hanging="496"/>
        <w:spacing w:after="0" w:line="253" w:lineRule="auto"/>
        <w:tabs>
          <w:tab w:leader="none" w:pos="10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36"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20"/>
          <w:szCs w:val="20"/>
          <w:color w:val="auto"/>
        </w:rPr>
        <w:t>Although no third party has asserted a claim of patent infringement against us as of the date of this report, others may hold proprietary rights that could prevent our product candidates from being marketed.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ectPr>
          <w:pgSz w:w="12240" w:h="15840" w:orient="portrait"/>
          <w:cols w:equalWidth="0" w:num="1">
            <w:col w:w="9640"/>
          </w:cols>
          <w:pgMar w:left="1300" w:top="1226" w:right="1300" w:bottom="0" w:gutter="0" w:footer="0" w:header="0"/>
          <w:type w:val="continuous"/>
        </w:sectPr>
      </w:pPr>
    </w:p>
    <w:bookmarkStart w:id="97" w:name="page98"/>
    <w:bookmarkEnd w:id="97"/>
    <w:p>
      <w:pPr>
        <w:jc w:val="both"/>
        <w:spacing w:after="0" w:line="271" w:lineRule="auto"/>
        <w:rPr>
          <w:sz w:val="20"/>
          <w:szCs w:val="20"/>
          <w:color w:val="auto"/>
        </w:rPr>
      </w:pPr>
      <w:r>
        <w:rPr>
          <w:rFonts w:ascii="Arial" w:cs="Arial" w:eastAsia="Arial" w:hAnsi="Arial"/>
          <w:sz w:val="21"/>
          <w:szCs w:val="21"/>
          <w:color w:val="auto"/>
        </w:rPr>
        <w:t>publicity and could prohibit us from marketing or otherwise commercializing our product candidates and technology.</w:t>
      </w:r>
    </w:p>
    <w:p>
      <w:pPr>
        <w:spacing w:after="0" w:line="216"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53"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21"/>
          <w:szCs w:val="21"/>
          <w:b w:val="1"/>
          <w:bCs w:val="1"/>
          <w:i w:val="1"/>
          <w:iCs w:val="1"/>
          <w:color w:val="auto"/>
        </w:rPr>
        <w:t>We may not be successful in obtaining or maintaining necessary rights to our product candidates through acquisitions and in-licenses.</w:t>
      </w:r>
    </w:p>
    <w:p>
      <w:pPr>
        <w:spacing w:after="0" w:line="199"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20"/>
          <w:szCs w:val="20"/>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 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 party intellectual property, or if we are unable to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52" w:lineRule="exact"/>
        <w:rPr>
          <w:sz w:val="20"/>
          <w:szCs w:val="20"/>
          <w:color w:val="auto"/>
        </w:rPr>
      </w:pPr>
    </w:p>
    <w:p>
      <w:pPr>
        <w:jc w:val="both"/>
        <w:ind w:firstLine="504"/>
        <w:spacing w:after="0" w:line="249" w:lineRule="auto"/>
        <w:rPr>
          <w:sz w:val="20"/>
          <w:szCs w:val="20"/>
          <w:color w:val="auto"/>
        </w:rPr>
      </w:pPr>
      <w:r>
        <w:rPr>
          <w:rFonts w:ascii="Arial" w:cs="Arial" w:eastAsia="Arial" w:hAnsi="Arial"/>
          <w:sz w:val="21"/>
          <w:szCs w:val="21"/>
          <w:b w:val="1"/>
          <w:bCs w:val="1"/>
          <w:i w:val="1"/>
          <w:iCs w:val="1"/>
          <w:color w:val="auto"/>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p>
    <w:p>
      <w:pPr>
        <w:spacing w:after="0" w:line="230"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product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spacing w:after="0" w:line="241"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20"/>
          <w:szCs w:val="20"/>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platform, or any product candidates that we may develop. The outcome following legal assertions of invalidity and</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ectPr>
          <w:pgSz w:w="12240" w:h="15840" w:orient="portrait"/>
          <w:cols w:equalWidth="0" w:num="1">
            <w:col w:w="9640"/>
          </w:cols>
          <w:pgMar w:left="1300" w:top="1226" w:right="1300" w:bottom="0" w:gutter="0" w:footer="0" w:header="0"/>
          <w:type w:val="continuous"/>
        </w:sectPr>
      </w:pPr>
    </w:p>
    <w:bookmarkStart w:id="98" w:name="page99"/>
    <w:bookmarkEnd w:id="98"/>
    <w:p>
      <w:pPr>
        <w:jc w:val="both"/>
        <w:spacing w:after="0" w:line="242" w:lineRule="auto"/>
        <w:rPr>
          <w:sz w:val="20"/>
          <w:szCs w:val="20"/>
          <w:color w:val="auto"/>
        </w:rPr>
      </w:pPr>
      <w:r>
        <w:rPr>
          <w:rFonts w:ascii="Arial" w:cs="Arial" w:eastAsia="Arial" w:hAnsi="Arial"/>
          <w:sz w:val="21"/>
          <w:szCs w:val="21"/>
          <w:color w:val="auto"/>
        </w:rPr>
        <w:t>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248"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spacing w:after="0" w:line="247"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If a third party were to prevail on a legal assertion of invalidity or unenforceability, we may lose at least part, and perhaps all, of the patent protection on such product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248"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57" w:lineRule="exact"/>
        <w:rPr>
          <w:sz w:val="20"/>
          <w:szCs w:val="20"/>
          <w:color w:val="auto"/>
        </w:rPr>
      </w:pPr>
    </w:p>
    <w:p>
      <w:pPr>
        <w:jc w:val="both"/>
        <w:ind w:firstLine="504"/>
        <w:spacing w:after="0" w:line="243" w:lineRule="auto"/>
        <w:rPr>
          <w:sz w:val="20"/>
          <w:szCs w:val="20"/>
          <w:color w:val="auto"/>
        </w:rPr>
      </w:pPr>
      <w:r>
        <w:rPr>
          <w:rFonts w:ascii="Arial" w:cs="Arial" w:eastAsia="Arial" w:hAnsi="Arial"/>
          <w:sz w:val="21"/>
          <w:szCs w:val="21"/>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44"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39"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21"/>
          <w:szCs w:val="21"/>
          <w:b w:val="1"/>
          <w:bCs w:val="1"/>
          <w:i w:val="1"/>
          <w:iCs w:val="1"/>
          <w:color w:val="auto"/>
        </w:rPr>
        <w:t>Intellectual property litigation or legal proceedings may lead to unfavorable publicity that harms our reputation and causes the market price of our common stock to decline.</w:t>
      </w:r>
    </w:p>
    <w:p>
      <w:pPr>
        <w:spacing w:after="0" w:line="199"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0"/>
          <w:szCs w:val="20"/>
          <w:color w:val="auto"/>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ectPr>
          <w:pgSz w:w="12240" w:h="15840" w:orient="portrait"/>
          <w:cols w:equalWidth="0" w:num="1">
            <w:col w:w="9640"/>
          </w:cols>
          <w:pgMar w:left="1300" w:top="1226" w:right="1300" w:bottom="0" w:gutter="0" w:footer="0" w:header="0"/>
          <w:type w:val="continuous"/>
        </w:sectPr>
      </w:pPr>
    </w:p>
    <w:bookmarkStart w:id="99" w:name="page100"/>
    <w:bookmarkEnd w:id="99"/>
    <w:p>
      <w:pPr>
        <w:jc w:val="both"/>
        <w:spacing w:after="0" w:line="247" w:lineRule="auto"/>
        <w:rPr>
          <w:sz w:val="20"/>
          <w:szCs w:val="20"/>
          <w:color w:val="auto"/>
        </w:rPr>
      </w:pPr>
      <w:r>
        <w:rPr>
          <w:rFonts w:ascii="Arial" w:cs="Arial" w:eastAsia="Arial" w:hAnsi="Arial"/>
          <w:sz w:val="21"/>
          <w:szCs w:val="21"/>
          <w:color w:val="auto"/>
        </w:rPr>
        <w:t>as negative, the perceived value of our existing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37" w:lineRule="exact"/>
        <w:rPr>
          <w:sz w:val="20"/>
          <w:szCs w:val="20"/>
          <w:color w:val="auto"/>
        </w:rPr>
      </w:pPr>
    </w:p>
    <w:p>
      <w:pPr>
        <w:jc w:val="both"/>
        <w:ind w:firstLine="504"/>
        <w:spacing w:after="0" w:line="246" w:lineRule="auto"/>
        <w:rPr>
          <w:sz w:val="20"/>
          <w:szCs w:val="20"/>
          <w:color w:val="auto"/>
        </w:rPr>
      </w:pPr>
      <w:r>
        <w:rPr>
          <w:rFonts w:ascii="Arial" w:cs="Arial" w:eastAsia="Arial" w:hAnsi="Arial"/>
          <w:sz w:val="21"/>
          <w:szCs w:val="21"/>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222"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0"/>
          <w:szCs w:val="20"/>
          <w:color w:val="auto"/>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44" w:lineRule="exact"/>
        <w:rPr>
          <w:sz w:val="20"/>
          <w:szCs w:val="20"/>
          <w:color w:val="auto"/>
        </w:rPr>
      </w:pPr>
    </w:p>
    <w:p>
      <w:pPr>
        <w:jc w:val="both"/>
        <w:ind w:firstLine="504"/>
        <w:spacing w:after="0" w:line="246" w:lineRule="auto"/>
        <w:rPr>
          <w:sz w:val="20"/>
          <w:szCs w:val="20"/>
          <w:color w:val="auto"/>
        </w:rPr>
      </w:pPr>
      <w:r>
        <w:rPr>
          <w:rFonts w:ascii="Arial" w:cs="Arial" w:eastAsia="Arial" w:hAnsi="Arial"/>
          <w:sz w:val="21"/>
          <w:szCs w:val="21"/>
          <w:b w:val="1"/>
          <w:bCs w:val="1"/>
          <w:i w:val="1"/>
          <w:iCs w:val="1"/>
          <w:color w:val="auto"/>
        </w:rPr>
        <w:t>Patent reform legislation could increase the uncertainties and costs surrounding the prosecution of our patent applications or those of any current or future licensors and the enforcement or defense of our issued patents or those of any current or future licensors.</w:t>
      </w:r>
    </w:p>
    <w:p>
      <w:pPr>
        <w:spacing w:after="0" w:line="222" w:lineRule="exact"/>
        <w:rPr>
          <w:sz w:val="20"/>
          <w:szCs w:val="20"/>
          <w:color w:val="auto"/>
        </w:rPr>
      </w:pPr>
    </w:p>
    <w:p>
      <w:pPr>
        <w:jc w:val="both"/>
        <w:ind w:firstLine="504"/>
        <w:spacing w:after="0"/>
        <w:rPr>
          <w:sz w:val="20"/>
          <w:szCs w:val="20"/>
          <w:color w:val="auto"/>
        </w:rPr>
      </w:pPr>
      <w:r>
        <w:rPr>
          <w:rFonts w:ascii="Arial" w:cs="Arial" w:eastAsia="Arial" w:hAnsi="Arial"/>
          <w:sz w:val="20"/>
          <w:szCs w:val="20"/>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product candidates, their use, or our technology or (2) invent any of the inventions claimed in the patents or patent applications.</w:t>
      </w:r>
    </w:p>
    <w:p>
      <w:pPr>
        <w:spacing w:after="0" w:line="241" w:lineRule="exact"/>
        <w:rPr>
          <w:sz w:val="20"/>
          <w:szCs w:val="20"/>
          <w:color w:val="auto"/>
        </w:rPr>
      </w:pPr>
    </w:p>
    <w:p>
      <w:pPr>
        <w:jc w:val="both"/>
        <w:ind w:firstLine="504"/>
        <w:spacing w:after="0" w:line="232" w:lineRule="auto"/>
        <w:rPr>
          <w:sz w:val="20"/>
          <w:szCs w:val="20"/>
          <w:color w:val="auto"/>
        </w:rPr>
      </w:pPr>
      <w:r>
        <w:rPr>
          <w:rFonts w:ascii="Arial" w:cs="Arial" w:eastAsia="Arial" w:hAnsi="Arial"/>
          <w:sz w:val="21"/>
          <w:szCs w:val="21"/>
          <w:color w:val="auto"/>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43"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0"/>
          <w:szCs w:val="20"/>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94</w:t>
      </w:r>
    </w:p>
    <w:p>
      <w:pPr>
        <w:sectPr>
          <w:pgSz w:w="12240" w:h="15840" w:orient="portrait"/>
          <w:cols w:equalWidth="0" w:num="1">
            <w:col w:w="9640"/>
          </w:cols>
          <w:pgMar w:left="1300" w:top="1226" w:right="1300" w:bottom="0" w:gutter="0" w:footer="0" w:header="0"/>
          <w:type w:val="continuous"/>
        </w:sectPr>
      </w:pPr>
    </w:p>
    <w:bookmarkStart w:id="100" w:name="page101"/>
    <w:bookmarkEnd w:id="100"/>
    <w:p>
      <w:pPr>
        <w:jc w:val="both"/>
        <w:spacing w:after="0" w:line="243" w:lineRule="auto"/>
        <w:rPr>
          <w:sz w:val="20"/>
          <w:szCs w:val="20"/>
          <w:color w:val="auto"/>
        </w:rPr>
      </w:pPr>
      <w:r>
        <w:rPr>
          <w:rFonts w:ascii="Arial" w:cs="Arial" w:eastAsia="Arial" w:hAnsi="Arial"/>
          <w:sz w:val="21"/>
          <w:szCs w:val="21"/>
          <w:color w:val="auto"/>
        </w:rPr>
        <w:t>the enforcement or defense of our issued patents or those of any current or future licensors, all of which could have a material adverse effect on our business, financial condition, results of operations and prospects.</w:t>
      </w:r>
    </w:p>
    <w:p>
      <w:pPr>
        <w:spacing w:after="0" w:line="240" w:lineRule="exact"/>
        <w:rPr>
          <w:sz w:val="20"/>
          <w:szCs w:val="20"/>
          <w:color w:val="auto"/>
        </w:rPr>
      </w:pPr>
    </w:p>
    <w:p>
      <w:pPr>
        <w:jc w:val="both"/>
        <w:ind w:firstLine="504"/>
        <w:spacing w:after="0" w:line="269" w:lineRule="auto"/>
        <w:rPr>
          <w:sz w:val="20"/>
          <w:szCs w:val="20"/>
          <w:color w:val="auto"/>
        </w:rPr>
      </w:pPr>
      <w:r>
        <w:rPr>
          <w:rFonts w:ascii="Arial" w:cs="Arial" w:eastAsia="Arial" w:hAnsi="Arial"/>
          <w:sz w:val="21"/>
          <w:szCs w:val="21"/>
          <w:b w:val="1"/>
          <w:bCs w:val="1"/>
          <w:i w:val="1"/>
          <w:iCs w:val="1"/>
          <w:color w:val="auto"/>
        </w:rPr>
        <w:t>Changes in U.S. patent law, or laws in other countries, could diminish the value of patents in general, thereby impairing our ability to protect our product candidates.</w:t>
      </w:r>
    </w:p>
    <w:p>
      <w:pPr>
        <w:spacing w:after="0" w:line="198" w:lineRule="exact"/>
        <w:rPr>
          <w:sz w:val="20"/>
          <w:szCs w:val="20"/>
          <w:color w:val="auto"/>
        </w:rPr>
      </w:pPr>
    </w:p>
    <w:p>
      <w:pPr>
        <w:jc w:val="both"/>
        <w:ind w:firstLine="504"/>
        <w:spacing w:after="0" w:line="243" w:lineRule="auto"/>
        <w:rPr>
          <w:sz w:val="20"/>
          <w:szCs w:val="20"/>
          <w:color w:val="auto"/>
        </w:rPr>
      </w:pPr>
      <w:r>
        <w:rPr>
          <w:rFonts w:ascii="Arial" w:cs="Arial" w:eastAsia="Arial" w:hAnsi="Arial"/>
          <w:sz w:val="20"/>
          <w:szCs w:val="20"/>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 -party patents. In addition, Congress or other foreign legislative bodies may pass patent reform legislation that is unfavorable to us.</w:t>
      </w:r>
    </w:p>
    <w:p>
      <w:pPr>
        <w:spacing w:after="0" w:line="244"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will soon have the option, upon grant of a patent, of becoming a Unitary Patent, which will be subject to the jurisdiction of the Unitary Patent Court, or UPC. The option of a Unitary Patent will be a significant change in European patent practice. As the UPC is a new court system, there is no precedent for the court, increasing the uncertainty of any litigation in the UPC.</w:t>
      </w:r>
    </w:p>
    <w:p>
      <w:pPr>
        <w:spacing w:after="0" w:line="261"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21"/>
          <w:szCs w:val="21"/>
          <w:b w:val="1"/>
          <w:bCs w:val="1"/>
          <w:i w:val="1"/>
          <w:iCs w:val="1"/>
          <w:color w:val="auto"/>
        </w:rPr>
        <w:t>We may be subject to claims challenging the inventorship or ownership of our patents and other intellectual property.</w:t>
      </w:r>
    </w:p>
    <w:p>
      <w:pPr>
        <w:spacing w:after="0" w:line="199"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20"/>
          <w:szCs w:val="20"/>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36"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21"/>
          <w:szCs w:val="21"/>
          <w:b w:val="1"/>
          <w:bCs w:val="1"/>
          <w:i w:val="1"/>
          <w:iCs w:val="1"/>
          <w:color w:val="auto"/>
        </w:rPr>
        <w:t>Patent terms may be inadequate to protect our competitive position on our product candidates for an adequate amount of time.</w:t>
      </w:r>
    </w:p>
    <w:p>
      <w:pPr>
        <w:spacing w:after="0" w:line="199"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or their use are obtained, once the patent life has expired, we may be open to competition from competitive products, including generic versions of our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ectPr>
          <w:pgSz w:w="12240" w:h="15840" w:orient="portrait"/>
          <w:cols w:equalWidth="0" w:num="1">
            <w:col w:w="9640"/>
          </w:cols>
          <w:pgMar w:left="1300" w:top="1218"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ectPr>
          <w:pgSz w:w="12240" w:h="15840" w:orient="portrait"/>
          <w:cols w:equalWidth="0" w:num="1">
            <w:col w:w="9640"/>
          </w:cols>
          <w:pgMar w:left="1300" w:top="1218" w:right="1300" w:bottom="0" w:gutter="0" w:footer="0" w:header="0"/>
          <w:type w:val="continuous"/>
        </w:sectPr>
      </w:pPr>
    </w:p>
    <w:bookmarkStart w:id="101" w:name="page102"/>
    <w:bookmarkEnd w:id="101"/>
    <w:p>
      <w:pPr>
        <w:jc w:val="both"/>
        <w:ind w:firstLine="504"/>
        <w:spacing w:after="0" w:line="277" w:lineRule="auto"/>
        <w:rPr>
          <w:sz w:val="20"/>
          <w:szCs w:val="20"/>
          <w:color w:val="auto"/>
        </w:rPr>
      </w:pPr>
      <w:r>
        <w:rPr>
          <w:rFonts w:ascii="Arial" w:cs="Arial" w:eastAsia="Arial" w:hAnsi="Arial"/>
          <w:sz w:val="21"/>
          <w:szCs w:val="21"/>
          <w:b w:val="1"/>
          <w:bCs w:val="1"/>
          <w:i w:val="1"/>
          <w:iCs w:val="1"/>
          <w:color w:val="auto"/>
        </w:rPr>
        <w:t>If we do not obtain patent term extension for our product candidates, our business may be materially harmed.</w:t>
      </w:r>
    </w:p>
    <w:p>
      <w:pPr>
        <w:spacing w:after="0" w:line="200" w:lineRule="exact"/>
        <w:rPr>
          <w:sz w:val="20"/>
          <w:szCs w:val="20"/>
          <w:color w:val="auto"/>
        </w:rPr>
      </w:pPr>
    </w:p>
    <w:p>
      <w:pPr>
        <w:jc w:val="both"/>
        <w:ind w:firstLine="504"/>
        <w:spacing w:after="0" w:line="249" w:lineRule="auto"/>
        <w:rPr>
          <w:sz w:val="20"/>
          <w:szCs w:val="20"/>
          <w:color w:val="auto"/>
        </w:rPr>
      </w:pPr>
      <w:r>
        <w:rPr>
          <w:rFonts w:ascii="Arial" w:cs="Arial" w:eastAsia="Arial" w:hAnsi="Arial"/>
          <w:sz w:val="20"/>
          <w:szCs w:val="20"/>
          <w:color w:val="auto"/>
        </w:rPr>
        <w:t>Depending upon the timing, duration and specifics of FDA marketing approval of our product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We will not be able to protect our intellectual property rights throughout the world.</w:t>
      </w:r>
    </w:p>
    <w:p>
      <w:pPr>
        <w:spacing w:after="0" w:line="280"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We own and in -license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current or future licensors, or other intellectual property rights may not be effective or sufficient to prevent them from competing.</w:t>
      </w:r>
    </w:p>
    <w:p>
      <w:pPr>
        <w:spacing w:after="0" w:line="254"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ectPr>
          <w:pgSz w:w="12240" w:h="15840" w:orient="portrait"/>
          <w:cols w:equalWidth="0" w:num="1">
            <w:col w:w="9640"/>
          </w:cols>
          <w:pgMar w:left="1300" w:top="1230" w:right="1300" w:bottom="0" w:gutter="0" w:footer="0" w:header="0"/>
          <w:type w:val="continuous"/>
        </w:sectPr>
      </w:pPr>
    </w:p>
    <w:bookmarkStart w:id="102" w:name="page103"/>
    <w:bookmarkEnd w:id="102"/>
    <w:p>
      <w:pPr>
        <w:jc w:val="both"/>
        <w:ind w:firstLine="504"/>
        <w:spacing w:after="0" w:line="257" w:lineRule="auto"/>
        <w:rPr>
          <w:sz w:val="20"/>
          <w:szCs w:val="20"/>
          <w:color w:val="auto"/>
        </w:rPr>
      </w:pPr>
      <w:r>
        <w:rPr>
          <w:rFonts w:ascii="Arial" w:cs="Arial" w:eastAsia="Arial" w:hAnsi="Arial"/>
          <w:sz w:val="20"/>
          <w:szCs w:val="20"/>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32" w:lineRule="exact"/>
        <w:rPr>
          <w:sz w:val="20"/>
          <w:szCs w:val="20"/>
          <w:color w:val="auto"/>
        </w:rPr>
      </w:pPr>
    </w:p>
    <w:p>
      <w:pPr>
        <w:ind w:right="20" w:firstLine="504"/>
        <w:spacing w:after="0" w:line="238" w:lineRule="auto"/>
        <w:rPr>
          <w:sz w:val="20"/>
          <w:szCs w:val="20"/>
          <w:color w:val="auto"/>
        </w:rPr>
      </w:pPr>
      <w:r>
        <w:rPr>
          <w:rFonts w:ascii="Arial" w:cs="Arial" w:eastAsia="Arial" w:hAnsi="Arial"/>
          <w:sz w:val="21"/>
          <w:szCs w:val="21"/>
          <w:color w:val="auto"/>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36" w:lineRule="exact"/>
        <w:rPr>
          <w:sz w:val="20"/>
          <w:szCs w:val="20"/>
          <w:color w:val="auto"/>
        </w:rPr>
      </w:pPr>
    </w:p>
    <w:p>
      <w:pPr>
        <w:jc w:val="both"/>
        <w:ind w:firstLine="510"/>
        <w:spacing w:after="0" w:line="229" w:lineRule="auto"/>
        <w:rPr>
          <w:sz w:val="20"/>
          <w:szCs w:val="20"/>
          <w:color w:val="auto"/>
        </w:rPr>
      </w:pPr>
      <w:r>
        <w:rPr>
          <w:rFonts w:ascii="Arial" w:cs="Arial" w:eastAsia="Arial" w:hAnsi="Arial"/>
          <w:sz w:val="21"/>
          <w:szCs w:val="21"/>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220" w:lineRule="exact"/>
        <w:rPr>
          <w:sz w:val="20"/>
          <w:szCs w:val="20"/>
          <w:color w:val="auto"/>
        </w:rPr>
      </w:pPr>
    </w:p>
    <w:p>
      <w:pPr>
        <w:jc w:val="both"/>
        <w:ind w:firstLine="510"/>
        <w:spacing w:after="0" w:line="217" w:lineRule="auto"/>
        <w:rPr>
          <w:sz w:val="20"/>
          <w:szCs w:val="20"/>
          <w:color w:val="auto"/>
        </w:rPr>
      </w:pPr>
      <w:r>
        <w:rPr>
          <w:rFonts w:ascii="Arial" w:cs="Arial" w:eastAsia="Arial" w:hAnsi="Arial"/>
          <w:sz w:val="21"/>
          <w:szCs w:val="21"/>
          <w:color w:val="auto"/>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35"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20"/>
          <w:szCs w:val="20"/>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97"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ectPr>
          <w:pgSz w:w="12240" w:h="15840" w:orient="portrait"/>
          <w:cols w:equalWidth="0" w:num="1">
            <w:col w:w="9640"/>
          </w:cols>
          <w:pgMar w:left="1300" w:top="1226" w:right="1300" w:bottom="0" w:gutter="0" w:footer="0" w:header="0"/>
          <w:type w:val="continuous"/>
        </w:sectPr>
      </w:pPr>
    </w:p>
    <w:bookmarkStart w:id="103" w:name="page104"/>
    <w:bookmarkEnd w:id="103"/>
    <w:p>
      <w:pPr>
        <w:jc w:val="both"/>
        <w:spacing w:after="0" w:line="247" w:lineRule="auto"/>
        <w:rPr>
          <w:sz w:val="20"/>
          <w:szCs w:val="20"/>
          <w:color w:val="auto"/>
        </w:rPr>
      </w:pPr>
      <w:r>
        <w:rPr>
          <w:rFonts w:ascii="Arial" w:cs="Arial" w:eastAsia="Arial" w:hAnsi="Arial"/>
          <w:sz w:val="21"/>
          <w:szCs w:val="21"/>
          <w:color w:val="auto"/>
        </w:rPr>
        <w:t>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spacing w:after="0" w:line="246"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21"/>
          <w:szCs w:val="21"/>
          <w:b w:val="1"/>
          <w:bCs w:val="1"/>
          <w:i w:val="1"/>
          <w:iCs w:val="1"/>
          <w:color w:val="auto"/>
        </w:rPr>
        <w:t>If we are unable to protect the confidentiality of our trade secrets, our business and competitive position would be harmed.</w:t>
      </w:r>
    </w:p>
    <w:p>
      <w:pPr>
        <w:spacing w:after="0" w:line="200"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spacing w:after="0" w:line="243"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53"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21"/>
          <w:szCs w:val="21"/>
          <w:b w:val="1"/>
          <w:bCs w:val="1"/>
          <w:i w:val="1"/>
          <w:iCs w:val="1"/>
          <w:color w:val="auto"/>
        </w:rPr>
        <w:t>We may be subject to claims that we or our employees have wrongfully used or disclosed alleged confidential information or trade secrets of third parties.</w:t>
      </w:r>
    </w:p>
    <w:p>
      <w:pPr>
        <w:spacing w:after="0" w:line="199"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52"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ectPr>
          <w:pgSz w:w="12240" w:h="15840" w:orient="portrait"/>
          <w:cols w:equalWidth="0" w:num="1">
            <w:col w:w="9640"/>
          </w:cols>
          <w:pgMar w:left="1300" w:top="1226" w:right="1300" w:bottom="0" w:gutter="0" w:footer="0" w:header="0"/>
          <w:type w:val="continuous"/>
        </w:sectPr>
      </w:pPr>
    </w:p>
    <w:bookmarkStart w:id="104" w:name="page105"/>
    <w:bookmarkEnd w:id="104"/>
    <w:p>
      <w:pPr>
        <w:jc w:val="both"/>
        <w:ind w:firstLine="504"/>
        <w:spacing w:after="0" w:line="256" w:lineRule="auto"/>
        <w:rPr>
          <w:sz w:val="20"/>
          <w:szCs w:val="20"/>
          <w:color w:val="auto"/>
        </w:rPr>
      </w:pPr>
      <w:r>
        <w:rPr>
          <w:rFonts w:ascii="Arial" w:cs="Arial" w:eastAsia="Arial" w:hAnsi="Arial"/>
          <w:sz w:val="21"/>
          <w:szCs w:val="21"/>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222"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52"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21"/>
          <w:szCs w:val="21"/>
          <w:b w:val="1"/>
          <w:bCs w:val="1"/>
          <w:i w:val="1"/>
          <w:iCs w:val="1"/>
          <w:color w:val="auto"/>
        </w:rPr>
        <w:t>Our rights to develop and commercialize our product candidates may be subject, in part, to the terms and conditions of licenses granted to us by others.</w:t>
      </w:r>
    </w:p>
    <w:p>
      <w:pPr>
        <w:spacing w:after="0" w:line="199"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We have entered into license agreements with third parties and we may enter into additional license agreements in the future with others to advance our research and development or allow commercialization of product candidates. These and other licenses may not provide exclusive rights to use such intellectual property and other rights in all relevant fields of use and in all territories in which we may wish to develop or commercialize our product candidates in the future.</w:t>
      </w:r>
    </w:p>
    <w:p>
      <w:pPr>
        <w:spacing w:after="0" w:line="246"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In addition, subject to the terms of any such license agreements, we may not have the right to control the preparation, filing, prosecution, maintenance, enforcement, and defense of patents and patent applications covering our product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product candidates that are subject of such licensed rights could be adversely affected.</w:t>
      </w:r>
    </w:p>
    <w:p>
      <w:pPr>
        <w:spacing w:after="0" w:line="247"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products similar or identical to our product candidates. This could have a material adverse effect on our competitive position, business, financial conditions, results of operations, and prospects.</w:t>
      </w:r>
    </w:p>
    <w:p>
      <w:pPr>
        <w:spacing w:after="0" w:line="249"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manufacturing methods, product candidates, methods of use, or future methods or product candidates resulting in either an injunction prohibiting our manufacture or future sales, or, with respect to our future sales, an obligation on our part to pay royalties or other forms of compensation to third parties, which could be significant.</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ectPr>
          <w:pgSz w:w="12240" w:h="15840" w:orient="portrait"/>
          <w:cols w:equalWidth="0" w:num="1">
            <w:col w:w="9640"/>
          </w:cols>
          <w:pgMar w:left="1300" w:top="1230" w:right="1300" w:bottom="0" w:gutter="0" w:footer="0" w:header="0"/>
          <w:type w:val="continuous"/>
        </w:sectPr>
      </w:pPr>
    </w:p>
    <w:bookmarkStart w:id="105" w:name="page106"/>
    <w:bookmarkEnd w:id="105"/>
    <w:p>
      <w:pPr>
        <w:jc w:val="both"/>
        <w:ind w:firstLine="504"/>
        <w:spacing w:after="0" w:line="249" w:lineRule="auto"/>
        <w:rPr>
          <w:sz w:val="20"/>
          <w:szCs w:val="20"/>
          <w:color w:val="auto"/>
        </w:rPr>
      </w:pPr>
      <w:r>
        <w:rPr>
          <w:rFonts w:ascii="Arial" w:cs="Arial" w:eastAsia="Arial" w:hAnsi="Arial"/>
          <w:sz w:val="21"/>
          <w:szCs w:val="21"/>
          <w:b w:val="1"/>
          <w:bCs w:val="1"/>
          <w:i w:val="1"/>
          <w:iCs w:val="1"/>
          <w:color w:val="auto"/>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spacing w:after="0" w:line="230"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Disputes may arise between us and our current or future licensors regarding intellectual property and other rights subject to a license agreement, including:</w:t>
      </w:r>
    </w:p>
    <w:p>
      <w:pPr>
        <w:spacing w:after="0" w:line="65" w:lineRule="exact"/>
        <w:rPr>
          <w:sz w:val="20"/>
          <w:szCs w:val="20"/>
          <w:color w:val="auto"/>
        </w:rPr>
      </w:pPr>
    </w:p>
    <w:p>
      <w:pPr>
        <w:ind w:left="1000" w:hanging="496"/>
        <w:spacing w:after="0"/>
        <w:tabs>
          <w:tab w:leader="none" w:pos="10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scope of rights granted under the license agreement and other interpretation-related issues;</w:t>
      </w:r>
    </w:p>
    <w:p>
      <w:pPr>
        <w:spacing w:after="0" w:line="144" w:lineRule="exact"/>
        <w:rPr>
          <w:rFonts w:ascii="Arial" w:cs="Arial" w:eastAsia="Arial" w:hAnsi="Arial"/>
          <w:sz w:val="20"/>
          <w:szCs w:val="20"/>
          <w:color w:val="auto"/>
        </w:rPr>
      </w:pPr>
    </w:p>
    <w:p>
      <w:pPr>
        <w:ind w:left="1000" w:hanging="496"/>
        <w:spacing w:after="0" w:line="272" w:lineRule="auto"/>
        <w:tabs>
          <w:tab w:leader="none" w:pos="10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whether and the extent to which our product candidates infringe on intellectual property of the licensor that is not subject to the licensing agreement;</w:t>
      </w:r>
    </w:p>
    <w:p>
      <w:pPr>
        <w:spacing w:after="0" w:line="64" w:lineRule="exact"/>
        <w:rPr>
          <w:rFonts w:ascii="Arial" w:cs="Arial" w:eastAsia="Arial" w:hAnsi="Arial"/>
          <w:sz w:val="21"/>
          <w:szCs w:val="21"/>
          <w:color w:val="auto"/>
        </w:rPr>
      </w:pPr>
    </w:p>
    <w:p>
      <w:pPr>
        <w:ind w:left="1000" w:hanging="496"/>
        <w:spacing w:after="0"/>
        <w:tabs>
          <w:tab w:leader="none" w:pos="10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our right to sublicense to third parties;</w:t>
      </w:r>
    </w:p>
    <w:p>
      <w:pPr>
        <w:spacing w:after="0" w:line="131"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our diligence obligations under the license agreement and what activities satisfy those diligence obligations;</w:t>
      </w:r>
    </w:p>
    <w:p>
      <w:pPr>
        <w:spacing w:after="0" w:line="62" w:lineRule="exact"/>
        <w:rPr>
          <w:rFonts w:ascii="Arial" w:cs="Arial" w:eastAsia="Arial" w:hAnsi="Arial"/>
          <w:sz w:val="21"/>
          <w:szCs w:val="21"/>
          <w:color w:val="auto"/>
        </w:rPr>
      </w:pPr>
    </w:p>
    <w:p>
      <w:pPr>
        <w:ind w:left="1000" w:hanging="496"/>
        <w:spacing w:after="0"/>
        <w:tabs>
          <w:tab w:leader="none" w:pos="10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our right to transfer or assign the license;</w:t>
      </w:r>
    </w:p>
    <w:p>
      <w:pPr>
        <w:spacing w:after="0" w:line="13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inventorship and ownership of inventions and know-how resulting from the joint creation or use of intellectual property by our licensors and us and our partners; and</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priority of invention of patented technology.</w:t>
      </w:r>
    </w:p>
    <w:p>
      <w:pPr>
        <w:spacing w:after="0" w:line="284"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43"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In spite of our best efforts, our licensors might conclude that we have materially breached our license agreements and might therefore terminate the license agreements, thereby removing our ability to develop and commercialize product candidates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53"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21"/>
          <w:szCs w:val="21"/>
          <w:b w:val="1"/>
          <w:bCs w:val="1"/>
          <w:i w:val="1"/>
          <w:iCs w:val="1"/>
          <w:color w:val="auto"/>
        </w:rPr>
        <w:t>The patent protection and patent prosecution for some of our product candidates may be dependent on third parties.</w:t>
      </w:r>
    </w:p>
    <w:p>
      <w:pPr>
        <w:spacing w:after="0" w:line="199"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While we normally seek to obtain the right to control prosecution, maintenance and enforcement of the patent applications and patents relating to our product candidates and their use, there may be times when the filing and prosecution activities for patent applications and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products similar or identical to our product candidates. In addition, even where we have the right to control patent prosecution of patents and patent applications we have licensed to and from third parties, we may still be adversely</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100</w:t>
      </w:r>
    </w:p>
    <w:p>
      <w:pPr>
        <w:sectPr>
          <w:pgSz w:w="12240" w:h="15840" w:orient="portrait"/>
          <w:cols w:equalWidth="0" w:num="1">
            <w:col w:w="9640"/>
          </w:cols>
          <w:pgMar w:left="1300" w:top="1230" w:right="1300" w:bottom="0" w:gutter="0" w:footer="0" w:header="0"/>
          <w:type w:val="continuous"/>
        </w:sectPr>
      </w:pPr>
    </w:p>
    <w:bookmarkStart w:id="106" w:name="page107"/>
    <w:bookmarkEnd w:id="106"/>
    <w:p>
      <w:pPr>
        <w:jc w:val="both"/>
        <w:spacing w:after="0" w:line="271" w:lineRule="auto"/>
        <w:rPr>
          <w:sz w:val="20"/>
          <w:szCs w:val="20"/>
          <w:color w:val="auto"/>
        </w:rPr>
      </w:pPr>
      <w:r>
        <w:rPr>
          <w:rFonts w:ascii="Arial" w:cs="Arial" w:eastAsia="Arial" w:hAnsi="Arial"/>
          <w:sz w:val="21"/>
          <w:szCs w:val="21"/>
          <w:color w:val="auto"/>
        </w:rPr>
        <w:t>affected or prejudiced by actions or inactions of our licensees, our licensors and their counsel that took place prior to the date upon which we assumed control over patent prosecution.</w:t>
      </w:r>
    </w:p>
    <w:p>
      <w:pPr>
        <w:spacing w:after="0" w:line="220" w:lineRule="exact"/>
        <w:rPr>
          <w:sz w:val="20"/>
          <w:szCs w:val="20"/>
          <w:color w:val="auto"/>
        </w:rPr>
      </w:pPr>
    </w:p>
    <w:p>
      <w:pPr>
        <w:jc w:val="both"/>
        <w:ind w:firstLine="504"/>
        <w:spacing w:after="0" w:line="249" w:lineRule="auto"/>
        <w:rPr>
          <w:sz w:val="20"/>
          <w:szCs w:val="20"/>
          <w:color w:val="auto"/>
        </w:rPr>
      </w:pPr>
      <w:r>
        <w:rPr>
          <w:rFonts w:ascii="Arial" w:cs="Arial" w:eastAsia="Arial" w:hAnsi="Arial"/>
          <w:sz w:val="21"/>
          <w:szCs w:val="21"/>
          <w:b w:val="1"/>
          <w:bCs w:val="1"/>
          <w:i w:val="1"/>
          <w:iCs w:val="1"/>
          <w:color w:val="auto"/>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w:t>
      </w:r>
    </w:p>
    <w:p>
      <w:pPr>
        <w:spacing w:after="0" w:line="230" w:lineRule="exact"/>
        <w:rPr>
          <w:sz w:val="20"/>
          <w:szCs w:val="20"/>
          <w:color w:val="auto"/>
        </w:rPr>
      </w:pPr>
    </w:p>
    <w:p>
      <w:pPr>
        <w:jc w:val="both"/>
        <w:ind w:firstLine="504"/>
        <w:spacing w:after="0" w:line="248" w:lineRule="auto"/>
        <w:rPr>
          <w:sz w:val="20"/>
          <w:szCs w:val="20"/>
          <w:color w:val="auto"/>
        </w:rPr>
      </w:pPr>
      <w:r>
        <w:rPr>
          <w:rFonts w:ascii="Arial" w:cs="Arial" w:eastAsia="Arial" w:hAnsi="Arial"/>
          <w:sz w:val="20"/>
          <w:szCs w:val="20"/>
          <w:color w:val="auto"/>
        </w:rPr>
        <w:t>We received a grant from the National Institute on Aging of the National Institute on Health to support our ACT-AD clinical trial. Pursuant to the Bayh-Dole Act of 1980, or the Bayh-Dole Act, the U.S. government may have certain rights in any invention developed or reduced to practice with this funding. In addition, in the future we may discover, develop, acquire, or license intellectual property that has been generated through the use of U.S. government funding or grants in which the U.S. government may have certain rights pursuant to the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Reporting of a subject invention and compliance with the Bayh-Dole requirements were delayed for the patent family directed to methods of treating Alzheimer’s disease with fosgonimeton. As such, this patent family may be subject to U.S. government action which may include loss of rights in the subject invention, suspending or terminating the grant or future awards, or withholding further awards. Should any of these events occur, it could significantly harm our business, results of operations and prospects. In addition, the U.S. government requires that, in certain circumstances,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58"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auto"/>
        </w:rPr>
        <w:t>Risks Relating to Cybersecurity</w:t>
      </w:r>
    </w:p>
    <w:p>
      <w:pPr>
        <w:spacing w:after="0" w:line="292" w:lineRule="exact"/>
        <w:rPr>
          <w:sz w:val="20"/>
          <w:szCs w:val="20"/>
          <w:color w:val="auto"/>
        </w:rPr>
      </w:pPr>
    </w:p>
    <w:p>
      <w:pPr>
        <w:jc w:val="both"/>
        <w:ind w:firstLine="504"/>
        <w:spacing w:after="0" w:line="261" w:lineRule="auto"/>
        <w:rPr>
          <w:sz w:val="20"/>
          <w:szCs w:val="20"/>
          <w:color w:val="auto"/>
        </w:rPr>
      </w:pPr>
      <w:r>
        <w:rPr>
          <w:rFonts w:ascii="Arial" w:cs="Arial" w:eastAsia="Arial" w:hAnsi="Arial"/>
          <w:sz w:val="20"/>
          <w:szCs w:val="20"/>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219"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0"/>
          <w:szCs w:val="20"/>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w:t>
      </w:r>
    </w:p>
    <w:p>
      <w:pPr>
        <w:sectPr>
          <w:pgSz w:w="12240" w:h="15840" w:orient="portrait"/>
          <w:cols w:equalWidth="0" w:num="1">
            <w:col w:w="9640"/>
          </w:cols>
          <w:pgMar w:left="1300" w:top="1226" w:right="1300" w:bottom="0" w:gutter="0" w:footer="0" w:header="0"/>
          <w:type w:val="continuous"/>
        </w:sectPr>
      </w:pPr>
    </w:p>
    <w:bookmarkStart w:id="107" w:name="page108"/>
    <w:bookmarkEnd w:id="107"/>
    <w:p>
      <w:pPr>
        <w:jc w:val="both"/>
        <w:ind w:firstLine="1"/>
        <w:spacing w:after="0" w:line="251" w:lineRule="auto"/>
        <w:rPr>
          <w:sz w:val="20"/>
          <w:szCs w:val="20"/>
          <w:color w:val="auto"/>
        </w:rPr>
      </w:pPr>
      <w:r>
        <w:rPr>
          <w:rFonts w:ascii="Arial" w:cs="Arial" w:eastAsia="Arial" w:hAnsi="Arial"/>
          <w:sz w:val="20"/>
          <w:szCs w:val="20"/>
          <w:color w:val="auto"/>
        </w:rPr>
        <w:t>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spacing w:after="0" w:line="238"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245"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250"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102</w:t>
      </w:r>
    </w:p>
    <w:p>
      <w:pPr>
        <w:sectPr>
          <w:pgSz w:w="12240" w:h="15840" w:orient="portrait"/>
          <w:cols w:equalWidth="0" w:num="1">
            <w:col w:w="9640"/>
          </w:cols>
          <w:pgMar w:left="1300" w:top="1226" w:right="1300" w:bottom="0" w:gutter="0" w:footer="0" w:header="0"/>
          <w:type w:val="continuous"/>
        </w:sectPr>
      </w:pPr>
    </w:p>
    <w:bookmarkStart w:id="108" w:name="page109"/>
    <w:bookmarkEnd w:id="108"/>
    <w:p>
      <w:pPr>
        <w:jc w:val="both"/>
        <w:ind w:firstLine="504"/>
        <w:spacing w:after="0" w:line="249" w:lineRule="auto"/>
        <w:rPr>
          <w:sz w:val="20"/>
          <w:szCs w:val="20"/>
          <w:color w:val="auto"/>
        </w:rPr>
      </w:pPr>
      <w:r>
        <w:rPr>
          <w:rFonts w:ascii="Arial" w:cs="Arial" w:eastAsia="Arial" w:hAnsi="Arial"/>
          <w:sz w:val="20"/>
          <w:szCs w:val="20"/>
          <w:color w:val="auto"/>
        </w:rPr>
        <w:t>Despite efforts to create security barriers to the above-described threats, it is impossible for us to entirely mitigate these risks. To date, we have not experienced any material impact to our business, financial position or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Any disruption or security breach or incident resulting in a loss of, or damage to, our data or systems, or inappropriate use, disclosure or modification of personal, sensitive, confidential or proprietary information, could result in us incurring liability and in delays to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p>
    <w:p>
      <w:pPr>
        <w:spacing w:after="0" w:line="250"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51"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21"/>
          <w:szCs w:val="21"/>
          <w:b w:val="1"/>
          <w:bCs w:val="1"/>
          <w:i w:val="1"/>
          <w:iCs w:val="1"/>
          <w:color w:val="auto"/>
        </w:rPr>
        <w:t>Data collection is governed by restrictive regulations governing the use, processing and cross-border transfer of personal information.</w:t>
      </w:r>
    </w:p>
    <w:p>
      <w:pPr>
        <w:spacing w:after="0" w:line="199" w:lineRule="exact"/>
        <w:rPr>
          <w:sz w:val="20"/>
          <w:szCs w:val="20"/>
          <w:color w:val="auto"/>
        </w:rPr>
      </w:pPr>
    </w:p>
    <w:p>
      <w:pPr>
        <w:jc w:val="both"/>
        <w:ind w:firstLine="504"/>
        <w:spacing w:after="0" w:line="249" w:lineRule="auto"/>
        <w:rPr>
          <w:sz w:val="20"/>
          <w:szCs w:val="20"/>
          <w:color w:val="auto"/>
        </w:rPr>
      </w:pPr>
      <w:r>
        <w:rPr>
          <w:rFonts w:ascii="Arial" w:cs="Arial" w:eastAsia="Arial" w:hAnsi="Arial"/>
          <w:sz w:val="20"/>
          <w:szCs w:val="20"/>
          <w:color w:val="auto"/>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or EEA,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a July 2020 decision by the Court of Justice for the EU invalidated the EU-U.S. Privacy Shield and imposed additional obligations in connection with the use of standard contractual clauses approved by the EU Commission. These and other developments with respect to cross-border data transfers may increase the complexity of</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103</w:t>
      </w:r>
    </w:p>
    <w:p>
      <w:pPr>
        <w:sectPr>
          <w:pgSz w:w="12240" w:h="15840" w:orient="portrait"/>
          <w:cols w:equalWidth="0" w:num="1">
            <w:col w:w="9640"/>
          </w:cols>
          <w:pgMar w:left="1300" w:top="1226" w:right="1300" w:bottom="0" w:gutter="0" w:footer="0" w:header="0"/>
          <w:type w:val="continuous"/>
        </w:sectPr>
      </w:pPr>
    </w:p>
    <w:bookmarkStart w:id="109" w:name="page110"/>
    <w:bookmarkEnd w:id="109"/>
    <w:p>
      <w:pPr>
        <w:jc w:val="both"/>
        <w:spacing w:after="0" w:line="271" w:lineRule="auto"/>
        <w:rPr>
          <w:sz w:val="20"/>
          <w:szCs w:val="20"/>
          <w:color w:val="auto"/>
        </w:rPr>
      </w:pPr>
      <w:r>
        <w:rPr>
          <w:rFonts w:ascii="Arial" w:cs="Arial" w:eastAsia="Arial" w:hAnsi="Arial"/>
          <w:sz w:val="21"/>
          <w:szCs w:val="21"/>
          <w:color w:val="auto"/>
        </w:rPr>
        <w:t>transferring personal data across borders and may require us to review and amend our mechanisms relating to cross-border data transfer.</w:t>
      </w:r>
    </w:p>
    <w:p>
      <w:pPr>
        <w:spacing w:after="0" w:line="216"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Further, the exit of the United Kingdom, or UK, from the EU has created uncertainty regarding data protection regulation in the UK. The UK has implemented legislation similar to the GDPR, referred to as the UK GDPR, which provides for fines of up to the greater of up to the greater of £17.5 million or 4% of global turnover. The GDPR and UK GDPR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p>
    <w:p>
      <w:pPr>
        <w:spacing w:after="0" w:line="249"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0"/>
          <w:szCs w:val="20"/>
          <w:color w:val="auto"/>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CRPA may increase compliance costs and potential liability with respect to other personal data we maintain about California residents. Additionally, other states, such as Virginia, Utah, Connecticut, and Colorado, have proposed or enacted laws addressing privacy and security that impose obligations similar to those of the CCPA.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spacing w:after="0" w:line="251" w:lineRule="exact"/>
        <w:rPr>
          <w:sz w:val="20"/>
          <w:szCs w:val="20"/>
          <w:color w:val="auto"/>
        </w:rPr>
      </w:pPr>
    </w:p>
    <w:p>
      <w:pPr>
        <w:jc w:val="both"/>
        <w:ind w:firstLine="504"/>
        <w:spacing w:after="0" w:line="231" w:lineRule="auto"/>
        <w:rPr>
          <w:sz w:val="20"/>
          <w:szCs w:val="20"/>
          <w:color w:val="auto"/>
        </w:rPr>
      </w:pPr>
      <w:r>
        <w:rPr>
          <w:rFonts w:ascii="Arial" w:cs="Arial" w:eastAsia="Arial" w:hAnsi="Arial"/>
          <w:sz w:val="21"/>
          <w:szCs w:val="21"/>
          <w:color w:val="auto"/>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41" w:lineRule="exact"/>
        <w:rPr>
          <w:sz w:val="20"/>
          <w:szCs w:val="20"/>
          <w:color w:val="auto"/>
        </w:rPr>
      </w:pPr>
    </w:p>
    <w:p>
      <w:pPr>
        <w:jc w:val="both"/>
        <w:ind w:firstLine="504"/>
        <w:spacing w:after="0" w:line="231" w:lineRule="auto"/>
        <w:rPr>
          <w:sz w:val="20"/>
          <w:szCs w:val="20"/>
          <w:color w:val="auto"/>
        </w:rPr>
      </w:pPr>
      <w:r>
        <w:rPr>
          <w:rFonts w:ascii="Arial" w:cs="Arial" w:eastAsia="Arial" w:hAnsi="Arial"/>
          <w:sz w:val="21"/>
          <w:szCs w:val="21"/>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104</w:t>
      </w:r>
    </w:p>
    <w:p>
      <w:pPr>
        <w:sectPr>
          <w:pgSz w:w="12240" w:h="15840" w:orient="portrait"/>
          <w:cols w:equalWidth="0" w:num="1">
            <w:col w:w="9640"/>
          </w:cols>
          <w:pgMar w:left="1300" w:top="1226" w:right="1300" w:bottom="0" w:gutter="0" w:footer="0" w:header="0"/>
          <w:type w:val="continuous"/>
        </w:sectPr>
      </w:pPr>
    </w:p>
    <w:bookmarkStart w:id="110" w:name="page111"/>
    <w:bookmarkEnd w:id="110"/>
    <w:p>
      <w:pPr>
        <w:jc w:val="both"/>
        <w:ind w:firstLine="504"/>
        <w:spacing w:after="0"/>
        <w:rPr>
          <w:sz w:val="20"/>
          <w:szCs w:val="20"/>
          <w:color w:val="auto"/>
        </w:rPr>
      </w:pPr>
      <w:r>
        <w:rPr>
          <w:rFonts w:ascii="Arial" w:cs="Arial" w:eastAsia="Arial" w:hAnsi="Arial"/>
          <w:sz w:val="20"/>
          <w:szCs w:val="20"/>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auto"/>
        </w:rPr>
        <w:t>Risks Relating to Ownership of Our Common Stock</w:t>
      </w:r>
    </w:p>
    <w:p>
      <w:pPr>
        <w:spacing w:after="0" w:line="281"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b w:val="1"/>
          <w:bCs w:val="1"/>
          <w:i w:val="1"/>
          <w:iCs w:val="1"/>
          <w:color w:val="auto"/>
        </w:rPr>
        <w:t>We and certain of our directors and executive officers have been, and may in the future be, named as defendants in lawsuits that could result in substantial costs and divert management’s attention.</w:t>
      </w:r>
    </w:p>
    <w:p>
      <w:pPr>
        <w:spacing w:after="0" w:line="221"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0"/>
          <w:szCs w:val="20"/>
          <w:color w:val="auto"/>
        </w:rPr>
        <w:t>As described elsewhere in this report in “Part I, Item 3—Legal Proceedings,” we and certain of our executive officers and directors have been named as defendants in class action lawsuits that generally allege that we and certain of our officers and directors violated Sections 10(b) or 20(a) of the Exchange Act and Rule 10b-5 promulgated thereunder by making allegedly false or misleading statements and omitted material adverse facts regarding the Company’s business. These complaints seek unspecified compensatory and punitive damages, and reasonable costs and expenses, including attorneys’ fees. As of the date of this report,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class 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spacing w:after="0" w:line="260" w:lineRule="exact"/>
        <w:rPr>
          <w:sz w:val="20"/>
          <w:szCs w:val="20"/>
          <w:color w:val="auto"/>
        </w:rPr>
      </w:pPr>
    </w:p>
    <w:p>
      <w:pPr>
        <w:ind w:right="240" w:firstLine="504"/>
        <w:spacing w:after="0" w:line="278" w:lineRule="auto"/>
        <w:rPr>
          <w:sz w:val="20"/>
          <w:szCs w:val="20"/>
          <w:color w:val="auto"/>
        </w:rPr>
      </w:pPr>
      <w:r>
        <w:rPr>
          <w:rFonts w:ascii="Arial" w:cs="Arial" w:eastAsia="Arial" w:hAnsi="Arial"/>
          <w:sz w:val="21"/>
          <w:szCs w:val="21"/>
          <w:b w:val="1"/>
          <w:bCs w:val="1"/>
          <w:i w:val="1"/>
          <w:iCs w:val="1"/>
          <w:color w:val="auto"/>
        </w:rPr>
        <w:t>Actions by activist stockholders have in the past been, and may in the future be, disruptive and could cause uncertainty about the strategic direction of our business.</w:t>
      </w:r>
    </w:p>
    <w:p>
      <w:pPr>
        <w:spacing w:after="0" w:line="188" w:lineRule="exact"/>
        <w:rPr>
          <w:sz w:val="20"/>
          <w:szCs w:val="20"/>
          <w:color w:val="auto"/>
        </w:rPr>
      </w:pPr>
    </w:p>
    <w:p>
      <w:pPr>
        <w:jc w:val="both"/>
        <w:ind w:firstLine="504"/>
        <w:spacing w:after="0" w:line="229" w:lineRule="auto"/>
        <w:rPr>
          <w:sz w:val="20"/>
          <w:szCs w:val="20"/>
          <w:color w:val="auto"/>
        </w:rPr>
      </w:pPr>
      <w:r>
        <w:rPr>
          <w:rFonts w:ascii="Arial" w:cs="Arial" w:eastAsia="Arial" w:hAnsi="Arial"/>
          <w:sz w:val="21"/>
          <w:szCs w:val="21"/>
          <w:color w:val="auto"/>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as of the date of this report, our market capitalization was less than the aggregate value of our cash, cash equivalents and investments. Other similarly situated biotechnology companies have received proposals from shareholder activists to liquidate and return capital to investors.</w:t>
      </w:r>
    </w:p>
    <w:p>
      <w:pPr>
        <w:sectPr>
          <w:pgSz w:w="12240" w:h="15840" w:orient="portrait"/>
          <w:cols w:equalWidth="0" w:num="1">
            <w:col w:w="9640"/>
          </w:cols>
          <w:pgMar w:left="1300" w:top="1218"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105</w:t>
      </w:r>
    </w:p>
    <w:p>
      <w:pPr>
        <w:sectPr>
          <w:pgSz w:w="12240" w:h="15840" w:orient="portrait"/>
          <w:cols w:equalWidth="0" w:num="1">
            <w:col w:w="9640"/>
          </w:cols>
          <w:pgMar w:left="1300" w:top="1218" w:right="1300" w:bottom="0" w:gutter="0" w:footer="0" w:header="0"/>
          <w:type w:val="continuous"/>
        </w:sectPr>
      </w:pPr>
    </w:p>
    <w:bookmarkStart w:id="111" w:name="page112"/>
    <w:bookmarkEnd w:id="111"/>
    <w:p>
      <w:pPr>
        <w:jc w:val="both"/>
        <w:ind w:firstLine="504"/>
        <w:spacing w:after="0" w:line="242" w:lineRule="auto"/>
        <w:rPr>
          <w:sz w:val="20"/>
          <w:szCs w:val="20"/>
          <w:color w:val="auto"/>
        </w:rPr>
      </w:pPr>
      <w:r>
        <w:rPr>
          <w:rFonts w:ascii="Arial" w:cs="Arial" w:eastAsia="Arial" w:hAnsi="Arial"/>
          <w:sz w:val="21"/>
          <w:szCs w:val="21"/>
          <w:color w:val="auto"/>
        </w:rPr>
        <w:t>We strive to maintain constructive communications with our stockholders and welcome their views and opinions with the goal of enhancing value for all stockholders. However, a proxy contest or other activist behaviors could have an adverse effect on us because:</w:t>
      </w:r>
    </w:p>
    <w:p>
      <w:pPr>
        <w:spacing w:after="0" w:line="93" w:lineRule="exact"/>
        <w:rPr>
          <w:sz w:val="20"/>
          <w:szCs w:val="20"/>
          <w:color w:val="auto"/>
        </w:rPr>
      </w:pPr>
    </w:p>
    <w:p>
      <w:pPr>
        <w:jc w:val="both"/>
        <w:ind w:left="1000" w:hanging="497"/>
        <w:spacing w:after="0" w:line="247" w:lineRule="auto"/>
        <w:tabs>
          <w:tab w:leader="none" w:pos="1000" w:val="left"/>
        </w:tabs>
        <w:numPr>
          <w:ilvl w:val="0"/>
          <w:numId w:val="49"/>
        </w:numPr>
        <w:rPr>
          <w:rFonts w:ascii="Arial" w:cs="Arial" w:eastAsia="Arial" w:hAnsi="Arial"/>
          <w:sz w:val="21"/>
          <w:szCs w:val="21"/>
          <w:color w:val="auto"/>
        </w:rPr>
      </w:pPr>
      <w:r>
        <w:rPr>
          <w:rFonts w:ascii="Arial" w:cs="Arial" w:eastAsia="Arial" w:hAnsi="Arial"/>
          <w:sz w:val="21"/>
          <w:szCs w:val="21"/>
          <w:color w:val="auto"/>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spacing w:after="0" w:line="91" w:lineRule="exact"/>
        <w:rPr>
          <w:rFonts w:ascii="Arial" w:cs="Arial" w:eastAsia="Arial" w:hAnsi="Arial"/>
          <w:sz w:val="21"/>
          <w:szCs w:val="21"/>
          <w:color w:val="auto"/>
        </w:rPr>
      </w:pPr>
    </w:p>
    <w:p>
      <w:pPr>
        <w:jc w:val="both"/>
        <w:ind w:left="1000" w:hanging="497"/>
        <w:spacing w:after="0" w:line="242" w:lineRule="auto"/>
        <w:tabs>
          <w:tab w:leader="none" w:pos="1000" w:val="left"/>
        </w:tabs>
        <w:numPr>
          <w:ilvl w:val="0"/>
          <w:numId w:val="49"/>
        </w:numPr>
        <w:rPr>
          <w:rFonts w:ascii="Arial" w:cs="Arial" w:eastAsia="Arial" w:hAnsi="Arial"/>
          <w:sz w:val="21"/>
          <w:szCs w:val="21"/>
          <w:color w:val="auto"/>
        </w:rPr>
      </w:pPr>
      <w:r>
        <w:rPr>
          <w:rFonts w:ascii="Arial" w:cs="Arial" w:eastAsia="Arial" w:hAnsi="Arial"/>
          <w:sz w:val="21"/>
          <w:szCs w:val="21"/>
          <w:color w:val="auto"/>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spacing w:after="0" w:line="97" w:lineRule="exact"/>
        <w:rPr>
          <w:rFonts w:ascii="Arial" w:cs="Arial" w:eastAsia="Arial" w:hAnsi="Arial"/>
          <w:sz w:val="21"/>
          <w:szCs w:val="21"/>
          <w:color w:val="auto"/>
        </w:rPr>
      </w:pPr>
    </w:p>
    <w:p>
      <w:pPr>
        <w:ind w:left="1000" w:hanging="497"/>
        <w:spacing w:after="0" w:line="273" w:lineRule="auto"/>
        <w:tabs>
          <w:tab w:leader="none" w:pos="1000" w:val="left"/>
        </w:tabs>
        <w:numPr>
          <w:ilvl w:val="0"/>
          <w:numId w:val="49"/>
        </w:numPr>
        <w:rPr>
          <w:rFonts w:ascii="Arial" w:cs="Arial" w:eastAsia="Arial" w:hAnsi="Arial"/>
          <w:sz w:val="21"/>
          <w:szCs w:val="21"/>
          <w:color w:val="auto"/>
        </w:rPr>
      </w:pPr>
      <w:r>
        <w:rPr>
          <w:rFonts w:ascii="Arial" w:cs="Arial" w:eastAsia="Arial" w:hAnsi="Arial"/>
          <w:sz w:val="21"/>
          <w:szCs w:val="21"/>
          <w:color w:val="auto"/>
        </w:rPr>
        <w:t>actions by activist stockholders may interfere with any efforts that we undertake in the future to raise capital;</w:t>
      </w:r>
    </w:p>
    <w:p>
      <w:pPr>
        <w:spacing w:after="0" w:line="62" w:lineRule="exact"/>
        <w:rPr>
          <w:rFonts w:ascii="Arial" w:cs="Arial" w:eastAsia="Arial" w:hAnsi="Arial"/>
          <w:sz w:val="21"/>
          <w:szCs w:val="21"/>
          <w:color w:val="auto"/>
        </w:rPr>
      </w:pPr>
    </w:p>
    <w:p>
      <w:pPr>
        <w:jc w:val="both"/>
        <w:ind w:left="1000" w:hanging="497"/>
        <w:spacing w:after="0" w:line="253" w:lineRule="auto"/>
        <w:tabs>
          <w:tab w:leader="none" w:pos="1000" w:val="left"/>
        </w:tabs>
        <w:numPr>
          <w:ilvl w:val="0"/>
          <w:numId w:val="49"/>
        </w:numPr>
        <w:rPr>
          <w:rFonts w:ascii="Arial" w:cs="Arial" w:eastAsia="Arial" w:hAnsi="Arial"/>
          <w:sz w:val="21"/>
          <w:szCs w:val="21"/>
          <w:color w:val="auto"/>
        </w:rPr>
      </w:pPr>
      <w:r>
        <w:rPr>
          <w:rFonts w:ascii="Arial" w:cs="Arial" w:eastAsia="Arial" w:hAnsi="Arial"/>
          <w:sz w:val="21"/>
          <w:szCs w:val="21"/>
          <w:color w:val="auto"/>
        </w:rPr>
        <w:t>actions by activist stockholders could cause significant fluctuations in our stock price based on temporary or speculative market perceptions or other factors that do not necessarily reflect the underlying fundamentals and prospects of our business; and</w:t>
      </w:r>
    </w:p>
    <w:p>
      <w:pPr>
        <w:spacing w:after="0" w:line="84" w:lineRule="exact"/>
        <w:rPr>
          <w:rFonts w:ascii="Arial" w:cs="Arial" w:eastAsia="Arial" w:hAnsi="Arial"/>
          <w:sz w:val="21"/>
          <w:szCs w:val="21"/>
          <w:color w:val="auto"/>
        </w:rPr>
      </w:pPr>
    </w:p>
    <w:p>
      <w:pPr>
        <w:jc w:val="both"/>
        <w:ind w:left="1000" w:hanging="498"/>
        <w:spacing w:after="0" w:line="253" w:lineRule="auto"/>
        <w:tabs>
          <w:tab w:leader="none" w:pos="1000" w:val="left"/>
        </w:tabs>
        <w:numPr>
          <w:ilvl w:val="0"/>
          <w:numId w:val="49"/>
        </w:numPr>
        <w:rPr>
          <w:rFonts w:ascii="Arial" w:cs="Arial" w:eastAsia="Arial" w:hAnsi="Arial"/>
          <w:sz w:val="21"/>
          <w:szCs w:val="21"/>
          <w:color w:val="auto"/>
        </w:rPr>
      </w:pPr>
      <w:r>
        <w:rPr>
          <w:rFonts w:ascii="Arial" w:cs="Arial" w:eastAsia="Arial" w:hAnsi="Arial"/>
          <w:sz w:val="21"/>
          <w:szCs w:val="21"/>
          <w:color w:val="auto"/>
        </w:rPr>
        <w:t>if individuals are elected to our board of directors with a specific agenda as a result of a proxy contest, it may adversely affect our ability to effectively implement our business strategy and to create additional value for our stockholders.</w:t>
      </w:r>
    </w:p>
    <w:p>
      <w:pPr>
        <w:spacing w:after="0" w:line="235" w:lineRule="exact"/>
        <w:rPr>
          <w:sz w:val="20"/>
          <w:szCs w:val="20"/>
          <w:color w:val="auto"/>
        </w:rPr>
      </w:pPr>
    </w:p>
    <w:p>
      <w:pPr>
        <w:ind w:right="40" w:firstLine="504"/>
        <w:spacing w:after="0" w:line="253" w:lineRule="auto"/>
        <w:rPr>
          <w:sz w:val="20"/>
          <w:szCs w:val="20"/>
          <w:color w:val="auto"/>
        </w:rPr>
      </w:pPr>
      <w:r>
        <w:rPr>
          <w:rFonts w:ascii="Arial" w:cs="Arial" w:eastAsia="Arial" w:hAnsi="Arial"/>
          <w:sz w:val="21"/>
          <w:szCs w:val="21"/>
          <w:color w:val="auto"/>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spacing w:after="0" w:line="230" w:lineRule="exact"/>
        <w:rPr>
          <w:sz w:val="20"/>
          <w:szCs w:val="20"/>
          <w:color w:val="auto"/>
        </w:rPr>
      </w:pPr>
    </w:p>
    <w:p>
      <w:pPr>
        <w:jc w:val="both"/>
        <w:ind w:firstLine="504"/>
        <w:spacing w:after="0" w:line="269" w:lineRule="auto"/>
        <w:rPr>
          <w:sz w:val="20"/>
          <w:szCs w:val="20"/>
          <w:color w:val="auto"/>
        </w:rPr>
      </w:pPr>
      <w:r>
        <w:rPr>
          <w:rFonts w:ascii="Arial" w:cs="Arial" w:eastAsia="Arial" w:hAnsi="Arial"/>
          <w:sz w:val="21"/>
          <w:szCs w:val="21"/>
          <w:b w:val="1"/>
          <w:bCs w:val="1"/>
          <w:i w:val="1"/>
          <w:iCs w:val="1"/>
          <w:color w:val="auto"/>
        </w:rPr>
        <w:t>We do not know whether an active market for our common stock will be sustained, and, as a result, it may be difficult for you to sell your shares of our common stock.</w:t>
      </w:r>
    </w:p>
    <w:p>
      <w:pPr>
        <w:spacing w:after="0" w:line="198" w:lineRule="exact"/>
        <w:rPr>
          <w:sz w:val="20"/>
          <w:szCs w:val="20"/>
          <w:color w:val="auto"/>
        </w:rPr>
      </w:pPr>
    </w:p>
    <w:p>
      <w:pPr>
        <w:jc w:val="both"/>
        <w:ind w:firstLine="504"/>
        <w:spacing w:after="0" w:line="235" w:lineRule="auto"/>
        <w:rPr>
          <w:sz w:val="20"/>
          <w:szCs w:val="20"/>
          <w:color w:val="auto"/>
        </w:rPr>
      </w:pPr>
      <w:r>
        <w:rPr>
          <w:rFonts w:ascii="Arial" w:cs="Arial" w:eastAsia="Arial" w:hAnsi="Arial"/>
          <w:sz w:val="21"/>
          <w:szCs w:val="21"/>
          <w:color w:val="auto"/>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54"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21"/>
          <w:szCs w:val="21"/>
          <w:b w:val="1"/>
          <w:bCs w:val="1"/>
          <w:i w:val="1"/>
          <w:iCs w:val="1"/>
          <w:color w:val="auto"/>
        </w:rPr>
        <w:t>The market price of our common stock may be volatile, which could result in substantial losses for investors.</w:t>
      </w:r>
    </w:p>
    <w:p>
      <w:pPr>
        <w:spacing w:after="0" w:line="200"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1"/>
          <w:szCs w:val="21"/>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81" w:lineRule="exact"/>
        <w:rPr>
          <w:sz w:val="20"/>
          <w:szCs w:val="20"/>
          <w:color w:val="auto"/>
        </w:rPr>
      </w:pPr>
    </w:p>
    <w:p>
      <w:pPr>
        <w:ind w:left="1000" w:hanging="496"/>
        <w:spacing w:after="0"/>
        <w:tabs>
          <w:tab w:leader="none" w:pos="1000" w:val="left"/>
        </w:tabs>
        <w:numPr>
          <w:ilvl w:val="0"/>
          <w:numId w:val="50"/>
        </w:numPr>
        <w:rPr>
          <w:rFonts w:ascii="Arial" w:cs="Arial" w:eastAsia="Arial" w:hAnsi="Arial"/>
          <w:sz w:val="21"/>
          <w:szCs w:val="21"/>
          <w:color w:val="auto"/>
        </w:rPr>
      </w:pPr>
      <w:r>
        <w:rPr>
          <w:rFonts w:ascii="Arial" w:cs="Arial" w:eastAsia="Arial" w:hAnsi="Arial"/>
          <w:sz w:val="21"/>
          <w:szCs w:val="21"/>
          <w:color w:val="auto"/>
        </w:rPr>
        <w:t>results of nonclinical studies and clinical trials;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potential impact of the COVID-19 pandemic or other health epidemic on our business;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success of existing or new competitive products or technologies;</w:t>
      </w:r>
    </w:p>
    <w:p>
      <w:pPr>
        <w:spacing w:after="0" w:line="132"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timing and results of clinical trials for our current product candidates and any future product candidates that we may develop;</w:t>
      </w:r>
    </w:p>
    <w:p>
      <w:pPr>
        <w:spacing w:after="0" w:line="64" w:lineRule="exact"/>
        <w:rPr>
          <w:rFonts w:ascii="Arial" w:cs="Arial" w:eastAsia="Arial" w:hAnsi="Arial"/>
          <w:sz w:val="21"/>
          <w:szCs w:val="21"/>
          <w:color w:val="auto"/>
        </w:rPr>
      </w:pPr>
    </w:p>
    <w:p>
      <w:pPr>
        <w:ind w:left="1000" w:hanging="496"/>
        <w:spacing w:after="0"/>
        <w:tabs>
          <w:tab w:leader="none" w:pos="1000" w:val="left"/>
        </w:tabs>
        <w:numPr>
          <w:ilvl w:val="0"/>
          <w:numId w:val="50"/>
        </w:numPr>
        <w:rPr>
          <w:rFonts w:ascii="Arial" w:cs="Arial" w:eastAsia="Arial" w:hAnsi="Arial"/>
          <w:sz w:val="21"/>
          <w:szCs w:val="21"/>
          <w:color w:val="auto"/>
        </w:rPr>
      </w:pPr>
      <w:r>
        <w:rPr>
          <w:rFonts w:ascii="Arial" w:cs="Arial" w:eastAsia="Arial" w:hAnsi="Arial"/>
          <w:sz w:val="21"/>
          <w:szCs w:val="21"/>
          <w:color w:val="auto"/>
        </w:rPr>
        <w:t>commencement or termination of collaborations for our product candidates;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50"/>
        </w:numPr>
        <w:rPr>
          <w:rFonts w:ascii="Arial" w:cs="Arial" w:eastAsia="Arial" w:hAnsi="Arial"/>
          <w:sz w:val="21"/>
          <w:szCs w:val="21"/>
          <w:color w:val="auto"/>
        </w:rPr>
      </w:pPr>
      <w:r>
        <w:rPr>
          <w:rFonts w:ascii="Arial" w:cs="Arial" w:eastAsia="Arial" w:hAnsi="Arial"/>
          <w:sz w:val="21"/>
          <w:szCs w:val="21"/>
          <w:color w:val="auto"/>
        </w:rPr>
        <w:t>failure or discontinuation of any of our product candidates;</w:t>
      </w:r>
    </w:p>
    <w:p>
      <w:pPr>
        <w:sectPr>
          <w:pgSz w:w="12240" w:h="15840" w:orient="portrait"/>
          <w:cols w:equalWidth="0" w:num="1">
            <w:col w:w="9640"/>
          </w:cols>
          <w:pgMar w:left="1300" w:top="1215"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106</w:t>
      </w:r>
    </w:p>
    <w:p>
      <w:pPr>
        <w:sectPr>
          <w:pgSz w:w="12240" w:h="15840" w:orient="portrait"/>
          <w:cols w:equalWidth="0" w:num="1">
            <w:col w:w="9640"/>
          </w:cols>
          <w:pgMar w:left="1300" w:top="1215" w:right="1300" w:bottom="0" w:gutter="0" w:footer="0" w:header="0"/>
          <w:type w:val="continuous"/>
        </w:sectPr>
      </w:pPr>
    </w:p>
    <w:bookmarkStart w:id="112" w:name="page113"/>
    <w:bookmarkEnd w:id="112"/>
    <w:p>
      <w:pPr>
        <w:jc w:val="both"/>
        <w:ind w:left="1000" w:hanging="496"/>
        <w:spacing w:after="0" w:line="253" w:lineRule="auto"/>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results of nonclinical studies, clinical trials or regulatory approvals of product candidates of our competitors, or announcements about new research programs or product candidates of our competitors;</w:t>
      </w:r>
    </w:p>
    <w:p>
      <w:pPr>
        <w:spacing w:after="0" w:line="84"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investor reactions to other companies’ drug development results, including product failures or negative responses from regulatory authorities;</w:t>
      </w:r>
    </w:p>
    <w:p>
      <w:pPr>
        <w:spacing w:after="0" w:line="62" w:lineRule="exact"/>
        <w:rPr>
          <w:rFonts w:ascii="Arial" w:cs="Arial" w:eastAsia="Arial" w:hAnsi="Arial"/>
          <w:sz w:val="21"/>
          <w:szCs w:val="21"/>
          <w:color w:val="auto"/>
        </w:rPr>
      </w:pPr>
    </w:p>
    <w:p>
      <w:pPr>
        <w:ind w:left="1000" w:hanging="496"/>
        <w:spacing w:after="0"/>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regulatory or legal developments in the United States and other countries;</w:t>
      </w:r>
    </w:p>
    <w:p>
      <w:pPr>
        <w:spacing w:after="0" w:line="131"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developments or disputes concerning patent applications, issued patents or other proprietary rights;</w:t>
      </w:r>
    </w:p>
    <w:p>
      <w:pPr>
        <w:spacing w:after="0" w:line="62" w:lineRule="exact"/>
        <w:rPr>
          <w:rFonts w:ascii="Arial" w:cs="Arial" w:eastAsia="Arial" w:hAnsi="Arial"/>
          <w:sz w:val="21"/>
          <w:szCs w:val="21"/>
          <w:color w:val="auto"/>
        </w:rPr>
      </w:pPr>
    </w:p>
    <w:p>
      <w:pPr>
        <w:ind w:left="1000" w:hanging="496"/>
        <w:spacing w:after="0"/>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recruitment or departure of key personnel;</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negative press coverage;</w:t>
      </w:r>
    </w:p>
    <w:p>
      <w:pPr>
        <w:spacing w:after="0" w:line="13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status of ongoing litigation and government investigations and potential commencement of additional litigation or investigations;</w:t>
      </w:r>
    </w:p>
    <w:p>
      <w:pPr>
        <w:spacing w:after="0" w:line="65"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results of the investigation by the independent special committee of the board of directors and the separate ongoing investigation by WSU;</w:t>
      </w:r>
    </w:p>
    <w:p>
      <w:pPr>
        <w:spacing w:after="0" w:line="6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level of expenses related to any of our research programs, product candidates that we may develop;</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results of our efforts to develop additional product candidates or products;</w:t>
      </w:r>
    </w:p>
    <w:p>
      <w:pPr>
        <w:spacing w:after="0" w:line="132"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actual or anticipated changes in estimates as to financial results, development timelines or recommendations by securities analysts;</w:t>
      </w:r>
    </w:p>
    <w:p>
      <w:pPr>
        <w:spacing w:after="0" w:line="6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announcement or expectation of additional financing efforts, including, but not limited to, under our ATM offering;</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sales of our common stock by us, our insiders, or other stockholders;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variations in our financial results or those of companies that are perceived to be similar to us;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changes in estimates or recommendations by securities analysts, if any, that cover our stock;</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changes in the structure of healthcare payment systems;</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market conditions in the pharmaceutical and biotechnology sectors;</w:t>
      </w:r>
    </w:p>
    <w:p>
      <w:pPr>
        <w:spacing w:after="0" w:line="13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direct or indirect impacts on our business, our suppliers and other third parties and our clinical sites as a result of geopolitical events, including the Russia-Ukraine war;</w:t>
      </w:r>
    </w:p>
    <w:p>
      <w:pPr>
        <w:spacing w:after="0" w:line="65" w:lineRule="exact"/>
        <w:rPr>
          <w:rFonts w:ascii="Arial" w:cs="Arial" w:eastAsia="Arial" w:hAnsi="Arial"/>
          <w:sz w:val="21"/>
          <w:szCs w:val="21"/>
          <w:color w:val="auto"/>
        </w:rPr>
      </w:pPr>
    </w:p>
    <w:p>
      <w:pPr>
        <w:ind w:left="1000" w:hanging="496"/>
        <w:spacing w:after="0"/>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general economic, industry, and market conditions; and</w:t>
      </w:r>
    </w:p>
    <w:p>
      <w:pPr>
        <w:spacing w:after="0" w:line="132" w:lineRule="exact"/>
        <w:rPr>
          <w:rFonts w:ascii="Arial" w:cs="Arial" w:eastAsia="Arial" w:hAnsi="Arial"/>
          <w:sz w:val="21"/>
          <w:szCs w:val="21"/>
          <w:color w:val="auto"/>
        </w:rPr>
      </w:pPr>
    </w:p>
    <w:p>
      <w:pPr>
        <w:ind w:left="1000" w:hanging="496"/>
        <w:spacing w:after="0"/>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other factors described in this “Part I, Item 1A—Risk Factors” section.</w:t>
      </w:r>
    </w:p>
    <w:p>
      <w:pPr>
        <w:spacing w:after="0" w:line="285"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ectPr>
          <w:pgSz w:w="12240" w:h="15840" w:orient="portrait"/>
          <w:cols w:equalWidth="0" w:num="1">
            <w:col w:w="9640"/>
          </w:cols>
          <w:pgMar w:left="130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107</w:t>
      </w:r>
    </w:p>
    <w:p>
      <w:pPr>
        <w:sectPr>
          <w:pgSz w:w="12240" w:h="15840" w:orient="portrait"/>
          <w:cols w:equalWidth="0" w:num="1">
            <w:col w:w="9640"/>
          </w:cols>
          <w:pgMar w:left="1300" w:top="1240" w:right="1300" w:bottom="0" w:gutter="0" w:footer="0" w:header="0"/>
          <w:type w:val="continuous"/>
        </w:sectPr>
      </w:pPr>
    </w:p>
    <w:bookmarkStart w:id="113" w:name="page114"/>
    <w:bookmarkEnd w:id="113"/>
    <w:p>
      <w:pPr>
        <w:jc w:val="both"/>
        <w:ind w:firstLine="504"/>
        <w:spacing w:after="0" w:line="256" w:lineRule="auto"/>
        <w:rPr>
          <w:sz w:val="20"/>
          <w:szCs w:val="20"/>
          <w:color w:val="auto"/>
        </w:rPr>
      </w:pPr>
      <w:r>
        <w:rPr>
          <w:rFonts w:ascii="Arial" w:cs="Arial" w:eastAsia="Arial" w:hAnsi="Arial"/>
          <w:sz w:val="21"/>
          <w:szCs w:val="21"/>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222"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236"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Moreover, as of February 28, 2023, the holders of approximately 5.1 million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55"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21"/>
          <w:szCs w:val="21"/>
          <w:b w:val="1"/>
          <w:bCs w:val="1"/>
          <w:i w:val="1"/>
          <w:iCs w:val="1"/>
          <w:color w:val="auto"/>
        </w:rPr>
        <w:t>Our directors, executive officers and significant stockholders own a substantial percentage of our common stock, which could limit your ability to affect the outcome of key transactions, including a change of control.</w:t>
      </w:r>
    </w:p>
    <w:p>
      <w:pPr>
        <w:spacing w:after="0" w:line="220"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20"/>
          <w:szCs w:val="20"/>
          <w:color w:val="auto"/>
        </w:rPr>
        <w:t>Our directors, executive officers, significant holders of our outstanding common stock and their respective affiliates beneficially own a substantial amount of our outstanding common stock as of December 31, 2022.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36" w:lineRule="exact"/>
        <w:rPr>
          <w:sz w:val="20"/>
          <w:szCs w:val="20"/>
          <w:color w:val="auto"/>
        </w:rPr>
      </w:pPr>
    </w:p>
    <w:p>
      <w:pPr>
        <w:jc w:val="both"/>
        <w:ind w:firstLine="504"/>
        <w:spacing w:after="0" w:line="304" w:lineRule="auto"/>
        <w:rPr>
          <w:sz w:val="20"/>
          <w:szCs w:val="20"/>
          <w:color w:val="auto"/>
        </w:rPr>
      </w:pPr>
      <w:r>
        <w:rPr>
          <w:rFonts w:ascii="Arial" w:cs="Arial" w:eastAsia="Arial" w:hAnsi="Arial"/>
          <w:sz w:val="20"/>
          <w:szCs w:val="20"/>
          <w:b w:val="1"/>
          <w:bCs w:val="1"/>
          <w:i w:val="1"/>
          <w:iCs w:val="1"/>
          <w:color w:val="auto"/>
        </w:rPr>
        <w:t>We are an “emerging growth company,” and the reduced disclosure requirements applicable to emerging growth companies may make our common stock less attractive to investors.</w:t>
      </w:r>
    </w:p>
    <w:p>
      <w:pPr>
        <w:spacing w:after="0" w:line="176"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108</w:t>
      </w:r>
    </w:p>
    <w:p>
      <w:pPr>
        <w:sectPr>
          <w:pgSz w:w="12240" w:h="15840" w:orient="portrait"/>
          <w:cols w:equalWidth="0" w:num="1">
            <w:col w:w="9640"/>
          </w:cols>
          <w:pgMar w:left="1300" w:top="1230" w:right="1300" w:bottom="0" w:gutter="0" w:footer="0" w:header="0"/>
          <w:type w:val="continuous"/>
        </w:sectPr>
      </w:pPr>
    </w:p>
    <w:bookmarkStart w:id="114" w:name="page115"/>
    <w:bookmarkEnd w:id="114"/>
    <w:p>
      <w:pPr>
        <w:jc w:val="both"/>
        <w:ind w:firstLine="504"/>
        <w:spacing w:after="0" w:line="256" w:lineRule="auto"/>
        <w:rPr>
          <w:sz w:val="20"/>
          <w:szCs w:val="20"/>
          <w:color w:val="auto"/>
        </w:rPr>
      </w:pPr>
      <w:r>
        <w:rPr>
          <w:rFonts w:ascii="Arial" w:cs="Arial" w:eastAsia="Arial" w:hAnsi="Arial"/>
          <w:sz w:val="21"/>
          <w:szCs w:val="21"/>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222"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spacing w:after="0" w:line="237"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The process of building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38"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52"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21"/>
          <w:szCs w:val="21"/>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58"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spacing w:after="0" w:line="98" w:lineRule="exact"/>
        <w:rPr>
          <w:sz w:val="20"/>
          <w:szCs w:val="20"/>
          <w:color w:val="auto"/>
        </w:rPr>
      </w:pPr>
    </w:p>
    <w:p>
      <w:pPr>
        <w:ind w:left="1000" w:hanging="496"/>
        <w:spacing w:after="0" w:line="272" w:lineRule="auto"/>
        <w:tabs>
          <w:tab w:leader="none" w:pos="1000" w:val="left"/>
        </w:tabs>
        <w:numPr>
          <w:ilvl w:val="0"/>
          <w:numId w:val="52"/>
        </w:numPr>
        <w:rPr>
          <w:rFonts w:ascii="Arial" w:cs="Arial" w:eastAsia="Arial" w:hAnsi="Arial"/>
          <w:sz w:val="21"/>
          <w:szCs w:val="21"/>
          <w:color w:val="auto"/>
        </w:rPr>
      </w:pPr>
      <w:r>
        <w:rPr>
          <w:rFonts w:ascii="Arial" w:cs="Arial" w:eastAsia="Arial" w:hAnsi="Arial"/>
          <w:sz w:val="21"/>
          <w:szCs w:val="21"/>
          <w:color w:val="auto"/>
        </w:rPr>
        <w:t>permit the board of directors to issue up to 100,000,000 shares of preferred stock, with any rights, preferences and privileges as they may designate;</w:t>
      </w:r>
    </w:p>
    <w:p>
      <w:pPr>
        <w:spacing w:after="0" w:line="64"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52"/>
        </w:numPr>
        <w:rPr>
          <w:rFonts w:ascii="Arial" w:cs="Arial" w:eastAsia="Arial" w:hAnsi="Arial"/>
          <w:sz w:val="21"/>
          <w:szCs w:val="21"/>
          <w:color w:val="auto"/>
        </w:rPr>
      </w:pPr>
      <w:r>
        <w:rPr>
          <w:rFonts w:ascii="Arial" w:cs="Arial" w:eastAsia="Arial" w:hAnsi="Arial"/>
          <w:sz w:val="21"/>
          <w:szCs w:val="21"/>
          <w:color w:val="auto"/>
        </w:rPr>
        <w:t>provide that the authorized number of directors may be changed only by resolution of the board of directors;</w:t>
      </w:r>
    </w:p>
    <w:p>
      <w:pPr>
        <w:spacing w:after="0" w:line="65" w:lineRule="exact"/>
        <w:rPr>
          <w:rFonts w:ascii="Arial" w:cs="Arial" w:eastAsia="Arial" w:hAnsi="Arial"/>
          <w:sz w:val="21"/>
          <w:szCs w:val="21"/>
          <w:color w:val="auto"/>
        </w:rPr>
      </w:pPr>
    </w:p>
    <w:p>
      <w:pPr>
        <w:jc w:val="both"/>
        <w:ind w:left="1000" w:hanging="496"/>
        <w:spacing w:after="0" w:line="254" w:lineRule="auto"/>
        <w:tabs>
          <w:tab w:leader="none" w:pos="1000" w:val="left"/>
        </w:tabs>
        <w:numPr>
          <w:ilvl w:val="0"/>
          <w:numId w:val="52"/>
        </w:numPr>
        <w:rPr>
          <w:rFonts w:ascii="Arial" w:cs="Arial" w:eastAsia="Arial" w:hAnsi="Arial"/>
          <w:sz w:val="21"/>
          <w:szCs w:val="21"/>
          <w:color w:val="auto"/>
        </w:rPr>
      </w:pPr>
      <w:r>
        <w:rPr>
          <w:rFonts w:ascii="Arial" w:cs="Arial" w:eastAsia="Arial" w:hAnsi="Arial"/>
          <w:sz w:val="21"/>
          <w:szCs w:val="21"/>
          <w:color w:val="auto"/>
        </w:rPr>
        <w:t>provide that all vacancies, including newly-created directorships, may, except as otherwise required by law, be filled by the affirmative vote of a majority of directors then in office, even if less than a quorum;</w:t>
      </w:r>
    </w:p>
    <w:p>
      <w:pPr>
        <w:spacing w:after="0" w:line="81" w:lineRule="exact"/>
        <w:rPr>
          <w:rFonts w:ascii="Arial" w:cs="Arial" w:eastAsia="Arial" w:hAnsi="Arial"/>
          <w:sz w:val="21"/>
          <w:szCs w:val="21"/>
          <w:color w:val="auto"/>
        </w:rPr>
      </w:pPr>
    </w:p>
    <w:p>
      <w:pPr>
        <w:ind w:left="1000" w:hanging="496"/>
        <w:spacing w:after="0"/>
        <w:tabs>
          <w:tab w:leader="none" w:pos="1000" w:val="left"/>
        </w:tabs>
        <w:numPr>
          <w:ilvl w:val="0"/>
          <w:numId w:val="52"/>
        </w:numPr>
        <w:rPr>
          <w:rFonts w:ascii="Arial" w:cs="Arial" w:eastAsia="Arial" w:hAnsi="Arial"/>
          <w:sz w:val="21"/>
          <w:szCs w:val="21"/>
          <w:color w:val="auto"/>
        </w:rPr>
      </w:pPr>
      <w:r>
        <w:rPr>
          <w:rFonts w:ascii="Arial" w:cs="Arial" w:eastAsia="Arial" w:hAnsi="Arial"/>
          <w:sz w:val="21"/>
          <w:szCs w:val="21"/>
          <w:color w:val="auto"/>
        </w:rPr>
        <w:t>divide the board of directors into three classes;</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109</w:t>
      </w:r>
    </w:p>
    <w:p>
      <w:pPr>
        <w:sectPr>
          <w:pgSz w:w="12240" w:h="15840" w:orient="portrait"/>
          <w:cols w:equalWidth="0" w:num="1">
            <w:col w:w="9640"/>
          </w:cols>
          <w:pgMar w:left="1300" w:top="1230" w:right="1300" w:bottom="0" w:gutter="0" w:footer="0" w:header="0"/>
          <w:type w:val="continuous"/>
        </w:sectPr>
      </w:pPr>
    </w:p>
    <w:bookmarkStart w:id="115" w:name="page116"/>
    <w:bookmarkEnd w:id="115"/>
    <w:p>
      <w:pPr>
        <w:ind w:left="1000" w:hanging="496"/>
        <w:spacing w:after="0" w:line="273" w:lineRule="auto"/>
        <w:tabs>
          <w:tab w:leader="none" w:pos="10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provide that a director may only be removed from the board of directors by the stockholders for cause;</w:t>
      </w:r>
    </w:p>
    <w:p>
      <w:pPr>
        <w:spacing w:after="0" w:line="61"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require that any action to be taken by our stockholders must be effected at a duly called annual or special meeting of stockholders and may not be taken by written consent;</w:t>
      </w:r>
    </w:p>
    <w:p>
      <w:pPr>
        <w:spacing w:after="0" w:line="64" w:lineRule="exact"/>
        <w:rPr>
          <w:rFonts w:ascii="Arial" w:cs="Arial" w:eastAsia="Arial" w:hAnsi="Arial"/>
          <w:sz w:val="21"/>
          <w:szCs w:val="21"/>
          <w:color w:val="auto"/>
        </w:rPr>
      </w:pPr>
    </w:p>
    <w:p>
      <w:pPr>
        <w:jc w:val="both"/>
        <w:ind w:left="1000" w:hanging="496"/>
        <w:spacing w:after="0" w:line="247" w:lineRule="auto"/>
        <w:tabs>
          <w:tab w:leader="none" w:pos="10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91" w:lineRule="exact"/>
        <w:rPr>
          <w:rFonts w:ascii="Arial" w:cs="Arial" w:eastAsia="Arial" w:hAnsi="Arial"/>
          <w:sz w:val="21"/>
          <w:szCs w:val="21"/>
          <w:color w:val="auto"/>
        </w:rPr>
      </w:pPr>
    </w:p>
    <w:p>
      <w:pPr>
        <w:jc w:val="both"/>
        <w:ind w:left="1000" w:hanging="496"/>
        <w:spacing w:after="0" w:line="253" w:lineRule="auto"/>
        <w:tabs>
          <w:tab w:leader="none" w:pos="10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84" w:lineRule="exact"/>
        <w:rPr>
          <w:rFonts w:ascii="Arial" w:cs="Arial" w:eastAsia="Arial" w:hAnsi="Arial"/>
          <w:sz w:val="21"/>
          <w:szCs w:val="21"/>
          <w:color w:val="auto"/>
        </w:rPr>
      </w:pPr>
    </w:p>
    <w:p>
      <w:pPr>
        <w:ind w:left="1000" w:hanging="496"/>
        <w:spacing w:after="0" w:line="272" w:lineRule="auto"/>
        <w:tabs>
          <w:tab w:leader="none" w:pos="10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provide that special meetings of our stockholders may be called only by the chairman of the board, our chief executive officer or by the board of directors; and</w:t>
      </w:r>
    </w:p>
    <w:p>
      <w:pPr>
        <w:spacing w:after="0" w:line="63" w:lineRule="exact"/>
        <w:rPr>
          <w:rFonts w:ascii="Arial" w:cs="Arial" w:eastAsia="Arial" w:hAnsi="Arial"/>
          <w:sz w:val="21"/>
          <w:szCs w:val="21"/>
          <w:color w:val="auto"/>
        </w:rPr>
      </w:pPr>
    </w:p>
    <w:p>
      <w:pPr>
        <w:jc w:val="both"/>
        <w:ind w:left="1000" w:hanging="496"/>
        <w:spacing w:after="0" w:line="254" w:lineRule="auto"/>
        <w:tabs>
          <w:tab w:leader="none" w:pos="10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91"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334" w:lineRule="exact"/>
        <w:rPr>
          <w:sz w:val="20"/>
          <w:szCs w:val="20"/>
          <w:color w:val="auto"/>
        </w:rPr>
      </w:pPr>
    </w:p>
    <w:p>
      <w:pPr>
        <w:jc w:val="both"/>
        <w:ind w:firstLine="504"/>
        <w:spacing w:after="0" w:line="266" w:lineRule="auto"/>
        <w:rPr>
          <w:sz w:val="20"/>
          <w:szCs w:val="20"/>
          <w:color w:val="auto"/>
        </w:rPr>
      </w:pPr>
      <w:r>
        <w:rPr>
          <w:rFonts w:ascii="Arial" w:cs="Arial" w:eastAsia="Arial" w:hAnsi="Arial"/>
          <w:sz w:val="20"/>
          <w:szCs w:val="20"/>
          <w:b w:val="1"/>
          <w:bCs w:val="1"/>
          <w:i w:val="1"/>
          <w:iCs w:val="1"/>
          <w:color w:val="auto"/>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48"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0"/>
          <w:szCs w:val="20"/>
          <w:color w:val="auto"/>
        </w:rPr>
        <w:t>Our amended and restated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95"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209" w:lineRule="exact"/>
        <w:rPr>
          <w:sz w:val="20"/>
          <w:szCs w:val="20"/>
          <w:color w:val="auto"/>
        </w:rPr>
      </w:pPr>
    </w:p>
    <w:p>
      <w:pPr>
        <w:jc w:val="both"/>
        <w:ind w:firstLine="504"/>
        <w:spacing w:after="0" w:line="264" w:lineRule="auto"/>
        <w:rPr>
          <w:sz w:val="20"/>
          <w:szCs w:val="20"/>
          <w:color w:val="auto"/>
        </w:rPr>
      </w:pPr>
      <w:r>
        <w:rPr>
          <w:rFonts w:ascii="Arial" w:cs="Arial" w:eastAsia="Arial" w:hAnsi="Arial"/>
          <w:sz w:val="20"/>
          <w:szCs w:val="20"/>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w:t>
      </w:r>
    </w:p>
    <w:p>
      <w:pPr>
        <w:sectPr>
          <w:pgSz w:w="12240" w:h="15840" w:orient="portrait"/>
          <w:cols w:equalWidth="0" w:num="1">
            <w:col w:w="9640"/>
          </w:cols>
          <w:pgMar w:left="1300" w:top="1240" w:right="130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110</w:t>
      </w:r>
    </w:p>
    <w:p>
      <w:pPr>
        <w:sectPr>
          <w:pgSz w:w="12240" w:h="15840" w:orient="portrait"/>
          <w:cols w:equalWidth="0" w:num="1">
            <w:col w:w="9640"/>
          </w:cols>
          <w:pgMar w:left="1300" w:top="1240" w:right="1300" w:bottom="0" w:gutter="0" w:footer="0" w:header="0"/>
          <w:type w:val="continuous"/>
        </w:sectPr>
      </w:pPr>
    </w:p>
    <w:bookmarkStart w:id="116" w:name="page117"/>
    <w:bookmarkEnd w:id="116"/>
    <w:p>
      <w:pPr>
        <w:jc w:val="both"/>
        <w:ind w:right="20"/>
        <w:spacing w:after="0" w:line="253" w:lineRule="auto"/>
        <w:rPr>
          <w:sz w:val="20"/>
          <w:szCs w:val="20"/>
          <w:color w:val="auto"/>
        </w:rPr>
      </w:pPr>
      <w:r>
        <w:rPr>
          <w:rFonts w:ascii="Arial" w:cs="Arial" w:eastAsia="Arial" w:hAnsi="Arial"/>
          <w:sz w:val="21"/>
          <w:szCs w:val="21"/>
          <w:color w:val="auto"/>
        </w:rPr>
        <w:t>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314"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auto"/>
        </w:rPr>
        <w:t>General Risk Factors</w:t>
      </w:r>
    </w:p>
    <w:p>
      <w:pPr>
        <w:spacing w:after="0" w:line="126" w:lineRule="exact"/>
        <w:rPr>
          <w:sz w:val="20"/>
          <w:szCs w:val="20"/>
          <w:color w:val="auto"/>
        </w:rPr>
      </w:pPr>
    </w:p>
    <w:p>
      <w:pPr>
        <w:jc w:val="both"/>
        <w:ind w:right="20" w:firstLine="504"/>
        <w:spacing w:after="0" w:line="278" w:lineRule="auto"/>
        <w:rPr>
          <w:sz w:val="20"/>
          <w:szCs w:val="20"/>
          <w:color w:val="auto"/>
        </w:rPr>
      </w:pPr>
      <w:r>
        <w:rPr>
          <w:rFonts w:ascii="Arial" w:cs="Arial" w:eastAsia="Arial" w:hAnsi="Arial"/>
          <w:sz w:val="21"/>
          <w:szCs w:val="21"/>
          <w:b w:val="1"/>
          <w:bCs w:val="1"/>
          <w:i w:val="1"/>
          <w:iCs w:val="1"/>
          <w:color w:val="121212"/>
        </w:rPr>
        <w:t>Our advisors and consultants are classified as independent contractors, and we can face consequences if it is determined that they are misclassified as such.</w:t>
      </w:r>
    </w:p>
    <w:p>
      <w:pPr>
        <w:spacing w:after="0" w:line="35" w:lineRule="exact"/>
        <w:rPr>
          <w:sz w:val="20"/>
          <w:szCs w:val="20"/>
          <w:color w:val="auto"/>
        </w:rPr>
      </w:pPr>
    </w:p>
    <w:p>
      <w:pPr>
        <w:jc w:val="both"/>
        <w:ind w:right="20" w:firstLine="504"/>
        <w:spacing w:after="0" w:line="237" w:lineRule="auto"/>
        <w:rPr>
          <w:sz w:val="20"/>
          <w:szCs w:val="20"/>
          <w:color w:val="auto"/>
        </w:rPr>
      </w:pPr>
      <w:r>
        <w:rPr>
          <w:rFonts w:ascii="Arial" w:cs="Arial" w:eastAsia="Arial" w:hAnsi="Arial"/>
          <w:sz w:val="21"/>
          <w:szCs w:val="21"/>
          <w:color w:val="121212"/>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cs="Arial" w:eastAsia="Arial" w:hAnsi="Arial"/>
          <w:sz w:val="21"/>
          <w:szCs w:val="21"/>
          <w:color w:val="000000"/>
        </w:rPr>
        <w:t>divergent</w:t>
      </w:r>
      <w:r>
        <w:rPr>
          <w:rFonts w:ascii="Arial" w:cs="Arial" w:eastAsia="Arial" w:hAnsi="Arial"/>
          <w:sz w:val="21"/>
          <w:szCs w:val="21"/>
          <w:color w:val="121212"/>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344"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21"/>
          <w:szCs w:val="21"/>
          <w:b w:val="1"/>
          <w:bCs w:val="1"/>
          <w:i w:val="1"/>
          <w:iCs w:val="1"/>
          <w:color w:val="auto"/>
        </w:rPr>
        <w:t xml:space="preserve">If </w:t>
      </w:r>
      <w:r>
        <w:rPr>
          <w:rFonts w:ascii="Arial" w:cs="Arial" w:eastAsia="Arial" w:hAnsi="Arial"/>
          <w:sz w:val="21"/>
          <w:szCs w:val="21"/>
          <w:b w:val="1"/>
          <w:bCs w:val="1"/>
          <w:i w:val="1"/>
          <w:iCs w:val="1"/>
          <w:color w:val="121212"/>
        </w:rPr>
        <w:t>securities</w:t>
      </w:r>
      <w:r>
        <w:rPr>
          <w:rFonts w:ascii="Arial" w:cs="Arial" w:eastAsia="Arial" w:hAnsi="Arial"/>
          <w:sz w:val="21"/>
          <w:szCs w:val="21"/>
          <w:b w:val="1"/>
          <w:bCs w:val="1"/>
          <w:i w:val="1"/>
          <w:iCs w:val="1"/>
          <w:color w:val="auto"/>
        </w:rPr>
        <w:t xml:space="preserve"> analysts do not publish research or reports about our business or if they publish negative evaluations of our stock, the price of our stock could decline.</w:t>
      </w:r>
    </w:p>
    <w:p>
      <w:pPr>
        <w:spacing w:after="0" w:line="34" w:lineRule="exact"/>
        <w:rPr>
          <w:sz w:val="20"/>
          <w:szCs w:val="20"/>
          <w:color w:val="auto"/>
        </w:rPr>
      </w:pPr>
    </w:p>
    <w:p>
      <w:pPr>
        <w:jc w:val="both"/>
        <w:ind w:right="20" w:firstLine="504"/>
        <w:spacing w:after="0" w:line="242" w:lineRule="auto"/>
        <w:rPr>
          <w:sz w:val="20"/>
          <w:szCs w:val="20"/>
          <w:color w:val="auto"/>
        </w:rPr>
      </w:pPr>
      <w:r>
        <w:rPr>
          <w:rFonts w:ascii="Arial" w:cs="Arial" w:eastAsia="Arial" w:hAnsi="Arial"/>
          <w:sz w:val="21"/>
          <w:szCs w:val="21"/>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335" w:lineRule="exact"/>
        <w:rPr>
          <w:sz w:val="20"/>
          <w:szCs w:val="20"/>
          <w:color w:val="auto"/>
        </w:rPr>
      </w:pPr>
    </w:p>
    <w:p>
      <w:pPr>
        <w:jc w:val="both"/>
        <w:ind w:right="20" w:firstLine="504"/>
        <w:spacing w:after="0" w:line="256" w:lineRule="auto"/>
        <w:rPr>
          <w:sz w:val="20"/>
          <w:szCs w:val="20"/>
          <w:color w:val="auto"/>
        </w:rPr>
      </w:pPr>
      <w:r>
        <w:rPr>
          <w:rFonts w:ascii="Arial" w:cs="Arial" w:eastAsia="Arial" w:hAnsi="Arial"/>
          <w:sz w:val="21"/>
          <w:szCs w:val="21"/>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58" w:lineRule="exact"/>
        <w:rPr>
          <w:sz w:val="20"/>
          <w:szCs w:val="20"/>
          <w:color w:val="auto"/>
        </w:rPr>
      </w:pPr>
    </w:p>
    <w:p>
      <w:pPr>
        <w:jc w:val="both"/>
        <w:ind w:right="20" w:firstLine="504"/>
        <w:spacing w:after="0" w:line="251" w:lineRule="auto"/>
        <w:rPr>
          <w:sz w:val="20"/>
          <w:szCs w:val="20"/>
          <w:color w:val="auto"/>
        </w:rPr>
      </w:pPr>
      <w:r>
        <w:rPr>
          <w:rFonts w:ascii="Arial" w:cs="Arial" w:eastAsia="Arial" w:hAnsi="Arial"/>
          <w:sz w:val="20"/>
          <w:szCs w:val="20"/>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w:t>
      </w:r>
    </w:p>
    <w:p>
      <w:pPr>
        <w:sectPr>
          <w:pgSz w:w="12240" w:h="15840" w:orient="portrait"/>
          <w:cols w:equalWidth="0" w:num="1">
            <w:col w:w="9660"/>
          </w:cols>
          <w:pgMar w:left="1300" w:top="1226" w:right="128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111</w:t>
      </w:r>
    </w:p>
    <w:p>
      <w:pPr>
        <w:sectPr>
          <w:pgSz w:w="12240" w:h="15840" w:orient="portrait"/>
          <w:cols w:equalWidth="0" w:num="1">
            <w:col w:w="9660"/>
          </w:cols>
          <w:pgMar w:left="1300" w:top="1226" w:right="1280" w:bottom="0" w:gutter="0" w:footer="0" w:header="0"/>
          <w:type w:val="continuous"/>
        </w:sectPr>
      </w:pPr>
    </w:p>
    <w:bookmarkStart w:id="117" w:name="page118"/>
    <w:bookmarkEnd w:id="117"/>
    <w:p>
      <w:pPr>
        <w:jc w:val="both"/>
        <w:spacing w:after="0" w:line="242" w:lineRule="auto"/>
        <w:rPr>
          <w:sz w:val="20"/>
          <w:szCs w:val="20"/>
          <w:color w:val="auto"/>
        </w:rPr>
      </w:pPr>
      <w:r>
        <w:rPr>
          <w:rFonts w:ascii="Arial" w:cs="Arial" w:eastAsia="Arial" w:hAnsi="Arial"/>
          <w:sz w:val="21"/>
          <w:szCs w:val="21"/>
          <w:color w:val="auto"/>
        </w:rPr>
        <w:t>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335" w:lineRule="exact"/>
        <w:rPr>
          <w:sz w:val="20"/>
          <w:szCs w:val="20"/>
          <w:color w:val="auto"/>
        </w:rPr>
      </w:pPr>
    </w:p>
    <w:p>
      <w:pPr>
        <w:jc w:val="both"/>
        <w:ind w:firstLine="504"/>
        <w:spacing w:after="0" w:line="277" w:lineRule="auto"/>
        <w:rPr>
          <w:sz w:val="20"/>
          <w:szCs w:val="20"/>
          <w:color w:val="auto"/>
        </w:rPr>
      </w:pPr>
      <w:r>
        <w:rPr>
          <w:rFonts w:ascii="Arial" w:cs="Arial" w:eastAsia="Arial" w:hAnsi="Arial"/>
          <w:sz w:val="21"/>
          <w:szCs w:val="21"/>
          <w:b w:val="1"/>
          <w:bCs w:val="1"/>
          <w:i w:val="1"/>
          <w:iCs w:val="1"/>
          <w:color w:val="auto"/>
        </w:rPr>
        <w:t>If we are unable to maintain effective internal controls, our business, financial position and results of operations could be adversely affected.</w:t>
      </w:r>
    </w:p>
    <w:p>
      <w:pPr>
        <w:spacing w:after="0" w:line="36"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200"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208"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335" w:lineRule="exact"/>
        <w:rPr>
          <w:sz w:val="20"/>
          <w:szCs w:val="20"/>
          <w:color w:val="auto"/>
        </w:rPr>
      </w:pPr>
    </w:p>
    <w:p>
      <w:pPr>
        <w:jc w:val="both"/>
        <w:ind w:firstLine="504"/>
        <w:spacing w:after="0" w:line="278" w:lineRule="auto"/>
        <w:rPr>
          <w:sz w:val="20"/>
          <w:szCs w:val="20"/>
          <w:color w:val="auto"/>
        </w:rPr>
      </w:pPr>
      <w:r>
        <w:rPr>
          <w:rFonts w:ascii="Arial" w:cs="Arial" w:eastAsia="Arial" w:hAnsi="Arial"/>
          <w:sz w:val="21"/>
          <w:szCs w:val="21"/>
          <w:b w:val="1"/>
          <w:bCs w:val="1"/>
          <w:i w:val="1"/>
          <w:iCs w:val="1"/>
          <w:color w:val="auto"/>
        </w:rPr>
        <w:t>Increasing attention to environmental, social and governance matters may cause us to incur additional costs or expose us to additional risks.</w:t>
      </w:r>
    </w:p>
    <w:p>
      <w:pPr>
        <w:spacing w:after="0" w:line="34"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0"/>
          <w:szCs w:val="20"/>
          <w:color w:val="auto"/>
        </w:rPr>
        <w:t>A variety of stakeholder groups, including investors, governmental and nongovernmental organizations are increasing their focus and scrutiny on corporate environmental, social and governance, or ESG, practices. Our ESG practices may not meet the standards of our investors or other stakeholders, and they as well as advocacy groups may campaign for us to change our business, operations or practices to better address ESG-related concerns. A failure, or perceived failure, of us to respond to any such campaigns could harm our business and reputation and have a negative impact on the market price of our common stock. Moreover, as ESG best practices, reporting standards and disclosure requirements continue to develop, we may incur increasing costs related to ESG monitoring and reporting.</w:t>
      </w: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1B. Unresolved Staff Comments.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1"/>
          <w:szCs w:val="21"/>
          <w:color w:val="auto"/>
        </w:rPr>
        <w:t>None.</w:t>
      </w: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Properties.</w:t>
      </w:r>
    </w:p>
    <w:p>
      <w:pPr>
        <w:spacing w:after="0" w:line="122"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Our corporate headquarters is located in Bothell, Washington, where we currently lease approximately 19,326 square feet of laboratory and office space, which leases expire in August 2027. We believe these facilities will be adequate for the foreseeable future and that suitable additional or substitute space will be available as and when needed.</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112</w:t>
      </w:r>
    </w:p>
    <w:p>
      <w:pPr>
        <w:sectPr>
          <w:pgSz w:w="12240" w:h="15840" w:orient="portrait"/>
          <w:cols w:equalWidth="0" w:num="1">
            <w:col w:w="9640"/>
          </w:cols>
          <w:pgMar w:left="1300" w:top="1226" w:right="1300" w:bottom="0" w:gutter="0" w:footer="0" w:header="0"/>
          <w:type w:val="continuous"/>
        </w:sectPr>
      </w:pPr>
    </w:p>
    <w:bookmarkStart w:id="118" w:name="page119"/>
    <w:bookmarkEnd w:id="118"/>
    <w:p>
      <w:pPr>
        <w:spacing w:after="0"/>
        <w:rPr>
          <w:sz w:val="20"/>
          <w:szCs w:val="20"/>
          <w:color w:val="auto"/>
        </w:rPr>
      </w:pPr>
      <w:r>
        <w:rPr>
          <w:rFonts w:ascii="Arial" w:cs="Arial" w:eastAsia="Arial" w:hAnsi="Arial"/>
          <w:sz w:val="21"/>
          <w:szCs w:val="21"/>
          <w:b w:val="1"/>
          <w:bCs w:val="1"/>
          <w:color w:val="auto"/>
        </w:rPr>
        <w:t>Item 3. Legal Proceedings.</w:t>
      </w:r>
    </w:p>
    <w:p>
      <w:pPr>
        <w:spacing w:after="0" w:line="122"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From time to time, we are subject to various legal proceedings or claims that arise in the ordinary course of business. The following is a brief description of the more significant legal proceedings.</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Securities Class Actions</w:t>
      </w:r>
    </w:p>
    <w:p>
      <w:pPr>
        <w:spacing w:after="0" w:line="122"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 w:cs="Arial" w:eastAsia="Arial" w:hAnsi="Arial"/>
          <w:sz w:val="21"/>
          <w:szCs w:val="21"/>
          <w:i w:val="1"/>
          <w:iCs w:val="1"/>
          <w:color w:val="auto"/>
        </w:rPr>
        <w:t>Wang v. Athira Pharma, Inc., et al.</w:t>
      </w:r>
      <w:r>
        <w:rPr>
          <w:rFonts w:ascii="Arial" w:cs="Arial" w:eastAsia="Arial" w:hAnsi="Arial"/>
          <w:sz w:val="21"/>
          <w:szCs w:val="21"/>
          <w:color w:val="auto"/>
        </w:rPr>
        <w:t xml:space="preserve">, No. 2:21-cv-00861. Plaintiffs Wang and Gao assert claims under Sections 10(b) and 20(a) of the Securities Exchange Act of 1934, or Exchange Act, and SEC Rule 10b-5, alleging that the defendants made materially false and misleading statements and omitted material adverse facts regarding our business. Specifically, the </w:t>
      </w:r>
      <w:r>
        <w:rPr>
          <w:rFonts w:ascii="Arial" w:cs="Arial" w:eastAsia="Arial" w:hAnsi="Arial"/>
          <w:sz w:val="21"/>
          <w:szCs w:val="21"/>
          <w:i w:val="1"/>
          <w:iCs w:val="1"/>
          <w:color w:val="auto"/>
        </w:rPr>
        <w:t>Wang</w:t>
      </w:r>
      <w:r>
        <w:rPr>
          <w:rFonts w:ascii="Arial" w:cs="Arial" w:eastAsia="Arial" w:hAnsi="Arial"/>
          <w:sz w:val="21"/>
          <w:szCs w:val="21"/>
          <w:color w:val="auto"/>
        </w:rPr>
        <w:t xml:space="preserve"> plaintiffs allege that we failed to disclose to investors that certain research conducted by Dr. Kawas was allegedly tainted by scientific misconduct during her doctoral work at WSU including the manipulation of data, and that as a result, the defendants’ positive statements about our business, operations, and prospects were materially misleading. The </w:t>
      </w:r>
      <w:r>
        <w:rPr>
          <w:rFonts w:ascii="Arial" w:cs="Arial" w:eastAsia="Arial" w:hAnsi="Arial"/>
          <w:sz w:val="21"/>
          <w:szCs w:val="21"/>
          <w:i w:val="1"/>
          <w:iCs w:val="1"/>
          <w:color w:val="auto"/>
        </w:rPr>
        <w:t>Wang</w:t>
      </w:r>
      <w:r>
        <w:rPr>
          <w:rFonts w:ascii="Arial" w:cs="Arial" w:eastAsia="Arial" w:hAnsi="Arial"/>
          <w:sz w:val="21"/>
          <w:szCs w:val="21"/>
          <w:color w:val="auto"/>
        </w:rPr>
        <w:t xml:space="preserve"> plaintiffs seek unspecified compensatory and punitive damages, and reasonable costs and expenses, including attorneys’ fees.</w:t>
      </w:r>
    </w:p>
    <w:p>
      <w:pPr>
        <w:spacing w:after="0" w:line="208"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 xml:space="preserve">That same day, on June 25, 2021, plaintiff Harshdeep Jawandha filed a putative securities class action lawsuit in the U.S. District Court for the Western District of Washington against us, Dr. Kawas, our chief financial officer, certain members of our board of directors at the time of our IPO, as well as the IPO underwriters, captioned </w:t>
      </w:r>
      <w:r>
        <w:rPr>
          <w:rFonts w:ascii="Arial" w:cs="Arial" w:eastAsia="Arial" w:hAnsi="Arial"/>
          <w:sz w:val="20"/>
          <w:szCs w:val="20"/>
          <w:i w:val="1"/>
          <w:iCs w:val="1"/>
          <w:color w:val="auto"/>
        </w:rPr>
        <w:t>Jawandha v. Athira Pharma, Inc., et al.</w:t>
      </w:r>
      <w:r>
        <w:rPr>
          <w:rFonts w:ascii="Arial" w:cs="Arial" w:eastAsia="Arial" w:hAnsi="Arial"/>
          <w:sz w:val="20"/>
          <w:szCs w:val="20"/>
          <w:color w:val="auto"/>
        </w:rPr>
        <w:t xml:space="preserve"> , No. 2:21-cv- 00862. The </w:t>
      </w:r>
      <w:r>
        <w:rPr>
          <w:rFonts w:ascii="Arial" w:cs="Arial" w:eastAsia="Arial" w:hAnsi="Arial"/>
          <w:sz w:val="20"/>
          <w:szCs w:val="20"/>
          <w:i w:val="1"/>
          <w:iCs w:val="1"/>
          <w:color w:val="auto"/>
        </w:rPr>
        <w:t>Jawandha</w:t>
      </w:r>
      <w:r>
        <w:rPr>
          <w:rFonts w:ascii="Arial" w:cs="Arial" w:eastAsia="Arial" w:hAnsi="Arial"/>
          <w:sz w:val="20"/>
          <w:szCs w:val="20"/>
          <w:color w:val="auto"/>
        </w:rPr>
        <w:t xml:space="preserve"> complaint asserts violations of Sections 11 and 15 of the Securities Act of 1933, or Securities Act, alleging that that our IPO registration statement 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w:t>
      </w:r>
      <w:r>
        <w:rPr>
          <w:rFonts w:ascii="Arial" w:cs="Arial" w:eastAsia="Arial" w:hAnsi="Arial"/>
          <w:sz w:val="20"/>
          <w:szCs w:val="20"/>
          <w:i w:val="1"/>
          <w:iCs w:val="1"/>
          <w:color w:val="auto"/>
        </w:rPr>
        <w:t>Jawandha</w:t>
      </w:r>
      <w:r>
        <w:rPr>
          <w:rFonts w:ascii="Arial" w:cs="Arial" w:eastAsia="Arial" w:hAnsi="Arial"/>
          <w:sz w:val="20"/>
          <w:szCs w:val="20"/>
          <w:color w:val="auto"/>
        </w:rPr>
        <w:t xml:space="preserve"> plaintiff seeks unspecified compensatory damages, and reasonable costs and expenses, including attorneys’ fees.</w:t>
      </w:r>
    </w:p>
    <w:p>
      <w:pPr>
        <w:spacing w:after="0" w:line="198" w:lineRule="exact"/>
        <w:rPr>
          <w:sz w:val="20"/>
          <w:szCs w:val="20"/>
          <w:color w:val="auto"/>
        </w:rPr>
      </w:pPr>
    </w:p>
    <w:p>
      <w:pPr>
        <w:jc w:val="both"/>
        <w:ind w:firstLine="505"/>
        <w:spacing w:after="0"/>
        <w:rPr>
          <w:sz w:val="20"/>
          <w:szCs w:val="20"/>
          <w:color w:val="auto"/>
        </w:rPr>
      </w:pPr>
      <w:r>
        <w:rPr>
          <w:rFonts w:ascii="Arial" w:cs="Arial" w:eastAsia="Arial" w:hAnsi="Arial"/>
          <w:sz w:val="21"/>
          <w:szCs w:val="21"/>
          <w:color w:val="auto"/>
        </w:rPr>
        <w:t xml:space="preserve">Also on June 25, 2021, plaintiffs Timothy Slyne and Tai Slyne filed a putative securities class action lawsuit in the U.S. District Court for the Western District of Washington against us, Dr. Kawas, our chief financial officer, and the same members of our board of directors and underwriters as in the </w:t>
      </w:r>
      <w:r>
        <w:rPr>
          <w:rFonts w:ascii="Arial" w:cs="Arial" w:eastAsia="Arial" w:hAnsi="Arial"/>
          <w:sz w:val="21"/>
          <w:szCs w:val="21"/>
          <w:i w:val="1"/>
          <w:iCs w:val="1"/>
          <w:color w:val="auto"/>
        </w:rPr>
        <w:t>Jawandha</w:t>
      </w:r>
      <w:r>
        <w:rPr>
          <w:rFonts w:ascii="Arial" w:cs="Arial" w:eastAsia="Arial" w:hAnsi="Arial"/>
          <w:sz w:val="21"/>
          <w:szCs w:val="21"/>
          <w:color w:val="auto"/>
        </w:rPr>
        <w:t xml:space="preserve"> complaint, captioned </w:t>
      </w:r>
      <w:r>
        <w:rPr>
          <w:rFonts w:ascii="Arial" w:cs="Arial" w:eastAsia="Arial" w:hAnsi="Arial"/>
          <w:sz w:val="21"/>
          <w:szCs w:val="21"/>
          <w:i w:val="1"/>
          <w:iCs w:val="1"/>
          <w:color w:val="auto"/>
        </w:rPr>
        <w:t>Slyne v. Athira Pharma, Inc. et al.</w:t>
      </w:r>
      <w:r>
        <w:rPr>
          <w:rFonts w:ascii="Arial" w:cs="Arial" w:eastAsia="Arial" w:hAnsi="Arial"/>
          <w:sz w:val="21"/>
          <w:szCs w:val="21"/>
          <w:color w:val="auto"/>
        </w:rPr>
        <w:t xml:space="preserve">, No. 2:21-cv-00864. The </w:t>
      </w:r>
      <w:r>
        <w:rPr>
          <w:rFonts w:ascii="Arial" w:cs="Arial" w:eastAsia="Arial" w:hAnsi="Arial"/>
          <w:sz w:val="21"/>
          <w:szCs w:val="21"/>
          <w:i w:val="1"/>
          <w:iCs w:val="1"/>
          <w:color w:val="auto"/>
        </w:rPr>
        <w:t>Slyne</w:t>
      </w:r>
      <w:r>
        <w:rPr>
          <w:rFonts w:ascii="Arial" w:cs="Arial" w:eastAsia="Arial" w:hAnsi="Arial"/>
          <w:sz w:val="21"/>
          <w:szCs w:val="21"/>
          <w:color w:val="auto"/>
        </w:rPr>
        <w:t xml:space="preserve"> complaint asserts violations of Sections 11 and 15 of the Securities Act, alleging that purported issues with Dr. Kawas’s doctoral research at WSU should have been disclosed in our IPO registration statement. The </w:t>
      </w:r>
      <w:r>
        <w:rPr>
          <w:rFonts w:ascii="Arial" w:cs="Arial" w:eastAsia="Arial" w:hAnsi="Arial"/>
          <w:sz w:val="21"/>
          <w:szCs w:val="21"/>
          <w:i w:val="1"/>
          <w:iCs w:val="1"/>
          <w:color w:val="auto"/>
        </w:rPr>
        <w:t>Slyne</w:t>
      </w:r>
      <w:r>
        <w:rPr>
          <w:rFonts w:ascii="Arial" w:cs="Arial" w:eastAsia="Arial" w:hAnsi="Arial"/>
          <w:sz w:val="21"/>
          <w:szCs w:val="21"/>
          <w:color w:val="auto"/>
        </w:rPr>
        <w:t xml:space="preserve"> plaintiffs seek unspecified compensatory damages, reasonable costs and expenses, including attorneys’ fees, and injunctive and other equitable relief.</w:t>
      </w:r>
    </w:p>
    <w:p>
      <w:pPr>
        <w:spacing w:after="0" w:line="210"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On August 9, 2021, the court issued an order consolidating the three cases. On October 5, 2021, the district court issued an order appointing lead plaintiffs and approved their selection of lead and liaison counsel.</w:t>
      </w:r>
    </w:p>
    <w:p>
      <w:pPr>
        <w:spacing w:after="0" w:line="194"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On January 7, 2022, lead plaintiffs filed a consolidated amended complaint, which asserts violations of Sections 10(b) and 20(a) of the Securities Exchange Act and SEC Rule 10b-5 and Sections 11, 12, and 15 of the Securities Act. The consolidated amended complaint is brought against us, Dr. Kawas, our chief financial officer, certain members of our board of directors at the time of our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113</w:t>
      </w:r>
    </w:p>
    <w:p>
      <w:pPr>
        <w:sectPr>
          <w:pgSz w:w="12240" w:h="15840" w:orient="portrait"/>
          <w:cols w:equalWidth="0" w:num="1">
            <w:col w:w="9640"/>
          </w:cols>
          <w:pgMar w:left="1300" w:top="1222" w:right="1300" w:bottom="0" w:gutter="0" w:footer="0" w:header="0"/>
          <w:type w:val="continuous"/>
        </w:sectPr>
      </w:pPr>
    </w:p>
    <w:bookmarkStart w:id="119" w:name="page120"/>
    <w:bookmarkEnd w:id="119"/>
    <w:p>
      <w:pPr>
        <w:jc w:val="both"/>
        <w:spacing w:after="0" w:line="242" w:lineRule="auto"/>
        <w:rPr>
          <w:sz w:val="20"/>
          <w:szCs w:val="20"/>
          <w:color w:val="auto"/>
        </w:rPr>
      </w:pPr>
      <w:r>
        <w:rPr>
          <w:rFonts w:ascii="Arial" w:cs="Arial" w:eastAsia="Arial" w:hAnsi="Arial"/>
          <w:sz w:val="21"/>
          <w:szCs w:val="21"/>
          <w:color w:val="auto"/>
        </w:rPr>
        <w:t>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spacing w:after="0" w:line="208" w:lineRule="exact"/>
        <w:rPr>
          <w:sz w:val="20"/>
          <w:szCs w:val="20"/>
          <w:color w:val="auto"/>
        </w:rPr>
      </w:pPr>
    </w:p>
    <w:p>
      <w:pPr>
        <w:jc w:val="both"/>
        <w:ind w:firstLine="504"/>
        <w:spacing w:after="0" w:line="260" w:lineRule="auto"/>
        <w:rPr>
          <w:sz w:val="20"/>
          <w:szCs w:val="20"/>
          <w:color w:val="auto"/>
        </w:rPr>
      </w:pPr>
      <w:r>
        <w:rPr>
          <w:rFonts w:ascii="Arial" w:cs="Arial" w:eastAsia="Arial" w:hAnsi="Arial"/>
          <w:sz w:val="20"/>
          <w:szCs w:val="20"/>
          <w:color w:val="auto"/>
        </w:rPr>
        <w:t>On August 12, 2022, defendant Dr. Kawas filed a motion for partial reconsideration of the court’s July 29, 2022 order. On October 4, 2022, the court denied the motion. On October 24, 2022, the parties filed a</w:t>
      </w:r>
    </w:p>
    <w:p>
      <w:pPr>
        <w:spacing w:after="0" w:line="1" w:lineRule="exact"/>
        <w:rPr>
          <w:sz w:val="20"/>
          <w:szCs w:val="20"/>
          <w:color w:val="auto"/>
        </w:rPr>
      </w:pPr>
    </w:p>
    <w:p>
      <w:pPr>
        <w:jc w:val="both"/>
        <w:spacing w:after="0" w:line="251" w:lineRule="auto"/>
        <w:tabs>
          <w:tab w:leader="none" w:pos="307" w:val="left"/>
        </w:tabs>
        <w:numPr>
          <w:ilvl w:val="0"/>
          <w:numId w:val="54"/>
        </w:numPr>
        <w:rPr>
          <w:rFonts w:ascii="Arial" w:cs="Arial" w:eastAsia="Arial" w:hAnsi="Arial"/>
          <w:sz w:val="20"/>
          <w:szCs w:val="20"/>
          <w:color w:val="auto"/>
        </w:rPr>
      </w:pPr>
      <w:r>
        <w:rPr>
          <w:rFonts w:ascii="Arial" w:cs="Arial" w:eastAsia="Arial" w:hAnsi="Arial"/>
          <w:sz w:val="20"/>
          <w:szCs w:val="20"/>
          <w:color w:val="auto"/>
        </w:rPr>
        <w:t>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we and Dr. Kawas filed our individual answers to the consolidated amended complaint. In mid-November 2022, the parties began conducting fact discovery. On December 19, 2022, the underwriter defendants filed a motion for entry of judgment. On February 17, 2023, the court issued an order directing the parties to provide briefing on the court’s proposed form of partial judgment.</w:t>
      </w:r>
    </w:p>
    <w:p>
      <w:pPr>
        <w:spacing w:after="0" w:line="195"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On February 28, 2023, we reached an agreement in principle to resolve all claims in the class action lawsuit. Under the proposed settlement, we agreed to make a one-time payment of $10.0 million. As a result, we recorded a legal settlement expense of $10.0 million within operating expenses on our consolidated statements of operations and comprehensive loss in the fourth quarter of 2022 and an accrued liability of $10.0 million for this settlement on our consolidated balance sheets. The proposed settlement is subject to the parties finalizing a stipulation of settlement and preliminary and the final approval of the U.S. District Court for the Western District of Washington.</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Shareholder Derivative Actions</w:t>
      </w:r>
    </w:p>
    <w:p>
      <w:pPr>
        <w:spacing w:after="0" w:line="247"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 xml:space="preserve">On April 14, 2022, a shareholder derivative action was filed by plaintiff Stephen Bushansky in the U.S. District Court for the Western District of Washington against certain current and former members of our board of directors, captioned </w:t>
      </w:r>
      <w:r>
        <w:rPr>
          <w:rFonts w:ascii="Arial" w:cs="Arial" w:eastAsia="Arial" w:hAnsi="Arial"/>
          <w:sz w:val="20"/>
          <w:szCs w:val="20"/>
          <w:i w:val="1"/>
          <w:iCs w:val="1"/>
          <w:color w:val="auto"/>
        </w:rPr>
        <w:t>Bushansky v. Kawas et al.</w:t>
      </w:r>
      <w:r>
        <w:rPr>
          <w:rFonts w:ascii="Arial" w:cs="Arial" w:eastAsia="Arial" w:hAnsi="Arial"/>
          <w:sz w:val="20"/>
          <w:szCs w:val="20"/>
          <w:color w:val="auto"/>
        </w:rPr>
        <w:t>, No. 2:22-cv-497. Plaintiff purports to bring the action derivatively on our behalf, and we are a nominal defendant to the action. The derivative complaint alleges that our board of directors breached its fiduciary duties by failing to prevent alleged misstatements in our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spacing w:after="0" w:line="197"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 xml:space="preserve">On May 6, 2022, a second shareholder derivative action was filed by plaintiff Thomas Houlihan in the U.S. District Court for the Western District of Washington against certain of our current and former directors and officers, captioned </w:t>
      </w:r>
      <w:r>
        <w:rPr>
          <w:rFonts w:ascii="Arial" w:cs="Arial" w:eastAsia="Arial" w:hAnsi="Arial"/>
          <w:sz w:val="20"/>
          <w:szCs w:val="20"/>
          <w:i w:val="1"/>
          <w:iCs w:val="1"/>
          <w:color w:val="auto"/>
        </w:rPr>
        <w:t>Houlihan v. Kawas et al</w:t>
      </w:r>
      <w:r>
        <w:rPr>
          <w:rFonts w:ascii="Arial" w:cs="Arial" w:eastAsia="Arial" w:hAnsi="Arial"/>
          <w:sz w:val="20"/>
          <w:szCs w:val="20"/>
          <w:color w:val="auto"/>
        </w:rPr>
        <w:t>., No. 2:22-cv-620. Plaintiff purports to bring the action derivatively on our behalf, and we are a nominal defendant to the action. The derivative complaint alleges that certain of our current and former directors and officers breached their fiduciary duties by failing to prevent alleged misstatements in our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spacing w:after="0" w:line="202"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On May 26, 2022, the court issued an order consolidating the cases and staying them until further order of the court.</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114</w:t>
      </w:r>
    </w:p>
    <w:p>
      <w:pPr>
        <w:sectPr>
          <w:pgSz w:w="12240" w:h="15840" w:orient="portrait"/>
          <w:cols w:equalWidth="0" w:num="1">
            <w:col w:w="9640"/>
          </w:cols>
          <w:pgMar w:left="1300" w:top="1226" w:right="1300" w:bottom="0" w:gutter="0" w:footer="0" w:header="0"/>
          <w:type w:val="continuous"/>
        </w:sectPr>
      </w:pPr>
    </w:p>
    <w:bookmarkStart w:id="120" w:name="page121"/>
    <w:bookmarkEnd w:id="120"/>
    <w:p>
      <w:pPr>
        <w:spacing w:after="0"/>
        <w:rPr>
          <w:sz w:val="20"/>
          <w:szCs w:val="20"/>
          <w:color w:val="auto"/>
        </w:rPr>
      </w:pPr>
      <w:r>
        <w:rPr>
          <w:rFonts w:ascii="Arial" w:cs="Arial" w:eastAsia="Arial" w:hAnsi="Arial"/>
          <w:sz w:val="21"/>
          <w:szCs w:val="21"/>
          <w:b w:val="1"/>
          <w:bCs w:val="1"/>
          <w:color w:val="auto"/>
        </w:rPr>
        <w:t>Government Investigations</w:t>
      </w:r>
    </w:p>
    <w:p>
      <w:pPr>
        <w:spacing w:after="0" w:line="246"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In November 2022, we received a Civil Investigative Demand from the Civil Division of the Department of Justice, or the Demand. The Demand seeks documents and information relating to our relationship with WSU, certain of our grant applications in 2016 and 2019 with the National Institutes of Health, or NIH, and our receipt of a NIH grant in 2020. We are cooperating with the Department of Justice with respect to the Demand.</w:t>
      </w:r>
    </w:p>
    <w:p>
      <w:pPr>
        <w:spacing w:after="0" w:line="205"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0"/>
          <w:szCs w:val="20"/>
          <w:color w:val="auto"/>
        </w:rPr>
        <w:t>In February 2023, the Securities and Exchange Commission, or SEC, sent us a subpoena seeking documents and information relating to, among other things, our former chief executive officer's alterations of images in certain research papers. We are cooperating with the SEC with respect to the subpoena.</w:t>
      </w:r>
    </w:p>
    <w:p>
      <w:pPr>
        <w:spacing w:after="0" w:line="176"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We cannot predict the outcome of these lawsuits or government investigations. Failure by us to obtain a favorable resolution of these actions could have a material adverse effect on our business, results of operations and financial condition.</w:t>
      </w: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Mine Safety Disclosures.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1"/>
          <w:szCs w:val="21"/>
          <w:color w:val="auto"/>
        </w:rPr>
        <w:t>Not applicable.</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115</w:t>
      </w:r>
    </w:p>
    <w:p>
      <w:pPr>
        <w:sectPr>
          <w:pgSz w:w="12240" w:h="15840" w:orient="portrait"/>
          <w:cols w:equalWidth="0" w:num="1">
            <w:col w:w="9640"/>
          </w:cols>
          <w:pgMar w:left="1300" w:top="1222" w:right="1300" w:bottom="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21"/>
          <w:szCs w:val="21"/>
          <w:b w:val="1"/>
          <w:bCs w:val="1"/>
          <w:color w:val="auto"/>
        </w:rPr>
        <w:t>PART II</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21"/>
          <w:szCs w:val="21"/>
          <w:b w:val="1"/>
          <w:bCs w:val="1"/>
          <w:color w:val="auto"/>
        </w:rPr>
        <w:t>Item 5. Market for Registrant’s Common Equity, Related Stockholder Matters and Issuer Purchases of Equity Securities.</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 Information for Common Stock</w:t>
      </w:r>
    </w:p>
    <w:p>
      <w:pPr>
        <w:spacing w:after="0" w:line="122"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Our common stock began trading on The Nasdaq Global Select Market under the symbol “ATHA” on September 18, 2020. Prior to that date, there was no public trading market for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Holders of Record</w:t>
      </w:r>
    </w:p>
    <w:p>
      <w:pPr>
        <w:spacing w:after="0" w:line="122"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1"/>
          <w:szCs w:val="21"/>
          <w:color w:val="auto"/>
        </w:rPr>
        <w:t>As of March 20, 2023, there were approximately 44 holders of record of our common stock. Because many of our shares are held by brokers and other institutions on behalf of shareholders, we are unable to estimate the total number of shareholders represented by these record holders.</w:t>
      </w:r>
    </w:p>
    <w:p>
      <w:pPr>
        <w:spacing w:after="0" w:line="3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Dividend Policy</w:t>
      </w:r>
    </w:p>
    <w:p>
      <w:pPr>
        <w:spacing w:after="0" w:line="123"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We currently intend to retain all available funds and future earnings to fund the development and growth of our business and we do not anticipate paying any cash dividends in the foreseeable future.</w:t>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Sales of Unregistered Securities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21"/>
          <w:szCs w:val="21"/>
          <w:color w:val="auto"/>
        </w:rPr>
        <w:t>None.</w:t>
      </w: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Performance Graph</w:t>
      </w:r>
    </w:p>
    <w:p>
      <w:pPr>
        <w:spacing w:after="0" w:line="123"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As a smaller reporting company, we are not required to provide the information requested by this item pursuant to Item 201(e) of Regulation S-K.</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Issuer Repurchases of Equity Securities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21"/>
          <w:szCs w:val="21"/>
          <w:color w:val="auto"/>
        </w:rPr>
        <w:t>None.</w:t>
      </w: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[Reserved].</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116</w:t>
      </w:r>
    </w:p>
    <w:p>
      <w:pPr>
        <w:sectPr>
          <w:pgSz w:w="12240" w:h="15840" w:orient="portrait"/>
          <w:cols w:equalWidth="0" w:num="1">
            <w:col w:w="9640"/>
          </w:cols>
          <w:pgMar w:left="1300" w:top="1222" w:right="1300" w:bottom="0" w:gutter="0" w:footer="0" w:header="0"/>
          <w:type w:val="continuous"/>
        </w:sectPr>
      </w:pPr>
    </w:p>
    <w:bookmarkStart w:id="122" w:name="page123"/>
    <w:bookmarkEnd w:id="122"/>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42" w:lineRule="exact"/>
        <w:rPr>
          <w:sz w:val="20"/>
          <w:szCs w:val="20"/>
          <w:color w:val="auto"/>
        </w:rPr>
      </w:pPr>
    </w:p>
    <w:p>
      <w:pPr>
        <w:jc w:val="both"/>
        <w:ind w:right="20" w:firstLine="504"/>
        <w:spacing w:after="0" w:line="251" w:lineRule="auto"/>
        <w:rPr>
          <w:sz w:val="20"/>
          <w:szCs w:val="20"/>
          <w:color w:val="auto"/>
        </w:rPr>
      </w:pPr>
      <w:r>
        <w:rPr>
          <w:rFonts w:ascii="Arial" w:cs="Arial" w:eastAsia="Arial" w:hAnsi="Arial"/>
          <w:sz w:val="20"/>
          <w:szCs w:val="20"/>
          <w:i w:val="1"/>
          <w:iCs w:val="1"/>
          <w:color w:val="auto"/>
        </w:rPr>
        <w:t>You should read the following management’s discussion and analysis of financial condition and results of operations in conjunction with our consolidated financial statements and notes thereto included in Part II, Item 8 of this Annual Report on Form 10-K.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Annual Report on Form 10-K titled “Risk Factors” and elsewhere in this report. You should carefully read the “Risk Factors” to gain an understanding of the important factors that could cause actual results to differ materially from our forward-looking statements. Please also see the section of this report titled “Special Note Regarding Forward-Looking Statements.”</w:t>
      </w: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23"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We are a late clinical-stage biopharmaceutical company focused on developing small molecules engineered to restore neuronal health and slow neurodegeneration. Our approach is designed to target the HGF/MET system that is critical to normal brain function and may play a key role in maintaining the health and functioning of neuronal networks. We believe that by acting on the HGF/MET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HGF/MET system in either the central nervous system, or CNS, by crossing the blood brain barrier, or BBB, or the peripheral nervous system, or PNS.</w:t>
      </w:r>
    </w:p>
    <w:p>
      <w:pPr>
        <w:spacing w:after="0" w:line="211" w:lineRule="exact"/>
        <w:rPr>
          <w:sz w:val="20"/>
          <w:szCs w:val="20"/>
          <w:color w:val="auto"/>
        </w:rPr>
      </w:pPr>
    </w:p>
    <w:p>
      <w:pPr>
        <w:jc w:val="both"/>
        <w:ind w:right="20" w:firstLine="504"/>
        <w:spacing w:after="0" w:line="254" w:lineRule="auto"/>
        <w:rPr>
          <w:sz w:val="20"/>
          <w:szCs w:val="20"/>
          <w:color w:val="auto"/>
        </w:rPr>
      </w:pPr>
      <w:r>
        <w:rPr>
          <w:rFonts w:ascii="Arial" w:cs="Arial" w:eastAsia="Arial" w:hAnsi="Arial"/>
          <w:sz w:val="21"/>
          <w:szCs w:val="21"/>
          <w:color w:val="auto"/>
        </w:rPr>
        <w:t>Our lead candidate, fosgonimeton, is a subcutaneously administered, small molecule positive modulator of the HGF/MET system for CNS disorders. The effects of fosgonimeton in its primary target indication, AD, are currently being evaluated in multiple clinical trials:</w:t>
      </w:r>
    </w:p>
    <w:p>
      <w:pPr>
        <w:spacing w:after="0" w:line="205" w:lineRule="exact"/>
        <w:rPr>
          <w:sz w:val="20"/>
          <w:szCs w:val="20"/>
          <w:color w:val="auto"/>
        </w:rPr>
      </w:pPr>
    </w:p>
    <w:p>
      <w:pPr>
        <w:jc w:val="both"/>
        <w:ind w:left="740" w:right="20" w:hanging="369"/>
        <w:spacing w:after="0" w:line="251" w:lineRule="auto"/>
        <w:tabs>
          <w:tab w:leader="none" w:pos="74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ACT-AD*, was a randomized, double-blind, placebo-controlled, parallel-group 26-week exploratory Phase 2 clinical trial in mild-to-moderate AD, with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and all secondary endpoints were not met by protocoled analysis. However, a post hoc analysis of results from ACT-AD in a pre-specified subgroup suggested positive effects on measures of cognition, function and neurodegeneration in participants taking fosgonimeton alone without background acetylcholinesterase inhibitors (AChEIs). Additionally, data from post hoc analysis of plasma biomarkers from participants on fosgonimeton without background AChEIs showed descriptive improvements (non-statistically significant) in markers of neuroinflammation and AD-specific protein pathologies when compared to placebo. Fosgonimeton was generally well tolerated in the ACT-AD study, with a favorable safety profile, and there were no treatment related serious adverse events or deaths observed.</w:t>
      </w:r>
    </w:p>
    <w:p>
      <w:pPr>
        <w:spacing w:after="0" w:line="211" w:lineRule="exact"/>
        <w:rPr>
          <w:rFonts w:ascii="Arial" w:cs="Arial" w:eastAsia="Arial" w:hAnsi="Arial"/>
          <w:sz w:val="20"/>
          <w:szCs w:val="20"/>
          <w:color w:val="auto"/>
        </w:rPr>
      </w:pPr>
    </w:p>
    <w:p>
      <w:pPr>
        <w:jc w:val="both"/>
        <w:ind w:left="740" w:right="20" w:hanging="369"/>
        <w:spacing w:after="0" w:line="253" w:lineRule="auto"/>
        <w:tabs>
          <w:tab w:leader="none" w:pos="741" w:val="left"/>
        </w:tabs>
        <w:numPr>
          <w:ilvl w:val="0"/>
          <w:numId w:val="55"/>
        </w:numPr>
        <w:rPr>
          <w:rFonts w:ascii="Arial" w:cs="Arial" w:eastAsia="Arial" w:hAnsi="Arial"/>
          <w:sz w:val="20"/>
          <w:szCs w:val="20"/>
          <w:color w:val="auto"/>
        </w:rPr>
      </w:pPr>
      <w:r>
        <w:rPr>
          <w:rFonts w:ascii="Arial" w:cs="Arial" w:eastAsia="Arial" w:hAnsi="Arial"/>
          <w:sz w:val="20"/>
          <w:szCs w:val="20"/>
          <w:color w:val="auto"/>
        </w:rPr>
        <w:t>LIFT-AD, a randomized, double-blind, placebo-controlled, parallel-group 26-week Phase 2/3 clinical trial with fosgonimeton for the treatment of mild-to-moderate AD. In September 2020, we began site initiation and patient screening for LIFT-AD. The primary endpoint for the Phase 2/3 LIFT-AD trial will be measured by the GST, which is a composite score that combines the scores from cognition (Alzheimer's Disease Assessment Scale-Cognitive Subscale or ADAS-Cog11), and function (Alzheimer’s Disease Cooperative Study-Activities of Daily Living or ADCS-ADL23). Guided by the results from the completed exploratory ACT-AD Phase 2 trial, in September 2022, we proactively amended LIFT-AD to focus on participants not on background AChEIs. In October 2022, we announced that following an unblinded interim efficacy and futility analysis, an</w:t>
      </w:r>
    </w:p>
    <w:p>
      <w:pPr>
        <w:sectPr>
          <w:pgSz w:w="12240" w:h="15840" w:orient="portrait"/>
          <w:cols w:equalWidth="0" w:num="1">
            <w:col w:w="9660"/>
          </w:cols>
          <w:pgMar w:left="1300" w:top="1222" w:right="128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117</w:t>
      </w:r>
    </w:p>
    <w:p>
      <w:pPr>
        <w:sectPr>
          <w:pgSz w:w="12240" w:h="15840" w:orient="portrait"/>
          <w:cols w:equalWidth="0" w:num="1">
            <w:col w:w="9660"/>
          </w:cols>
          <w:pgMar w:left="1300" w:top="1222" w:right="1280" w:bottom="0" w:gutter="0" w:footer="0" w:header="0"/>
          <w:type w:val="continuous"/>
        </w:sectPr>
      </w:pPr>
    </w:p>
    <w:bookmarkStart w:id="123" w:name="page124"/>
    <w:bookmarkEnd w:id="123"/>
    <w:p>
      <w:pPr>
        <w:jc w:val="both"/>
        <w:ind w:left="740"/>
        <w:spacing w:after="0" w:line="244" w:lineRule="auto"/>
        <w:rPr>
          <w:sz w:val="20"/>
          <w:szCs w:val="20"/>
          <w:color w:val="auto"/>
        </w:rPr>
      </w:pPr>
      <w:r>
        <w:rPr>
          <w:rFonts w:ascii="Arial" w:cs="Arial" w:eastAsia="Arial" w:hAnsi="Arial"/>
          <w:sz w:val="21"/>
          <w:szCs w:val="21"/>
          <w:color w:val="auto"/>
        </w:rPr>
        <w:t>independent data monitoring committee recommended continuation of the LIFT-AD trial. The committee also determined that, with the additional enrollment of fewer than 150 participants for a total enrollment of less than 300 participants without background AChEIs, the amended trial will be well powered for the primary endpoint given the preliminary effect size observed. We are targeting to complete enrollment in mid-2023 and report topline data in early 2024.</w:t>
      </w:r>
    </w:p>
    <w:p>
      <w:pPr>
        <w:spacing w:after="0" w:line="218" w:lineRule="exact"/>
        <w:rPr>
          <w:sz w:val="20"/>
          <w:szCs w:val="20"/>
          <w:color w:val="auto"/>
        </w:rPr>
      </w:pPr>
    </w:p>
    <w:p>
      <w:pPr>
        <w:jc w:val="both"/>
        <w:ind w:left="740" w:hanging="370"/>
        <w:spacing w:after="0" w:line="257" w:lineRule="auto"/>
        <w:tabs>
          <w:tab w:leader="none" w:pos="7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 July 2021, we announced that we are enrolling participants into a 26-week open-label extension study* for our LIFT-AD and ACT-AD clinical trials, which will allow us to collect up to a total of one year of safety data with fosgonimeton. In May 2022, we announced that we extended the 26-week open-label extension study for our LIFT-AD and ACT-AD clinical trials for an additional 12 months, enabling eligible participants who have completed either trial, and elect to participate in the ongoing open label extension, to now receive up to 18 months of open-label treatment with fosgonimeton.</w:t>
      </w:r>
    </w:p>
    <w:p>
      <w:pPr>
        <w:spacing w:after="0" w:line="199" w:lineRule="exact"/>
        <w:rPr>
          <w:rFonts w:ascii="Arial" w:cs="Arial" w:eastAsia="Arial" w:hAnsi="Arial"/>
          <w:sz w:val="20"/>
          <w:szCs w:val="20"/>
          <w:color w:val="auto"/>
        </w:rPr>
      </w:pPr>
    </w:p>
    <w:p>
      <w:pPr>
        <w:jc w:val="both"/>
        <w:ind w:left="740"/>
        <w:spacing w:after="0" w:line="242" w:lineRule="auto"/>
        <w:rPr>
          <w:rFonts w:ascii="Arial" w:cs="Arial" w:eastAsia="Arial" w:hAnsi="Arial"/>
          <w:sz w:val="20"/>
          <w:szCs w:val="20"/>
          <w:color w:val="auto"/>
        </w:rPr>
      </w:pPr>
      <w:r>
        <w:rPr>
          <w:rFonts w:ascii="Arial" w:cs="Arial" w:eastAsia="Arial" w:hAnsi="Arial"/>
          <w:sz w:val="21"/>
          <w:szCs w:val="21"/>
          <w:i w:val="1"/>
          <w:iCs w:val="1"/>
          <w:color w:val="auto"/>
        </w:rPr>
        <w:t>*The ACT-AD trial and the related open-label extension for ACT-AD participants (described further below) was and are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spacing w:after="0" w:line="206" w:lineRule="exact"/>
        <w:rPr>
          <w:sz w:val="20"/>
          <w:szCs w:val="20"/>
          <w:color w:val="auto"/>
        </w:rPr>
      </w:pPr>
    </w:p>
    <w:p>
      <w:pPr>
        <w:jc w:val="both"/>
        <w:ind w:firstLine="504"/>
        <w:spacing w:after="0" w:line="243" w:lineRule="auto"/>
        <w:rPr>
          <w:sz w:val="20"/>
          <w:szCs w:val="20"/>
          <w:color w:val="auto"/>
        </w:rPr>
      </w:pPr>
      <w:r>
        <w:rPr>
          <w:rFonts w:ascii="Arial" w:cs="Arial" w:eastAsia="Arial" w:hAnsi="Arial"/>
          <w:sz w:val="21"/>
          <w:szCs w:val="21"/>
          <w:color w:val="auto"/>
        </w:rPr>
        <w:t>The following figure illustrates the current development stage of our ATH compounds and early discovery and development programs. Our pipeline consists of both BBB permeable and peripherally restricted drug candidates for CNS, PNS and other indications. In addition, we are exploring the use of our ATH compounds in additional indications in the CNS and PNS as we aim to improve neuronal health in multiple neurodegenerative diseases. Our drug discovery efforts are focused on designing and testing new early compounds to enhance the HGF/MET system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6128385" cy="26181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a:extLst>
                        <a:ext uri="{28A0092B-C50C-407E-A947-70E740481C1C}"/>
                      </a:extLst>
                    </a:blip>
                    <a:srcRect/>
                    <a:stretch>
                      <a:fillRect/>
                    </a:stretch>
                  </pic:blipFill>
                  <pic:spPr bwMode="auto">
                    <a:xfrm>
                      <a:off x="0" y="0"/>
                      <a:ext cx="6128385" cy="261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94"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20"/>
          <w:szCs w:val="20"/>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118</w:t>
      </w:r>
    </w:p>
    <w:p>
      <w:pPr>
        <w:sectPr>
          <w:pgSz w:w="12240" w:h="15840" w:orient="portrait"/>
          <w:cols w:equalWidth="0" w:num="1">
            <w:col w:w="9640"/>
          </w:cols>
          <w:pgMar w:left="1300" w:top="1226" w:right="1300" w:bottom="0" w:gutter="0" w:footer="0" w:header="0"/>
          <w:type w:val="continuous"/>
        </w:sectPr>
      </w:pPr>
    </w:p>
    <w:bookmarkStart w:id="124" w:name="page125"/>
    <w:bookmarkEnd w:id="124"/>
    <w:p>
      <w:pPr>
        <w:jc w:val="both"/>
        <w:spacing w:after="0" w:line="271" w:lineRule="auto"/>
        <w:rPr>
          <w:sz w:val="20"/>
          <w:szCs w:val="20"/>
          <w:color w:val="auto"/>
        </w:rPr>
      </w:pPr>
      <w:r>
        <w:rPr>
          <w:rFonts w:ascii="Arial" w:cs="Arial" w:eastAsia="Arial" w:hAnsi="Arial"/>
          <w:sz w:val="21"/>
          <w:szCs w:val="21"/>
          <w:color w:val="auto"/>
        </w:rPr>
        <w:t>sufficient to achieve profitability, if ever, will depend on the successful development of one or more of our product candidates which we expect will take a number of years.</w:t>
      </w:r>
    </w:p>
    <w:p>
      <w:pPr>
        <w:spacing w:after="0" w:line="175" w:lineRule="exact"/>
        <w:rPr>
          <w:sz w:val="20"/>
          <w:szCs w:val="20"/>
          <w:color w:val="auto"/>
        </w:rPr>
      </w:pPr>
    </w:p>
    <w:p>
      <w:pPr>
        <w:jc w:val="both"/>
        <w:ind w:firstLine="504"/>
        <w:spacing w:after="0" w:line="238" w:lineRule="auto"/>
        <w:rPr>
          <w:sz w:val="20"/>
          <w:szCs w:val="20"/>
          <w:color w:val="auto"/>
        </w:rPr>
      </w:pPr>
      <w:r>
        <w:rPr>
          <w:rFonts w:ascii="Arial" w:cs="Arial" w:eastAsia="Arial" w:hAnsi="Arial"/>
          <w:sz w:val="21"/>
          <w:szCs w:val="21"/>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fosgonimeton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213" w:lineRule="exact"/>
        <w:rPr>
          <w:sz w:val="20"/>
          <w:szCs w:val="20"/>
          <w:color w:val="auto"/>
        </w:rPr>
      </w:pPr>
    </w:p>
    <w:p>
      <w:pPr>
        <w:jc w:val="both"/>
        <w:ind w:firstLine="504"/>
        <w:spacing w:after="0" w:line="260" w:lineRule="auto"/>
        <w:rPr>
          <w:sz w:val="20"/>
          <w:szCs w:val="20"/>
          <w:color w:val="auto"/>
        </w:rPr>
      </w:pPr>
      <w:r>
        <w:rPr>
          <w:rFonts w:ascii="Arial" w:cs="Arial" w:eastAsia="Arial" w:hAnsi="Arial"/>
          <w:sz w:val="20"/>
          <w:szCs w:val="20"/>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187"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December 31, 2022, we have raised aggregate net cash proceeds of approximately $407.4 million primarily from the issuance of our common stock (excluding option exercises), convertible preferred stock, common stock warrants, and convertible notes. We have incurred significant operating losses to date. Our net losses were $95.6 million and $54.9 million for the years ended December 30, 2022 and 2021, respectively. As of December 31, 2022, we had an accumulated deficit of $191.5 million and cash, cash equivalents and investments of $245.2 million.</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21"/>
          <w:szCs w:val="21"/>
          <w:color w:val="auto"/>
        </w:rPr>
        <w:t>We expect to continue to incur increasing operating losses for the foreseeable future as we:</w:t>
      </w:r>
    </w:p>
    <w:p>
      <w:pPr>
        <w:spacing w:after="0" w:line="133" w:lineRule="exact"/>
        <w:rPr>
          <w:sz w:val="20"/>
          <w:szCs w:val="20"/>
          <w:color w:val="auto"/>
        </w:rPr>
      </w:pPr>
    </w:p>
    <w:p>
      <w:pPr>
        <w:ind w:left="380" w:hanging="380"/>
        <w:spacing w:after="0" w:line="273" w:lineRule="auto"/>
        <w:tabs>
          <w:tab w:leader="none" w:pos="3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continue to advance fosgonimeton and our other product candidates through preclinical studies and clinical trials, and further extend the open label extension of the ACT-AD and LIFT-AD trials;</w:t>
      </w:r>
    </w:p>
    <w:p>
      <w:pPr>
        <w:spacing w:after="0" w:line="62" w:lineRule="exact"/>
        <w:rPr>
          <w:rFonts w:ascii="Arial" w:cs="Arial" w:eastAsia="Arial" w:hAnsi="Arial"/>
          <w:sz w:val="21"/>
          <w:szCs w:val="21"/>
          <w:color w:val="auto"/>
        </w:rPr>
      </w:pPr>
    </w:p>
    <w:p>
      <w:pPr>
        <w:ind w:left="380" w:hanging="380"/>
        <w:spacing w:after="0"/>
        <w:tabs>
          <w:tab w:leader="none" w:pos="3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expand our pipeline of product candidates;</w:t>
      </w:r>
    </w:p>
    <w:p>
      <w:pPr>
        <w:spacing w:after="0" w:line="131" w:lineRule="exact"/>
        <w:rPr>
          <w:rFonts w:ascii="Arial" w:cs="Arial" w:eastAsia="Arial" w:hAnsi="Arial"/>
          <w:sz w:val="21"/>
          <w:szCs w:val="21"/>
          <w:color w:val="auto"/>
        </w:rPr>
      </w:pPr>
    </w:p>
    <w:p>
      <w:pPr>
        <w:ind w:left="380" w:hanging="380"/>
        <w:spacing w:after="0"/>
        <w:tabs>
          <w:tab w:leader="none" w:pos="3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continue to grow our discovery organization and invest in the ATH platform;</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ramp up manufacturing activities;</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attract, hire and retain additional personnel;</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obtain, maintain, expand and protect our intellectual property portfolio;</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operate as a public company;</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expand our laboratory and office facilities;</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implement operational, financial and management information systems;</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seek regulatory approval for any product candidates that successfully complete clinical trials;</w:t>
      </w:r>
    </w:p>
    <w:p>
      <w:pPr>
        <w:spacing w:after="0" w:line="132" w:lineRule="exact"/>
        <w:rPr>
          <w:rFonts w:ascii="Arial" w:cs="Arial" w:eastAsia="Arial" w:hAnsi="Arial"/>
          <w:sz w:val="21"/>
          <w:szCs w:val="21"/>
          <w:color w:val="auto"/>
        </w:rPr>
      </w:pPr>
    </w:p>
    <w:p>
      <w:pPr>
        <w:ind w:left="380" w:hanging="380"/>
        <w:spacing w:after="0" w:line="271" w:lineRule="auto"/>
        <w:tabs>
          <w:tab w:leader="none" w:pos="3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establish a sales, marketing and distribution infrastructure to commercialize any product candidate for which we may obtain marketing approval; and</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119</w:t>
      </w:r>
    </w:p>
    <w:p>
      <w:pPr>
        <w:sectPr>
          <w:pgSz w:w="12240" w:h="15840" w:orient="portrait"/>
          <w:cols w:equalWidth="0" w:num="1">
            <w:col w:w="9640"/>
          </w:cols>
          <w:pgMar w:left="1300" w:top="1226" w:right="1300" w:bottom="0" w:gutter="0" w:footer="0" w:header="0"/>
          <w:type w:val="continuous"/>
        </w:sectPr>
      </w:pPr>
    </w:p>
    <w:bookmarkStart w:id="125" w:name="page126"/>
    <w:bookmarkEnd w:id="125"/>
    <w:p>
      <w:pPr>
        <w:ind w:left="380" w:hanging="380"/>
        <w:spacing w:after="0" w:line="273" w:lineRule="auto"/>
        <w:tabs>
          <w:tab w:leader="none" w:pos="3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incur legal expenses associated with ongoing litigation, as further described in “Part I, Item 3—Legal Proceedings,” and elsewhere in this report.</w:t>
      </w:r>
    </w:p>
    <w:p>
      <w:pPr>
        <w:spacing w:after="0" w:line="171"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color w:val="auto"/>
        </w:rPr>
        <w:t>Our net losses may fluctuate significantly from quarter-to-quarter and year-to-year, depending on the timing of our clinical trials and our expenditures on other research and development activities.</w:t>
      </w:r>
    </w:p>
    <w:p>
      <w:pPr>
        <w:spacing w:after="0" w:line="173"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20"/>
          <w:szCs w:val="20"/>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spacing w:after="0" w:line="3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Collaboration and Grant Agreements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21"/>
          <w:szCs w:val="21"/>
          <w:i w:val="1"/>
          <w:iCs w:val="1"/>
          <w:color w:val="auto"/>
        </w:rPr>
        <w:t>Amended and Restated Washington State University License Agreement</w:t>
      </w:r>
    </w:p>
    <w:p>
      <w:pPr>
        <w:spacing w:after="0" w:line="110"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0"/>
          <w:szCs w:val="20"/>
          <w:color w:val="auto"/>
        </w:rPr>
        <w:t>We are party to an amended and restated exclusive license agreement with sublicensing terms with Washington State University, or WSU, that we entered into in 2015. Under this agreement, we have an exclusive license to make, use, sell, and offer for sale products covered by certain licensed patents, including dihexa, the chemical compound into which fosgonimeton metabolizes following administration. The term of the license continues until the earlier of the date in which no valid claim remains enforceable and the payment of royalties ceases for more than four consecutive quarters after such royalty payments begin. One of these licensed patents is jointly owned by WSU and Pacific Northwest Biotechnology, Inc. We do not expect Pacific Northwest Biotechnology, Inc.’s joint ownership to materially affect our license of such patent or the development of any of our product candidates to which the patent relates.</w:t>
      </w:r>
    </w:p>
    <w:p>
      <w:pPr>
        <w:spacing w:after="0" w:line="198"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The initiation of our first Phase 2 clinical trial in September 2020 triggered a $50,000 liability to WSU, which was repaid in full as of December 31, 2020.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21"/>
          <w:szCs w:val="21"/>
          <w:color w:val="auto"/>
        </w:rPr>
        <w:t>We are obligated to pay to WSU the following if the related milestones are reached:</w:t>
      </w:r>
    </w:p>
    <w:p>
      <w:pPr>
        <w:spacing w:after="0" w:line="133" w:lineRule="exact"/>
        <w:rPr>
          <w:sz w:val="20"/>
          <w:szCs w:val="20"/>
          <w:color w:val="auto"/>
        </w:rPr>
      </w:pPr>
    </w:p>
    <w:p>
      <w:pPr>
        <w:ind w:left="1000" w:hanging="496"/>
        <w:spacing w:after="0" w:line="273" w:lineRule="auto"/>
        <w:tabs>
          <w:tab w:leader="none" w:pos="10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$300,000 – At initiation of the first Phase 3 clinical trial in the United States, European Union or Japan for the first licensed product.</w:t>
      </w:r>
    </w:p>
    <w:p>
      <w:pPr>
        <w:spacing w:after="0" w:line="62" w:lineRule="exact"/>
        <w:rPr>
          <w:rFonts w:ascii="Arial" w:cs="Arial" w:eastAsia="Arial" w:hAnsi="Arial"/>
          <w:sz w:val="21"/>
          <w:szCs w:val="21"/>
          <w:color w:val="auto"/>
        </w:rPr>
      </w:pPr>
    </w:p>
    <w:p>
      <w:pPr>
        <w:ind w:left="1000" w:hanging="496"/>
        <w:spacing w:after="0" w:line="271" w:lineRule="auto"/>
        <w:tabs>
          <w:tab w:leader="none" w:pos="10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$600,000 – Marketing approval in the United States, European Union or Japan for the first licensed product.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21"/>
          <w:szCs w:val="21"/>
          <w:color w:val="auto"/>
        </w:rPr>
        <w:t>We are obligated to pay WSU a royalty in the mid-single digits of net sales.</w:t>
      </w:r>
    </w:p>
    <w:p>
      <w:pPr>
        <w:spacing w:after="0" w:line="243"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ectPr>
          <w:pgSz w:w="12240" w:h="15840" w:orient="portrait"/>
          <w:cols w:equalWidth="0" w:num="1">
            <w:col w:w="9640"/>
          </w:cols>
          <w:pgMar w:left="130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120</w:t>
      </w:r>
    </w:p>
    <w:p>
      <w:pPr>
        <w:sectPr>
          <w:pgSz w:w="12240" w:h="15840" w:orient="portrait"/>
          <w:cols w:equalWidth="0" w:num="1">
            <w:col w:w="9640"/>
          </w:cols>
          <w:pgMar w:left="1300" w:top="1240" w:right="1300" w:bottom="0" w:gutter="0" w:footer="0" w:header="0"/>
          <w:type w:val="continuous"/>
        </w:sectPr>
      </w:pPr>
    </w:p>
    <w:bookmarkStart w:id="126" w:name="page127"/>
    <w:bookmarkEnd w:id="126"/>
    <w:p>
      <w:pPr>
        <w:ind w:left="1"/>
        <w:spacing w:after="0"/>
        <w:rPr>
          <w:sz w:val="20"/>
          <w:szCs w:val="20"/>
          <w:color w:val="auto"/>
        </w:rPr>
      </w:pPr>
      <w:r>
        <w:rPr>
          <w:rFonts w:ascii="Arial" w:cs="Arial" w:eastAsia="Arial" w:hAnsi="Arial"/>
          <w:sz w:val="21"/>
          <w:szCs w:val="21"/>
          <w:i w:val="1"/>
          <w:iCs w:val="1"/>
          <w:color w:val="auto"/>
        </w:rPr>
        <w:t>National Institutes of Health Grant</w:t>
      </w:r>
    </w:p>
    <w:p>
      <w:pPr>
        <w:spacing w:after="0" w:line="110" w:lineRule="exact"/>
        <w:rPr>
          <w:sz w:val="20"/>
          <w:szCs w:val="20"/>
          <w:color w:val="auto"/>
        </w:rPr>
      </w:pPr>
    </w:p>
    <w:p>
      <w:pPr>
        <w:jc w:val="both"/>
        <w:ind w:left="1" w:firstLine="504"/>
        <w:spacing w:after="0" w:line="251" w:lineRule="auto"/>
        <w:rPr>
          <w:sz w:val="20"/>
          <w:szCs w:val="20"/>
          <w:color w:val="auto"/>
        </w:rPr>
      </w:pPr>
      <w:r>
        <w:rPr>
          <w:rFonts w:ascii="Arial" w:cs="Arial" w:eastAsia="Arial" w:hAnsi="Arial"/>
          <w:sz w:val="20"/>
          <w:szCs w:val="20"/>
          <w:color w:val="auto"/>
        </w:rPr>
        <w:t>In December 2020, we accepted a grant from the NIH to support our ACT-AD Phase 2 clinical trial for fosgonimeton. Under the terms of the agreement and approval received from the NIH, we may receive up to an aggregate of $15.2 million. For additional information regarding this grant, see the section of this Annual Report on Form 10-K titled “Business—Our Collaboration and Grant Agreements.” We recognized $5.2 million and $8.8 million of income related to our NIH grant during the years ended December 31, 2022 and 2021, respectively. During the years ended December 31, 2022 and 2021, we received cash of $6.3 million and $7.6 million, respectively, in connection with the NIH grant. As of December 31, 2022 and 2021, we had incurred qualifying expenses in excess of cash received of approximately $1.2 million and $2.3 million, respectively, which is included in unbilled grant receivable on the consolidated balance sheets. In February 2023, we received cash of $1.2 million in connection with the unbilled grant receivable balance as of December 31, 2022. As of December 31, 2022, we had recognized aggregate grant income of $15.1 million of the total $15.2 million approved in connection with the NIH grant.</w:t>
      </w:r>
    </w:p>
    <w:p>
      <w:pPr>
        <w:spacing w:after="0" w:line="324" w:lineRule="exact"/>
        <w:rPr>
          <w:sz w:val="20"/>
          <w:szCs w:val="20"/>
          <w:color w:val="auto"/>
        </w:rPr>
      </w:pPr>
    </w:p>
    <w:p>
      <w:pPr>
        <w:ind w:left="1"/>
        <w:spacing w:after="0"/>
        <w:rPr>
          <w:sz w:val="20"/>
          <w:szCs w:val="20"/>
          <w:color w:val="auto"/>
        </w:rPr>
      </w:pPr>
      <w:r>
        <w:rPr>
          <w:rFonts w:ascii="Arial" w:cs="Arial" w:eastAsia="Arial" w:hAnsi="Arial"/>
          <w:sz w:val="21"/>
          <w:szCs w:val="21"/>
          <w:b w:val="1"/>
          <w:bCs w:val="1"/>
          <w:color w:val="auto"/>
        </w:rPr>
        <w:t>Components of Operating Results</w:t>
      </w:r>
    </w:p>
    <w:p>
      <w:pPr>
        <w:spacing w:after="0" w:line="127" w:lineRule="exact"/>
        <w:rPr>
          <w:sz w:val="20"/>
          <w:szCs w:val="20"/>
          <w:color w:val="auto"/>
        </w:rPr>
      </w:pPr>
    </w:p>
    <w:p>
      <w:pPr>
        <w:ind w:left="1"/>
        <w:spacing w:after="0"/>
        <w:rPr>
          <w:sz w:val="20"/>
          <w:szCs w:val="20"/>
          <w:color w:val="auto"/>
        </w:rPr>
      </w:pPr>
      <w:r>
        <w:rPr>
          <w:rFonts w:ascii="Arial" w:cs="Arial" w:eastAsia="Arial" w:hAnsi="Arial"/>
          <w:sz w:val="21"/>
          <w:szCs w:val="21"/>
          <w:b w:val="1"/>
          <w:bCs w:val="1"/>
          <w:i w:val="1"/>
          <w:iCs w:val="1"/>
          <w:color w:val="auto"/>
        </w:rPr>
        <w:t>Operating Expenses</w:t>
      </w:r>
    </w:p>
    <w:p>
      <w:pPr>
        <w:spacing w:after="0" w:line="122" w:lineRule="exact"/>
        <w:rPr>
          <w:sz w:val="20"/>
          <w:szCs w:val="20"/>
          <w:color w:val="auto"/>
        </w:rPr>
      </w:pPr>
    </w:p>
    <w:p>
      <w:pPr>
        <w:ind w:left="501"/>
        <w:spacing w:after="0"/>
        <w:rPr>
          <w:sz w:val="20"/>
          <w:szCs w:val="20"/>
          <w:color w:val="auto"/>
        </w:rPr>
      </w:pPr>
      <w:r>
        <w:rPr>
          <w:rFonts w:ascii="Arial" w:cs="Arial" w:eastAsia="Arial" w:hAnsi="Arial"/>
          <w:sz w:val="21"/>
          <w:szCs w:val="21"/>
          <w:i w:val="1"/>
          <w:iCs w:val="1"/>
          <w:color w:val="auto"/>
        </w:rPr>
        <w:t>Research and Development</w:t>
      </w:r>
    </w:p>
    <w:p>
      <w:pPr>
        <w:spacing w:after="0" w:line="111" w:lineRule="exact"/>
        <w:rPr>
          <w:sz w:val="20"/>
          <w:szCs w:val="20"/>
          <w:color w:val="auto"/>
        </w:rPr>
      </w:pPr>
    </w:p>
    <w:p>
      <w:pPr>
        <w:jc w:val="both"/>
        <w:ind w:left="1" w:firstLine="504"/>
        <w:spacing w:after="0"/>
        <w:rPr>
          <w:sz w:val="20"/>
          <w:szCs w:val="20"/>
          <w:color w:val="auto"/>
        </w:rPr>
      </w:pPr>
      <w:r>
        <w:rPr>
          <w:rFonts w:ascii="Arial" w:cs="Arial" w:eastAsia="Arial" w:hAnsi="Arial"/>
          <w:sz w:val="21"/>
          <w:szCs w:val="21"/>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10" w:lineRule="exact"/>
        <w:rPr>
          <w:sz w:val="20"/>
          <w:szCs w:val="20"/>
          <w:color w:val="auto"/>
        </w:rPr>
      </w:pPr>
    </w:p>
    <w:p>
      <w:pPr>
        <w:jc w:val="both"/>
        <w:ind w:left="1" w:firstLine="504"/>
        <w:spacing w:after="0" w:line="255" w:lineRule="auto"/>
        <w:rPr>
          <w:sz w:val="20"/>
          <w:szCs w:val="20"/>
          <w:color w:val="auto"/>
        </w:rPr>
      </w:pPr>
      <w:r>
        <w:rPr>
          <w:rFonts w:ascii="Arial" w:cs="Arial" w:eastAsia="Arial" w:hAnsi="Arial"/>
          <w:sz w:val="20"/>
          <w:szCs w:val="20"/>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196" w:lineRule="exact"/>
        <w:rPr>
          <w:sz w:val="20"/>
          <w:szCs w:val="20"/>
          <w:color w:val="auto"/>
        </w:rPr>
      </w:pPr>
    </w:p>
    <w:p>
      <w:pPr>
        <w:jc w:val="both"/>
        <w:ind w:left="1" w:firstLine="504"/>
        <w:spacing w:after="0" w:line="251" w:lineRule="auto"/>
        <w:rPr>
          <w:sz w:val="20"/>
          <w:szCs w:val="20"/>
          <w:color w:val="auto"/>
        </w:rPr>
      </w:pPr>
      <w:r>
        <w:rPr>
          <w:rFonts w:ascii="Arial" w:cs="Arial" w:eastAsia="Arial" w:hAnsi="Arial"/>
          <w:sz w:val="20"/>
          <w:szCs w:val="20"/>
          <w:color w:val="auto"/>
        </w:rPr>
        <w:t>As of the date of this report,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for the foreseeable future as we continue to invest in research and development activities related to developing our product candidates, as our product candidates advance into later stages of development, as we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have seen, and expect to continue to see, our research and development expenses increase as we conduct our clinical trials for fosgonimeton, including open-label extensions for those trials. Additionally, we may experience an overall increase in research and development expenses as a result of inflation.</w:t>
      </w:r>
    </w:p>
    <w:p>
      <w:pPr>
        <w:spacing w:after="0" w:line="200" w:lineRule="exact"/>
        <w:rPr>
          <w:sz w:val="20"/>
          <w:szCs w:val="20"/>
          <w:color w:val="auto"/>
        </w:rPr>
      </w:pPr>
    </w:p>
    <w:p>
      <w:pPr>
        <w:jc w:val="both"/>
        <w:ind w:left="1" w:firstLine="504"/>
        <w:spacing w:after="0" w:line="254" w:lineRule="auto"/>
        <w:rPr>
          <w:sz w:val="20"/>
          <w:szCs w:val="20"/>
          <w:color w:val="auto"/>
        </w:rPr>
      </w:pPr>
      <w:r>
        <w:rPr>
          <w:rFonts w:ascii="Arial" w:cs="Arial" w:eastAsia="Arial" w:hAnsi="Arial"/>
          <w:sz w:val="21"/>
          <w:szCs w:val="21"/>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81" w:lineRule="exact"/>
        <w:rPr>
          <w:sz w:val="20"/>
          <w:szCs w:val="20"/>
          <w:color w:val="auto"/>
        </w:rPr>
      </w:pPr>
    </w:p>
    <w:p>
      <w:pPr>
        <w:ind w:left="381" w:hanging="381"/>
        <w:spacing w:after="0"/>
        <w:tabs>
          <w:tab w:leader="none" w:pos="381"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number and scope of preclinical and IND-enabling studies;</w:t>
      </w:r>
    </w:p>
    <w:p>
      <w:pPr>
        <w:sectPr>
          <w:pgSz w:w="12240" w:h="15840" w:orient="portrait"/>
          <w:cols w:equalWidth="0" w:num="1">
            <w:col w:w="9641"/>
          </w:cols>
          <w:pgMar w:left="1299" w:top="123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121</w:t>
      </w:r>
    </w:p>
    <w:p>
      <w:pPr>
        <w:sectPr>
          <w:pgSz w:w="12240" w:h="15840" w:orient="portrait"/>
          <w:cols w:equalWidth="0" w:num="1">
            <w:col w:w="9641"/>
          </w:cols>
          <w:pgMar w:left="1299" w:top="1234" w:right="1300" w:bottom="0" w:gutter="0" w:footer="0" w:header="0"/>
          <w:type w:val="continuous"/>
        </w:sectPr>
      </w:pPr>
    </w:p>
    <w:bookmarkStart w:id="127" w:name="page128"/>
    <w:bookmarkEnd w:id="127"/>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phases of development of our product candidates;</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progress and results of our research and development activities;</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per subject trial costs;</w:t>
      </w:r>
    </w:p>
    <w:p>
      <w:pPr>
        <w:spacing w:after="0" w:line="132" w:lineRule="exact"/>
        <w:rPr>
          <w:rFonts w:ascii="Arial" w:cs="Arial" w:eastAsia="Arial" w:hAnsi="Arial"/>
          <w:sz w:val="21"/>
          <w:szCs w:val="21"/>
          <w:color w:val="auto"/>
        </w:rPr>
      </w:pPr>
    </w:p>
    <w:p>
      <w:pPr>
        <w:ind w:left="380" w:hanging="380"/>
        <w:spacing w:after="0" w:line="271" w:lineRule="auto"/>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number of trials required for regulatory approval, in particular with respect to fosgonimeton for the treatment of mild-to-moderate AD;</w:t>
      </w:r>
    </w:p>
    <w:p>
      <w:pPr>
        <w:spacing w:after="0" w:line="65"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further extension of the open label extension of the ACT-AD and LIFT-AD trials;</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number of sites included in the trials;</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countries in which the trials are conducted;</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length of time required to enroll eligible subjects and initiate clinical trials;</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number of subjects that participate in the trials;</w:t>
      </w:r>
    </w:p>
    <w:p>
      <w:pPr>
        <w:spacing w:after="0" w:line="131"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drop-out and discontinuation rate of subjects;</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potential additional safety monitoring requested by regulatory agencies;</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duration of subject participation in the trials and follow-up;</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cost and timing of manufacturing of our product candidates;</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receipt of regulatory approvals from applicable regulatory authorities;</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timing, receipt and terms of any marketing approvals from applicable regulatory authorities;</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hiring and retention of research and development personnel;</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degree to which we obtain, maintain, defend and enforce our intellectual property rights;</w:t>
      </w:r>
    </w:p>
    <w:p>
      <w:pPr>
        <w:spacing w:after="0" w:line="132" w:lineRule="exact"/>
        <w:rPr>
          <w:rFonts w:ascii="Arial" w:cs="Arial" w:eastAsia="Arial" w:hAnsi="Arial"/>
          <w:sz w:val="21"/>
          <w:szCs w:val="21"/>
          <w:color w:val="auto"/>
        </w:rPr>
      </w:pPr>
    </w:p>
    <w:p>
      <w:pPr>
        <w:ind w:left="380" w:hanging="380"/>
        <w:spacing w:after="0" w:line="271" w:lineRule="auto"/>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impact of COVID-19 or other health epidemics on timelines and clinical operations, which may lead to increased costs; and</w:t>
      </w:r>
    </w:p>
    <w:p>
      <w:pPr>
        <w:spacing w:after="0" w:line="65" w:lineRule="exact"/>
        <w:rPr>
          <w:rFonts w:ascii="Arial" w:cs="Arial" w:eastAsia="Arial" w:hAnsi="Arial"/>
          <w:sz w:val="21"/>
          <w:szCs w:val="21"/>
          <w:color w:val="auto"/>
        </w:rPr>
      </w:pPr>
    </w:p>
    <w:p>
      <w:pPr>
        <w:ind w:left="380" w:hanging="380"/>
        <w:spacing w:after="0" w:line="273" w:lineRule="auto"/>
        <w:tabs>
          <w:tab w:leader="none" w:pos="3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extent to which we establish collaboration, licensing or similar arrangements and the performance of any related third parties.</w:t>
      </w:r>
    </w:p>
    <w:p>
      <w:pPr>
        <w:spacing w:after="0" w:line="171"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1"/>
          <w:szCs w:val="21"/>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323" w:lineRule="exact"/>
        <w:rPr>
          <w:sz w:val="20"/>
          <w:szCs w:val="20"/>
          <w:color w:val="auto"/>
        </w:rPr>
      </w:pPr>
    </w:p>
    <w:p>
      <w:pPr>
        <w:ind w:left="500"/>
        <w:spacing w:after="0"/>
        <w:rPr>
          <w:sz w:val="20"/>
          <w:szCs w:val="20"/>
          <w:color w:val="auto"/>
        </w:rPr>
      </w:pPr>
      <w:r>
        <w:rPr>
          <w:rFonts w:ascii="Arial" w:cs="Arial" w:eastAsia="Arial" w:hAnsi="Arial"/>
          <w:sz w:val="21"/>
          <w:szCs w:val="21"/>
          <w:i w:val="1"/>
          <w:iCs w:val="1"/>
          <w:color w:val="auto"/>
        </w:rPr>
        <w:t>General and Administrative</w:t>
      </w:r>
    </w:p>
    <w:p>
      <w:pPr>
        <w:spacing w:after="0" w:line="111"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p>
    <w:p>
      <w:pPr>
        <w:spacing w:after="0" w:line="208"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0"/>
          <w:szCs w:val="20"/>
          <w:color w:val="auto"/>
        </w:rPr>
        <w:t>We expect that our general and administrative expenses will increase for the foreseeable future as we increase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continued legal expenses related to our ongoing legal proceedings and proposed settlement to resolve such claims. We also expect to continue to increase the size of our administrative function to support the</w:t>
      </w:r>
    </w:p>
    <w:p>
      <w:pPr>
        <w:sectPr>
          <w:pgSz w:w="12240" w:h="15840" w:orient="portrait"/>
          <w:cols w:equalWidth="0" w:num="1">
            <w:col w:w="9640"/>
          </w:cols>
          <w:pgMar w:left="130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122</w:t>
      </w:r>
    </w:p>
    <w:p>
      <w:pPr>
        <w:sectPr>
          <w:pgSz w:w="12240" w:h="15840" w:orient="portrait"/>
          <w:cols w:equalWidth="0" w:num="1">
            <w:col w:w="9640"/>
          </w:cols>
          <w:pgMar w:left="1300" w:top="1240" w:right="1300" w:bottom="0" w:gutter="0" w:footer="0" w:header="0"/>
          <w:type w:val="continuous"/>
        </w:sectPr>
      </w:pPr>
    </w:p>
    <w:bookmarkStart w:id="128" w:name="page129"/>
    <w:bookmarkEnd w:id="128"/>
    <w:p>
      <w:pPr>
        <w:jc w:val="both"/>
        <w:spacing w:after="0" w:line="271" w:lineRule="auto"/>
        <w:rPr>
          <w:sz w:val="20"/>
          <w:szCs w:val="20"/>
          <w:color w:val="auto"/>
        </w:rPr>
      </w:pPr>
      <w:r>
        <w:rPr>
          <w:rFonts w:ascii="Arial" w:cs="Arial" w:eastAsia="Arial" w:hAnsi="Arial"/>
          <w:sz w:val="21"/>
          <w:szCs w:val="21"/>
          <w:color w:val="auto"/>
        </w:rPr>
        <w:t>growth of our business. Additionally, we may experience an overall increase in general and administrative expenses as a result of inflation.</w:t>
      </w:r>
    </w:p>
    <w:p>
      <w:pPr>
        <w:spacing w:after="0" w:line="30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Grant Income</w:t>
      </w:r>
    </w:p>
    <w:p>
      <w:pPr>
        <w:spacing w:after="0" w:line="115"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Grant income consists of income related to the NIH grant and is recognized as qualifying expenses under the grant agreement are incurred. Under the terms of the agreement and approval received from the NIH, we may receive up to an aggregate of $15.2 million. As of December 31, 2022, we had recognized aggregate grant income of $15.1 million in connection with the NIH grant.</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Other Income, Net</w:t>
      </w:r>
    </w:p>
    <w:p>
      <w:pPr>
        <w:spacing w:after="0" w:line="115" w:lineRule="exact"/>
        <w:rPr>
          <w:sz w:val="20"/>
          <w:szCs w:val="20"/>
          <w:color w:val="auto"/>
        </w:rPr>
      </w:pPr>
    </w:p>
    <w:p>
      <w:pPr>
        <w:jc w:val="both"/>
        <w:ind w:firstLine="504"/>
        <w:spacing w:after="0" w:line="264" w:lineRule="auto"/>
        <w:rPr>
          <w:sz w:val="20"/>
          <w:szCs w:val="20"/>
          <w:color w:val="auto"/>
        </w:rPr>
      </w:pPr>
      <w:r>
        <w:rPr>
          <w:rFonts w:ascii="Arial" w:cs="Arial" w:eastAsia="Arial" w:hAnsi="Arial"/>
          <w:sz w:val="20"/>
          <w:szCs w:val="20"/>
          <w:color w:val="auto"/>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over the long term as we continue to expend our cash balances to fund our ongoing operations.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123</w:t>
      </w:r>
    </w:p>
    <w:p>
      <w:pPr>
        <w:sectPr>
          <w:pgSz w:w="12240" w:h="15840" w:orient="portrait"/>
          <w:cols w:equalWidth="0" w:num="1">
            <w:col w:w="9640"/>
          </w:cols>
          <w:pgMar w:left="1300" w:top="1226" w:right="1300" w:bottom="0" w:gutter="0" w:footer="0" w:header="0"/>
          <w:type w:val="continuous"/>
        </w:sectPr>
      </w:pPr>
    </w:p>
    <w:bookmarkStart w:id="129" w:name="page130"/>
    <w:bookmarkEnd w:id="129"/>
    <w:p>
      <w:pPr>
        <w:spacing w:after="0"/>
        <w:rPr>
          <w:sz w:val="20"/>
          <w:szCs w:val="20"/>
          <w:color w:val="auto"/>
        </w:rPr>
      </w:pPr>
      <w:r>
        <w:rPr>
          <w:rFonts w:ascii="Arial" w:cs="Arial" w:eastAsia="Arial" w:hAnsi="Arial"/>
          <w:sz w:val="21"/>
          <w:szCs w:val="21"/>
          <w:b w:val="1"/>
          <w:bCs w:val="1"/>
          <w:color w:val="auto"/>
        </w:rPr>
        <w:t>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Comparison of the Years Ended December 31, 2022 and 2021</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1"/>
          <w:szCs w:val="21"/>
          <w:color w:val="auto"/>
        </w:rPr>
        <w:t>The following table summarizes our results of operations for the periods presented:</w:t>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9"/>
          </w:tcPr>
          <w:p>
            <w:pPr>
              <w:jc w:val="right"/>
              <w:ind w:right="63"/>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62"/>
        </w:trPr>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83"/>
              <w:spacing w:after="0" w:line="162" w:lineRule="exact"/>
              <w:rPr>
                <w:sz w:val="20"/>
                <w:szCs w:val="20"/>
                <w:color w:val="auto"/>
              </w:rPr>
            </w:pPr>
            <w:r>
              <w:rPr>
                <w:rFonts w:ascii="Arial" w:cs="Arial" w:eastAsia="Arial" w:hAnsi="Arial"/>
                <w:sz w:val="16"/>
                <w:szCs w:val="16"/>
                <w:b w:val="1"/>
                <w:bCs w:val="1"/>
                <w:color w:val="auto"/>
              </w:rPr>
              <w:t>Dollar</w:t>
            </w:r>
          </w:p>
        </w:tc>
        <w:tc>
          <w:tcPr>
            <w:tcW w:w="860" w:type="dxa"/>
            <w:vAlign w:val="bottom"/>
          </w:tcPr>
          <w:p>
            <w:pPr>
              <w:jc w:val="right"/>
              <w:ind w:right="261"/>
              <w:spacing w:after="0" w:line="162" w:lineRule="exact"/>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4"/>
                <w:szCs w:val="14"/>
                <w:color w:val="auto"/>
              </w:rPr>
            </w:pPr>
          </w:p>
        </w:tc>
      </w:tr>
      <w:tr>
        <w:trPr>
          <w:trHeight w:val="207"/>
        </w:trPr>
        <w:tc>
          <w:tcPr>
            <w:tcW w:w="4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8"/>
                <w:szCs w:val="18"/>
                <w:color w:val="auto"/>
              </w:rPr>
            </w:pPr>
          </w:p>
        </w:tc>
      </w:tr>
      <w:tr>
        <w:trPr>
          <w:trHeight w:val="180"/>
        </w:trPr>
        <w:tc>
          <w:tcPr>
            <w:tcW w:w="4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gridSpan w:val="4"/>
          </w:tcPr>
          <w:p>
            <w:pPr>
              <w:spacing w:after="0" w:line="181" w:lineRule="exact"/>
              <w:rPr>
                <w:sz w:val="20"/>
                <w:szCs w:val="20"/>
                <w:color w:val="auto"/>
              </w:rPr>
            </w:pPr>
            <w:r>
              <w:rPr>
                <w:rFonts w:ascii="Arial" w:cs="Arial" w:eastAsia="Arial" w:hAnsi="Arial"/>
                <w:sz w:val="16"/>
                <w:szCs w:val="16"/>
                <w:b w:val="1"/>
                <w:bCs w:val="1"/>
                <w:color w:val="auto"/>
                <w:w w:val="92"/>
              </w:rPr>
              <w:t>(in thousands)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6"/>
        </w:trPr>
        <w:tc>
          <w:tcPr>
            <w:tcW w:w="4420" w:type="dxa"/>
            <w:vAlign w:val="bottom"/>
            <w:shd w:val="clear" w:color="auto" w:fill="E0E0E0"/>
          </w:tcPr>
          <w:p>
            <w:pPr>
              <w:spacing w:after="0" w:line="236" w:lineRule="exact"/>
              <w:rPr>
                <w:sz w:val="20"/>
                <w:szCs w:val="20"/>
                <w:color w:val="auto"/>
              </w:rPr>
            </w:pPr>
            <w:r>
              <w:rPr>
                <w:rFonts w:ascii="Arial" w:cs="Arial" w:eastAsia="Arial" w:hAnsi="Arial"/>
                <w:sz w:val="21"/>
                <w:szCs w:val="21"/>
                <w:color w:val="auto"/>
              </w:rPr>
              <w:t>Operating expenses:</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8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7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86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r>
      <w:tr>
        <w:trPr>
          <w:trHeight w:val="237"/>
        </w:trPr>
        <w:tc>
          <w:tcPr>
            <w:tcW w:w="4420" w:type="dxa"/>
            <w:vAlign w:val="bottom"/>
          </w:tcPr>
          <w:p>
            <w:pPr>
              <w:ind w:left="280"/>
              <w:spacing w:after="0" w:line="237" w:lineRule="exact"/>
              <w:rPr>
                <w:sz w:val="20"/>
                <w:szCs w:val="20"/>
                <w:color w:val="auto"/>
              </w:rPr>
            </w:pPr>
            <w:r>
              <w:rPr>
                <w:rFonts w:ascii="Arial" w:cs="Arial" w:eastAsia="Arial" w:hAnsi="Arial"/>
                <w:sz w:val="21"/>
                <w:szCs w:val="21"/>
                <w:color w:val="auto"/>
              </w:rPr>
              <w:t>Research and development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line="237" w:lineRule="exact"/>
              <w:rPr>
                <w:sz w:val="20"/>
                <w:szCs w:val="20"/>
                <w:color w:val="auto"/>
              </w:rPr>
            </w:pPr>
            <w:r>
              <w:rPr>
                <w:rFonts w:ascii="Arial" w:cs="Arial" w:eastAsia="Arial" w:hAnsi="Arial"/>
                <w:sz w:val="21"/>
                <w:szCs w:val="21"/>
                <w:color w:val="auto"/>
                <w:w w:val="85"/>
              </w:rPr>
              <w:t>$</w:t>
            </w:r>
          </w:p>
        </w:tc>
        <w:tc>
          <w:tcPr>
            <w:tcW w:w="940" w:type="dxa"/>
            <w:vAlign w:val="bottom"/>
            <w:gridSpan w:val="2"/>
          </w:tcPr>
          <w:p>
            <w:pPr>
              <w:jc w:val="right"/>
              <w:ind w:right="31"/>
              <w:spacing w:after="0" w:line="237" w:lineRule="exact"/>
              <w:rPr>
                <w:sz w:val="20"/>
                <w:szCs w:val="20"/>
                <w:color w:val="auto"/>
              </w:rPr>
            </w:pPr>
            <w:r>
              <w:rPr>
                <w:rFonts w:ascii="Arial" w:cs="Arial" w:eastAsia="Arial" w:hAnsi="Arial"/>
                <w:sz w:val="21"/>
                <w:szCs w:val="21"/>
                <w:color w:val="auto"/>
              </w:rPr>
              <w:t>61,464</w:t>
            </w:r>
          </w:p>
        </w:tc>
        <w:tc>
          <w:tcPr>
            <w:tcW w:w="180" w:type="dxa"/>
            <w:vAlign w:val="bottom"/>
            <w:gridSpan w:val="2"/>
          </w:tcPr>
          <w:p>
            <w:pPr>
              <w:jc w:val="right"/>
              <w:ind w:right="40"/>
              <w:spacing w:after="0" w:line="237" w:lineRule="exact"/>
              <w:rPr>
                <w:sz w:val="20"/>
                <w:szCs w:val="20"/>
                <w:color w:val="auto"/>
              </w:rPr>
            </w:pPr>
            <w:r>
              <w:rPr>
                <w:rFonts w:ascii="Arial" w:cs="Arial" w:eastAsia="Arial" w:hAnsi="Arial"/>
                <w:sz w:val="21"/>
                <w:szCs w:val="21"/>
                <w:color w:val="auto"/>
              </w:rPr>
              <w:t>$</w:t>
            </w:r>
          </w:p>
        </w:tc>
        <w:tc>
          <w:tcPr>
            <w:tcW w:w="860" w:type="dxa"/>
            <w:vAlign w:val="bottom"/>
            <w:gridSpan w:val="2"/>
          </w:tcPr>
          <w:p>
            <w:pPr>
              <w:jc w:val="right"/>
              <w:ind w:right="43"/>
              <w:spacing w:after="0" w:line="237" w:lineRule="exact"/>
              <w:rPr>
                <w:sz w:val="20"/>
                <w:szCs w:val="20"/>
                <w:color w:val="auto"/>
              </w:rPr>
            </w:pPr>
            <w:r>
              <w:rPr>
                <w:rFonts w:ascii="Arial" w:cs="Arial" w:eastAsia="Arial" w:hAnsi="Arial"/>
                <w:sz w:val="21"/>
                <w:szCs w:val="21"/>
                <w:color w:val="auto"/>
              </w:rPr>
              <w:t>42,794</w:t>
            </w:r>
          </w:p>
        </w:tc>
        <w:tc>
          <w:tcPr>
            <w:tcW w:w="14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w:t>
            </w:r>
          </w:p>
        </w:tc>
        <w:tc>
          <w:tcPr>
            <w:tcW w:w="920" w:type="dxa"/>
            <w:vAlign w:val="bottom"/>
            <w:gridSpan w:val="2"/>
          </w:tcPr>
          <w:p>
            <w:pPr>
              <w:jc w:val="right"/>
              <w:ind w:right="63"/>
              <w:spacing w:after="0" w:line="237" w:lineRule="exact"/>
              <w:rPr>
                <w:sz w:val="20"/>
                <w:szCs w:val="20"/>
                <w:color w:val="auto"/>
              </w:rPr>
            </w:pPr>
            <w:r>
              <w:rPr>
                <w:rFonts w:ascii="Arial" w:cs="Arial" w:eastAsia="Arial" w:hAnsi="Arial"/>
                <w:sz w:val="21"/>
                <w:szCs w:val="21"/>
                <w:color w:val="auto"/>
              </w:rPr>
              <w:t>18,670</w:t>
            </w:r>
          </w:p>
        </w:tc>
        <w:tc>
          <w:tcPr>
            <w:tcW w:w="104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44%</w:t>
            </w:r>
          </w:p>
        </w:tc>
      </w:tr>
      <w:tr>
        <w:trPr>
          <w:trHeight w:val="237"/>
        </w:trPr>
        <w:tc>
          <w:tcPr>
            <w:tcW w:w="4420" w:type="dxa"/>
            <w:vAlign w:val="bottom"/>
            <w:shd w:val="clear" w:color="auto" w:fill="E0E0E0"/>
          </w:tcPr>
          <w:p>
            <w:pPr>
              <w:ind w:left="280"/>
              <w:spacing w:after="0" w:line="237" w:lineRule="exact"/>
              <w:rPr>
                <w:sz w:val="20"/>
                <w:szCs w:val="20"/>
                <w:color w:val="auto"/>
              </w:rPr>
            </w:pPr>
            <w:r>
              <w:rPr>
                <w:rFonts w:ascii="Arial" w:cs="Arial" w:eastAsia="Arial" w:hAnsi="Arial"/>
                <w:sz w:val="21"/>
                <w:szCs w:val="21"/>
                <w:color w:val="auto"/>
              </w:rPr>
              <w:t>General and administrative</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940" w:type="dxa"/>
            <w:vAlign w:val="bottom"/>
            <w:gridSpan w:val="2"/>
            <w:shd w:val="clear" w:color="auto" w:fill="E0E0E0"/>
          </w:tcPr>
          <w:p>
            <w:pPr>
              <w:jc w:val="right"/>
              <w:ind w:right="31"/>
              <w:spacing w:after="0" w:line="237" w:lineRule="exact"/>
              <w:rPr>
                <w:sz w:val="20"/>
                <w:szCs w:val="20"/>
                <w:color w:val="auto"/>
              </w:rPr>
            </w:pPr>
            <w:r>
              <w:rPr>
                <w:rFonts w:ascii="Arial" w:cs="Arial" w:eastAsia="Arial" w:hAnsi="Arial"/>
                <w:sz w:val="21"/>
                <w:szCs w:val="21"/>
                <w:color w:val="auto"/>
              </w:rPr>
              <w:t>32,552</w:t>
            </w: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43"/>
              <w:spacing w:after="0" w:line="237" w:lineRule="exact"/>
              <w:rPr>
                <w:sz w:val="20"/>
                <w:szCs w:val="20"/>
                <w:color w:val="auto"/>
              </w:rPr>
            </w:pPr>
            <w:r>
              <w:rPr>
                <w:rFonts w:ascii="Arial" w:cs="Arial" w:eastAsia="Arial" w:hAnsi="Arial"/>
                <w:sz w:val="21"/>
                <w:szCs w:val="21"/>
                <w:color w:val="auto"/>
              </w:rPr>
              <w:t>21,228</w:t>
            </w: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920" w:type="dxa"/>
            <w:vAlign w:val="bottom"/>
            <w:gridSpan w:val="2"/>
            <w:shd w:val="clear" w:color="auto" w:fill="E0E0E0"/>
          </w:tcPr>
          <w:p>
            <w:pPr>
              <w:jc w:val="right"/>
              <w:ind w:right="63"/>
              <w:spacing w:after="0" w:line="237" w:lineRule="exact"/>
              <w:rPr>
                <w:sz w:val="20"/>
                <w:szCs w:val="20"/>
                <w:color w:val="auto"/>
              </w:rPr>
            </w:pPr>
            <w:r>
              <w:rPr>
                <w:rFonts w:ascii="Arial" w:cs="Arial" w:eastAsia="Arial" w:hAnsi="Arial"/>
                <w:sz w:val="21"/>
                <w:szCs w:val="21"/>
                <w:color w:val="auto"/>
              </w:rPr>
              <w:t>11,324</w:t>
            </w:r>
          </w:p>
        </w:tc>
        <w:tc>
          <w:tcPr>
            <w:tcW w:w="1040" w:type="dxa"/>
            <w:vAlign w:val="bottom"/>
            <w:gridSpan w:val="2"/>
            <w:shd w:val="clear" w:color="auto" w:fill="E0E0E0"/>
          </w:tcPr>
          <w:p>
            <w:pPr>
              <w:jc w:val="right"/>
              <w:ind w:right="180"/>
              <w:spacing w:after="0" w:line="237" w:lineRule="exact"/>
              <w:rPr>
                <w:sz w:val="20"/>
                <w:szCs w:val="20"/>
                <w:color w:val="auto"/>
              </w:rPr>
            </w:pPr>
            <w:r>
              <w:rPr>
                <w:rFonts w:ascii="Arial" w:cs="Arial" w:eastAsia="Arial" w:hAnsi="Arial"/>
                <w:sz w:val="21"/>
                <w:szCs w:val="21"/>
                <w:color w:val="auto"/>
              </w:rPr>
              <w:t>53</w:t>
            </w:r>
          </w:p>
        </w:tc>
      </w:tr>
      <w:tr>
        <w:trPr>
          <w:trHeight w:val="236"/>
        </w:trPr>
        <w:tc>
          <w:tcPr>
            <w:tcW w:w="4420" w:type="dxa"/>
            <w:vAlign w:val="bottom"/>
            <w:tcBorders>
              <w:bottom w:val="single" w:sz="8" w:color="E0E0E0"/>
            </w:tcBorders>
          </w:tcPr>
          <w:p>
            <w:pPr>
              <w:ind w:left="280"/>
              <w:spacing w:after="0" w:line="236" w:lineRule="exact"/>
              <w:rPr>
                <w:sz w:val="20"/>
                <w:szCs w:val="20"/>
                <w:color w:val="auto"/>
              </w:rPr>
            </w:pPr>
            <w:r>
              <w:rPr>
                <w:rFonts w:ascii="Arial" w:cs="Arial" w:eastAsia="Arial" w:hAnsi="Arial"/>
                <w:sz w:val="21"/>
                <w:szCs w:val="21"/>
                <w:color w:val="auto"/>
              </w:rPr>
              <w:t>Legal settlement</w:t>
            </w:r>
          </w:p>
        </w:tc>
        <w:tc>
          <w:tcPr>
            <w:tcW w:w="4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21"/>
                <w:szCs w:val="21"/>
                <w:color w:val="auto"/>
              </w:rPr>
              <w:t>10,000</w:t>
            </w:r>
          </w:p>
        </w:tc>
        <w:tc>
          <w:tcPr>
            <w:tcW w:w="12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21"/>
                <w:szCs w:val="21"/>
                <w:color w:val="auto"/>
              </w:rPr>
              <w:t>—</w:t>
            </w:r>
          </w:p>
        </w:tc>
        <w:tc>
          <w:tcPr>
            <w:tcW w:w="12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21"/>
                <w:szCs w:val="21"/>
                <w:color w:val="auto"/>
              </w:rPr>
              <w:t>10,000</w:t>
            </w:r>
          </w:p>
        </w:tc>
        <w:tc>
          <w:tcPr>
            <w:tcW w:w="140" w:type="dxa"/>
            <w:vAlign w:val="bottom"/>
            <w:tcBorders>
              <w:bottom w:val="single" w:sz="8" w:color="E0E0E0"/>
            </w:tcBorders>
          </w:tcPr>
          <w:p>
            <w:pPr>
              <w:spacing w:after="0"/>
              <w:rPr>
                <w:sz w:val="20"/>
                <w:szCs w:val="20"/>
                <w:color w:val="auto"/>
              </w:rPr>
            </w:pPr>
          </w:p>
        </w:tc>
        <w:tc>
          <w:tcPr>
            <w:tcW w:w="860" w:type="dxa"/>
            <w:vAlign w:val="bottom"/>
            <w:tcBorders>
              <w:bottom w:val="single" w:sz="8" w:color="E0E0E0"/>
            </w:tcBorders>
          </w:tcPr>
          <w:p>
            <w:pPr>
              <w:jc w:val="right"/>
              <w:spacing w:after="0" w:line="236" w:lineRule="exact"/>
              <w:rPr>
                <w:sz w:val="20"/>
                <w:szCs w:val="20"/>
                <w:color w:val="auto"/>
              </w:rPr>
            </w:pPr>
            <w:r>
              <w:rPr>
                <w:rFonts w:ascii="Arial" w:cs="Arial" w:eastAsia="Arial" w:hAnsi="Arial"/>
                <w:sz w:val="21"/>
                <w:szCs w:val="21"/>
                <w:color w:val="auto"/>
              </w:rPr>
              <w:t>*</w:t>
            </w:r>
          </w:p>
        </w:tc>
        <w:tc>
          <w:tcPr>
            <w:tcW w:w="180" w:type="dxa"/>
            <w:vAlign w:val="bottom"/>
            <w:tcBorders>
              <w:bottom w:val="single" w:sz="8" w:color="E0E0E0"/>
            </w:tcBorders>
          </w:tcPr>
          <w:p>
            <w:pPr>
              <w:spacing w:after="0"/>
              <w:rPr>
                <w:sz w:val="20"/>
                <w:szCs w:val="20"/>
                <w:color w:val="auto"/>
              </w:rPr>
            </w:pPr>
          </w:p>
        </w:tc>
      </w:tr>
      <w:tr>
        <w:trPr>
          <w:trHeight w:val="227"/>
        </w:trPr>
        <w:tc>
          <w:tcPr>
            <w:tcW w:w="4420" w:type="dxa"/>
            <w:vAlign w:val="bottom"/>
            <w:shd w:val="clear" w:color="auto" w:fill="E0E0E0"/>
          </w:tcPr>
          <w:p>
            <w:pPr>
              <w:ind w:left="580"/>
              <w:spacing w:after="0" w:line="227" w:lineRule="exact"/>
              <w:rPr>
                <w:sz w:val="20"/>
                <w:szCs w:val="20"/>
                <w:color w:val="auto"/>
              </w:rPr>
            </w:pPr>
            <w:r>
              <w:rPr>
                <w:rFonts w:ascii="Arial" w:cs="Arial" w:eastAsia="Arial" w:hAnsi="Arial"/>
                <w:sz w:val="21"/>
                <w:szCs w:val="21"/>
                <w:color w:val="auto"/>
              </w:rPr>
              <w:t>Total operating expenses</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40" w:type="dxa"/>
            <w:vAlign w:val="bottom"/>
            <w:gridSpan w:val="2"/>
            <w:shd w:val="clear" w:color="auto" w:fill="E0E0E0"/>
          </w:tcPr>
          <w:p>
            <w:pPr>
              <w:jc w:val="right"/>
              <w:ind w:right="31"/>
              <w:spacing w:after="0" w:line="227" w:lineRule="exact"/>
              <w:rPr>
                <w:sz w:val="20"/>
                <w:szCs w:val="20"/>
                <w:color w:val="auto"/>
              </w:rPr>
            </w:pPr>
            <w:r>
              <w:rPr>
                <w:rFonts w:ascii="Arial" w:cs="Arial" w:eastAsia="Arial" w:hAnsi="Arial"/>
                <w:sz w:val="21"/>
                <w:szCs w:val="21"/>
                <w:color w:val="auto"/>
              </w:rPr>
              <w:t>104,016</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60" w:type="dxa"/>
            <w:vAlign w:val="bottom"/>
            <w:gridSpan w:val="2"/>
            <w:shd w:val="clear" w:color="auto" w:fill="E0E0E0"/>
          </w:tcPr>
          <w:p>
            <w:pPr>
              <w:jc w:val="right"/>
              <w:ind w:right="43"/>
              <w:spacing w:after="0" w:line="227" w:lineRule="exact"/>
              <w:rPr>
                <w:sz w:val="20"/>
                <w:szCs w:val="20"/>
                <w:color w:val="auto"/>
              </w:rPr>
            </w:pPr>
            <w:r>
              <w:rPr>
                <w:rFonts w:ascii="Arial" w:cs="Arial" w:eastAsia="Arial" w:hAnsi="Arial"/>
                <w:sz w:val="21"/>
                <w:szCs w:val="21"/>
                <w:color w:val="auto"/>
              </w:rPr>
              <w:t>64,022</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20" w:type="dxa"/>
            <w:vAlign w:val="bottom"/>
            <w:gridSpan w:val="2"/>
            <w:shd w:val="clear" w:color="auto" w:fill="E0E0E0"/>
          </w:tcPr>
          <w:p>
            <w:pPr>
              <w:jc w:val="right"/>
              <w:ind w:right="63"/>
              <w:spacing w:after="0" w:line="227" w:lineRule="exact"/>
              <w:rPr>
                <w:sz w:val="20"/>
                <w:szCs w:val="20"/>
                <w:color w:val="auto"/>
              </w:rPr>
            </w:pPr>
            <w:r>
              <w:rPr>
                <w:rFonts w:ascii="Arial" w:cs="Arial" w:eastAsia="Arial" w:hAnsi="Arial"/>
                <w:sz w:val="21"/>
                <w:szCs w:val="21"/>
                <w:color w:val="auto"/>
              </w:rPr>
              <w:t>39,994</w:t>
            </w:r>
          </w:p>
        </w:tc>
        <w:tc>
          <w:tcPr>
            <w:tcW w:w="1040" w:type="dxa"/>
            <w:vAlign w:val="bottom"/>
            <w:gridSpan w:val="2"/>
            <w:shd w:val="clear" w:color="auto" w:fill="E0E0E0"/>
          </w:tcPr>
          <w:p>
            <w:pPr>
              <w:jc w:val="right"/>
              <w:ind w:right="180"/>
              <w:spacing w:after="0" w:line="227" w:lineRule="exact"/>
              <w:rPr>
                <w:sz w:val="20"/>
                <w:szCs w:val="20"/>
                <w:color w:val="auto"/>
              </w:rPr>
            </w:pPr>
            <w:r>
              <w:rPr>
                <w:rFonts w:ascii="Arial" w:cs="Arial" w:eastAsia="Arial" w:hAnsi="Arial"/>
                <w:sz w:val="21"/>
                <w:szCs w:val="21"/>
                <w:color w:val="auto"/>
              </w:rPr>
              <w:t>47</w:t>
            </w:r>
          </w:p>
        </w:tc>
      </w:tr>
      <w:tr>
        <w:trPr>
          <w:trHeight w:val="227"/>
        </w:trPr>
        <w:tc>
          <w:tcPr>
            <w:tcW w:w="4420" w:type="dxa"/>
            <w:vAlign w:val="bottom"/>
          </w:tcPr>
          <w:p>
            <w:pPr>
              <w:spacing w:after="0" w:line="227" w:lineRule="exact"/>
              <w:rPr>
                <w:sz w:val="20"/>
                <w:szCs w:val="20"/>
                <w:color w:val="auto"/>
              </w:rPr>
            </w:pPr>
            <w:r>
              <w:rPr>
                <w:rFonts w:ascii="Arial" w:cs="Arial" w:eastAsia="Arial" w:hAnsi="Arial"/>
                <w:sz w:val="21"/>
                <w:szCs w:val="21"/>
                <w:color w:val="auto"/>
              </w:rPr>
              <w:t>Loss from operations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1"/>
                <w:szCs w:val="21"/>
                <w:color w:val="auto"/>
                <w:w w:val="96"/>
              </w:rPr>
              <w:t>(104,016</w:t>
            </w:r>
          </w:p>
        </w:tc>
        <w:tc>
          <w:tcPr>
            <w:tcW w:w="120" w:type="dxa"/>
            <w:vAlign w:val="bottom"/>
          </w:tcPr>
          <w:p>
            <w:pPr>
              <w:spacing w:after="0" w:line="227"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1"/>
                <w:szCs w:val="21"/>
                <w:color w:val="auto"/>
              </w:rPr>
              <w:t>(64,022</w:t>
            </w:r>
          </w:p>
        </w:tc>
        <w:tc>
          <w:tcPr>
            <w:tcW w:w="12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1"/>
                <w:szCs w:val="21"/>
                <w:color w:val="auto"/>
              </w:rPr>
              <w:t>(39,994</w:t>
            </w:r>
          </w:p>
        </w:tc>
        <w:tc>
          <w:tcPr>
            <w:tcW w:w="140" w:type="dxa"/>
            <w:vAlign w:val="bottom"/>
          </w:tcPr>
          <w:p>
            <w:pPr>
              <w:jc w:val="right"/>
              <w:ind w:right="3"/>
              <w:spacing w:after="0"/>
              <w:rPr>
                <w:sz w:val="20"/>
                <w:szCs w:val="20"/>
                <w:color w:val="auto"/>
              </w:rPr>
            </w:pPr>
            <w:r>
              <w:rPr>
                <w:rFonts w:ascii="Arial" w:cs="Arial" w:eastAsia="Arial" w:hAnsi="Arial"/>
                <w:sz w:val="15"/>
                <w:szCs w:val="15"/>
                <w:color w:val="auto"/>
                <w:w w:val="79"/>
              </w:rPr>
              <w:t>)</w:t>
            </w:r>
          </w:p>
        </w:tc>
        <w:tc>
          <w:tcPr>
            <w:tcW w:w="1040" w:type="dxa"/>
            <w:vAlign w:val="bottom"/>
            <w:gridSpan w:val="2"/>
          </w:tcPr>
          <w:p>
            <w:pPr>
              <w:jc w:val="right"/>
              <w:ind w:right="180"/>
              <w:spacing w:after="0" w:line="227" w:lineRule="exact"/>
              <w:rPr>
                <w:sz w:val="20"/>
                <w:szCs w:val="20"/>
                <w:color w:val="auto"/>
              </w:rPr>
            </w:pPr>
            <w:r>
              <w:rPr>
                <w:rFonts w:ascii="Arial" w:cs="Arial" w:eastAsia="Arial" w:hAnsi="Arial"/>
                <w:sz w:val="21"/>
                <w:szCs w:val="21"/>
                <w:color w:val="auto"/>
              </w:rPr>
              <w:t>47</w:t>
            </w:r>
          </w:p>
        </w:tc>
      </w:tr>
      <w:tr>
        <w:trPr>
          <w:trHeight w:val="237"/>
        </w:trPr>
        <w:tc>
          <w:tcPr>
            <w:tcW w:w="4420" w:type="dxa"/>
            <w:vAlign w:val="bottom"/>
            <w:shd w:val="clear" w:color="auto" w:fill="E0E0E0"/>
          </w:tcPr>
          <w:p>
            <w:pPr>
              <w:spacing w:after="0" w:line="237" w:lineRule="exact"/>
              <w:rPr>
                <w:sz w:val="20"/>
                <w:szCs w:val="20"/>
                <w:color w:val="auto"/>
              </w:rPr>
            </w:pPr>
            <w:r>
              <w:rPr>
                <w:rFonts w:ascii="Arial" w:cs="Arial" w:eastAsia="Arial" w:hAnsi="Arial"/>
                <w:sz w:val="21"/>
                <w:szCs w:val="21"/>
                <w:color w:val="auto"/>
              </w:rPr>
              <w:t>Grant income</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940" w:type="dxa"/>
            <w:vAlign w:val="bottom"/>
            <w:gridSpan w:val="2"/>
            <w:shd w:val="clear" w:color="auto" w:fill="E0E0E0"/>
          </w:tcPr>
          <w:p>
            <w:pPr>
              <w:jc w:val="right"/>
              <w:ind w:right="31"/>
              <w:spacing w:after="0" w:line="237" w:lineRule="exact"/>
              <w:rPr>
                <w:sz w:val="20"/>
                <w:szCs w:val="20"/>
                <w:color w:val="auto"/>
              </w:rPr>
            </w:pPr>
            <w:r>
              <w:rPr>
                <w:rFonts w:ascii="Arial" w:cs="Arial" w:eastAsia="Arial" w:hAnsi="Arial"/>
                <w:sz w:val="21"/>
                <w:szCs w:val="21"/>
                <w:color w:val="auto"/>
              </w:rPr>
              <w:t>5,161</w:t>
            </w: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43"/>
              <w:spacing w:after="0" w:line="237" w:lineRule="exact"/>
              <w:rPr>
                <w:sz w:val="20"/>
                <w:szCs w:val="20"/>
                <w:color w:val="auto"/>
              </w:rPr>
            </w:pPr>
            <w:r>
              <w:rPr>
                <w:rFonts w:ascii="Arial" w:cs="Arial" w:eastAsia="Arial" w:hAnsi="Arial"/>
                <w:sz w:val="21"/>
                <w:szCs w:val="21"/>
                <w:color w:val="auto"/>
              </w:rPr>
              <w:t>8,835</w:t>
            </w: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920" w:type="dxa"/>
            <w:vAlign w:val="bottom"/>
            <w:gridSpan w:val="2"/>
            <w:shd w:val="clear" w:color="auto" w:fill="E0E0E0"/>
          </w:tcPr>
          <w:p>
            <w:pPr>
              <w:jc w:val="right"/>
              <w:ind w:right="3"/>
              <w:spacing w:after="0" w:line="237" w:lineRule="exact"/>
              <w:rPr>
                <w:sz w:val="20"/>
                <w:szCs w:val="20"/>
                <w:color w:val="auto"/>
              </w:rPr>
            </w:pPr>
            <w:r>
              <w:rPr>
                <w:rFonts w:ascii="Arial" w:cs="Arial" w:eastAsia="Arial" w:hAnsi="Arial"/>
                <w:sz w:val="21"/>
                <w:szCs w:val="21"/>
                <w:color w:val="auto"/>
              </w:rPr>
              <w:t>(3,674)</w:t>
            </w:r>
          </w:p>
        </w:tc>
        <w:tc>
          <w:tcPr>
            <w:tcW w:w="1040" w:type="dxa"/>
            <w:vAlign w:val="bottom"/>
            <w:gridSpan w:val="2"/>
            <w:shd w:val="clear" w:color="auto" w:fill="E0E0E0"/>
          </w:tcPr>
          <w:p>
            <w:pPr>
              <w:jc w:val="right"/>
              <w:ind w:right="120"/>
              <w:spacing w:after="0" w:line="237" w:lineRule="exact"/>
              <w:rPr>
                <w:sz w:val="20"/>
                <w:szCs w:val="20"/>
                <w:color w:val="auto"/>
              </w:rPr>
            </w:pPr>
            <w:r>
              <w:rPr>
                <w:rFonts w:ascii="Arial" w:cs="Arial" w:eastAsia="Arial" w:hAnsi="Arial"/>
                <w:sz w:val="21"/>
                <w:szCs w:val="21"/>
                <w:color w:val="auto"/>
              </w:rPr>
              <w:t>(42)</w:t>
            </w:r>
          </w:p>
        </w:tc>
      </w:tr>
      <w:tr>
        <w:trPr>
          <w:trHeight w:val="236"/>
        </w:trPr>
        <w:tc>
          <w:tcPr>
            <w:tcW w:w="4420" w:type="dxa"/>
            <w:vAlign w:val="bottom"/>
            <w:tcBorders>
              <w:bottom w:val="single" w:sz="8" w:color="E0E0E0"/>
            </w:tcBorders>
          </w:tcPr>
          <w:p>
            <w:pPr>
              <w:spacing w:after="0" w:line="236" w:lineRule="exact"/>
              <w:rPr>
                <w:sz w:val="20"/>
                <w:szCs w:val="20"/>
                <w:color w:val="auto"/>
              </w:rPr>
            </w:pPr>
            <w:r>
              <w:rPr>
                <w:rFonts w:ascii="Arial" w:cs="Arial" w:eastAsia="Arial" w:hAnsi="Arial"/>
                <w:sz w:val="21"/>
                <w:szCs w:val="21"/>
                <w:color w:val="auto"/>
              </w:rPr>
              <w:t>Other income, net</w:t>
            </w:r>
          </w:p>
        </w:tc>
        <w:tc>
          <w:tcPr>
            <w:tcW w:w="4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21"/>
                <w:szCs w:val="21"/>
                <w:color w:val="auto"/>
              </w:rPr>
              <w:t>3,216</w:t>
            </w:r>
          </w:p>
        </w:tc>
        <w:tc>
          <w:tcPr>
            <w:tcW w:w="12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21"/>
                <w:szCs w:val="21"/>
                <w:color w:val="auto"/>
              </w:rPr>
              <w:t>334</w:t>
            </w:r>
          </w:p>
        </w:tc>
        <w:tc>
          <w:tcPr>
            <w:tcW w:w="12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21"/>
                <w:szCs w:val="21"/>
                <w:color w:val="auto"/>
              </w:rPr>
              <w:t>2,882</w:t>
            </w:r>
          </w:p>
        </w:tc>
        <w:tc>
          <w:tcPr>
            <w:tcW w:w="140" w:type="dxa"/>
            <w:vAlign w:val="bottom"/>
            <w:tcBorders>
              <w:bottom w:val="single" w:sz="8" w:color="E0E0E0"/>
            </w:tcBorders>
          </w:tcPr>
          <w:p>
            <w:pPr>
              <w:spacing w:after="0"/>
              <w:rPr>
                <w:sz w:val="20"/>
                <w:szCs w:val="20"/>
                <w:color w:val="auto"/>
              </w:rPr>
            </w:pPr>
          </w:p>
        </w:tc>
        <w:tc>
          <w:tcPr>
            <w:tcW w:w="1040" w:type="dxa"/>
            <w:vAlign w:val="bottom"/>
            <w:tcBorders>
              <w:bottom w:val="single" w:sz="8" w:color="E0E0E0"/>
            </w:tcBorders>
            <w:gridSpan w:val="2"/>
          </w:tcPr>
          <w:p>
            <w:pPr>
              <w:jc w:val="right"/>
              <w:ind w:right="180"/>
              <w:spacing w:after="0" w:line="236" w:lineRule="exact"/>
              <w:rPr>
                <w:sz w:val="20"/>
                <w:szCs w:val="20"/>
                <w:color w:val="auto"/>
              </w:rPr>
            </w:pPr>
            <w:r>
              <w:rPr>
                <w:rFonts w:ascii="Arial" w:cs="Arial" w:eastAsia="Arial" w:hAnsi="Arial"/>
                <w:sz w:val="21"/>
                <w:szCs w:val="21"/>
                <w:color w:val="auto"/>
              </w:rPr>
              <w:t>863</w:t>
            </w:r>
          </w:p>
        </w:tc>
      </w:tr>
      <w:tr>
        <w:trPr>
          <w:trHeight w:val="228"/>
        </w:trPr>
        <w:tc>
          <w:tcPr>
            <w:tcW w:w="4420" w:type="dxa"/>
            <w:vAlign w:val="bottom"/>
            <w:shd w:val="clear" w:color="auto" w:fill="E0E0E0"/>
          </w:tcPr>
          <w:p>
            <w:pPr>
              <w:spacing w:after="0" w:line="229" w:lineRule="exact"/>
              <w:rPr>
                <w:sz w:val="20"/>
                <w:szCs w:val="20"/>
                <w:color w:val="auto"/>
              </w:rPr>
            </w:pPr>
            <w:r>
              <w:rPr>
                <w:rFonts w:ascii="Arial" w:cs="Arial" w:eastAsia="Arial" w:hAnsi="Arial"/>
                <w:sz w:val="21"/>
                <w:szCs w:val="21"/>
                <w:color w:val="auto"/>
              </w:rPr>
              <w:t>Net loss</w:t>
            </w: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9" w:lineRule="exact"/>
              <w:rPr>
                <w:sz w:val="20"/>
                <w:szCs w:val="20"/>
                <w:color w:val="auto"/>
              </w:rPr>
            </w:pPr>
            <w:r>
              <w:rPr>
                <w:rFonts w:ascii="Arial" w:cs="Arial" w:eastAsia="Arial" w:hAnsi="Arial"/>
                <w:sz w:val="21"/>
                <w:szCs w:val="21"/>
                <w:color w:val="auto"/>
                <w:w w:val="85"/>
              </w:rPr>
              <w:t>$</w:t>
            </w:r>
          </w:p>
        </w:tc>
        <w:tc>
          <w:tcPr>
            <w:tcW w:w="940" w:type="dxa"/>
            <w:vAlign w:val="bottom"/>
            <w:gridSpan w:val="2"/>
            <w:shd w:val="clear" w:color="auto" w:fill="E0E0E0"/>
          </w:tcPr>
          <w:p>
            <w:pPr>
              <w:jc w:val="right"/>
              <w:spacing w:after="0" w:line="229" w:lineRule="exact"/>
              <w:rPr>
                <w:sz w:val="20"/>
                <w:szCs w:val="20"/>
                <w:color w:val="auto"/>
              </w:rPr>
            </w:pPr>
            <w:r>
              <w:rPr>
                <w:rFonts w:ascii="Arial" w:cs="Arial" w:eastAsia="Arial" w:hAnsi="Arial"/>
                <w:sz w:val="21"/>
                <w:szCs w:val="21"/>
                <w:color w:val="auto"/>
              </w:rPr>
              <w:t>(95,639)</w:t>
            </w:r>
          </w:p>
        </w:tc>
        <w:tc>
          <w:tcPr>
            <w:tcW w:w="180" w:type="dxa"/>
            <w:vAlign w:val="bottom"/>
            <w:gridSpan w:val="2"/>
            <w:shd w:val="clear" w:color="auto" w:fill="E0E0E0"/>
          </w:tcPr>
          <w:p>
            <w:pPr>
              <w:jc w:val="right"/>
              <w:ind w:right="40"/>
              <w:spacing w:after="0" w:line="229" w:lineRule="exact"/>
              <w:rPr>
                <w:sz w:val="20"/>
                <w:szCs w:val="20"/>
                <w:color w:val="auto"/>
              </w:rPr>
            </w:pPr>
            <w:r>
              <w:rPr>
                <w:rFonts w:ascii="Arial" w:cs="Arial" w:eastAsia="Arial" w:hAnsi="Arial"/>
                <w:sz w:val="21"/>
                <w:szCs w:val="21"/>
                <w:color w:val="auto"/>
              </w:rPr>
              <w:t>$</w:t>
            </w:r>
          </w:p>
        </w:tc>
        <w:tc>
          <w:tcPr>
            <w:tcW w:w="860" w:type="dxa"/>
            <w:vAlign w:val="bottom"/>
            <w:gridSpan w:val="2"/>
            <w:shd w:val="clear" w:color="auto" w:fill="E0E0E0"/>
          </w:tcPr>
          <w:p>
            <w:pPr>
              <w:jc w:val="right"/>
              <w:spacing w:after="0" w:line="229" w:lineRule="exact"/>
              <w:rPr>
                <w:sz w:val="20"/>
                <w:szCs w:val="20"/>
                <w:color w:val="auto"/>
              </w:rPr>
            </w:pPr>
            <w:r>
              <w:rPr>
                <w:rFonts w:ascii="Arial" w:cs="Arial" w:eastAsia="Arial" w:hAnsi="Arial"/>
                <w:sz w:val="21"/>
                <w:szCs w:val="21"/>
                <w:color w:val="auto"/>
                <w:w w:val="99"/>
              </w:rPr>
              <w:t>(54,853)</w:t>
            </w:r>
          </w:p>
        </w:tc>
        <w:tc>
          <w:tcPr>
            <w:tcW w:w="140" w:type="dxa"/>
            <w:vAlign w:val="bottom"/>
            <w:gridSpan w:val="2"/>
            <w:shd w:val="clear" w:color="auto" w:fill="E0E0E0"/>
          </w:tcPr>
          <w:p>
            <w:pPr>
              <w:jc w:val="right"/>
              <w:spacing w:after="0" w:line="229" w:lineRule="exact"/>
              <w:rPr>
                <w:sz w:val="20"/>
                <w:szCs w:val="20"/>
                <w:color w:val="auto"/>
              </w:rPr>
            </w:pPr>
            <w:r>
              <w:rPr>
                <w:rFonts w:ascii="Arial" w:cs="Arial" w:eastAsia="Arial" w:hAnsi="Arial"/>
                <w:sz w:val="21"/>
                <w:szCs w:val="21"/>
                <w:color w:val="auto"/>
              </w:rPr>
              <w:t>$</w:t>
            </w:r>
          </w:p>
        </w:tc>
        <w:tc>
          <w:tcPr>
            <w:tcW w:w="920" w:type="dxa"/>
            <w:vAlign w:val="bottom"/>
            <w:gridSpan w:val="2"/>
            <w:shd w:val="clear" w:color="auto" w:fill="E0E0E0"/>
          </w:tcPr>
          <w:p>
            <w:pPr>
              <w:jc w:val="right"/>
              <w:ind w:right="3"/>
              <w:spacing w:after="0" w:line="229" w:lineRule="exact"/>
              <w:rPr>
                <w:sz w:val="20"/>
                <w:szCs w:val="20"/>
                <w:color w:val="auto"/>
              </w:rPr>
            </w:pPr>
            <w:r>
              <w:rPr>
                <w:rFonts w:ascii="Arial" w:cs="Arial" w:eastAsia="Arial" w:hAnsi="Arial"/>
                <w:sz w:val="21"/>
                <w:szCs w:val="21"/>
                <w:color w:val="auto"/>
              </w:rPr>
              <w:t>(40,786)</w:t>
            </w:r>
          </w:p>
        </w:tc>
        <w:tc>
          <w:tcPr>
            <w:tcW w:w="1040" w:type="dxa"/>
            <w:vAlign w:val="bottom"/>
            <w:gridSpan w:val="2"/>
            <w:shd w:val="clear" w:color="auto" w:fill="E0E0E0"/>
          </w:tcPr>
          <w:p>
            <w:pPr>
              <w:jc w:val="right"/>
              <w:ind w:right="180"/>
              <w:spacing w:after="0" w:line="229" w:lineRule="exact"/>
              <w:rPr>
                <w:sz w:val="20"/>
                <w:szCs w:val="20"/>
                <w:color w:val="auto"/>
              </w:rPr>
            </w:pPr>
            <w:r>
              <w:rPr>
                <w:rFonts w:ascii="Arial" w:cs="Arial" w:eastAsia="Arial" w:hAnsi="Arial"/>
                <w:sz w:val="21"/>
                <w:szCs w:val="21"/>
                <w:color w:val="auto"/>
              </w:rPr>
              <w:t>56</w:t>
            </w:r>
          </w:p>
        </w:tc>
      </w:tr>
      <w:tr>
        <w:trPr>
          <w:trHeight w:val="20"/>
        </w:trPr>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 Not meaningful</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Research and Development Expenses</w:t>
      </w:r>
    </w:p>
    <w:p>
      <w:pPr>
        <w:spacing w:after="0" w:line="115"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The following table shows the primary components of our research and development expenses for the periods presented:</w:t>
      </w:r>
    </w:p>
    <w:p>
      <w:pPr>
        <w:spacing w:after="0" w:line="162"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62"/>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540"/>
              <w:spacing w:after="0" w:line="162" w:lineRule="exact"/>
              <w:rPr>
                <w:sz w:val="20"/>
                <w:szCs w:val="20"/>
                <w:color w:val="auto"/>
              </w:rPr>
            </w:pPr>
            <w:r>
              <w:rPr>
                <w:rFonts w:ascii="Arial" w:cs="Arial" w:eastAsia="Arial" w:hAnsi="Arial"/>
                <w:sz w:val="16"/>
                <w:szCs w:val="16"/>
                <w:b w:val="1"/>
                <w:bCs w:val="1"/>
                <w:color w:val="auto"/>
              </w:rPr>
              <w:t>Dollar</w:t>
            </w:r>
          </w:p>
        </w:tc>
        <w:tc>
          <w:tcPr>
            <w:tcW w:w="860" w:type="dxa"/>
            <w:vAlign w:val="bottom"/>
          </w:tcPr>
          <w:p>
            <w:pPr>
              <w:jc w:val="right"/>
              <w:ind w:right="261"/>
              <w:spacing w:after="0" w:line="162" w:lineRule="exact"/>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4"/>
                <w:szCs w:val="14"/>
                <w:color w:val="auto"/>
              </w:rPr>
            </w:pPr>
          </w:p>
        </w:tc>
      </w:tr>
      <w:tr>
        <w:trPr>
          <w:trHeight w:val="207"/>
        </w:trPr>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6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Change</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Change</w:t>
            </w:r>
          </w:p>
        </w:tc>
      </w:tr>
      <w:tr>
        <w:trPr>
          <w:trHeight w:val="180"/>
        </w:trPr>
        <w:tc>
          <w:tcPr>
            <w:tcW w:w="3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w w:val="83"/>
              </w:rPr>
              <w:t>(in thousands)</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37"/>
        </w:trPr>
        <w:tc>
          <w:tcPr>
            <w:tcW w:w="3880" w:type="dxa"/>
            <w:vAlign w:val="bottom"/>
            <w:shd w:val="clear" w:color="auto" w:fill="E0E0E0"/>
          </w:tcPr>
          <w:p>
            <w:pPr>
              <w:spacing w:after="0" w:line="237" w:lineRule="exact"/>
              <w:rPr>
                <w:sz w:val="20"/>
                <w:szCs w:val="20"/>
                <w:color w:val="auto"/>
              </w:rPr>
            </w:pPr>
            <w:r>
              <w:rPr>
                <w:rFonts w:ascii="Arial" w:cs="Arial" w:eastAsia="Arial" w:hAnsi="Arial"/>
                <w:sz w:val="21"/>
                <w:szCs w:val="21"/>
                <w:color w:val="auto"/>
              </w:rPr>
              <w:t>Direct costs:</w:t>
            </w:r>
          </w:p>
        </w:tc>
        <w:tc>
          <w:tcPr>
            <w:tcW w:w="8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20" w:type="dxa"/>
            <w:vAlign w:val="bottom"/>
            <w:shd w:val="clear" w:color="auto" w:fill="E0E0E0"/>
          </w:tcPr>
          <w:p>
            <w:pPr>
              <w:spacing w:after="0"/>
              <w:rPr>
                <w:sz w:val="20"/>
                <w:szCs w:val="20"/>
                <w:color w:val="auto"/>
              </w:rPr>
            </w:pPr>
          </w:p>
        </w:tc>
        <w:tc>
          <w:tcPr>
            <w:tcW w:w="140" w:type="dxa"/>
            <w:vAlign w:val="bottom"/>
            <w:tcBorders>
              <w:right w:val="single" w:sz="8" w:color="E0E0E0"/>
            </w:tcBorders>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16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10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6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r>
      <w:tr>
        <w:trPr>
          <w:trHeight w:val="236"/>
        </w:trPr>
        <w:tc>
          <w:tcPr>
            <w:tcW w:w="3880" w:type="dxa"/>
            <w:vAlign w:val="bottom"/>
          </w:tcPr>
          <w:p>
            <w:pPr>
              <w:ind w:left="280"/>
              <w:spacing w:after="0" w:line="236" w:lineRule="exact"/>
              <w:rPr>
                <w:sz w:val="20"/>
                <w:szCs w:val="20"/>
                <w:color w:val="auto"/>
              </w:rPr>
            </w:pPr>
            <w:r>
              <w:rPr>
                <w:rFonts w:ascii="Arial" w:cs="Arial" w:eastAsia="Arial" w:hAnsi="Arial"/>
                <w:sz w:val="21"/>
                <w:szCs w:val="21"/>
                <w:color w:val="auto"/>
              </w:rPr>
              <w:t>Fosgonimeton (ATH-1017)</w:t>
            </w:r>
          </w:p>
        </w:tc>
        <w:tc>
          <w:tcPr>
            <w:tcW w:w="80" w:type="dxa"/>
            <w:vAlign w:val="bottom"/>
          </w:tcPr>
          <w:p>
            <w:pPr>
              <w:spacing w:after="0"/>
              <w:rPr>
                <w:sz w:val="20"/>
                <w:szCs w:val="20"/>
                <w:color w:val="auto"/>
              </w:rPr>
            </w:pPr>
          </w:p>
        </w:tc>
        <w:tc>
          <w:tcPr>
            <w:tcW w:w="180" w:type="dxa"/>
            <w:vAlign w:val="bottom"/>
          </w:tcPr>
          <w:p>
            <w:pPr>
              <w:jc w:val="right"/>
              <w:spacing w:after="0" w:line="236" w:lineRule="exact"/>
              <w:rPr>
                <w:sz w:val="20"/>
                <w:szCs w:val="20"/>
                <w:color w:val="auto"/>
              </w:rPr>
            </w:pPr>
            <w:r>
              <w:rPr>
                <w:rFonts w:ascii="Arial" w:cs="Arial" w:eastAsia="Arial" w:hAnsi="Arial"/>
                <w:sz w:val="21"/>
                <w:szCs w:val="21"/>
                <w:color w:val="auto"/>
                <w:w w:val="85"/>
              </w:rPr>
              <w:t>$</w:t>
            </w:r>
          </w:p>
        </w:tc>
        <w:tc>
          <w:tcPr>
            <w:tcW w:w="860" w:type="dxa"/>
            <w:vAlign w:val="bottom"/>
            <w:gridSpan w:val="2"/>
          </w:tcPr>
          <w:p>
            <w:pPr>
              <w:jc w:val="right"/>
              <w:ind w:right="140"/>
              <w:spacing w:after="0" w:line="236" w:lineRule="exact"/>
              <w:rPr>
                <w:sz w:val="20"/>
                <w:szCs w:val="20"/>
                <w:color w:val="auto"/>
              </w:rPr>
            </w:pPr>
            <w:r>
              <w:rPr>
                <w:rFonts w:ascii="Arial" w:cs="Arial" w:eastAsia="Arial" w:hAnsi="Arial"/>
                <w:sz w:val="21"/>
                <w:szCs w:val="21"/>
                <w:color w:val="auto"/>
              </w:rPr>
              <w:t>39,416</w:t>
            </w:r>
          </w:p>
        </w:tc>
        <w:tc>
          <w:tcPr>
            <w:tcW w:w="140" w:type="dxa"/>
            <w:vAlign w:val="bottom"/>
          </w:tcPr>
          <w:p>
            <w:pPr>
              <w:jc w:val="right"/>
              <w:spacing w:after="0" w:line="236" w:lineRule="exact"/>
              <w:rPr>
                <w:sz w:val="20"/>
                <w:szCs w:val="20"/>
                <w:color w:val="auto"/>
              </w:rPr>
            </w:pPr>
            <w:r>
              <w:rPr>
                <w:rFonts w:ascii="Arial" w:cs="Arial" w:eastAsia="Arial" w:hAnsi="Arial"/>
                <w:sz w:val="21"/>
                <w:szCs w:val="21"/>
                <w:color w:val="auto"/>
                <w:w w:val="85"/>
              </w:rPr>
              <w:t>$</w:t>
            </w:r>
          </w:p>
        </w:tc>
        <w:tc>
          <w:tcPr>
            <w:tcW w:w="1100" w:type="dxa"/>
            <w:vAlign w:val="bottom"/>
            <w:gridSpan w:val="2"/>
          </w:tcPr>
          <w:p>
            <w:pPr>
              <w:jc w:val="right"/>
              <w:ind w:right="160"/>
              <w:spacing w:after="0" w:line="236" w:lineRule="exact"/>
              <w:rPr>
                <w:sz w:val="20"/>
                <w:szCs w:val="20"/>
                <w:color w:val="auto"/>
              </w:rPr>
            </w:pPr>
            <w:r>
              <w:rPr>
                <w:rFonts w:ascii="Arial" w:cs="Arial" w:eastAsia="Arial" w:hAnsi="Arial"/>
                <w:sz w:val="21"/>
                <w:szCs w:val="21"/>
                <w:color w:val="auto"/>
              </w:rPr>
              <w:t>34,488</w:t>
            </w:r>
          </w:p>
        </w:tc>
        <w:tc>
          <w:tcPr>
            <w:tcW w:w="220" w:type="dxa"/>
            <w:vAlign w:val="bottom"/>
          </w:tcPr>
          <w:p>
            <w:pPr>
              <w:jc w:val="right"/>
              <w:ind w:right="22"/>
              <w:spacing w:after="0"/>
              <w:rPr>
                <w:sz w:val="20"/>
                <w:szCs w:val="20"/>
                <w:color w:val="auto"/>
              </w:rPr>
            </w:pPr>
            <w:r>
              <w:rPr>
                <w:rFonts w:ascii="Arial" w:cs="Arial" w:eastAsia="Arial" w:hAnsi="Arial"/>
                <w:sz w:val="20"/>
                <w:szCs w:val="20"/>
                <w:color w:val="auto"/>
                <w:w w:val="71"/>
              </w:rPr>
              <w:t>$</w:t>
            </w:r>
          </w:p>
        </w:tc>
        <w:tc>
          <w:tcPr>
            <w:tcW w:w="1180" w:type="dxa"/>
            <w:vAlign w:val="bottom"/>
            <w:gridSpan w:val="2"/>
          </w:tcPr>
          <w:p>
            <w:pPr>
              <w:jc w:val="right"/>
              <w:ind w:right="160"/>
              <w:spacing w:after="0" w:line="236" w:lineRule="exact"/>
              <w:rPr>
                <w:sz w:val="20"/>
                <w:szCs w:val="20"/>
                <w:color w:val="auto"/>
              </w:rPr>
            </w:pPr>
            <w:r>
              <w:rPr>
                <w:rFonts w:ascii="Arial" w:cs="Arial" w:eastAsia="Arial" w:hAnsi="Arial"/>
                <w:sz w:val="21"/>
                <w:szCs w:val="21"/>
                <w:color w:val="auto"/>
              </w:rPr>
              <w:t>4,928</w:t>
            </w:r>
          </w:p>
        </w:tc>
        <w:tc>
          <w:tcPr>
            <w:tcW w:w="1040" w:type="dxa"/>
            <w:vAlign w:val="bottom"/>
            <w:gridSpan w:val="2"/>
          </w:tcPr>
          <w:p>
            <w:pPr>
              <w:jc w:val="right"/>
              <w:spacing w:after="0" w:line="236" w:lineRule="exact"/>
              <w:rPr>
                <w:sz w:val="20"/>
                <w:szCs w:val="20"/>
                <w:color w:val="auto"/>
              </w:rPr>
            </w:pPr>
            <w:r>
              <w:rPr>
                <w:rFonts w:ascii="Arial" w:cs="Arial" w:eastAsia="Arial" w:hAnsi="Arial"/>
                <w:sz w:val="21"/>
                <w:szCs w:val="21"/>
                <w:color w:val="auto"/>
              </w:rPr>
              <w:t>14 %</w:t>
            </w:r>
          </w:p>
        </w:tc>
      </w:tr>
      <w:tr>
        <w:trPr>
          <w:trHeight w:val="237"/>
        </w:trPr>
        <w:tc>
          <w:tcPr>
            <w:tcW w:w="3880" w:type="dxa"/>
            <w:vAlign w:val="bottom"/>
            <w:shd w:val="clear" w:color="auto" w:fill="E0E0E0"/>
          </w:tcPr>
          <w:p>
            <w:pPr>
              <w:ind w:left="280"/>
              <w:spacing w:after="0" w:line="237" w:lineRule="exact"/>
              <w:rPr>
                <w:sz w:val="20"/>
                <w:szCs w:val="20"/>
                <w:color w:val="auto"/>
              </w:rPr>
            </w:pPr>
            <w:r>
              <w:rPr>
                <w:rFonts w:ascii="Arial" w:cs="Arial" w:eastAsia="Arial" w:hAnsi="Arial"/>
                <w:sz w:val="21"/>
                <w:szCs w:val="21"/>
                <w:color w:val="auto"/>
              </w:rPr>
              <w:t>ATH-1020</w:t>
            </w:r>
          </w:p>
        </w:tc>
        <w:tc>
          <w:tcPr>
            <w:tcW w:w="8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60" w:type="dxa"/>
            <w:vAlign w:val="bottom"/>
            <w:tcBorders>
              <w:right w:val="single" w:sz="8" w:color="E0E0E0"/>
            </w:tcBorders>
            <w:gridSpan w:val="2"/>
            <w:shd w:val="clear" w:color="auto" w:fill="E0E0E0"/>
          </w:tcPr>
          <w:p>
            <w:pPr>
              <w:jc w:val="right"/>
              <w:ind w:right="140"/>
              <w:spacing w:after="0" w:line="237" w:lineRule="exact"/>
              <w:rPr>
                <w:sz w:val="20"/>
                <w:szCs w:val="20"/>
                <w:color w:val="auto"/>
              </w:rPr>
            </w:pPr>
            <w:r>
              <w:rPr>
                <w:rFonts w:ascii="Arial" w:cs="Arial" w:eastAsia="Arial" w:hAnsi="Arial"/>
                <w:sz w:val="21"/>
                <w:szCs w:val="21"/>
                <w:color w:val="auto"/>
              </w:rPr>
              <w:t>1,874</w:t>
            </w:r>
          </w:p>
        </w:tc>
        <w:tc>
          <w:tcPr>
            <w:tcW w:w="140" w:type="dxa"/>
            <w:vAlign w:val="bottom"/>
            <w:shd w:val="clear" w:color="auto" w:fill="E0E0E0"/>
          </w:tcPr>
          <w:p>
            <w:pPr>
              <w:spacing w:after="0"/>
              <w:rPr>
                <w:sz w:val="20"/>
                <w:szCs w:val="20"/>
                <w:color w:val="auto"/>
              </w:rPr>
            </w:pPr>
          </w:p>
        </w:tc>
        <w:tc>
          <w:tcPr>
            <w:tcW w:w="1100" w:type="dxa"/>
            <w:vAlign w:val="bottom"/>
            <w:tcBorders>
              <w:right w:val="single" w:sz="8" w:color="E0E0E0"/>
            </w:tcBorders>
            <w:gridSpan w:val="2"/>
            <w:shd w:val="clear" w:color="auto" w:fill="E0E0E0"/>
          </w:tcPr>
          <w:p>
            <w:pPr>
              <w:jc w:val="right"/>
              <w:ind w:right="160"/>
              <w:spacing w:after="0" w:line="237" w:lineRule="exact"/>
              <w:rPr>
                <w:sz w:val="20"/>
                <w:szCs w:val="20"/>
                <w:color w:val="auto"/>
              </w:rPr>
            </w:pPr>
            <w:r>
              <w:rPr>
                <w:rFonts w:ascii="Arial" w:cs="Arial" w:eastAsia="Arial" w:hAnsi="Arial"/>
                <w:sz w:val="21"/>
                <w:szCs w:val="21"/>
                <w:color w:val="auto"/>
              </w:rPr>
              <w:t>—</w:t>
            </w:r>
          </w:p>
        </w:tc>
        <w:tc>
          <w:tcPr>
            <w:tcW w:w="220" w:type="dxa"/>
            <w:vAlign w:val="bottom"/>
            <w:shd w:val="clear" w:color="auto" w:fill="E0E0E0"/>
          </w:tcPr>
          <w:p>
            <w:pPr>
              <w:spacing w:after="0"/>
              <w:rPr>
                <w:sz w:val="20"/>
                <w:szCs w:val="20"/>
                <w:color w:val="auto"/>
              </w:rPr>
            </w:pPr>
          </w:p>
        </w:tc>
        <w:tc>
          <w:tcPr>
            <w:tcW w:w="1180" w:type="dxa"/>
            <w:vAlign w:val="bottom"/>
            <w:gridSpan w:val="2"/>
            <w:shd w:val="clear" w:color="auto" w:fill="E0E0E0"/>
          </w:tcPr>
          <w:p>
            <w:pPr>
              <w:jc w:val="right"/>
              <w:ind w:right="160"/>
              <w:spacing w:after="0" w:line="237" w:lineRule="exact"/>
              <w:rPr>
                <w:sz w:val="20"/>
                <w:szCs w:val="20"/>
                <w:color w:val="auto"/>
              </w:rPr>
            </w:pPr>
            <w:r>
              <w:rPr>
                <w:rFonts w:ascii="Arial" w:cs="Arial" w:eastAsia="Arial" w:hAnsi="Arial"/>
                <w:sz w:val="21"/>
                <w:szCs w:val="21"/>
                <w:color w:val="auto"/>
              </w:rPr>
              <w:t>1,874</w:t>
            </w:r>
          </w:p>
        </w:tc>
        <w:tc>
          <w:tcPr>
            <w:tcW w:w="86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rPr>
              <w:t>*</w:t>
            </w:r>
          </w:p>
        </w:tc>
        <w:tc>
          <w:tcPr>
            <w:tcW w:w="180" w:type="dxa"/>
            <w:vAlign w:val="bottom"/>
            <w:shd w:val="clear" w:color="auto" w:fill="E0E0E0"/>
          </w:tcPr>
          <w:p>
            <w:pPr>
              <w:spacing w:after="0"/>
              <w:rPr>
                <w:sz w:val="20"/>
                <w:szCs w:val="20"/>
                <w:color w:val="auto"/>
              </w:rPr>
            </w:pPr>
          </w:p>
        </w:tc>
      </w:tr>
      <w:tr>
        <w:trPr>
          <w:trHeight w:val="217"/>
        </w:trPr>
        <w:tc>
          <w:tcPr>
            <w:tcW w:w="3880" w:type="dxa"/>
            <w:vAlign w:val="bottom"/>
          </w:tcPr>
          <w:p>
            <w:pPr>
              <w:ind w:left="280"/>
              <w:spacing w:after="0" w:line="217" w:lineRule="exact"/>
              <w:rPr>
                <w:sz w:val="20"/>
                <w:szCs w:val="20"/>
                <w:color w:val="auto"/>
              </w:rPr>
            </w:pPr>
            <w:r>
              <w:rPr>
                <w:rFonts w:ascii="Arial" w:cs="Arial" w:eastAsia="Arial" w:hAnsi="Arial"/>
                <w:sz w:val="21"/>
                <w:szCs w:val="21"/>
                <w:color w:val="auto"/>
              </w:rPr>
              <w:t>Preclinical programs and other direct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6"/>
        </w:trPr>
        <w:tc>
          <w:tcPr>
            <w:tcW w:w="3960" w:type="dxa"/>
            <w:vAlign w:val="bottom"/>
            <w:gridSpan w:val="2"/>
          </w:tcPr>
          <w:p>
            <w:pPr>
              <w:ind w:left="280"/>
              <w:spacing w:after="0"/>
              <w:rPr>
                <w:sz w:val="20"/>
                <w:szCs w:val="20"/>
                <w:color w:val="auto"/>
              </w:rPr>
            </w:pPr>
            <w:r>
              <w:rPr>
                <w:rFonts w:ascii="Arial" w:cs="Arial" w:eastAsia="Arial" w:hAnsi="Arial"/>
                <w:sz w:val="21"/>
                <w:szCs w:val="21"/>
                <w:color w:val="auto"/>
              </w:rPr>
              <w:t>costs</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1"/>
                <w:szCs w:val="21"/>
                <w:color w:val="auto"/>
              </w:rPr>
              <w:t>5,978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21"/>
                <w:szCs w:val="21"/>
                <w:color w:val="auto"/>
              </w:rPr>
              <w:t>2,968</w:t>
            </w:r>
          </w:p>
        </w:tc>
        <w:tc>
          <w:tcPr>
            <w:tcW w:w="2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21"/>
                <w:szCs w:val="21"/>
                <w:color w:val="auto"/>
              </w:rPr>
              <w:t>3,010</w:t>
            </w:r>
          </w:p>
        </w:tc>
        <w:tc>
          <w:tcPr>
            <w:tcW w:w="860" w:type="dxa"/>
            <w:vAlign w:val="bottom"/>
          </w:tcPr>
          <w:p>
            <w:pPr>
              <w:jc w:val="right"/>
              <w:spacing w:after="0"/>
              <w:rPr>
                <w:sz w:val="20"/>
                <w:szCs w:val="20"/>
                <w:color w:val="auto"/>
              </w:rPr>
            </w:pPr>
            <w:r>
              <w:rPr>
                <w:rFonts w:ascii="Arial" w:cs="Arial" w:eastAsia="Arial" w:hAnsi="Arial"/>
                <w:sz w:val="21"/>
                <w:szCs w:val="21"/>
                <w:color w:val="auto"/>
              </w:rPr>
              <w:t>101</w:t>
            </w:r>
          </w:p>
        </w:tc>
        <w:tc>
          <w:tcPr>
            <w:tcW w:w="180" w:type="dxa"/>
            <w:vAlign w:val="bottom"/>
          </w:tcPr>
          <w:p>
            <w:pPr>
              <w:spacing w:after="0"/>
              <w:rPr>
                <w:sz w:val="22"/>
                <w:szCs w:val="22"/>
                <w:color w:val="auto"/>
              </w:rPr>
            </w:pPr>
          </w:p>
        </w:tc>
      </w:tr>
      <w:tr>
        <w:trPr>
          <w:trHeight w:val="20"/>
        </w:trPr>
        <w:tc>
          <w:tcPr>
            <w:tcW w:w="3880" w:type="dxa"/>
            <w:vAlign w:val="bottom"/>
            <w:shd w:val="clear" w:color="auto" w:fill="E0E0E0"/>
          </w:tcPr>
          <w:p>
            <w:pPr>
              <w:spacing w:after="0" w:line="20" w:lineRule="exact"/>
              <w:rPr>
                <w:sz w:val="1"/>
                <w:szCs w:val="1"/>
                <w:color w:val="auto"/>
              </w:rPr>
            </w:pPr>
          </w:p>
        </w:tc>
        <w:tc>
          <w:tcPr>
            <w:tcW w:w="80" w:type="dxa"/>
            <w:vAlign w:val="bottom"/>
            <w:tcBorders>
              <w:right w:val="single" w:sz="8" w:color="E0E0E0"/>
            </w:tcBorders>
            <w:shd w:val="clear" w:color="auto" w:fill="E0E0E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E0E0E0"/>
            </w:tcBorders>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E0E0E0"/>
          </w:tcPr>
          <w:p>
            <w:pPr>
              <w:spacing w:after="0" w:line="20" w:lineRule="exact"/>
              <w:rPr>
                <w:sz w:val="1"/>
                <w:szCs w:val="1"/>
                <w:color w:val="auto"/>
              </w:rPr>
            </w:pPr>
          </w:p>
        </w:tc>
        <w:tc>
          <w:tcPr>
            <w:tcW w:w="860" w:type="dxa"/>
            <w:vAlign w:val="bottom"/>
            <w:shd w:val="clear" w:color="auto" w:fill="E0E0E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r>
      <w:tr>
        <w:trPr>
          <w:trHeight w:val="227"/>
        </w:trPr>
        <w:tc>
          <w:tcPr>
            <w:tcW w:w="3880" w:type="dxa"/>
            <w:vAlign w:val="bottom"/>
            <w:shd w:val="clear" w:color="auto" w:fill="E0E0E0"/>
          </w:tcPr>
          <w:p>
            <w:pPr>
              <w:spacing w:after="0" w:line="227" w:lineRule="exact"/>
              <w:rPr>
                <w:sz w:val="20"/>
                <w:szCs w:val="20"/>
                <w:color w:val="auto"/>
              </w:rPr>
            </w:pPr>
            <w:r>
              <w:rPr>
                <w:rFonts w:ascii="Arial" w:cs="Arial" w:eastAsia="Arial" w:hAnsi="Arial"/>
                <w:sz w:val="21"/>
                <w:szCs w:val="21"/>
                <w:color w:val="auto"/>
              </w:rPr>
              <w:t>Total direct costs</w:t>
            </w:r>
          </w:p>
        </w:tc>
        <w:tc>
          <w:tcPr>
            <w:tcW w:w="8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72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rPr>
              <w:t>47,268</w:t>
            </w:r>
          </w:p>
        </w:tc>
        <w:tc>
          <w:tcPr>
            <w:tcW w:w="140" w:type="dxa"/>
            <w:vAlign w:val="bottom"/>
            <w:tcBorders>
              <w:right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100" w:type="dxa"/>
            <w:vAlign w:val="bottom"/>
            <w:tcBorders>
              <w:right w:val="single" w:sz="8" w:color="E0E0E0"/>
            </w:tcBorders>
            <w:gridSpan w:val="2"/>
            <w:shd w:val="clear" w:color="auto" w:fill="E0E0E0"/>
          </w:tcPr>
          <w:p>
            <w:pPr>
              <w:jc w:val="right"/>
              <w:ind w:right="160"/>
              <w:spacing w:after="0" w:line="227" w:lineRule="exact"/>
              <w:rPr>
                <w:sz w:val="20"/>
                <w:szCs w:val="20"/>
                <w:color w:val="auto"/>
              </w:rPr>
            </w:pPr>
            <w:r>
              <w:rPr>
                <w:rFonts w:ascii="Arial" w:cs="Arial" w:eastAsia="Arial" w:hAnsi="Arial"/>
                <w:sz w:val="21"/>
                <w:szCs w:val="21"/>
                <w:color w:val="auto"/>
              </w:rPr>
              <w:t>37,456</w:t>
            </w:r>
          </w:p>
        </w:tc>
        <w:tc>
          <w:tcPr>
            <w:tcW w:w="220" w:type="dxa"/>
            <w:vAlign w:val="bottom"/>
            <w:shd w:val="clear" w:color="auto" w:fill="E0E0E0"/>
          </w:tcPr>
          <w:p>
            <w:pPr>
              <w:spacing w:after="0"/>
              <w:rPr>
                <w:sz w:val="19"/>
                <w:szCs w:val="19"/>
                <w:color w:val="auto"/>
              </w:rPr>
            </w:pPr>
          </w:p>
        </w:tc>
        <w:tc>
          <w:tcPr>
            <w:tcW w:w="1180" w:type="dxa"/>
            <w:vAlign w:val="bottom"/>
            <w:gridSpan w:val="2"/>
            <w:shd w:val="clear" w:color="auto" w:fill="E0E0E0"/>
          </w:tcPr>
          <w:p>
            <w:pPr>
              <w:jc w:val="right"/>
              <w:ind w:right="160"/>
              <w:spacing w:after="0" w:line="227" w:lineRule="exact"/>
              <w:rPr>
                <w:sz w:val="20"/>
                <w:szCs w:val="20"/>
                <w:color w:val="auto"/>
              </w:rPr>
            </w:pPr>
            <w:r>
              <w:rPr>
                <w:rFonts w:ascii="Arial" w:cs="Arial" w:eastAsia="Arial" w:hAnsi="Arial"/>
                <w:sz w:val="21"/>
                <w:szCs w:val="21"/>
                <w:color w:val="auto"/>
              </w:rPr>
              <w:t>9,812</w:t>
            </w:r>
          </w:p>
        </w:tc>
        <w:tc>
          <w:tcPr>
            <w:tcW w:w="86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rPr>
              <w:t>26</w:t>
            </w:r>
          </w:p>
        </w:tc>
        <w:tc>
          <w:tcPr>
            <w:tcW w:w="180" w:type="dxa"/>
            <w:vAlign w:val="bottom"/>
            <w:shd w:val="clear" w:color="auto" w:fill="E0E0E0"/>
          </w:tcPr>
          <w:p>
            <w:pPr>
              <w:spacing w:after="0"/>
              <w:rPr>
                <w:sz w:val="19"/>
                <w:szCs w:val="19"/>
                <w:color w:val="auto"/>
              </w:rPr>
            </w:pPr>
          </w:p>
        </w:tc>
      </w:tr>
      <w:tr>
        <w:trPr>
          <w:trHeight w:val="227"/>
        </w:trPr>
        <w:tc>
          <w:tcPr>
            <w:tcW w:w="3880" w:type="dxa"/>
            <w:vAlign w:val="bottom"/>
          </w:tcPr>
          <w:p>
            <w:pPr>
              <w:spacing w:after="0" w:line="227" w:lineRule="exact"/>
              <w:rPr>
                <w:sz w:val="20"/>
                <w:szCs w:val="20"/>
                <w:color w:val="auto"/>
              </w:rPr>
            </w:pPr>
            <w:r>
              <w:rPr>
                <w:rFonts w:ascii="Arial" w:cs="Arial" w:eastAsia="Arial" w:hAnsi="Arial"/>
                <w:sz w:val="21"/>
                <w:szCs w:val="21"/>
                <w:color w:val="auto"/>
              </w:rPr>
              <w:t>Indirect costs:</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9"/>
        </w:trPr>
        <w:tc>
          <w:tcPr>
            <w:tcW w:w="3880" w:type="dxa"/>
            <w:vAlign w:val="bottom"/>
            <w:shd w:val="clear" w:color="auto" w:fill="E0E0E0"/>
          </w:tcPr>
          <w:p>
            <w:pPr>
              <w:ind w:left="280"/>
              <w:spacing w:after="0" w:line="219" w:lineRule="exact"/>
              <w:rPr>
                <w:sz w:val="20"/>
                <w:szCs w:val="20"/>
                <w:color w:val="auto"/>
              </w:rPr>
            </w:pPr>
            <w:r>
              <w:rPr>
                <w:rFonts w:ascii="Arial" w:cs="Arial" w:eastAsia="Arial" w:hAnsi="Arial"/>
                <w:sz w:val="21"/>
                <w:szCs w:val="21"/>
                <w:color w:val="auto"/>
              </w:rPr>
              <w:t>Personnel-related costs, including</w:t>
            </w:r>
          </w:p>
        </w:tc>
        <w:tc>
          <w:tcPr>
            <w:tcW w:w="8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720" w:type="dxa"/>
            <w:vAlign w:val="bottom"/>
            <w:shd w:val="clear" w:color="auto" w:fill="E0E0E0"/>
          </w:tcPr>
          <w:p>
            <w:pPr>
              <w:spacing w:after="0"/>
              <w:rPr>
                <w:sz w:val="19"/>
                <w:szCs w:val="19"/>
                <w:color w:val="auto"/>
              </w:rPr>
            </w:pPr>
          </w:p>
        </w:tc>
        <w:tc>
          <w:tcPr>
            <w:tcW w:w="140" w:type="dxa"/>
            <w:vAlign w:val="bottom"/>
            <w:tcBorders>
              <w:right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spacing w:after="0"/>
              <w:rPr>
                <w:sz w:val="19"/>
                <w:szCs w:val="19"/>
                <w:color w:val="auto"/>
              </w:rPr>
            </w:pPr>
          </w:p>
        </w:tc>
        <w:tc>
          <w:tcPr>
            <w:tcW w:w="160" w:type="dxa"/>
            <w:vAlign w:val="bottom"/>
            <w:tcBorders>
              <w:right w:val="single" w:sz="8" w:color="E0E0E0"/>
            </w:tcBorders>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0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6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r>
      <w:tr>
        <w:trPr>
          <w:trHeight w:val="256"/>
        </w:trPr>
        <w:tc>
          <w:tcPr>
            <w:tcW w:w="3880" w:type="dxa"/>
            <w:vAlign w:val="bottom"/>
            <w:shd w:val="clear" w:color="auto" w:fill="E0E0E0"/>
          </w:tcPr>
          <w:p>
            <w:pPr>
              <w:ind w:left="280"/>
              <w:spacing w:after="0"/>
              <w:rPr>
                <w:sz w:val="20"/>
                <w:szCs w:val="20"/>
                <w:color w:val="auto"/>
              </w:rPr>
            </w:pPr>
            <w:r>
              <w:rPr>
                <w:rFonts w:ascii="Arial" w:cs="Arial" w:eastAsia="Arial" w:hAnsi="Arial"/>
                <w:sz w:val="21"/>
                <w:szCs w:val="21"/>
                <w:color w:val="auto"/>
              </w:rPr>
              <w:t>stock-</w:t>
            </w:r>
          </w:p>
        </w:tc>
        <w:tc>
          <w:tcPr>
            <w:tcW w:w="80" w:type="dxa"/>
            <w:vAlign w:val="bottom"/>
            <w:tcBorders>
              <w:right w:val="single" w:sz="8" w:color="E0E0E0"/>
            </w:tcBorders>
            <w:shd w:val="clear" w:color="auto" w:fill="E0E0E0"/>
          </w:tcPr>
          <w:p>
            <w:pPr>
              <w:spacing w:after="0"/>
              <w:rPr>
                <w:sz w:val="22"/>
                <w:szCs w:val="22"/>
                <w:color w:val="auto"/>
              </w:rPr>
            </w:pPr>
          </w:p>
        </w:tc>
        <w:tc>
          <w:tcPr>
            <w:tcW w:w="180" w:type="dxa"/>
            <w:vAlign w:val="bottom"/>
            <w:shd w:val="clear" w:color="auto" w:fill="E0E0E0"/>
          </w:tcPr>
          <w:p>
            <w:pPr>
              <w:spacing w:after="0"/>
              <w:rPr>
                <w:sz w:val="22"/>
                <w:szCs w:val="22"/>
                <w:color w:val="auto"/>
              </w:rPr>
            </w:pPr>
          </w:p>
        </w:tc>
        <w:tc>
          <w:tcPr>
            <w:tcW w:w="720" w:type="dxa"/>
            <w:vAlign w:val="bottom"/>
            <w:shd w:val="clear" w:color="auto" w:fill="E0E0E0"/>
          </w:tcPr>
          <w:p>
            <w:pPr>
              <w:spacing w:after="0"/>
              <w:rPr>
                <w:sz w:val="22"/>
                <w:szCs w:val="22"/>
                <w:color w:val="auto"/>
              </w:rPr>
            </w:pPr>
          </w:p>
        </w:tc>
        <w:tc>
          <w:tcPr>
            <w:tcW w:w="140" w:type="dxa"/>
            <w:vAlign w:val="bottom"/>
            <w:tcBorders>
              <w:right w:val="single" w:sz="8" w:color="E0E0E0"/>
            </w:tcBorders>
            <w:shd w:val="clear" w:color="auto" w:fill="E0E0E0"/>
          </w:tcPr>
          <w:p>
            <w:pPr>
              <w:spacing w:after="0"/>
              <w:rPr>
                <w:sz w:val="22"/>
                <w:szCs w:val="22"/>
                <w:color w:val="auto"/>
              </w:rPr>
            </w:pPr>
          </w:p>
        </w:tc>
        <w:tc>
          <w:tcPr>
            <w:tcW w:w="140" w:type="dxa"/>
            <w:vAlign w:val="bottom"/>
            <w:shd w:val="clear" w:color="auto" w:fill="E0E0E0"/>
          </w:tcPr>
          <w:p>
            <w:pPr>
              <w:spacing w:after="0"/>
              <w:rPr>
                <w:sz w:val="22"/>
                <w:szCs w:val="22"/>
                <w:color w:val="auto"/>
              </w:rPr>
            </w:pPr>
          </w:p>
        </w:tc>
        <w:tc>
          <w:tcPr>
            <w:tcW w:w="940" w:type="dxa"/>
            <w:vAlign w:val="bottom"/>
            <w:shd w:val="clear" w:color="auto" w:fill="E0E0E0"/>
          </w:tcPr>
          <w:p>
            <w:pPr>
              <w:spacing w:after="0"/>
              <w:rPr>
                <w:sz w:val="22"/>
                <w:szCs w:val="22"/>
                <w:color w:val="auto"/>
              </w:rPr>
            </w:pPr>
          </w:p>
        </w:tc>
        <w:tc>
          <w:tcPr>
            <w:tcW w:w="160" w:type="dxa"/>
            <w:vAlign w:val="bottom"/>
            <w:tcBorders>
              <w:right w:val="single" w:sz="8" w:color="E0E0E0"/>
            </w:tcBorders>
            <w:shd w:val="clear" w:color="auto" w:fill="E0E0E0"/>
          </w:tcPr>
          <w:p>
            <w:pPr>
              <w:spacing w:after="0"/>
              <w:rPr>
                <w:sz w:val="22"/>
                <w:szCs w:val="22"/>
                <w:color w:val="auto"/>
              </w:rPr>
            </w:pPr>
          </w:p>
        </w:tc>
        <w:tc>
          <w:tcPr>
            <w:tcW w:w="220" w:type="dxa"/>
            <w:vAlign w:val="bottom"/>
            <w:shd w:val="clear" w:color="auto" w:fill="E0E0E0"/>
          </w:tcPr>
          <w:p>
            <w:pPr>
              <w:spacing w:after="0"/>
              <w:rPr>
                <w:sz w:val="22"/>
                <w:szCs w:val="22"/>
                <w:color w:val="auto"/>
              </w:rPr>
            </w:pPr>
          </w:p>
        </w:tc>
        <w:tc>
          <w:tcPr>
            <w:tcW w:w="1020" w:type="dxa"/>
            <w:vAlign w:val="bottom"/>
            <w:shd w:val="clear" w:color="auto" w:fill="E0E0E0"/>
          </w:tcPr>
          <w:p>
            <w:pPr>
              <w:spacing w:after="0"/>
              <w:rPr>
                <w:sz w:val="22"/>
                <w:szCs w:val="22"/>
                <w:color w:val="auto"/>
              </w:rPr>
            </w:pPr>
          </w:p>
        </w:tc>
        <w:tc>
          <w:tcPr>
            <w:tcW w:w="160" w:type="dxa"/>
            <w:vAlign w:val="bottom"/>
            <w:shd w:val="clear" w:color="auto" w:fill="E0E0E0"/>
          </w:tcPr>
          <w:p>
            <w:pPr>
              <w:spacing w:after="0"/>
              <w:rPr>
                <w:sz w:val="22"/>
                <w:szCs w:val="22"/>
                <w:color w:val="auto"/>
              </w:rPr>
            </w:pPr>
          </w:p>
        </w:tc>
        <w:tc>
          <w:tcPr>
            <w:tcW w:w="860" w:type="dxa"/>
            <w:vAlign w:val="bottom"/>
            <w:shd w:val="clear" w:color="auto" w:fill="E0E0E0"/>
          </w:tcPr>
          <w:p>
            <w:pPr>
              <w:spacing w:after="0"/>
              <w:rPr>
                <w:sz w:val="22"/>
                <w:szCs w:val="22"/>
                <w:color w:val="auto"/>
              </w:rPr>
            </w:pPr>
          </w:p>
        </w:tc>
        <w:tc>
          <w:tcPr>
            <w:tcW w:w="180" w:type="dxa"/>
            <w:vAlign w:val="bottom"/>
            <w:shd w:val="clear" w:color="auto" w:fill="E0E0E0"/>
          </w:tcPr>
          <w:p>
            <w:pPr>
              <w:spacing w:after="0"/>
              <w:rPr>
                <w:sz w:val="22"/>
                <w:szCs w:val="22"/>
                <w:color w:val="auto"/>
              </w:rPr>
            </w:pPr>
          </w:p>
        </w:tc>
      </w:tr>
      <w:tr>
        <w:trPr>
          <w:trHeight w:val="236"/>
        </w:trPr>
        <w:tc>
          <w:tcPr>
            <w:tcW w:w="3880" w:type="dxa"/>
            <w:vAlign w:val="bottom"/>
            <w:shd w:val="clear" w:color="auto" w:fill="E0E0E0"/>
          </w:tcPr>
          <w:p>
            <w:pPr>
              <w:ind w:left="460"/>
              <w:spacing w:after="0" w:line="236" w:lineRule="exact"/>
              <w:rPr>
                <w:sz w:val="20"/>
                <w:szCs w:val="20"/>
                <w:color w:val="auto"/>
              </w:rPr>
            </w:pPr>
            <w:r>
              <w:rPr>
                <w:rFonts w:ascii="Arial" w:cs="Arial" w:eastAsia="Arial" w:hAnsi="Arial"/>
                <w:sz w:val="21"/>
                <w:szCs w:val="21"/>
                <w:color w:val="auto"/>
              </w:rPr>
              <w:t>based compensation</w:t>
            </w:r>
          </w:p>
        </w:tc>
        <w:tc>
          <w:tcPr>
            <w:tcW w:w="8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60" w:type="dxa"/>
            <w:vAlign w:val="bottom"/>
            <w:tcBorders>
              <w:right w:val="single" w:sz="8" w:color="E0E0E0"/>
            </w:tcBorders>
            <w:gridSpan w:val="2"/>
            <w:shd w:val="clear" w:color="auto" w:fill="E0E0E0"/>
          </w:tcPr>
          <w:p>
            <w:pPr>
              <w:jc w:val="right"/>
              <w:ind w:right="140"/>
              <w:spacing w:after="0" w:line="236" w:lineRule="exact"/>
              <w:rPr>
                <w:sz w:val="20"/>
                <w:szCs w:val="20"/>
                <w:color w:val="auto"/>
              </w:rPr>
            </w:pPr>
            <w:r>
              <w:rPr>
                <w:rFonts w:ascii="Arial" w:cs="Arial" w:eastAsia="Arial" w:hAnsi="Arial"/>
                <w:sz w:val="21"/>
                <w:szCs w:val="21"/>
                <w:color w:val="auto"/>
              </w:rPr>
              <w:t>12,620</w:t>
            </w:r>
          </w:p>
        </w:tc>
        <w:tc>
          <w:tcPr>
            <w:tcW w:w="140" w:type="dxa"/>
            <w:vAlign w:val="bottom"/>
            <w:shd w:val="clear" w:color="auto" w:fill="E0E0E0"/>
          </w:tcPr>
          <w:p>
            <w:pPr>
              <w:spacing w:after="0"/>
              <w:rPr>
                <w:sz w:val="20"/>
                <w:szCs w:val="20"/>
                <w:color w:val="auto"/>
              </w:rPr>
            </w:pPr>
          </w:p>
        </w:tc>
        <w:tc>
          <w:tcPr>
            <w:tcW w:w="1100" w:type="dxa"/>
            <w:vAlign w:val="bottom"/>
            <w:tcBorders>
              <w:right w:val="single" w:sz="8" w:color="E0E0E0"/>
            </w:tcBorders>
            <w:gridSpan w:val="2"/>
            <w:shd w:val="clear" w:color="auto" w:fill="E0E0E0"/>
          </w:tcPr>
          <w:p>
            <w:pPr>
              <w:jc w:val="right"/>
              <w:ind w:right="160"/>
              <w:spacing w:after="0" w:line="236" w:lineRule="exact"/>
              <w:rPr>
                <w:sz w:val="20"/>
                <w:szCs w:val="20"/>
                <w:color w:val="auto"/>
              </w:rPr>
            </w:pPr>
            <w:r>
              <w:rPr>
                <w:rFonts w:ascii="Arial" w:cs="Arial" w:eastAsia="Arial" w:hAnsi="Arial"/>
                <w:sz w:val="21"/>
                <w:szCs w:val="21"/>
                <w:color w:val="auto"/>
              </w:rPr>
              <w:t>4,545</w:t>
            </w:r>
          </w:p>
        </w:tc>
        <w:tc>
          <w:tcPr>
            <w:tcW w:w="220" w:type="dxa"/>
            <w:vAlign w:val="bottom"/>
            <w:shd w:val="clear" w:color="auto" w:fill="E0E0E0"/>
          </w:tcPr>
          <w:p>
            <w:pPr>
              <w:spacing w:after="0"/>
              <w:rPr>
                <w:sz w:val="20"/>
                <w:szCs w:val="20"/>
                <w:color w:val="auto"/>
              </w:rPr>
            </w:pPr>
          </w:p>
        </w:tc>
        <w:tc>
          <w:tcPr>
            <w:tcW w:w="1180" w:type="dxa"/>
            <w:vAlign w:val="bottom"/>
            <w:gridSpan w:val="2"/>
            <w:shd w:val="clear" w:color="auto" w:fill="E0E0E0"/>
          </w:tcPr>
          <w:p>
            <w:pPr>
              <w:jc w:val="right"/>
              <w:ind w:right="160"/>
              <w:spacing w:after="0" w:line="236" w:lineRule="exact"/>
              <w:rPr>
                <w:sz w:val="20"/>
                <w:szCs w:val="20"/>
                <w:color w:val="auto"/>
              </w:rPr>
            </w:pPr>
            <w:r>
              <w:rPr>
                <w:rFonts w:ascii="Arial" w:cs="Arial" w:eastAsia="Arial" w:hAnsi="Arial"/>
                <w:sz w:val="21"/>
                <w:szCs w:val="21"/>
                <w:color w:val="auto"/>
              </w:rPr>
              <w:t>8,075</w:t>
            </w:r>
          </w:p>
        </w:tc>
        <w:tc>
          <w:tcPr>
            <w:tcW w:w="860" w:type="dxa"/>
            <w:vAlign w:val="bottom"/>
            <w:shd w:val="clear" w:color="auto" w:fill="E0E0E0"/>
          </w:tcPr>
          <w:p>
            <w:pPr>
              <w:jc w:val="right"/>
              <w:spacing w:after="0" w:line="236" w:lineRule="exact"/>
              <w:rPr>
                <w:sz w:val="20"/>
                <w:szCs w:val="20"/>
                <w:color w:val="auto"/>
              </w:rPr>
            </w:pPr>
            <w:r>
              <w:rPr>
                <w:rFonts w:ascii="Arial" w:cs="Arial" w:eastAsia="Arial" w:hAnsi="Arial"/>
                <w:sz w:val="21"/>
                <w:szCs w:val="21"/>
                <w:color w:val="auto"/>
              </w:rPr>
              <w:t>178</w:t>
            </w:r>
          </w:p>
        </w:tc>
        <w:tc>
          <w:tcPr>
            <w:tcW w:w="180" w:type="dxa"/>
            <w:vAlign w:val="bottom"/>
            <w:shd w:val="clear" w:color="auto" w:fill="E0E0E0"/>
          </w:tcPr>
          <w:p>
            <w:pPr>
              <w:spacing w:after="0"/>
              <w:rPr>
                <w:sz w:val="20"/>
                <w:szCs w:val="20"/>
                <w:color w:val="auto"/>
              </w:rPr>
            </w:pPr>
          </w:p>
        </w:tc>
      </w:tr>
      <w:tr>
        <w:trPr>
          <w:trHeight w:val="237"/>
        </w:trPr>
        <w:tc>
          <w:tcPr>
            <w:tcW w:w="3880" w:type="dxa"/>
            <w:vAlign w:val="bottom"/>
          </w:tcPr>
          <w:p>
            <w:pPr>
              <w:ind w:left="280"/>
              <w:spacing w:after="0" w:line="237" w:lineRule="exact"/>
              <w:rPr>
                <w:sz w:val="20"/>
                <w:szCs w:val="20"/>
                <w:color w:val="auto"/>
              </w:rPr>
            </w:pPr>
            <w:r>
              <w:rPr>
                <w:rFonts w:ascii="Arial" w:cs="Arial" w:eastAsia="Arial" w:hAnsi="Arial"/>
                <w:sz w:val="21"/>
                <w:szCs w:val="21"/>
                <w:color w:val="auto"/>
              </w:rPr>
              <w:t>Facilities and other costs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line="237" w:lineRule="exact"/>
              <w:rPr>
                <w:sz w:val="20"/>
                <w:szCs w:val="20"/>
                <w:color w:val="auto"/>
              </w:rPr>
            </w:pPr>
            <w:r>
              <w:rPr>
                <w:rFonts w:ascii="Arial" w:cs="Arial" w:eastAsia="Arial" w:hAnsi="Arial"/>
                <w:sz w:val="21"/>
                <w:szCs w:val="21"/>
                <w:color w:val="auto"/>
              </w:rPr>
              <w:t>1,576</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line="237" w:lineRule="exact"/>
              <w:rPr>
                <w:sz w:val="20"/>
                <w:szCs w:val="20"/>
                <w:color w:val="auto"/>
              </w:rPr>
            </w:pPr>
            <w:r>
              <w:rPr>
                <w:rFonts w:ascii="Arial" w:cs="Arial" w:eastAsia="Arial" w:hAnsi="Arial"/>
                <w:sz w:val="21"/>
                <w:szCs w:val="21"/>
                <w:color w:val="auto"/>
              </w:rPr>
              <w:t>793</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line="237" w:lineRule="exact"/>
              <w:rPr>
                <w:sz w:val="20"/>
                <w:szCs w:val="20"/>
                <w:color w:val="auto"/>
              </w:rPr>
            </w:pPr>
            <w:r>
              <w:rPr>
                <w:rFonts w:ascii="Arial" w:cs="Arial" w:eastAsia="Arial" w:hAnsi="Arial"/>
                <w:sz w:val="21"/>
                <w:szCs w:val="21"/>
                <w:color w:val="auto"/>
              </w:rPr>
              <w:t>783</w:t>
            </w:r>
          </w:p>
        </w:tc>
        <w:tc>
          <w:tcPr>
            <w:tcW w:w="860" w:type="dxa"/>
            <w:vAlign w:val="bottom"/>
          </w:tcPr>
          <w:p>
            <w:pPr>
              <w:jc w:val="right"/>
              <w:spacing w:after="0" w:line="237" w:lineRule="exact"/>
              <w:rPr>
                <w:sz w:val="20"/>
                <w:szCs w:val="20"/>
                <w:color w:val="auto"/>
              </w:rPr>
            </w:pPr>
            <w:r>
              <w:rPr>
                <w:rFonts w:ascii="Arial" w:cs="Arial" w:eastAsia="Arial" w:hAnsi="Arial"/>
                <w:sz w:val="21"/>
                <w:szCs w:val="21"/>
                <w:color w:val="auto"/>
              </w:rPr>
              <w:t>99</w:t>
            </w:r>
          </w:p>
        </w:tc>
        <w:tc>
          <w:tcPr>
            <w:tcW w:w="180" w:type="dxa"/>
            <w:vAlign w:val="bottom"/>
          </w:tcPr>
          <w:p>
            <w:pPr>
              <w:spacing w:after="0"/>
              <w:rPr>
                <w:sz w:val="20"/>
                <w:szCs w:val="20"/>
                <w:color w:val="auto"/>
              </w:rPr>
            </w:pPr>
          </w:p>
        </w:tc>
      </w:tr>
      <w:tr>
        <w:trPr>
          <w:trHeight w:val="227"/>
        </w:trPr>
        <w:tc>
          <w:tcPr>
            <w:tcW w:w="3880" w:type="dxa"/>
            <w:vAlign w:val="bottom"/>
            <w:tcBorders>
              <w:top w:val="single" w:sz="8" w:color="E0E0E0"/>
            </w:tcBorders>
            <w:shd w:val="clear" w:color="auto" w:fill="E0E0E0"/>
          </w:tcPr>
          <w:p>
            <w:pPr>
              <w:spacing w:after="0" w:line="227" w:lineRule="exact"/>
              <w:rPr>
                <w:sz w:val="20"/>
                <w:szCs w:val="20"/>
                <w:color w:val="auto"/>
              </w:rPr>
            </w:pPr>
            <w:r>
              <w:rPr>
                <w:rFonts w:ascii="Arial" w:cs="Arial" w:eastAsia="Arial" w:hAnsi="Arial"/>
                <w:sz w:val="21"/>
                <w:szCs w:val="21"/>
                <w:color w:val="auto"/>
              </w:rPr>
              <w:t>Total research and development</w:t>
            </w:r>
          </w:p>
        </w:tc>
        <w:tc>
          <w:tcPr>
            <w:tcW w:w="80" w:type="dxa"/>
            <w:vAlign w:val="bottom"/>
            <w:tcBorders>
              <w:top w:val="single" w:sz="8" w:color="E0E0E0"/>
              <w:right w:val="single" w:sz="8" w:color="E0E0E0"/>
            </w:tcBorders>
            <w:shd w:val="clear" w:color="auto" w:fill="E0E0E0"/>
          </w:tcPr>
          <w:p>
            <w:pPr>
              <w:spacing w:after="0"/>
              <w:rPr>
                <w:sz w:val="19"/>
                <w:szCs w:val="19"/>
                <w:color w:val="auto"/>
              </w:rPr>
            </w:pPr>
          </w:p>
        </w:tc>
        <w:tc>
          <w:tcPr>
            <w:tcW w:w="180" w:type="dxa"/>
            <w:vAlign w:val="bottom"/>
            <w:tcBorders>
              <w:top w:val="single" w:sz="8" w:color="auto"/>
            </w:tcBorders>
            <w:shd w:val="clear" w:color="auto" w:fill="E0E0E0"/>
          </w:tcPr>
          <w:p>
            <w:pPr>
              <w:spacing w:after="0"/>
              <w:rPr>
                <w:sz w:val="19"/>
                <w:szCs w:val="19"/>
                <w:color w:val="auto"/>
              </w:rPr>
            </w:pPr>
          </w:p>
        </w:tc>
        <w:tc>
          <w:tcPr>
            <w:tcW w:w="720" w:type="dxa"/>
            <w:vAlign w:val="bottom"/>
            <w:tcBorders>
              <w:top w:val="single" w:sz="8" w:color="auto"/>
            </w:tcBorders>
            <w:shd w:val="clear" w:color="auto" w:fill="E0E0E0"/>
          </w:tcPr>
          <w:p>
            <w:pPr>
              <w:spacing w:after="0"/>
              <w:rPr>
                <w:sz w:val="19"/>
                <w:szCs w:val="19"/>
                <w:color w:val="auto"/>
              </w:rPr>
            </w:pPr>
          </w:p>
        </w:tc>
        <w:tc>
          <w:tcPr>
            <w:tcW w:w="140" w:type="dxa"/>
            <w:vAlign w:val="bottom"/>
            <w:tcBorders>
              <w:top w:val="single" w:sz="8" w:color="E0E0E0"/>
              <w:right w:val="single" w:sz="8" w:color="E0E0E0"/>
            </w:tcBorders>
            <w:shd w:val="clear" w:color="auto" w:fill="E0E0E0"/>
          </w:tcPr>
          <w:p>
            <w:pPr>
              <w:spacing w:after="0"/>
              <w:rPr>
                <w:sz w:val="19"/>
                <w:szCs w:val="19"/>
                <w:color w:val="auto"/>
              </w:rPr>
            </w:pPr>
          </w:p>
        </w:tc>
        <w:tc>
          <w:tcPr>
            <w:tcW w:w="140" w:type="dxa"/>
            <w:vAlign w:val="bottom"/>
            <w:tcBorders>
              <w:top w:val="single" w:sz="8" w:color="auto"/>
            </w:tcBorders>
            <w:shd w:val="clear" w:color="auto" w:fill="E0E0E0"/>
          </w:tcPr>
          <w:p>
            <w:pPr>
              <w:spacing w:after="0"/>
              <w:rPr>
                <w:sz w:val="19"/>
                <w:szCs w:val="19"/>
                <w:color w:val="auto"/>
              </w:rPr>
            </w:pPr>
          </w:p>
        </w:tc>
        <w:tc>
          <w:tcPr>
            <w:tcW w:w="940" w:type="dxa"/>
            <w:vAlign w:val="bottom"/>
            <w:tcBorders>
              <w:top w:val="single" w:sz="8" w:color="auto"/>
            </w:tcBorders>
            <w:shd w:val="clear" w:color="auto" w:fill="E0E0E0"/>
          </w:tcPr>
          <w:p>
            <w:pPr>
              <w:spacing w:after="0"/>
              <w:rPr>
                <w:sz w:val="19"/>
                <w:szCs w:val="19"/>
                <w:color w:val="auto"/>
              </w:rPr>
            </w:pPr>
          </w:p>
        </w:tc>
        <w:tc>
          <w:tcPr>
            <w:tcW w:w="160" w:type="dxa"/>
            <w:vAlign w:val="bottom"/>
            <w:tcBorders>
              <w:top w:val="single" w:sz="8" w:color="E0E0E0"/>
              <w:right w:val="single" w:sz="8" w:color="E0E0E0"/>
            </w:tcBorders>
            <w:shd w:val="clear" w:color="auto" w:fill="E0E0E0"/>
          </w:tcPr>
          <w:p>
            <w:pPr>
              <w:spacing w:after="0"/>
              <w:rPr>
                <w:sz w:val="19"/>
                <w:szCs w:val="19"/>
                <w:color w:val="auto"/>
              </w:rPr>
            </w:pPr>
          </w:p>
        </w:tc>
        <w:tc>
          <w:tcPr>
            <w:tcW w:w="220" w:type="dxa"/>
            <w:vAlign w:val="bottom"/>
            <w:tcBorders>
              <w:top w:val="single" w:sz="8" w:color="auto"/>
            </w:tcBorders>
            <w:shd w:val="clear" w:color="auto" w:fill="E0E0E0"/>
          </w:tcPr>
          <w:p>
            <w:pPr>
              <w:spacing w:after="0"/>
              <w:rPr>
                <w:sz w:val="19"/>
                <w:szCs w:val="19"/>
                <w:color w:val="auto"/>
              </w:rPr>
            </w:pPr>
          </w:p>
        </w:tc>
        <w:tc>
          <w:tcPr>
            <w:tcW w:w="1020" w:type="dxa"/>
            <w:vAlign w:val="bottom"/>
            <w:tcBorders>
              <w:top w:val="single" w:sz="8" w:color="auto"/>
            </w:tcBorders>
            <w:shd w:val="clear" w:color="auto" w:fill="E0E0E0"/>
          </w:tcPr>
          <w:p>
            <w:pPr>
              <w:spacing w:after="0"/>
              <w:rPr>
                <w:sz w:val="19"/>
                <w:szCs w:val="19"/>
                <w:color w:val="auto"/>
              </w:rPr>
            </w:pPr>
          </w:p>
        </w:tc>
        <w:tc>
          <w:tcPr>
            <w:tcW w:w="160" w:type="dxa"/>
            <w:vAlign w:val="bottom"/>
            <w:tcBorders>
              <w:top w:val="single" w:sz="8" w:color="E0E0E0"/>
            </w:tcBorders>
            <w:shd w:val="clear" w:color="auto" w:fill="E0E0E0"/>
          </w:tcPr>
          <w:p>
            <w:pPr>
              <w:spacing w:after="0"/>
              <w:rPr>
                <w:sz w:val="19"/>
                <w:szCs w:val="19"/>
                <w:color w:val="auto"/>
              </w:rPr>
            </w:pPr>
          </w:p>
        </w:tc>
        <w:tc>
          <w:tcPr>
            <w:tcW w:w="86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E0E0E0"/>
            </w:tcBorders>
            <w:shd w:val="clear" w:color="auto" w:fill="E0E0E0"/>
          </w:tcPr>
          <w:p>
            <w:pPr>
              <w:spacing w:after="0"/>
              <w:rPr>
                <w:sz w:val="19"/>
                <w:szCs w:val="19"/>
                <w:color w:val="auto"/>
              </w:rPr>
            </w:pPr>
          </w:p>
        </w:tc>
      </w:tr>
      <w:tr>
        <w:trPr>
          <w:trHeight w:val="238"/>
        </w:trPr>
        <w:tc>
          <w:tcPr>
            <w:tcW w:w="3880" w:type="dxa"/>
            <w:vAlign w:val="bottom"/>
            <w:shd w:val="clear" w:color="auto" w:fill="E0E0E0"/>
          </w:tcPr>
          <w:p>
            <w:pPr>
              <w:spacing w:after="0" w:line="237" w:lineRule="exact"/>
              <w:rPr>
                <w:sz w:val="20"/>
                <w:szCs w:val="20"/>
                <w:color w:val="auto"/>
              </w:rPr>
            </w:pPr>
            <w:r>
              <w:rPr>
                <w:rFonts w:ascii="Arial" w:cs="Arial" w:eastAsia="Arial" w:hAnsi="Arial"/>
                <w:sz w:val="21"/>
                <w:szCs w:val="21"/>
                <w:color w:val="auto"/>
              </w:rPr>
              <w:t>expenses</w:t>
            </w:r>
          </w:p>
        </w:tc>
        <w:tc>
          <w:tcPr>
            <w:tcW w:w="8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w w:val="85"/>
                <w:shd w:val="clear" w:color="auto" w:fill="E0E0E0"/>
              </w:rPr>
              <w:t>$</w:t>
            </w:r>
          </w:p>
        </w:tc>
        <w:tc>
          <w:tcPr>
            <w:tcW w:w="860" w:type="dxa"/>
            <w:vAlign w:val="bottom"/>
            <w:tcBorders>
              <w:right w:val="single" w:sz="8" w:color="E0E0E0"/>
            </w:tcBorders>
            <w:gridSpan w:val="2"/>
            <w:shd w:val="clear" w:color="auto" w:fill="E0E0E0"/>
          </w:tcPr>
          <w:p>
            <w:pPr>
              <w:jc w:val="right"/>
              <w:ind w:right="140"/>
              <w:spacing w:after="0" w:line="237" w:lineRule="exact"/>
              <w:rPr>
                <w:sz w:val="20"/>
                <w:szCs w:val="20"/>
                <w:color w:val="auto"/>
              </w:rPr>
            </w:pPr>
            <w:r>
              <w:rPr>
                <w:rFonts w:ascii="Arial" w:cs="Arial" w:eastAsia="Arial" w:hAnsi="Arial"/>
                <w:sz w:val="21"/>
                <w:szCs w:val="21"/>
                <w:color w:val="auto"/>
                <w:shd w:val="clear" w:color="auto" w:fill="E0E0E0"/>
              </w:rPr>
              <w:t>61,464</w:t>
            </w:r>
          </w:p>
        </w:tc>
        <w:tc>
          <w:tcPr>
            <w:tcW w:w="14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w w:val="85"/>
                <w:shd w:val="clear" w:color="auto" w:fill="E0E0E0"/>
              </w:rPr>
              <w:t>$</w:t>
            </w:r>
          </w:p>
        </w:tc>
        <w:tc>
          <w:tcPr>
            <w:tcW w:w="1100" w:type="dxa"/>
            <w:vAlign w:val="bottom"/>
            <w:tcBorders>
              <w:right w:val="single" w:sz="8" w:color="E0E0E0"/>
            </w:tcBorders>
            <w:gridSpan w:val="2"/>
            <w:shd w:val="clear" w:color="auto" w:fill="E0E0E0"/>
          </w:tcPr>
          <w:p>
            <w:pPr>
              <w:jc w:val="right"/>
              <w:ind w:right="160"/>
              <w:spacing w:after="0" w:line="237" w:lineRule="exact"/>
              <w:rPr>
                <w:sz w:val="20"/>
                <w:szCs w:val="20"/>
                <w:color w:val="auto"/>
              </w:rPr>
            </w:pPr>
            <w:r>
              <w:rPr>
                <w:rFonts w:ascii="Arial" w:cs="Arial" w:eastAsia="Arial" w:hAnsi="Arial"/>
                <w:sz w:val="21"/>
                <w:szCs w:val="21"/>
                <w:color w:val="auto"/>
                <w:shd w:val="clear" w:color="auto" w:fill="E0E0E0"/>
              </w:rPr>
              <w:t>42,794</w:t>
            </w:r>
          </w:p>
        </w:tc>
        <w:tc>
          <w:tcPr>
            <w:tcW w:w="220" w:type="dxa"/>
            <w:vAlign w:val="bottom"/>
            <w:shd w:val="clear" w:color="auto" w:fill="E0E0E0"/>
          </w:tcPr>
          <w:p>
            <w:pPr>
              <w:jc w:val="right"/>
              <w:ind w:right="22"/>
              <w:spacing w:after="0"/>
              <w:rPr>
                <w:sz w:val="20"/>
                <w:szCs w:val="20"/>
                <w:color w:val="auto"/>
              </w:rPr>
            </w:pPr>
            <w:r>
              <w:rPr>
                <w:rFonts w:ascii="Arial" w:cs="Arial" w:eastAsia="Arial" w:hAnsi="Arial"/>
                <w:sz w:val="20"/>
                <w:szCs w:val="20"/>
                <w:color w:val="auto"/>
                <w:w w:val="71"/>
              </w:rPr>
              <w:t>$</w:t>
            </w:r>
          </w:p>
        </w:tc>
        <w:tc>
          <w:tcPr>
            <w:tcW w:w="1180" w:type="dxa"/>
            <w:vAlign w:val="bottom"/>
            <w:gridSpan w:val="2"/>
            <w:shd w:val="clear" w:color="auto" w:fill="E0E0E0"/>
          </w:tcPr>
          <w:p>
            <w:pPr>
              <w:jc w:val="right"/>
              <w:ind w:right="160"/>
              <w:spacing w:after="0" w:line="237" w:lineRule="exact"/>
              <w:rPr>
                <w:sz w:val="20"/>
                <w:szCs w:val="20"/>
                <w:color w:val="auto"/>
              </w:rPr>
            </w:pPr>
            <w:r>
              <w:rPr>
                <w:rFonts w:ascii="Arial" w:cs="Arial" w:eastAsia="Arial" w:hAnsi="Arial"/>
                <w:sz w:val="21"/>
                <w:szCs w:val="21"/>
                <w:color w:val="auto"/>
              </w:rPr>
              <w:t>18,670</w:t>
            </w:r>
          </w:p>
        </w:tc>
        <w:tc>
          <w:tcPr>
            <w:tcW w:w="86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rPr>
              <w:t>44</w:t>
            </w:r>
          </w:p>
        </w:tc>
        <w:tc>
          <w:tcPr>
            <w:tcW w:w="180" w:type="dxa"/>
            <w:vAlign w:val="bottom"/>
            <w:shd w:val="clear" w:color="auto" w:fill="E0E0E0"/>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 Not meaningful</w:t>
      </w:r>
    </w:p>
    <w:p>
      <w:pPr>
        <w:spacing w:after="0" w:line="151"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Research and development expenses increased by $ 18.7 million, from $42.8 million for the year ended December 31, 2021 to $61.5 million for the year ended December 31, 2022. The increase was driven primarily by an increase in personnel-related costs of $8.1 million due to an increase in headcount, including a $1.9 million increase in stock-based compensation expense in connection with equity grants to new hires and existing employees, an increase in expenses for fosgonimeton of $4.9 million related to continued patient enrollment and clinical site visit activity for our Phase 2 and Phase 2/3 clinical trials and the corresponding open-label extension for our Phase 2 and Phase 2/3 clinical trials, an increase in preclinical research and development expenses of $3.0 million, $1.9 million of expense associated with our ATH-1020 Phase 1 clinical trial, which commenced in the first quarter of 2022, and an increase of $0.8 million related to facilities and other indirect costs.</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124</w:t>
      </w:r>
    </w:p>
    <w:p>
      <w:pPr>
        <w:sectPr>
          <w:pgSz w:w="12240" w:h="15840" w:orient="portrait"/>
          <w:cols w:equalWidth="0" w:num="1">
            <w:col w:w="9640"/>
          </w:cols>
          <w:pgMar w:left="1300" w:top="1222" w:right="1300"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21"/>
          <w:szCs w:val="21"/>
          <w:b w:val="1"/>
          <w:bCs w:val="1"/>
          <w:i w:val="1"/>
          <w:iCs w:val="1"/>
          <w:color w:val="auto"/>
        </w:rPr>
        <w:t>General and Administrative Expenses</w:t>
      </w:r>
    </w:p>
    <w:p>
      <w:pPr>
        <w:spacing w:after="0" w:line="114"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0"/>
          <w:szCs w:val="20"/>
          <w:color w:val="auto"/>
        </w:rPr>
        <w:t>General and administrative expenses increased by $11.3 million, from $21.2 million for the year ended December 31, 2021 to $32.6 million for the year ended December 31, 2022. The increase was primarily due to an increase in personnel-related costs of $6.6 million, due primarily to increases in headcount to support our continued growth, including a $4.1 million increase in stock-based compensation expense in connection with equity grants to new hires and existing employees, an increase in legal costs of $2.2 million, which includes costs related to our ongoing legal proceedings and the proxy contest in connection with our 2022 annual meeting of stockholders, an increase in business development expenses of $0.9 million, an increase in facilities expenses of $0.6 million, an increase in insurance and other general corporate expenses of $0.6 million, and an increase in professional services expenses of $0.5 million.</w:t>
      </w:r>
    </w:p>
    <w:p>
      <w:pPr>
        <w:spacing w:after="0" w:line="32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Legal Settlement Expense</w:t>
      </w:r>
    </w:p>
    <w:p>
      <w:pPr>
        <w:spacing w:after="0" w:line="115"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In connection with the proposed settlement of the securities class action litigation, we recorded a legal settlement expense of $10.0 million for the year ended December 31, 2022. For more information see the section of this report titled “Legal Proceedings— Securities Class Actions".</w:t>
      </w: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Grant Income</w:t>
      </w:r>
    </w:p>
    <w:p>
      <w:pPr>
        <w:spacing w:after="0" w:line="114"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Grant income decreased by $3.7 million, from $8.8 million for the year ended December 31, 2021 to $5.2 million for the year ended December 31, 2022. The decrease was driven by a decrease in expenses qualifying for reimbursement under the terms of the NIH grant upon the public readout of topline data of our Phase 2 ACT-AD clinical trial in the second quarter of 2022.</w:t>
      </w: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Other Income, Net</w:t>
      </w:r>
    </w:p>
    <w:p>
      <w:pPr>
        <w:spacing w:after="0" w:line="115"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Other income, net, increased by $2.9 million, from $0.3 million for the year ended December 31, 2021 to $3.2 million for the year ended December 31, 2022 due to higher interest income earned on our available-for-sale securities resulting from rising interest rates on debt securities, in addition to accretion of discounts on debt securities purchased below par value and held to maturity.</w:t>
      </w: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Sources of Liquidity</w:t>
      </w:r>
    </w:p>
    <w:p>
      <w:pPr>
        <w:spacing w:after="0" w:line="115"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December 31, 2022, we have raised aggregate net cash proceeds of $407.4 million primarily from the issuance of our common stock (excluding option exercises), convertible preferred stock, common stock warrants, and convertible notes.</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21"/>
          <w:szCs w:val="21"/>
          <w:color w:val="auto"/>
        </w:rPr>
        <w:t>Recent sales of our common stock were as follows:</w:t>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Common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Net</w:t>
            </w:r>
          </w:p>
        </w:tc>
      </w:tr>
      <w:tr>
        <w:trPr>
          <w:trHeight w:val="190"/>
        </w:trPr>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44"/>
              <w:spacing w:after="0"/>
              <w:rPr>
                <w:sz w:val="20"/>
                <w:szCs w:val="20"/>
                <w:color w:val="auto"/>
              </w:rPr>
            </w:pPr>
            <w:r>
              <w:rPr>
                <w:rFonts w:ascii="Arial" w:cs="Arial" w:eastAsia="Arial" w:hAnsi="Arial"/>
                <w:sz w:val="16"/>
                <w:szCs w:val="16"/>
                <w:b w:val="1"/>
                <w:bCs w:val="1"/>
                <w:color w:val="auto"/>
              </w:rPr>
              <w:t>Price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Proceeds</w:t>
            </w:r>
          </w:p>
        </w:tc>
      </w:tr>
      <w:tr>
        <w:trPr>
          <w:trHeight w:val="207"/>
        </w:trPr>
        <w:tc>
          <w:tcPr>
            <w:tcW w:w="4860" w:type="dxa"/>
            <w:vAlign w:val="bottom"/>
            <w:tcBorders>
              <w:bottom w:val="single" w:sz="8" w:color="E0E0E0"/>
            </w:tcBorders>
          </w:tcPr>
          <w:p>
            <w:pPr>
              <w:spacing w:after="0"/>
              <w:rPr>
                <w:sz w:val="18"/>
                <w:szCs w:val="18"/>
                <w:color w:val="auto"/>
              </w:rPr>
            </w:pPr>
          </w:p>
        </w:tc>
        <w:tc>
          <w:tcPr>
            <w:tcW w:w="80" w:type="dxa"/>
            <w:vAlign w:val="bottom"/>
            <w:tcBorders>
              <w:bottom w:val="single" w:sz="8" w:color="E0E0E0"/>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Issued</w:t>
            </w:r>
          </w:p>
        </w:tc>
        <w:tc>
          <w:tcPr>
            <w:tcW w:w="80" w:type="dxa"/>
            <w:vAlign w:val="bottom"/>
            <w:tcBorders>
              <w:bottom w:val="single" w:sz="8" w:color="E0E0E0"/>
            </w:tcBorders>
          </w:tcPr>
          <w:p>
            <w:pPr>
              <w:spacing w:after="0"/>
              <w:rPr>
                <w:sz w:val="18"/>
                <w:szCs w:val="18"/>
                <w:color w:val="auto"/>
              </w:rPr>
            </w:pPr>
          </w:p>
        </w:tc>
        <w:tc>
          <w:tcPr>
            <w:tcW w:w="80" w:type="dxa"/>
            <w:vAlign w:val="bottom"/>
            <w:tcBorders>
              <w:bottom w:val="single" w:sz="8" w:color="E0E0E0"/>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Per Share</w:t>
            </w:r>
          </w:p>
        </w:tc>
        <w:tc>
          <w:tcPr>
            <w:tcW w:w="160" w:type="dxa"/>
            <w:vAlign w:val="bottom"/>
            <w:tcBorders>
              <w:bottom w:val="single" w:sz="8" w:color="E0E0E0"/>
            </w:tcBorders>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 millions)</w:t>
            </w:r>
          </w:p>
        </w:tc>
        <w:tc>
          <w:tcPr>
            <w:tcW w:w="80" w:type="dxa"/>
            <w:vAlign w:val="bottom"/>
            <w:tcBorders>
              <w:bottom w:val="single" w:sz="8" w:color="E0E0E0"/>
            </w:tcBorders>
          </w:tcPr>
          <w:p>
            <w:pPr>
              <w:spacing w:after="0"/>
              <w:rPr>
                <w:sz w:val="18"/>
                <w:szCs w:val="18"/>
                <w:color w:val="auto"/>
              </w:rPr>
            </w:pPr>
          </w:p>
        </w:tc>
      </w:tr>
      <w:tr>
        <w:trPr>
          <w:trHeight w:val="227"/>
        </w:trPr>
        <w:tc>
          <w:tcPr>
            <w:tcW w:w="4860" w:type="dxa"/>
            <w:vAlign w:val="bottom"/>
            <w:shd w:val="clear" w:color="auto" w:fill="E0E0E0"/>
          </w:tcPr>
          <w:p>
            <w:pPr>
              <w:spacing w:after="0" w:line="227" w:lineRule="exact"/>
              <w:rPr>
                <w:sz w:val="20"/>
                <w:szCs w:val="20"/>
                <w:color w:val="auto"/>
              </w:rPr>
            </w:pPr>
            <w:r>
              <w:rPr>
                <w:rFonts w:ascii="Arial" w:cs="Arial" w:eastAsia="Arial" w:hAnsi="Arial"/>
                <w:sz w:val="21"/>
                <w:szCs w:val="21"/>
                <w:color w:val="auto"/>
              </w:rPr>
              <w:t>September 2020 IPO</w:t>
            </w:r>
          </w:p>
        </w:tc>
        <w:tc>
          <w:tcPr>
            <w:tcW w:w="1320" w:type="dxa"/>
            <w:vAlign w:val="bottom"/>
            <w:gridSpan w:val="3"/>
            <w:shd w:val="clear" w:color="auto" w:fill="E0E0E0"/>
          </w:tcPr>
          <w:p>
            <w:pPr>
              <w:jc w:val="right"/>
              <w:ind w:right="80"/>
              <w:spacing w:after="0" w:line="227" w:lineRule="exact"/>
              <w:rPr>
                <w:sz w:val="20"/>
                <w:szCs w:val="20"/>
                <w:color w:val="auto"/>
              </w:rPr>
            </w:pPr>
            <w:r>
              <w:rPr>
                <w:rFonts w:ascii="Arial" w:cs="Arial" w:eastAsia="Arial" w:hAnsi="Arial"/>
                <w:sz w:val="21"/>
                <w:szCs w:val="21"/>
                <w:color w:val="auto"/>
              </w:rPr>
              <w:t>12,000,000</w:t>
            </w:r>
          </w:p>
        </w:tc>
        <w:tc>
          <w:tcPr>
            <w:tcW w:w="220" w:type="dxa"/>
            <w:vAlign w:val="bottom"/>
            <w:gridSpan w:val="2"/>
            <w:shd w:val="clear" w:color="auto" w:fill="E0E0E0"/>
          </w:tcPr>
          <w:p>
            <w:pPr>
              <w:jc w:val="right"/>
              <w:ind w:right="20"/>
              <w:spacing w:after="0" w:line="227" w:lineRule="exact"/>
              <w:rPr>
                <w:sz w:val="20"/>
                <w:szCs w:val="20"/>
                <w:color w:val="auto"/>
              </w:rPr>
            </w:pPr>
            <w:r>
              <w:rPr>
                <w:rFonts w:ascii="Arial" w:cs="Arial" w:eastAsia="Arial" w:hAnsi="Arial"/>
                <w:sz w:val="21"/>
                <w:szCs w:val="21"/>
                <w:color w:val="auto"/>
              </w:rPr>
              <w:t>$</w:t>
            </w:r>
          </w:p>
        </w:tc>
        <w:tc>
          <w:tcPr>
            <w:tcW w:w="94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rPr>
              <w:t>17.00</w:t>
            </w:r>
          </w:p>
        </w:tc>
        <w:tc>
          <w:tcPr>
            <w:tcW w:w="320" w:type="dxa"/>
            <w:vAlign w:val="bottom"/>
            <w:gridSpan w:val="2"/>
            <w:shd w:val="clear" w:color="auto" w:fill="E0E0E0"/>
          </w:tcPr>
          <w:p>
            <w:pPr>
              <w:jc w:val="right"/>
              <w:spacing w:after="0" w:line="227" w:lineRule="exact"/>
              <w:rPr>
                <w:sz w:val="20"/>
                <w:szCs w:val="20"/>
                <w:color w:val="auto"/>
              </w:rPr>
            </w:pPr>
            <w:r>
              <w:rPr>
                <w:rFonts w:ascii="Arial" w:cs="Arial" w:eastAsia="Arial" w:hAnsi="Arial"/>
                <w:sz w:val="21"/>
                <w:szCs w:val="21"/>
                <w:color w:val="auto"/>
              </w:rPr>
              <w:t>$</w:t>
            </w:r>
          </w:p>
        </w:tc>
        <w:tc>
          <w:tcPr>
            <w:tcW w:w="94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rPr>
              <w:t>186.4</w:t>
            </w:r>
          </w:p>
        </w:tc>
        <w:tc>
          <w:tcPr>
            <w:tcW w:w="80" w:type="dxa"/>
            <w:vAlign w:val="bottom"/>
            <w:shd w:val="clear" w:color="auto" w:fill="E0E0E0"/>
          </w:tcPr>
          <w:p>
            <w:pPr>
              <w:spacing w:after="0"/>
              <w:rPr>
                <w:sz w:val="19"/>
                <w:szCs w:val="19"/>
                <w:color w:val="auto"/>
              </w:rPr>
            </w:pPr>
          </w:p>
        </w:tc>
      </w:tr>
      <w:tr>
        <w:trPr>
          <w:trHeight w:val="237"/>
        </w:trPr>
        <w:tc>
          <w:tcPr>
            <w:tcW w:w="4860" w:type="dxa"/>
            <w:vAlign w:val="bottom"/>
          </w:tcPr>
          <w:p>
            <w:pPr>
              <w:spacing w:after="0" w:line="237" w:lineRule="exact"/>
              <w:rPr>
                <w:sz w:val="20"/>
                <w:szCs w:val="20"/>
                <w:color w:val="auto"/>
              </w:rPr>
            </w:pPr>
            <w:r>
              <w:rPr>
                <w:rFonts w:ascii="Arial" w:cs="Arial" w:eastAsia="Arial" w:hAnsi="Arial"/>
                <w:sz w:val="21"/>
                <w:szCs w:val="21"/>
                <w:color w:val="auto"/>
              </w:rPr>
              <w:t>October 2020 overallotment exercise</w:t>
            </w:r>
          </w:p>
        </w:tc>
        <w:tc>
          <w:tcPr>
            <w:tcW w:w="1320" w:type="dxa"/>
            <w:vAlign w:val="bottom"/>
            <w:gridSpan w:val="3"/>
          </w:tcPr>
          <w:p>
            <w:pPr>
              <w:jc w:val="right"/>
              <w:ind w:right="80"/>
              <w:spacing w:after="0" w:line="237" w:lineRule="exact"/>
              <w:rPr>
                <w:sz w:val="20"/>
                <w:szCs w:val="20"/>
                <w:color w:val="auto"/>
              </w:rPr>
            </w:pPr>
            <w:r>
              <w:rPr>
                <w:rFonts w:ascii="Arial" w:cs="Arial" w:eastAsia="Arial" w:hAnsi="Arial"/>
                <w:sz w:val="21"/>
                <w:szCs w:val="21"/>
                <w:color w:val="auto"/>
              </w:rPr>
              <w:t>1,397,712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line="237" w:lineRule="exact"/>
              <w:rPr>
                <w:sz w:val="20"/>
                <w:szCs w:val="20"/>
                <w:color w:val="auto"/>
              </w:rPr>
            </w:pPr>
            <w:r>
              <w:rPr>
                <w:rFonts w:ascii="Arial" w:cs="Arial" w:eastAsia="Arial" w:hAnsi="Arial"/>
                <w:sz w:val="21"/>
                <w:szCs w:val="21"/>
                <w:color w:val="auto"/>
              </w:rPr>
              <w:t>17.00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line="237" w:lineRule="exact"/>
              <w:rPr>
                <w:sz w:val="20"/>
                <w:szCs w:val="20"/>
                <w:color w:val="auto"/>
              </w:rPr>
            </w:pPr>
            <w:r>
              <w:rPr>
                <w:rFonts w:ascii="Arial" w:cs="Arial" w:eastAsia="Arial" w:hAnsi="Arial"/>
                <w:sz w:val="21"/>
                <w:szCs w:val="21"/>
                <w:color w:val="auto"/>
              </w:rPr>
              <w:t>22.1</w:t>
            </w:r>
          </w:p>
        </w:tc>
        <w:tc>
          <w:tcPr>
            <w:tcW w:w="80" w:type="dxa"/>
            <w:vAlign w:val="bottom"/>
          </w:tcPr>
          <w:p>
            <w:pPr>
              <w:spacing w:after="0"/>
              <w:rPr>
                <w:sz w:val="20"/>
                <w:szCs w:val="20"/>
                <w:color w:val="auto"/>
              </w:rPr>
            </w:pPr>
          </w:p>
        </w:tc>
      </w:tr>
      <w:tr>
        <w:trPr>
          <w:trHeight w:val="236"/>
        </w:trPr>
        <w:tc>
          <w:tcPr>
            <w:tcW w:w="4860" w:type="dxa"/>
            <w:vAlign w:val="bottom"/>
            <w:shd w:val="clear" w:color="auto" w:fill="E0E0E0"/>
          </w:tcPr>
          <w:p>
            <w:pPr>
              <w:spacing w:after="0" w:line="236" w:lineRule="exact"/>
              <w:rPr>
                <w:sz w:val="20"/>
                <w:szCs w:val="20"/>
                <w:color w:val="auto"/>
              </w:rPr>
            </w:pPr>
            <w:r>
              <w:rPr>
                <w:rFonts w:ascii="Arial" w:cs="Arial" w:eastAsia="Arial" w:hAnsi="Arial"/>
                <w:sz w:val="21"/>
                <w:szCs w:val="21"/>
                <w:color w:val="auto"/>
              </w:rPr>
              <w:t>January 2021 follow-on public offering</w:t>
            </w:r>
          </w:p>
        </w:tc>
        <w:tc>
          <w:tcPr>
            <w:tcW w:w="1320" w:type="dxa"/>
            <w:vAlign w:val="bottom"/>
            <w:gridSpan w:val="3"/>
            <w:shd w:val="clear" w:color="auto" w:fill="E0E0E0"/>
          </w:tcPr>
          <w:p>
            <w:pPr>
              <w:jc w:val="right"/>
              <w:ind w:right="80"/>
              <w:spacing w:after="0" w:line="236" w:lineRule="exact"/>
              <w:rPr>
                <w:sz w:val="20"/>
                <w:szCs w:val="20"/>
                <w:color w:val="auto"/>
              </w:rPr>
            </w:pPr>
            <w:r>
              <w:rPr>
                <w:rFonts w:ascii="Arial" w:cs="Arial" w:eastAsia="Arial" w:hAnsi="Arial"/>
                <w:sz w:val="21"/>
                <w:szCs w:val="21"/>
                <w:color w:val="auto"/>
              </w:rPr>
              <w:t>4,000,000</w:t>
            </w: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940" w:type="dxa"/>
            <w:vAlign w:val="bottom"/>
            <w:shd w:val="clear" w:color="auto" w:fill="E0E0E0"/>
          </w:tcPr>
          <w:p>
            <w:pPr>
              <w:jc w:val="right"/>
              <w:spacing w:after="0" w:line="236" w:lineRule="exact"/>
              <w:rPr>
                <w:sz w:val="20"/>
                <w:szCs w:val="20"/>
                <w:color w:val="auto"/>
              </w:rPr>
            </w:pPr>
            <w:r>
              <w:rPr>
                <w:rFonts w:ascii="Arial" w:cs="Arial" w:eastAsia="Arial" w:hAnsi="Arial"/>
                <w:sz w:val="21"/>
                <w:szCs w:val="21"/>
                <w:color w:val="auto"/>
              </w:rPr>
              <w:t>22.50</w:t>
            </w:r>
          </w:p>
        </w:tc>
        <w:tc>
          <w:tcPr>
            <w:tcW w:w="16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940" w:type="dxa"/>
            <w:vAlign w:val="bottom"/>
            <w:shd w:val="clear" w:color="auto" w:fill="E0E0E0"/>
          </w:tcPr>
          <w:p>
            <w:pPr>
              <w:jc w:val="right"/>
              <w:spacing w:after="0" w:line="236" w:lineRule="exact"/>
              <w:rPr>
                <w:sz w:val="20"/>
                <w:szCs w:val="20"/>
                <w:color w:val="auto"/>
              </w:rPr>
            </w:pPr>
            <w:r>
              <w:rPr>
                <w:rFonts w:ascii="Arial" w:cs="Arial" w:eastAsia="Arial" w:hAnsi="Arial"/>
                <w:sz w:val="21"/>
                <w:szCs w:val="21"/>
                <w:color w:val="auto"/>
              </w:rPr>
              <w:t>84.1</w:t>
            </w:r>
          </w:p>
        </w:tc>
        <w:tc>
          <w:tcPr>
            <w:tcW w:w="80" w:type="dxa"/>
            <w:vAlign w:val="bottom"/>
            <w:shd w:val="clear" w:color="auto" w:fill="E0E0E0"/>
          </w:tcPr>
          <w:p>
            <w:pPr>
              <w:spacing w:after="0"/>
              <w:rPr>
                <w:sz w:val="20"/>
                <w:szCs w:val="20"/>
                <w:color w:val="auto"/>
              </w:rPr>
            </w:pPr>
          </w:p>
        </w:tc>
      </w:tr>
      <w:tr>
        <w:trPr>
          <w:trHeight w:val="237"/>
        </w:trPr>
        <w:tc>
          <w:tcPr>
            <w:tcW w:w="4860" w:type="dxa"/>
            <w:vAlign w:val="bottom"/>
            <w:tcBorders>
              <w:bottom w:val="single" w:sz="8" w:color="E0E0E0"/>
            </w:tcBorders>
          </w:tcPr>
          <w:p>
            <w:pPr>
              <w:spacing w:after="0" w:line="237" w:lineRule="exact"/>
              <w:rPr>
                <w:sz w:val="20"/>
                <w:szCs w:val="20"/>
                <w:color w:val="auto"/>
              </w:rPr>
            </w:pPr>
            <w:r>
              <w:rPr>
                <w:rFonts w:ascii="Arial" w:cs="Arial" w:eastAsia="Arial" w:hAnsi="Arial"/>
                <w:sz w:val="21"/>
                <w:szCs w:val="21"/>
                <w:color w:val="auto"/>
              </w:rPr>
              <w:t>February 2021 overallotment exercise</w:t>
            </w:r>
          </w:p>
        </w:tc>
        <w:tc>
          <w:tcPr>
            <w:tcW w:w="80" w:type="dxa"/>
            <w:vAlign w:val="bottom"/>
            <w:tcBorders>
              <w:bottom w:val="single" w:sz="8" w:color="E0E0E0"/>
            </w:tcBorders>
          </w:tcPr>
          <w:p>
            <w:pPr>
              <w:spacing w:after="0"/>
              <w:rPr>
                <w:sz w:val="20"/>
                <w:szCs w:val="20"/>
                <w:color w:val="auto"/>
              </w:rPr>
            </w:pPr>
          </w:p>
        </w:tc>
        <w:tc>
          <w:tcPr>
            <w:tcW w:w="1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600,000</w:t>
            </w:r>
          </w:p>
        </w:tc>
        <w:tc>
          <w:tcPr>
            <w:tcW w:w="80" w:type="dxa"/>
            <w:vAlign w:val="bottom"/>
            <w:tcBorders>
              <w:bottom w:val="single" w:sz="8" w:color="E0E0E0"/>
            </w:tcBorders>
          </w:tcPr>
          <w:p>
            <w:pPr>
              <w:spacing w:after="0"/>
              <w:rPr>
                <w:sz w:val="20"/>
                <w:szCs w:val="20"/>
                <w:color w:val="auto"/>
              </w:rPr>
            </w:pPr>
          </w:p>
        </w:tc>
        <w:tc>
          <w:tcPr>
            <w:tcW w:w="80" w:type="dxa"/>
            <w:vAlign w:val="bottom"/>
            <w:tcBorders>
              <w:bottom w:val="single" w:sz="8" w:color="E0E0E0"/>
            </w:tcBorders>
          </w:tcPr>
          <w:p>
            <w:pPr>
              <w:spacing w:after="0"/>
              <w:rPr>
                <w:sz w:val="20"/>
                <w:szCs w:val="20"/>
                <w:color w:val="auto"/>
              </w:rPr>
            </w:pPr>
          </w:p>
        </w:tc>
        <w:tc>
          <w:tcPr>
            <w:tcW w:w="140" w:type="dxa"/>
            <w:vAlign w:val="bottom"/>
            <w:tcBorders>
              <w:bottom w:val="single" w:sz="8" w:color="E0E0E0"/>
            </w:tcBorders>
          </w:tcPr>
          <w:p>
            <w:pPr>
              <w:spacing w:after="0"/>
              <w:rPr>
                <w:sz w:val="20"/>
                <w:szCs w:val="20"/>
                <w:color w:val="auto"/>
              </w:rPr>
            </w:pPr>
          </w:p>
        </w:tc>
        <w:tc>
          <w:tcPr>
            <w:tcW w:w="940" w:type="dxa"/>
            <w:vAlign w:val="bottom"/>
            <w:tcBorders>
              <w:bottom w:val="single" w:sz="8" w:color="E0E0E0"/>
            </w:tcBorders>
          </w:tcPr>
          <w:p>
            <w:pPr>
              <w:jc w:val="right"/>
              <w:spacing w:after="0" w:line="237" w:lineRule="exact"/>
              <w:rPr>
                <w:sz w:val="20"/>
                <w:szCs w:val="20"/>
                <w:color w:val="auto"/>
              </w:rPr>
            </w:pPr>
            <w:r>
              <w:rPr>
                <w:rFonts w:ascii="Arial" w:cs="Arial" w:eastAsia="Arial" w:hAnsi="Arial"/>
                <w:sz w:val="21"/>
                <w:szCs w:val="21"/>
                <w:color w:val="auto"/>
              </w:rPr>
              <w:t>22.50</w:t>
            </w:r>
          </w:p>
        </w:tc>
        <w:tc>
          <w:tcPr>
            <w:tcW w:w="160" w:type="dxa"/>
            <w:vAlign w:val="bottom"/>
            <w:tcBorders>
              <w:bottom w:val="single" w:sz="8" w:color="E0E0E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12.7</w:t>
            </w:r>
          </w:p>
        </w:tc>
        <w:tc>
          <w:tcPr>
            <w:tcW w:w="80" w:type="dxa"/>
            <w:vAlign w:val="bottom"/>
            <w:tcBorders>
              <w:bottom w:val="single" w:sz="8" w:color="E0E0E0"/>
            </w:tcBorders>
          </w:tcPr>
          <w:p>
            <w:pPr>
              <w:spacing w:after="0"/>
              <w:rPr>
                <w:sz w:val="20"/>
                <w:szCs w:val="20"/>
                <w:color w:val="auto"/>
              </w:rPr>
            </w:pPr>
          </w:p>
        </w:tc>
      </w:tr>
      <w:tr>
        <w:trPr>
          <w:trHeight w:val="228"/>
        </w:trPr>
        <w:tc>
          <w:tcPr>
            <w:tcW w:w="4860" w:type="dxa"/>
            <w:vAlign w:val="bottom"/>
            <w:shd w:val="clear" w:color="auto" w:fill="E0E0E0"/>
          </w:tcPr>
          <w:p>
            <w:pPr>
              <w:ind w:left="280"/>
              <w:spacing w:after="0" w:line="227" w:lineRule="exact"/>
              <w:rPr>
                <w:sz w:val="20"/>
                <w:szCs w:val="20"/>
                <w:color w:val="auto"/>
              </w:rPr>
            </w:pPr>
            <w:r>
              <w:rPr>
                <w:rFonts w:ascii="Arial" w:cs="Arial" w:eastAsia="Arial" w:hAnsi="Arial"/>
                <w:sz w:val="21"/>
                <w:szCs w:val="21"/>
                <w:color w:val="auto"/>
              </w:rPr>
              <w:t>Total</w:t>
            </w:r>
          </w:p>
        </w:tc>
        <w:tc>
          <w:tcPr>
            <w:tcW w:w="1320" w:type="dxa"/>
            <w:vAlign w:val="bottom"/>
            <w:gridSpan w:val="3"/>
            <w:shd w:val="clear" w:color="auto" w:fill="E0E0E0"/>
          </w:tcPr>
          <w:p>
            <w:pPr>
              <w:jc w:val="right"/>
              <w:ind w:right="80"/>
              <w:spacing w:after="0" w:line="228" w:lineRule="exact"/>
              <w:rPr>
                <w:sz w:val="20"/>
                <w:szCs w:val="20"/>
                <w:color w:val="auto"/>
              </w:rPr>
            </w:pPr>
            <w:r>
              <w:rPr>
                <w:rFonts w:ascii="Arial" w:cs="Arial" w:eastAsia="Arial" w:hAnsi="Arial"/>
                <w:sz w:val="21"/>
                <w:szCs w:val="21"/>
                <w:color w:val="auto"/>
              </w:rPr>
              <w:t>17,997,712</w:t>
            </w: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940" w:type="dxa"/>
            <w:vAlign w:val="bottom"/>
            <w:shd w:val="clear" w:color="auto" w:fill="E0E0E0"/>
          </w:tcPr>
          <w:p>
            <w:pPr>
              <w:spacing w:after="0"/>
              <w:rPr>
                <w:sz w:val="19"/>
                <w:szCs w:val="19"/>
                <w:color w:val="auto"/>
              </w:rPr>
            </w:pPr>
          </w:p>
        </w:tc>
        <w:tc>
          <w:tcPr>
            <w:tcW w:w="320" w:type="dxa"/>
            <w:vAlign w:val="bottom"/>
            <w:gridSpan w:val="2"/>
            <w:shd w:val="clear" w:color="auto" w:fill="E0E0E0"/>
          </w:tcPr>
          <w:p>
            <w:pPr>
              <w:jc w:val="right"/>
              <w:spacing w:after="0" w:line="228" w:lineRule="exact"/>
              <w:rPr>
                <w:sz w:val="20"/>
                <w:szCs w:val="20"/>
                <w:color w:val="auto"/>
              </w:rPr>
            </w:pPr>
            <w:r>
              <w:rPr>
                <w:rFonts w:ascii="Arial" w:cs="Arial" w:eastAsia="Arial" w:hAnsi="Arial"/>
                <w:sz w:val="21"/>
                <w:szCs w:val="21"/>
                <w:color w:val="auto"/>
              </w:rPr>
              <w:t>$</w:t>
            </w:r>
          </w:p>
        </w:tc>
        <w:tc>
          <w:tcPr>
            <w:tcW w:w="940" w:type="dxa"/>
            <w:vAlign w:val="bottom"/>
            <w:shd w:val="clear" w:color="auto" w:fill="E0E0E0"/>
          </w:tcPr>
          <w:p>
            <w:pPr>
              <w:jc w:val="right"/>
              <w:spacing w:after="0" w:line="228" w:lineRule="exact"/>
              <w:rPr>
                <w:sz w:val="20"/>
                <w:szCs w:val="20"/>
                <w:color w:val="auto"/>
              </w:rPr>
            </w:pPr>
            <w:r>
              <w:rPr>
                <w:rFonts w:ascii="Arial" w:cs="Arial" w:eastAsia="Arial" w:hAnsi="Arial"/>
                <w:sz w:val="21"/>
                <w:szCs w:val="21"/>
                <w:color w:val="auto"/>
              </w:rPr>
              <w:t>305.3</w:t>
            </w:r>
          </w:p>
        </w:tc>
        <w:tc>
          <w:tcPr>
            <w:tcW w:w="80" w:type="dxa"/>
            <w:vAlign w:val="bottom"/>
            <w:shd w:val="clear" w:color="auto" w:fill="E0E0E0"/>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9"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0"/>
          <w:szCs w:val="20"/>
          <w:color w:val="auto"/>
        </w:rPr>
        <w:t>As of December 31, 2022, we had $245.2 million in cash, cash equivalents and investments and have not generated positive cash flows from operations. Since our inception, we have devoted substantially all of our resources to our research and development efforts such as small molecule compound discovery,</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125</w:t>
      </w:r>
    </w:p>
    <w:p>
      <w:pPr>
        <w:sectPr>
          <w:pgSz w:w="12240" w:h="15840" w:orient="portrait"/>
          <w:cols w:equalWidth="0" w:num="1">
            <w:col w:w="9640"/>
          </w:cols>
          <w:pgMar w:left="1300" w:top="1230" w:right="1300" w:bottom="0" w:gutter="0" w:footer="0" w:header="0"/>
          <w:type w:val="continuous"/>
        </w:sectPr>
      </w:pPr>
    </w:p>
    <w:bookmarkStart w:id="131" w:name="page132"/>
    <w:bookmarkEnd w:id="131"/>
    <w:p>
      <w:pPr>
        <w:jc w:val="both"/>
        <w:spacing w:after="0" w:line="253" w:lineRule="auto"/>
        <w:rPr>
          <w:sz w:val="20"/>
          <w:szCs w:val="20"/>
          <w:color w:val="auto"/>
        </w:rPr>
      </w:pPr>
      <w:r>
        <w:rPr>
          <w:rFonts w:ascii="Arial" w:cs="Arial" w:eastAsia="Arial" w:hAnsi="Arial"/>
          <w:sz w:val="21"/>
          <w:szCs w:val="21"/>
          <w:color w:val="auto"/>
        </w:rPr>
        <w:t>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Material Cash and Future Funding Requirements</w:t>
      </w:r>
    </w:p>
    <w:p>
      <w:pPr>
        <w:spacing w:after="0" w:line="114"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20"/>
          <w:szCs w:val="20"/>
          <w:color w:val="auto"/>
        </w:rPr>
        <w:t>Our material cash requirements include our operating leases for laboratory and office facilities. As of December 31, 2022, we had lease payment obligations of $2.3 million, with $0.5 million payable within 12 months. For additional information regarding our lease commitments, see Note 7 to our consolidated financial statements included elsewhere in this report. We are contingently committed to $0.9 million of potential future research and development milestone payments, in addition to sales-based payments and royalties, under our license agreement with WSU. Payments generally are due and payable only upon achievement of certain developmental, regulatory, and sales milestones for which the specific timing cannot be predicted. Refer to Note 6 to our consolidated financial statements for additional information regarding the WSU license agreement.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also anticipate that our research and development expenses and our general and administrative expenses will increase over at least the near-term as we advance our clinical development and our product candidates through clinical trials, increase our headcount to support our operations, and incur legal and other professional expenses related to our ongoing legal proceedings. We cannot predict with certainty the amount and timing of these increased expenses.</w:t>
      </w:r>
    </w:p>
    <w:p>
      <w:pPr>
        <w:spacing w:after="0" w:line="82" w:lineRule="exact"/>
        <w:rPr>
          <w:sz w:val="20"/>
          <w:szCs w:val="20"/>
          <w:color w:val="auto"/>
        </w:rPr>
      </w:pPr>
    </w:p>
    <w:p>
      <w:pPr>
        <w:jc w:val="both"/>
        <w:ind w:firstLine="505"/>
        <w:spacing w:after="0" w:line="249" w:lineRule="auto"/>
        <w:rPr>
          <w:sz w:val="20"/>
          <w:szCs w:val="20"/>
          <w:color w:val="auto"/>
        </w:rPr>
      </w:pPr>
      <w:r>
        <w:rPr>
          <w:rFonts w:ascii="Arial" w:cs="Arial" w:eastAsia="Arial" w:hAnsi="Arial"/>
          <w:sz w:val="20"/>
          <w:szCs w:val="20"/>
          <w:color w:val="auto"/>
        </w:rPr>
        <w:t>Based upon our current operating plan, we estimate that our $245.2 million of cash, cash equivalents and investments at December 31, 2022 will be sufficient to fund our operating expenses and capital expenditure requirements through at least the next 12 months following the date of this report.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to sell shares of our common stock having aggregate sales proceeds of up to $75.0 million, from time to time, through an at-the-market, or ATM, equity offering program under which Cantor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200" w:lineRule="exact"/>
        <w:rPr>
          <w:sz w:val="20"/>
          <w:szCs w:val="20"/>
          <w:color w:val="auto"/>
        </w:rPr>
      </w:pPr>
    </w:p>
    <w:p>
      <w:pPr>
        <w:spacing w:after="0" w:line="239"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126</w:t>
      </w:r>
    </w:p>
    <w:p>
      <w:pPr>
        <w:sectPr>
          <w:pgSz w:w="12240" w:h="15840" w:orient="portrait"/>
          <w:cols w:equalWidth="0" w:num="1">
            <w:col w:w="9640"/>
          </w:cols>
          <w:pgMar w:left="1300" w:top="1226" w:right="1300" w:bottom="0" w:gutter="0" w:footer="0" w:header="0"/>
          <w:type w:val="continuous"/>
        </w:sectPr>
      </w:pPr>
    </w:p>
    <w:bookmarkStart w:id="132" w:name="page133"/>
    <w:bookmarkEnd w:id="132"/>
    <w:p>
      <w:pPr>
        <w:spacing w:after="0"/>
        <w:rPr>
          <w:sz w:val="20"/>
          <w:szCs w:val="20"/>
          <w:color w:val="auto"/>
        </w:rPr>
      </w:pPr>
      <w:r>
        <w:rPr>
          <w:rFonts w:ascii="Arial" w:cs="Arial" w:eastAsia="Arial" w:hAnsi="Arial"/>
          <w:sz w:val="20"/>
          <w:szCs w:val="20"/>
          <w:color w:val="auto"/>
        </w:rPr>
        <w:t>biotechnology products, we are unable to estimate the exact amount of our operating capital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Our future funding requirements will depend on many factors, including, but not limited to:</w:t>
      </w:r>
    </w:p>
    <w:p>
      <w:pPr>
        <w:spacing w:after="0" w:line="107" w:lineRule="exact"/>
        <w:rPr>
          <w:sz w:val="20"/>
          <w:szCs w:val="20"/>
          <w:color w:val="auto"/>
        </w:rPr>
      </w:pPr>
    </w:p>
    <w:p>
      <w:pPr>
        <w:ind w:left="380" w:hanging="380"/>
        <w:spacing w:after="0" w:line="272" w:lineRule="auto"/>
        <w:tabs>
          <w:tab w:leader="none" w:pos="3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scope, timing, progress and results of our ongoing preclinical studies and clinical trials of our product candidates;</w:t>
      </w:r>
    </w:p>
    <w:p>
      <w:pPr>
        <w:spacing w:after="0" w:line="64" w:lineRule="exact"/>
        <w:rPr>
          <w:rFonts w:ascii="Arial" w:cs="Arial" w:eastAsia="Arial" w:hAnsi="Arial"/>
          <w:sz w:val="21"/>
          <w:szCs w:val="21"/>
          <w:color w:val="auto"/>
        </w:rPr>
      </w:pPr>
    </w:p>
    <w:p>
      <w:pPr>
        <w:ind w:left="380" w:hanging="380"/>
        <w:spacing w:after="0" w:line="271" w:lineRule="auto"/>
        <w:tabs>
          <w:tab w:leader="none" w:pos="3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number of trials required for regulatory approval, in particular with respect to fosgonimeton for the treatment of mild-to-moderate AD;</w:t>
      </w:r>
    </w:p>
    <w:p>
      <w:pPr>
        <w:spacing w:after="0" w:line="65" w:lineRule="exact"/>
        <w:rPr>
          <w:rFonts w:ascii="Arial" w:cs="Arial" w:eastAsia="Arial" w:hAnsi="Arial"/>
          <w:sz w:val="21"/>
          <w:szCs w:val="21"/>
          <w:color w:val="auto"/>
        </w:rPr>
      </w:pPr>
    </w:p>
    <w:p>
      <w:pPr>
        <w:ind w:left="380" w:hanging="380"/>
        <w:spacing w:after="0" w:line="273" w:lineRule="auto"/>
        <w:tabs>
          <w:tab w:leader="none" w:pos="3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scope, progress, results and costs of preclinical development, laboratory testing and clinical trials of other product candidates that we may pursue;</w:t>
      </w:r>
    </w:p>
    <w:p>
      <w:pPr>
        <w:spacing w:after="0" w:line="62" w:lineRule="exact"/>
        <w:rPr>
          <w:rFonts w:ascii="Arial" w:cs="Arial" w:eastAsia="Arial" w:hAnsi="Arial"/>
          <w:sz w:val="21"/>
          <w:szCs w:val="21"/>
          <w:color w:val="auto"/>
        </w:rPr>
      </w:pPr>
    </w:p>
    <w:p>
      <w:pPr>
        <w:jc w:val="both"/>
        <w:ind w:left="380" w:hanging="380"/>
        <w:spacing w:after="0" w:line="253" w:lineRule="auto"/>
        <w:tabs>
          <w:tab w:leader="none" w:pos="3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84" w:lineRule="exact"/>
        <w:rPr>
          <w:rFonts w:ascii="Arial" w:cs="Arial" w:eastAsia="Arial" w:hAnsi="Arial"/>
          <w:sz w:val="21"/>
          <w:szCs w:val="21"/>
          <w:color w:val="auto"/>
        </w:rPr>
      </w:pPr>
    </w:p>
    <w:p>
      <w:pPr>
        <w:ind w:left="380" w:hanging="380"/>
        <w:spacing w:after="0"/>
        <w:tabs>
          <w:tab w:leader="none" w:pos="3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costs, timing and outcome of regulatory review of our product candidates;</w:t>
      </w:r>
    </w:p>
    <w:p>
      <w:pPr>
        <w:spacing w:after="0" w:line="132" w:lineRule="exact"/>
        <w:rPr>
          <w:rFonts w:ascii="Arial" w:cs="Arial" w:eastAsia="Arial" w:hAnsi="Arial"/>
          <w:sz w:val="21"/>
          <w:szCs w:val="21"/>
          <w:color w:val="auto"/>
        </w:rPr>
      </w:pPr>
    </w:p>
    <w:p>
      <w:pPr>
        <w:ind w:left="380" w:hanging="380"/>
        <w:spacing w:after="0" w:line="297" w:lineRule="auto"/>
        <w:tabs>
          <w:tab w:leader="none" w:pos="3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costs and timing of future commercialization activities, including product manufacturing, marketing, sales and distribution, for any of our product candidates for which we receive marketing approval;</w:t>
      </w:r>
    </w:p>
    <w:p>
      <w:pPr>
        <w:spacing w:after="0" w:line="41" w:lineRule="exact"/>
        <w:rPr>
          <w:rFonts w:ascii="Arial" w:cs="Arial" w:eastAsia="Arial" w:hAnsi="Arial"/>
          <w:sz w:val="20"/>
          <w:szCs w:val="20"/>
          <w:color w:val="auto"/>
        </w:rPr>
      </w:pPr>
    </w:p>
    <w:p>
      <w:pPr>
        <w:ind w:left="380" w:hanging="380"/>
        <w:spacing w:after="0" w:line="273" w:lineRule="auto"/>
        <w:tabs>
          <w:tab w:leader="none" w:pos="3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revenue, if any, received from commercial sales of our product candidates for which we receive marketing approval;</w:t>
      </w:r>
    </w:p>
    <w:p>
      <w:pPr>
        <w:spacing w:after="0" w:line="62" w:lineRule="exact"/>
        <w:rPr>
          <w:rFonts w:ascii="Arial" w:cs="Arial" w:eastAsia="Arial" w:hAnsi="Arial"/>
          <w:sz w:val="21"/>
          <w:szCs w:val="21"/>
          <w:color w:val="auto"/>
        </w:rPr>
      </w:pPr>
    </w:p>
    <w:p>
      <w:pPr>
        <w:ind w:left="380" w:hanging="380"/>
        <w:spacing w:after="0" w:line="272" w:lineRule="auto"/>
        <w:tabs>
          <w:tab w:leader="none" w:pos="3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costs and timing of preparing, filing and prosecuting patent applications, maintaining and enforcing our intellectual property rights and defending any intellectual property-related claims;</w:t>
      </w:r>
    </w:p>
    <w:p>
      <w:pPr>
        <w:spacing w:after="0" w:line="63" w:lineRule="exact"/>
        <w:rPr>
          <w:rFonts w:ascii="Arial" w:cs="Arial" w:eastAsia="Arial" w:hAnsi="Arial"/>
          <w:sz w:val="21"/>
          <w:szCs w:val="21"/>
          <w:color w:val="auto"/>
        </w:rPr>
      </w:pPr>
    </w:p>
    <w:p>
      <w:pPr>
        <w:ind w:left="380" w:hanging="380"/>
        <w:spacing w:after="0"/>
        <w:tabs>
          <w:tab w:leader="none" w:pos="3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costs related to ongoing legal proceedings;</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any expenses needed to attract, hire and retain skilled personnel;</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costs of operating as a public company;</w:t>
      </w:r>
    </w:p>
    <w:p>
      <w:pPr>
        <w:spacing w:after="0" w:line="132" w:lineRule="exact"/>
        <w:rPr>
          <w:rFonts w:ascii="Arial" w:cs="Arial" w:eastAsia="Arial" w:hAnsi="Arial"/>
          <w:sz w:val="21"/>
          <w:szCs w:val="21"/>
          <w:color w:val="auto"/>
        </w:rPr>
      </w:pPr>
    </w:p>
    <w:p>
      <w:pPr>
        <w:ind w:left="380" w:hanging="380"/>
        <w:spacing w:after="0"/>
        <w:tabs>
          <w:tab w:leader="none" w:pos="3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costs associated with expanding our laboratory and office facilities; and</w:t>
      </w:r>
    </w:p>
    <w:p>
      <w:pPr>
        <w:spacing w:after="0" w:line="132" w:lineRule="exact"/>
        <w:rPr>
          <w:rFonts w:ascii="Arial" w:cs="Arial" w:eastAsia="Arial" w:hAnsi="Arial"/>
          <w:sz w:val="21"/>
          <w:szCs w:val="21"/>
          <w:color w:val="auto"/>
        </w:rPr>
      </w:pPr>
    </w:p>
    <w:p>
      <w:pPr>
        <w:ind w:left="380" w:hanging="380"/>
        <w:spacing w:after="0" w:line="273" w:lineRule="auto"/>
        <w:tabs>
          <w:tab w:leader="none" w:pos="3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extent to which we acquire or in-license other companies’ product candidates and technologies or engage in other strategic transactions.</w:t>
      </w:r>
    </w:p>
    <w:p>
      <w:pPr>
        <w:spacing w:after="0" w:line="171" w:lineRule="exact"/>
        <w:rPr>
          <w:sz w:val="20"/>
          <w:szCs w:val="20"/>
          <w:color w:val="auto"/>
        </w:rPr>
      </w:pPr>
    </w:p>
    <w:p>
      <w:pPr>
        <w:jc w:val="both"/>
        <w:ind w:firstLine="504"/>
        <w:spacing w:after="0" w:line="264" w:lineRule="auto"/>
        <w:rPr>
          <w:sz w:val="20"/>
          <w:szCs w:val="20"/>
          <w:color w:val="auto"/>
        </w:rPr>
      </w:pPr>
      <w:r>
        <w:rPr>
          <w:rFonts w:ascii="Arial" w:cs="Arial" w:eastAsia="Arial" w:hAnsi="Arial"/>
          <w:sz w:val="20"/>
          <w:szCs w:val="20"/>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3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 Flows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1"/>
          <w:szCs w:val="21"/>
          <w:color w:val="auto"/>
        </w:rPr>
        <w:t>The following table summarizes our cash flows for the periods indicated:</w:t>
      </w:r>
    </w:p>
    <w:p>
      <w:pPr>
        <w:spacing w:after="0" w:line="233"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5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6"/>
          </w:tcPr>
          <w:p>
            <w:pPr>
              <w:jc w:val="right"/>
              <w:ind w:right="20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80"/>
        </w:trPr>
        <w:tc>
          <w:tcPr>
            <w:tcW w:w="5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266"/>
              <w:spacing w:after="0" w:line="181"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41"/>
              <w:spacing w:after="0" w:line="181"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6"/>
          </w:tcPr>
          <w:p>
            <w:pPr>
              <w:jc w:val="right"/>
              <w:ind w:right="640"/>
              <w:spacing w:after="0" w:line="181"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36"/>
        </w:trPr>
        <w:tc>
          <w:tcPr>
            <w:tcW w:w="5300" w:type="dxa"/>
            <w:vAlign w:val="bottom"/>
            <w:shd w:val="clear" w:color="auto" w:fill="E0E0E0"/>
          </w:tcPr>
          <w:p>
            <w:pPr>
              <w:spacing w:after="0" w:line="236" w:lineRule="exact"/>
              <w:rPr>
                <w:sz w:val="20"/>
                <w:szCs w:val="20"/>
                <w:color w:val="auto"/>
              </w:rPr>
            </w:pPr>
            <w:r>
              <w:rPr>
                <w:rFonts w:ascii="Arial" w:cs="Arial" w:eastAsia="Arial" w:hAnsi="Arial"/>
                <w:sz w:val="21"/>
                <w:szCs w:val="21"/>
                <w:color w:val="auto"/>
              </w:rPr>
              <w:t>Net cash (used in) provided by:</w:t>
            </w:r>
          </w:p>
        </w:tc>
        <w:tc>
          <w:tcPr>
            <w:tcW w:w="6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96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00" w:type="dxa"/>
            <w:vAlign w:val="bottom"/>
          </w:tcPr>
          <w:p>
            <w:pPr>
              <w:ind w:left="300"/>
              <w:spacing w:after="0" w:line="237" w:lineRule="exact"/>
              <w:rPr>
                <w:sz w:val="20"/>
                <w:szCs w:val="20"/>
                <w:color w:val="auto"/>
              </w:rPr>
            </w:pPr>
            <w:r>
              <w:rPr>
                <w:rFonts w:ascii="Arial" w:cs="Arial" w:eastAsia="Arial" w:hAnsi="Arial"/>
                <w:sz w:val="21"/>
                <w:szCs w:val="21"/>
                <w:color w:val="auto"/>
              </w:rPr>
              <w:t>Operating activities</w:t>
            </w:r>
          </w:p>
        </w:tc>
        <w:tc>
          <w:tcPr>
            <w:tcW w:w="18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w:t>
            </w:r>
          </w:p>
        </w:tc>
        <w:tc>
          <w:tcPr>
            <w:tcW w:w="108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(72,469)</w:t>
            </w:r>
          </w:p>
        </w:tc>
        <w:tc>
          <w:tcPr>
            <w:tcW w:w="20" w:type="dxa"/>
            <w:vAlign w:val="bottom"/>
          </w:tcPr>
          <w:p>
            <w:pPr>
              <w:spacing w:after="0"/>
              <w:rPr>
                <w:sz w:val="20"/>
                <w:szCs w:val="20"/>
                <w:color w:val="auto"/>
              </w:rPr>
            </w:pPr>
          </w:p>
        </w:tc>
        <w:tc>
          <w:tcPr>
            <w:tcW w:w="120" w:type="dxa"/>
            <w:vAlign w:val="bottom"/>
          </w:tcPr>
          <w:p>
            <w:pPr>
              <w:jc w:val="right"/>
              <w:spacing w:after="0" w:line="237" w:lineRule="exact"/>
              <w:rPr>
                <w:sz w:val="20"/>
                <w:szCs w:val="20"/>
                <w:color w:val="auto"/>
              </w:rPr>
            </w:pPr>
            <w:r>
              <w:rPr>
                <w:rFonts w:ascii="Arial" w:cs="Arial" w:eastAsia="Arial" w:hAnsi="Arial"/>
                <w:sz w:val="21"/>
                <w:szCs w:val="21"/>
                <w:color w:val="auto"/>
                <w:w w:val="85"/>
              </w:rPr>
              <w:t>$</w:t>
            </w:r>
          </w:p>
        </w:tc>
        <w:tc>
          <w:tcPr>
            <w:tcW w:w="102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(43,098)</w:t>
            </w:r>
          </w:p>
        </w:tc>
        <w:tc>
          <w:tcPr>
            <w:tcW w:w="0" w:type="dxa"/>
            <w:vAlign w:val="bottom"/>
          </w:tcPr>
          <w:p>
            <w:pPr>
              <w:spacing w:after="0"/>
              <w:rPr>
                <w:sz w:val="1"/>
                <w:szCs w:val="1"/>
                <w:color w:val="auto"/>
              </w:rPr>
            </w:pPr>
          </w:p>
        </w:tc>
      </w:tr>
      <w:tr>
        <w:trPr>
          <w:trHeight w:val="237"/>
        </w:trPr>
        <w:tc>
          <w:tcPr>
            <w:tcW w:w="5300" w:type="dxa"/>
            <w:vAlign w:val="bottom"/>
            <w:shd w:val="clear" w:color="auto" w:fill="E0E0E0"/>
          </w:tcPr>
          <w:p>
            <w:pPr>
              <w:ind w:left="300"/>
              <w:spacing w:after="0" w:line="237" w:lineRule="exact"/>
              <w:rPr>
                <w:sz w:val="20"/>
                <w:szCs w:val="20"/>
                <w:color w:val="auto"/>
              </w:rPr>
            </w:pPr>
            <w:r>
              <w:rPr>
                <w:rFonts w:ascii="Arial" w:cs="Arial" w:eastAsia="Arial" w:hAnsi="Arial"/>
                <w:sz w:val="21"/>
                <w:szCs w:val="21"/>
                <w:color w:val="auto"/>
              </w:rPr>
              <w:t>Investing activities</w:t>
            </w:r>
          </w:p>
        </w:tc>
        <w:tc>
          <w:tcPr>
            <w:tcW w:w="6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080" w:type="dxa"/>
            <w:vAlign w:val="bottom"/>
            <w:gridSpan w:val="2"/>
            <w:shd w:val="clear" w:color="auto" w:fill="E0E0E0"/>
          </w:tcPr>
          <w:p>
            <w:pPr>
              <w:jc w:val="right"/>
              <w:ind w:right="43"/>
              <w:spacing w:after="0" w:line="237" w:lineRule="exact"/>
              <w:rPr>
                <w:sz w:val="20"/>
                <w:szCs w:val="20"/>
                <w:color w:val="auto"/>
              </w:rPr>
            </w:pPr>
            <w:r>
              <w:rPr>
                <w:rFonts w:ascii="Arial" w:cs="Arial" w:eastAsia="Arial" w:hAnsi="Arial"/>
                <w:sz w:val="21"/>
                <w:szCs w:val="21"/>
                <w:color w:val="auto"/>
              </w:rPr>
              <w:t>57,664</w:t>
            </w: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020" w:type="dxa"/>
            <w:vAlign w:val="bottom"/>
            <w:gridSpan w:val="2"/>
            <w:shd w:val="clear" w:color="auto" w:fill="E0E0E0"/>
          </w:tcPr>
          <w:p>
            <w:pPr>
              <w:jc w:val="right"/>
              <w:spacing w:after="0" w:line="237" w:lineRule="exact"/>
              <w:rPr>
                <w:sz w:val="20"/>
                <w:szCs w:val="20"/>
                <w:color w:val="auto"/>
              </w:rPr>
            </w:pPr>
            <w:r>
              <w:rPr>
                <w:rFonts w:ascii="Arial" w:cs="Arial" w:eastAsia="Arial" w:hAnsi="Arial"/>
                <w:sz w:val="21"/>
                <w:szCs w:val="21"/>
                <w:color w:val="auto"/>
              </w:rPr>
              <w:t>(4,079)</w:t>
            </w:r>
          </w:p>
        </w:tc>
        <w:tc>
          <w:tcPr>
            <w:tcW w:w="0" w:type="dxa"/>
            <w:vAlign w:val="bottom"/>
          </w:tcPr>
          <w:p>
            <w:pPr>
              <w:spacing w:after="0"/>
              <w:rPr>
                <w:sz w:val="1"/>
                <w:szCs w:val="1"/>
                <w:color w:val="auto"/>
              </w:rPr>
            </w:pPr>
          </w:p>
        </w:tc>
      </w:tr>
      <w:tr>
        <w:trPr>
          <w:trHeight w:val="236"/>
        </w:trPr>
        <w:tc>
          <w:tcPr>
            <w:tcW w:w="5300" w:type="dxa"/>
            <w:vAlign w:val="bottom"/>
          </w:tcPr>
          <w:p>
            <w:pPr>
              <w:ind w:left="300"/>
              <w:spacing w:after="0" w:line="236" w:lineRule="exact"/>
              <w:rPr>
                <w:sz w:val="20"/>
                <w:szCs w:val="20"/>
                <w:color w:val="auto"/>
              </w:rPr>
            </w:pPr>
            <w:r>
              <w:rPr>
                <w:rFonts w:ascii="Arial" w:cs="Arial" w:eastAsia="Arial" w:hAnsi="Arial"/>
                <w:sz w:val="21"/>
                <w:szCs w:val="21"/>
                <w:color w:val="auto"/>
              </w:rPr>
              <w:t>Financing activities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3"/>
              <w:spacing w:after="0" w:line="236" w:lineRule="exact"/>
              <w:rPr>
                <w:sz w:val="20"/>
                <w:szCs w:val="20"/>
                <w:color w:val="auto"/>
              </w:rPr>
            </w:pPr>
            <w:r>
              <w:rPr>
                <w:rFonts w:ascii="Arial" w:cs="Arial" w:eastAsia="Arial" w:hAnsi="Arial"/>
                <w:sz w:val="21"/>
                <w:szCs w:val="21"/>
                <w:color w:val="auto"/>
              </w:rPr>
              <w:t>654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80"/>
              <w:spacing w:after="0" w:line="236" w:lineRule="exact"/>
              <w:rPr>
                <w:sz w:val="20"/>
                <w:szCs w:val="20"/>
                <w:color w:val="auto"/>
              </w:rPr>
            </w:pPr>
            <w:r>
              <w:rPr>
                <w:rFonts w:ascii="Arial" w:cs="Arial" w:eastAsia="Arial" w:hAnsi="Arial"/>
                <w:sz w:val="21"/>
                <w:szCs w:val="21"/>
                <w:color w:val="auto"/>
              </w:rPr>
              <w:t>97,089</w:t>
            </w:r>
          </w:p>
        </w:tc>
        <w:tc>
          <w:tcPr>
            <w:tcW w:w="0" w:type="dxa"/>
            <w:vAlign w:val="bottom"/>
          </w:tcPr>
          <w:p>
            <w:pPr>
              <w:spacing w:after="0"/>
              <w:rPr>
                <w:sz w:val="1"/>
                <w:szCs w:val="1"/>
                <w:color w:val="auto"/>
              </w:rPr>
            </w:pPr>
          </w:p>
        </w:tc>
      </w:tr>
      <w:tr>
        <w:trPr>
          <w:trHeight w:val="227"/>
        </w:trPr>
        <w:tc>
          <w:tcPr>
            <w:tcW w:w="5300" w:type="dxa"/>
            <w:vAlign w:val="bottom"/>
            <w:tcBorders>
              <w:top w:val="single" w:sz="8" w:color="E0E0E0"/>
            </w:tcBorders>
            <w:shd w:val="clear" w:color="auto" w:fill="E0E0E0"/>
          </w:tcPr>
          <w:p>
            <w:pPr>
              <w:spacing w:after="0" w:line="227" w:lineRule="exact"/>
              <w:rPr>
                <w:sz w:val="20"/>
                <w:szCs w:val="20"/>
                <w:color w:val="auto"/>
              </w:rPr>
            </w:pPr>
            <w:r>
              <w:rPr>
                <w:rFonts w:ascii="Arial" w:cs="Arial" w:eastAsia="Arial" w:hAnsi="Arial"/>
                <w:sz w:val="21"/>
                <w:szCs w:val="21"/>
                <w:color w:val="auto"/>
              </w:rPr>
              <w:t>Net (decrease) increase in cash, cash equivalents and</w:t>
            </w:r>
          </w:p>
        </w:tc>
        <w:tc>
          <w:tcPr>
            <w:tcW w:w="6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spacing w:after="0"/>
              <w:rPr>
                <w:sz w:val="19"/>
                <w:szCs w:val="19"/>
                <w:color w:val="auto"/>
              </w:rPr>
            </w:pPr>
          </w:p>
        </w:tc>
        <w:tc>
          <w:tcPr>
            <w:tcW w:w="960" w:type="dxa"/>
            <w:vAlign w:val="bottom"/>
            <w:tcBorders>
              <w:top w:val="single" w:sz="8" w:color="auto"/>
            </w:tcBorders>
            <w:vMerge w:val="restart"/>
            <w:shd w:val="clear" w:color="auto" w:fill="E0E0E0"/>
          </w:tcPr>
          <w:p>
            <w:pPr>
              <w:jc w:val="right"/>
              <w:spacing w:after="0"/>
              <w:rPr>
                <w:sz w:val="20"/>
                <w:szCs w:val="20"/>
                <w:color w:val="auto"/>
              </w:rPr>
            </w:pPr>
            <w:r>
              <w:rPr>
                <w:rFonts w:ascii="Arial" w:cs="Arial" w:eastAsia="Arial" w:hAnsi="Arial"/>
                <w:sz w:val="21"/>
                <w:szCs w:val="21"/>
                <w:color w:val="auto"/>
              </w:rPr>
              <w:t>(14,151</w:t>
            </w:r>
          </w:p>
        </w:tc>
        <w:tc>
          <w:tcPr>
            <w:tcW w:w="120" w:type="dxa"/>
            <w:vAlign w:val="bottom"/>
            <w:tcBorders>
              <w:top w:val="single" w:sz="8" w:color="E0E0E0"/>
            </w:tcBorders>
            <w:vMerge w:val="restart"/>
            <w:shd w:val="clear" w:color="auto" w:fill="E0E0E0"/>
          </w:tcPr>
          <w:p>
            <w:pPr>
              <w:jc w:val="right"/>
              <w:spacing w:after="0"/>
              <w:rPr>
                <w:sz w:val="20"/>
                <w:szCs w:val="20"/>
                <w:color w:val="auto"/>
              </w:rPr>
            </w:pPr>
            <w:r>
              <w:rPr>
                <w:rFonts w:ascii="Arial" w:cs="Arial" w:eastAsia="Arial" w:hAnsi="Arial"/>
                <w:sz w:val="15"/>
                <w:szCs w:val="15"/>
                <w:color w:val="auto"/>
                <w:w w:val="79"/>
              </w:rPr>
              <w:t>)</w:t>
            </w:r>
          </w:p>
        </w:tc>
        <w:tc>
          <w:tcPr>
            <w:tcW w:w="2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spacing w:after="0"/>
              <w:rPr>
                <w:sz w:val="19"/>
                <w:szCs w:val="19"/>
                <w:color w:val="auto"/>
              </w:rPr>
            </w:pPr>
          </w:p>
        </w:tc>
        <w:tc>
          <w:tcPr>
            <w:tcW w:w="940" w:type="dxa"/>
            <w:vAlign w:val="bottom"/>
            <w:tcBorders>
              <w:top w:val="single" w:sz="8" w:color="auto"/>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00" w:type="dxa"/>
            <w:vAlign w:val="bottom"/>
            <w:shd w:val="clear" w:color="auto" w:fill="E0E0E0"/>
          </w:tcPr>
          <w:p>
            <w:pPr>
              <w:spacing w:after="0" w:line="237" w:lineRule="exact"/>
              <w:rPr>
                <w:sz w:val="20"/>
                <w:szCs w:val="20"/>
                <w:color w:val="auto"/>
              </w:rPr>
            </w:pPr>
            <w:r>
              <w:rPr>
                <w:rFonts w:ascii="Arial" w:cs="Arial" w:eastAsia="Arial" w:hAnsi="Arial"/>
                <w:sz w:val="21"/>
                <w:szCs w:val="21"/>
                <w:color w:val="auto"/>
              </w:rPr>
              <w:t>restricted cash</w:t>
            </w:r>
          </w:p>
        </w:tc>
        <w:tc>
          <w:tcPr>
            <w:tcW w:w="60" w:type="dxa"/>
            <w:vAlign w:val="bottom"/>
            <w:shd w:val="clear" w:color="auto" w:fill="E0E0E0"/>
          </w:tcPr>
          <w:p>
            <w:pPr>
              <w:spacing w:after="0"/>
              <w:rPr>
                <w:sz w:val="20"/>
                <w:szCs w:val="20"/>
                <w:color w:val="auto"/>
              </w:rPr>
            </w:pPr>
          </w:p>
        </w:tc>
        <w:tc>
          <w:tcPr>
            <w:tcW w:w="12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w w:val="85"/>
              </w:rPr>
              <w:t>$</w:t>
            </w:r>
          </w:p>
        </w:tc>
        <w:tc>
          <w:tcPr>
            <w:tcW w:w="960" w:type="dxa"/>
            <w:vAlign w:val="bottom"/>
            <w:vMerge w:val="continue"/>
            <w:shd w:val="clear" w:color="auto" w:fill="E0E0E0"/>
          </w:tcPr>
          <w:p>
            <w:pPr>
              <w:spacing w:after="0"/>
              <w:rPr>
                <w:sz w:val="20"/>
                <w:szCs w:val="20"/>
                <w:color w:val="auto"/>
              </w:rPr>
            </w:pPr>
          </w:p>
        </w:tc>
        <w:tc>
          <w:tcPr>
            <w:tcW w:w="120" w:type="dxa"/>
            <w:vAlign w:val="bottom"/>
            <w:vMerge w:val="continue"/>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w w:val="85"/>
              </w:rPr>
              <w:t>$</w:t>
            </w:r>
          </w:p>
        </w:tc>
        <w:tc>
          <w:tcPr>
            <w:tcW w:w="1020" w:type="dxa"/>
            <w:vAlign w:val="bottom"/>
            <w:gridSpan w:val="2"/>
            <w:shd w:val="clear" w:color="auto" w:fill="E0E0E0"/>
          </w:tcPr>
          <w:p>
            <w:pPr>
              <w:jc w:val="right"/>
              <w:ind w:right="80"/>
              <w:spacing w:after="0" w:line="237" w:lineRule="exact"/>
              <w:rPr>
                <w:sz w:val="20"/>
                <w:szCs w:val="20"/>
                <w:color w:val="auto"/>
              </w:rPr>
            </w:pPr>
            <w:r>
              <w:rPr>
                <w:rFonts w:ascii="Arial" w:cs="Arial" w:eastAsia="Arial" w:hAnsi="Arial"/>
                <w:sz w:val="21"/>
                <w:szCs w:val="21"/>
                <w:color w:val="auto"/>
              </w:rPr>
              <w:t>49,912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Operating Activities</w:t>
      </w:r>
    </w:p>
    <w:p>
      <w:pPr>
        <w:spacing w:after="0" w:line="115" w:lineRule="exact"/>
        <w:rPr>
          <w:sz w:val="20"/>
          <w:szCs w:val="20"/>
          <w:color w:val="auto"/>
        </w:rPr>
      </w:pPr>
    </w:p>
    <w:p>
      <w:pPr>
        <w:ind w:firstLine="504"/>
        <w:spacing w:after="0" w:line="297" w:lineRule="auto"/>
        <w:rPr>
          <w:sz w:val="20"/>
          <w:szCs w:val="20"/>
          <w:color w:val="auto"/>
        </w:rPr>
      </w:pPr>
      <w:r>
        <w:rPr>
          <w:rFonts w:ascii="Arial" w:cs="Arial" w:eastAsia="Arial" w:hAnsi="Arial"/>
          <w:sz w:val="20"/>
          <w:szCs w:val="20"/>
          <w:color w:val="auto"/>
        </w:rPr>
        <w:t>During the year ended December 31, 2022, net cash used in operating activities was $72.5 million. This consisted primarily of a net loss of $95.6 million, partially offset by non-cash charges of $11.2 million</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127</w:t>
      </w:r>
    </w:p>
    <w:p>
      <w:pPr>
        <w:sectPr>
          <w:pgSz w:w="12240" w:h="15840" w:orient="portrait"/>
          <w:cols w:equalWidth="0" w:num="1">
            <w:col w:w="9640"/>
          </w:cols>
          <w:pgMar w:left="1300" w:top="1226" w:right="1300" w:bottom="0" w:gutter="0" w:footer="0" w:header="0"/>
          <w:type w:val="continuous"/>
        </w:sectPr>
      </w:pPr>
    </w:p>
    <w:bookmarkStart w:id="133" w:name="page134"/>
    <w:bookmarkEnd w:id="133"/>
    <w:p>
      <w:pPr>
        <w:jc w:val="both"/>
        <w:spacing w:after="0" w:line="242" w:lineRule="auto"/>
        <w:rPr>
          <w:sz w:val="20"/>
          <w:szCs w:val="20"/>
          <w:color w:val="auto"/>
        </w:rPr>
      </w:pPr>
      <w:r>
        <w:rPr>
          <w:rFonts w:ascii="Arial" w:cs="Arial" w:eastAsia="Arial" w:hAnsi="Arial"/>
          <w:sz w:val="21"/>
          <w:szCs w:val="21"/>
          <w:color w:val="auto"/>
        </w:rPr>
        <w:t>and a decrease in our net operating assets of $11.9 million. The non-cash charges primarily consisted of stock-based compensation expense, depreciation expense, and amortization of premiums and accretion of discounts on our available-for- sale securities. The decrease in our net operating assets was primarily due to a decrease in unbilled grant receivable, an increase in accounts payable and accrued expenses, and an accrual for legal settlement expenses related to the securities class action litigation, partially offset by an increase in prepaid expenses and other current assets.</w:t>
      </w:r>
    </w:p>
    <w:p>
      <w:pPr>
        <w:spacing w:after="0" w:line="208"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During the year ended December 31, 2021, net cash used in operating activities was $43.1 million. This consisted primarily of a net loss of $54.9 million, partially offset by non-cash charges of $5.6 million and a decrease in our net operating assets of $6.2 million. The non-cash charges primarily consisted of stock-based compensation expense, depreciation expense, and amortization of premiums and accretion of discounts on our available-for-sale securities. The decrease in our net operating assets was due to an increase in accounts payable and accrued expenses and a decrease in prepaid expenses and other current assets, partially offset by an increase in unbilled grant receivable.</w:t>
      </w: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Investing Activities</w:t>
      </w:r>
    </w:p>
    <w:p>
      <w:pPr>
        <w:spacing w:after="0" w:line="115"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During the year ended December 31, 2022, net cash provided by investing was $ 57.7 million. This consisted of maturities of available-for-sale securities of $154.1 million, partially offset by purchases of available-for-sale securities of $95.3 million and property and equipment of $1.1 million.</w:t>
      </w:r>
    </w:p>
    <w:p>
      <w:pPr>
        <w:spacing w:after="0" w:line="194"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During the year ended December 31, 2021, net cash used in investing activities was $4.1 million. This consisted primarily of purchases of available-for-sale securities of $299.2 million and purchases of property and equipment of $1.6 million, partially offset by maturities of available-for-sale securities of $278.6 million and sales of available-for-sale securities of $18.1 million.</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Financing Activities</w:t>
      </w:r>
    </w:p>
    <w:p>
      <w:pPr>
        <w:spacing w:after="0" w:line="115"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color w:val="auto"/>
        </w:rPr>
        <w:t>During the year ended December 31, 2022, net cash provided by financing activities was $0.7 million, consisting of proceeds received from exercises of stock options.</w:t>
      </w:r>
    </w:p>
    <w:p>
      <w:pPr>
        <w:spacing w:after="0" w:line="173"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1"/>
          <w:szCs w:val="21"/>
          <w:color w:val="auto"/>
        </w:rPr>
        <w:t>During the year ended December 31, 2021, net cash provided by financing activities was $97.1 million, primarily driven by proceeds received from our follow-on public offering, and to a lesser extent from exercises of stock options.</w:t>
      </w:r>
    </w:p>
    <w:p>
      <w:pPr>
        <w:spacing w:after="0" w:line="3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Policies, Significant Judgments and Use of Estimates</w:t>
      </w:r>
    </w:p>
    <w:p>
      <w:pPr>
        <w:spacing w:after="0" w:line="123"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Grant Income</w:t>
      </w:r>
    </w:p>
    <w:p>
      <w:pPr>
        <w:spacing w:after="0" w:line="115" w:lineRule="exact"/>
        <w:rPr>
          <w:sz w:val="20"/>
          <w:szCs w:val="20"/>
          <w:color w:val="auto"/>
        </w:rPr>
      </w:pPr>
    </w:p>
    <w:p>
      <w:pPr>
        <w:jc w:val="both"/>
        <w:ind w:firstLine="504"/>
        <w:spacing w:after="0" w:line="264" w:lineRule="auto"/>
        <w:rPr>
          <w:sz w:val="20"/>
          <w:szCs w:val="20"/>
          <w:color w:val="auto"/>
        </w:rPr>
      </w:pPr>
      <w:r>
        <w:rPr>
          <w:rFonts w:ascii="Arial" w:cs="Arial" w:eastAsia="Arial" w:hAnsi="Arial"/>
          <w:sz w:val="20"/>
          <w:szCs w:val="20"/>
          <w:color w:val="auto"/>
        </w:rPr>
        <w:t>In December 2020, we accepted a grant from the NIH to support our ACT-AD Phase 2 clinical trial for fosgonimeton. Under the terms of the agreement and approval received from the NIH, we may receive up to an aggregate of $15.2 million. We recognize income related to the NIH grant within the consolidated statement of operations and comprehensive loss as qualifying expenses under the grant agreement are</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128</w:t>
      </w:r>
    </w:p>
    <w:p>
      <w:pPr>
        <w:sectPr>
          <w:pgSz w:w="12240" w:h="15840" w:orient="portrait"/>
          <w:cols w:equalWidth="0" w:num="1">
            <w:col w:w="9640"/>
          </w:cols>
          <w:pgMar w:left="1300" w:top="1226" w:right="1300" w:bottom="0" w:gutter="0" w:footer="0" w:header="0"/>
          <w:type w:val="continuous"/>
        </w:sectPr>
      </w:pPr>
    </w:p>
    <w:bookmarkStart w:id="134" w:name="page135"/>
    <w:bookmarkEnd w:id="134"/>
    <w:p>
      <w:pPr>
        <w:jc w:val="both"/>
        <w:spacing w:after="0" w:line="271" w:lineRule="auto"/>
        <w:rPr>
          <w:sz w:val="20"/>
          <w:szCs w:val="20"/>
          <w:color w:val="auto"/>
        </w:rPr>
      </w:pPr>
      <w:r>
        <w:rPr>
          <w:rFonts w:ascii="Arial" w:cs="Arial" w:eastAsia="Arial" w:hAnsi="Arial"/>
          <w:sz w:val="21"/>
          <w:szCs w:val="21"/>
          <w:color w:val="auto"/>
        </w:rPr>
        <w:t>incurred. We record qualifying expenses incurred in excess of cash received in unbilled grant receivable on the consolidated balance sheets.</w:t>
      </w:r>
    </w:p>
    <w:p>
      <w:pPr>
        <w:spacing w:after="0" w:line="30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Research and Development Costs</w:t>
      </w:r>
    </w:p>
    <w:p>
      <w:pPr>
        <w:spacing w:after="0" w:line="115"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0"/>
          <w:szCs w:val="20"/>
          <w:color w:val="auto"/>
        </w:rPr>
        <w:t>Research and development costs, including costs associated with our clinical trials,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Stock-based Compensation</w:t>
      </w:r>
    </w:p>
    <w:p>
      <w:pPr>
        <w:spacing w:after="0" w:line="115"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94"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20"/>
          <w:szCs w:val="20"/>
          <w:color w:val="auto"/>
        </w:rPr>
        <w:t>We recognize stock-based compensation expense for stock options on a straight-line basis over the requisite service period and account for forfeitures as they occur. Our stock-based compensation costs for stock options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91"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color w:val="auto"/>
        </w:rPr>
        <w:t>The Black-Scholes option pricing model utilizes inputs which are highly subjective assumptions and generally require significant judgment. These assumptions include:</w:t>
      </w:r>
    </w:p>
    <w:p>
      <w:pPr>
        <w:spacing w:after="0" w:line="63" w:lineRule="exact"/>
        <w:rPr>
          <w:sz w:val="20"/>
          <w:szCs w:val="20"/>
          <w:color w:val="auto"/>
        </w:rPr>
      </w:pPr>
    </w:p>
    <w:p>
      <w:pPr>
        <w:ind w:left="1000" w:hanging="496"/>
        <w:spacing w:after="0"/>
        <w:tabs>
          <w:tab w:leader="none" w:pos="1000" w:val="left"/>
        </w:tabs>
        <w:numPr>
          <w:ilvl w:val="0"/>
          <w:numId w:val="63"/>
        </w:numPr>
        <w:rPr>
          <w:rFonts w:ascii="Arial" w:cs="Arial" w:eastAsia="Arial" w:hAnsi="Arial"/>
          <w:sz w:val="21"/>
          <w:szCs w:val="21"/>
          <w:color w:val="auto"/>
        </w:rPr>
      </w:pPr>
      <w:r>
        <w:rPr>
          <w:rFonts w:ascii="Arial" w:cs="Arial" w:eastAsia="Arial" w:hAnsi="Arial"/>
          <w:sz w:val="21"/>
          <w:szCs w:val="21"/>
          <w:i w:val="1"/>
          <w:iCs w:val="1"/>
          <w:color w:val="auto"/>
        </w:rPr>
        <w:t>Fair Value of Common Stock</w:t>
      </w:r>
      <w:r>
        <w:rPr>
          <w:rFonts w:ascii="Arial" w:cs="Arial" w:eastAsia="Arial" w:hAnsi="Arial"/>
          <w:sz w:val="21"/>
          <w:szCs w:val="21"/>
          <w:color w:val="auto"/>
        </w:rPr>
        <w:t>. See the subsection titled “—Common Stock Valuations” below.</w:t>
      </w:r>
    </w:p>
    <w:p>
      <w:pPr>
        <w:spacing w:after="0" w:line="132" w:lineRule="exact"/>
        <w:rPr>
          <w:rFonts w:ascii="Arial" w:cs="Arial" w:eastAsia="Arial" w:hAnsi="Arial"/>
          <w:sz w:val="21"/>
          <w:szCs w:val="21"/>
          <w:color w:val="auto"/>
        </w:rPr>
      </w:pPr>
    </w:p>
    <w:p>
      <w:pPr>
        <w:jc w:val="both"/>
        <w:ind w:left="1000" w:hanging="496"/>
        <w:spacing w:after="0" w:line="254" w:lineRule="auto"/>
        <w:tabs>
          <w:tab w:leader="none" w:pos="1000" w:val="left"/>
        </w:tabs>
        <w:numPr>
          <w:ilvl w:val="0"/>
          <w:numId w:val="63"/>
        </w:numPr>
        <w:rPr>
          <w:rFonts w:ascii="Arial" w:cs="Arial" w:eastAsia="Arial" w:hAnsi="Arial"/>
          <w:sz w:val="21"/>
          <w:szCs w:val="21"/>
          <w:color w:val="auto"/>
        </w:rPr>
      </w:pPr>
      <w:r>
        <w:rPr>
          <w:rFonts w:ascii="Arial" w:cs="Arial" w:eastAsia="Arial" w:hAnsi="Arial"/>
          <w:sz w:val="21"/>
          <w:szCs w:val="21"/>
          <w:i w:val="1"/>
          <w:iCs w:val="1"/>
          <w:color w:val="auto"/>
        </w:rPr>
        <w:t>Risk-Free Interest Rate</w:t>
      </w:r>
      <w:r>
        <w:rPr>
          <w:rFonts w:ascii="Arial" w:cs="Arial" w:eastAsia="Arial" w:hAnsi="Arial"/>
          <w:sz w:val="21"/>
          <w:szCs w:val="21"/>
          <w:color w:val="auto"/>
        </w:rPr>
        <w:t>. The risk-free interest rate is based on the U.S. Treasury zero coupon</w:t>
      </w:r>
      <w:r>
        <w:rPr>
          <w:rFonts w:ascii="Arial" w:cs="Arial" w:eastAsia="Arial" w:hAnsi="Arial"/>
          <w:sz w:val="21"/>
          <w:szCs w:val="21"/>
          <w:i w:val="1"/>
          <w:iCs w:val="1"/>
          <w:color w:val="auto"/>
        </w:rPr>
        <w:t xml:space="preserve"> </w:t>
      </w:r>
      <w:r>
        <w:rPr>
          <w:rFonts w:ascii="Arial" w:cs="Arial" w:eastAsia="Arial" w:hAnsi="Arial"/>
          <w:sz w:val="21"/>
          <w:szCs w:val="21"/>
          <w:color w:val="auto"/>
        </w:rPr>
        <w:t>issues in effect at the time of grant for periods corresponding with the expected term of the option.</w:t>
      </w:r>
    </w:p>
    <w:p>
      <w:pPr>
        <w:spacing w:after="0" w:line="82" w:lineRule="exact"/>
        <w:rPr>
          <w:rFonts w:ascii="Arial" w:cs="Arial" w:eastAsia="Arial" w:hAnsi="Arial"/>
          <w:sz w:val="21"/>
          <w:szCs w:val="21"/>
          <w:color w:val="auto"/>
        </w:rPr>
      </w:pPr>
    </w:p>
    <w:p>
      <w:pPr>
        <w:jc w:val="both"/>
        <w:ind w:left="1000" w:hanging="496"/>
        <w:spacing w:after="0" w:line="241" w:lineRule="auto"/>
        <w:tabs>
          <w:tab w:leader="none" w:pos="1000" w:val="left"/>
        </w:tabs>
        <w:numPr>
          <w:ilvl w:val="0"/>
          <w:numId w:val="63"/>
        </w:numPr>
        <w:rPr>
          <w:rFonts w:ascii="Arial" w:cs="Arial" w:eastAsia="Arial" w:hAnsi="Arial"/>
          <w:sz w:val="21"/>
          <w:szCs w:val="21"/>
          <w:color w:val="auto"/>
        </w:rPr>
      </w:pPr>
      <w:r>
        <w:rPr>
          <w:rFonts w:ascii="Arial" w:cs="Arial" w:eastAsia="Arial" w:hAnsi="Arial"/>
          <w:sz w:val="21"/>
          <w:szCs w:val="21"/>
          <w:i w:val="1"/>
          <w:iCs w:val="1"/>
          <w:color w:val="auto"/>
        </w:rPr>
        <w:t>Expected Volatility</w:t>
      </w:r>
      <w:r>
        <w:rPr>
          <w:rFonts w:ascii="Arial" w:cs="Arial" w:eastAsia="Arial" w:hAnsi="Arial"/>
          <w:sz w:val="21"/>
          <w:szCs w:val="21"/>
          <w:color w:val="auto"/>
        </w:rPr>
        <w:t>. Because we were privately held prior to September 2020 and do not yet</w:t>
      </w:r>
      <w:r>
        <w:rPr>
          <w:rFonts w:ascii="Arial" w:cs="Arial" w:eastAsia="Arial" w:hAnsi="Arial"/>
          <w:sz w:val="21"/>
          <w:szCs w:val="21"/>
          <w:i w:val="1"/>
          <w:iCs w:val="1"/>
          <w:color w:val="auto"/>
        </w:rPr>
        <w:t xml:space="preserve"> </w:t>
      </w:r>
      <w:r>
        <w:rPr>
          <w:rFonts w:ascii="Arial" w:cs="Arial" w:eastAsia="Arial" w:hAnsi="Arial"/>
          <w:sz w:val="21"/>
          <w:szCs w:val="21"/>
          <w:color w:val="auto"/>
        </w:rPr>
        <w:t>have sufficient trading history for our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97" w:lineRule="exact"/>
        <w:rPr>
          <w:rFonts w:ascii="Arial" w:cs="Arial" w:eastAsia="Arial" w:hAnsi="Arial"/>
          <w:sz w:val="21"/>
          <w:szCs w:val="21"/>
          <w:color w:val="auto"/>
        </w:rPr>
      </w:pPr>
    </w:p>
    <w:p>
      <w:pPr>
        <w:jc w:val="both"/>
        <w:ind w:left="1000" w:hanging="497"/>
        <w:spacing w:after="0" w:line="247" w:lineRule="auto"/>
        <w:tabs>
          <w:tab w:leader="none" w:pos="1000" w:val="left"/>
        </w:tabs>
        <w:numPr>
          <w:ilvl w:val="0"/>
          <w:numId w:val="63"/>
        </w:numPr>
        <w:rPr>
          <w:rFonts w:ascii="Arial" w:cs="Arial" w:eastAsia="Arial" w:hAnsi="Arial"/>
          <w:sz w:val="21"/>
          <w:szCs w:val="21"/>
          <w:color w:val="auto"/>
        </w:rPr>
      </w:pPr>
      <w:r>
        <w:rPr>
          <w:rFonts w:ascii="Arial" w:cs="Arial" w:eastAsia="Arial" w:hAnsi="Arial"/>
          <w:sz w:val="21"/>
          <w:szCs w:val="21"/>
          <w:i w:val="1"/>
          <w:iCs w:val="1"/>
          <w:color w:val="auto"/>
        </w:rPr>
        <w:t>Expected Term</w:t>
      </w:r>
      <w:r>
        <w:rPr>
          <w:rFonts w:ascii="Arial" w:cs="Arial" w:eastAsia="Arial" w:hAnsi="Arial"/>
          <w:sz w:val="21"/>
          <w:szCs w:val="21"/>
          <w:color w:val="auto"/>
        </w:rPr>
        <w:t>. The expected term represents the period that the stock-based awards are</w:t>
      </w:r>
      <w:r>
        <w:rPr>
          <w:rFonts w:ascii="Arial" w:cs="Arial" w:eastAsia="Arial" w:hAnsi="Arial"/>
          <w:sz w:val="21"/>
          <w:szCs w:val="21"/>
          <w:i w:val="1"/>
          <w:iCs w:val="1"/>
          <w:color w:val="auto"/>
        </w:rPr>
        <w:t xml:space="preserve"> </w:t>
      </w:r>
      <w:r>
        <w:rPr>
          <w:rFonts w:ascii="Arial" w:cs="Arial" w:eastAsia="Arial" w:hAnsi="Arial"/>
          <w:sz w:val="21"/>
          <w:szCs w:val="21"/>
          <w:color w:val="auto"/>
        </w:rPr>
        <w:t>expected to be outstanding and is determined using the simplified method (based on the mid-point between the vesting date and the end of the contractual term), as we do not have sufficient historical data to use any other method to estimate expected term.</w:t>
      </w:r>
    </w:p>
    <w:p>
      <w:pPr>
        <w:spacing w:after="0" w:line="91" w:lineRule="exact"/>
        <w:rPr>
          <w:rFonts w:ascii="Arial" w:cs="Arial" w:eastAsia="Arial" w:hAnsi="Arial"/>
          <w:sz w:val="21"/>
          <w:szCs w:val="21"/>
          <w:color w:val="auto"/>
        </w:rPr>
      </w:pPr>
    </w:p>
    <w:p>
      <w:pPr>
        <w:jc w:val="both"/>
        <w:ind w:left="1000" w:hanging="497"/>
        <w:spacing w:after="0" w:line="253" w:lineRule="auto"/>
        <w:tabs>
          <w:tab w:leader="none" w:pos="1000" w:val="left"/>
        </w:tabs>
        <w:numPr>
          <w:ilvl w:val="0"/>
          <w:numId w:val="63"/>
        </w:numPr>
        <w:rPr>
          <w:rFonts w:ascii="Arial" w:cs="Arial" w:eastAsia="Arial" w:hAnsi="Arial"/>
          <w:sz w:val="21"/>
          <w:szCs w:val="21"/>
          <w:color w:val="auto"/>
        </w:rPr>
      </w:pPr>
      <w:r>
        <w:rPr>
          <w:rFonts w:ascii="Arial" w:cs="Arial" w:eastAsia="Arial" w:hAnsi="Arial"/>
          <w:sz w:val="21"/>
          <w:szCs w:val="21"/>
          <w:i w:val="1"/>
          <w:iCs w:val="1"/>
          <w:color w:val="auto"/>
        </w:rPr>
        <w:t>Expected Dividend Yield</w:t>
      </w:r>
      <w:r>
        <w:rPr>
          <w:rFonts w:ascii="Arial" w:cs="Arial" w:eastAsia="Arial" w:hAnsi="Arial"/>
          <w:sz w:val="21"/>
          <w:szCs w:val="21"/>
          <w:color w:val="auto"/>
        </w:rPr>
        <w:t>. We have never paid dividends on our common stock and have no</w:t>
      </w:r>
      <w:r>
        <w:rPr>
          <w:rFonts w:ascii="Arial" w:cs="Arial" w:eastAsia="Arial" w:hAnsi="Arial"/>
          <w:sz w:val="21"/>
          <w:szCs w:val="21"/>
          <w:i w:val="1"/>
          <w:iCs w:val="1"/>
          <w:color w:val="auto"/>
        </w:rPr>
        <w:t xml:space="preserve"> </w:t>
      </w:r>
      <w:r>
        <w:rPr>
          <w:rFonts w:ascii="Arial" w:cs="Arial" w:eastAsia="Arial" w:hAnsi="Arial"/>
          <w:sz w:val="21"/>
          <w:szCs w:val="21"/>
          <w:color w:val="auto"/>
        </w:rPr>
        <w:t>plans to pay dividends on our common stock. Therefore, we used an expected dividend yield of zero.</w:t>
      </w:r>
    </w:p>
    <w:p>
      <w:pPr>
        <w:spacing w:after="0" w:line="194" w:lineRule="exact"/>
        <w:rPr>
          <w:sz w:val="20"/>
          <w:szCs w:val="20"/>
          <w:color w:val="auto"/>
        </w:rPr>
      </w:pPr>
    </w:p>
    <w:p>
      <w:pPr>
        <w:jc w:val="both"/>
        <w:ind w:firstLine="504"/>
        <w:spacing w:after="0" w:line="264" w:lineRule="auto"/>
        <w:rPr>
          <w:sz w:val="20"/>
          <w:szCs w:val="20"/>
          <w:color w:val="auto"/>
        </w:rPr>
      </w:pPr>
      <w:r>
        <w:rPr>
          <w:rFonts w:ascii="Arial" w:cs="Arial" w:eastAsia="Arial" w:hAnsi="Arial"/>
          <w:sz w:val="20"/>
          <w:szCs w:val="20"/>
          <w:color w:val="auto"/>
        </w:rPr>
        <w:t>See Note 9 to our consolidated financial statements included elsewhere in this report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129</w:t>
      </w:r>
    </w:p>
    <w:p>
      <w:pPr>
        <w:sectPr>
          <w:pgSz w:w="12240" w:h="15840" w:orient="portrait"/>
          <w:cols w:equalWidth="0" w:num="1">
            <w:col w:w="9640"/>
          </w:cols>
          <w:pgMar w:left="1300" w:top="1226" w:right="1300" w:bottom="0" w:gutter="0" w:footer="0" w:header="0"/>
          <w:type w:val="continuous"/>
        </w:sectPr>
      </w:pPr>
    </w:p>
    <w:bookmarkStart w:id="135" w:name="page136"/>
    <w:bookmarkEnd w:id="135"/>
    <w:p>
      <w:pPr>
        <w:jc w:val="both"/>
        <w:spacing w:after="0" w:line="271" w:lineRule="auto"/>
        <w:rPr>
          <w:sz w:val="20"/>
          <w:szCs w:val="20"/>
          <w:color w:val="auto"/>
        </w:rPr>
      </w:pPr>
      <w:r>
        <w:rPr>
          <w:rFonts w:ascii="Arial" w:cs="Arial" w:eastAsia="Arial" w:hAnsi="Arial"/>
          <w:sz w:val="21"/>
          <w:szCs w:val="21"/>
          <w:color w:val="auto"/>
        </w:rPr>
        <w:t>outcomes change and we use significantly different assumptions or estimates, our stock-based compensation could be materially different.</w:t>
      </w:r>
    </w:p>
    <w:p>
      <w:pPr>
        <w:spacing w:after="0" w:line="175"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We recognize stock-based compensation expense for restricted stock units on a straight-line basis over the requisite service period and account for forfeitures as they occur. We recognize compensation expense for restricted stock unit grants subject to performance-based milestone vesting using the accelerated attribution method over the remaining service period when we determine that achievement of the milestone is probable. We evaluate when the achievement of a performance-based milestone is probable based on the relative satisfaction of the performance conditions as of the reporting date. Our stock-based compensation costs for restricted stock units are based upon the fair market value of our common stock based on its closing price as reported on the date of grant on the Nasdaq Global Select Market.</w:t>
      </w:r>
    </w:p>
    <w:p>
      <w:pPr>
        <w:spacing w:after="0" w:line="206"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0"/>
          <w:szCs w:val="20"/>
          <w:color w:val="auto"/>
        </w:rPr>
        <w:t>We recorded stock-based compensation expense of $10.6 million and $4.6 million for the years ended December 31, 2022 and 2021, respectively. As of December 31, 2022, there was $ 18.6 million of total unrecognized stock-based compensation expense related to non-vested stock options which we expect to recognize over a remaining weighted-average period of 2.68 years. As of December 31, 2022, there was $1.4 million of total unrecognized stock-based compensation expense related to non-vested restricted stock units which we expect to recognize over a remaining weighted-average period of 0.80 years. We expect to continue to grant stock options and other equity-based awards in the future, and to the extent that we do, our stock-based compensation expense recognized in future periods will likely increase.</w:t>
      </w: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Income Taxes</w:t>
      </w:r>
    </w:p>
    <w:p>
      <w:pPr>
        <w:spacing w:after="0" w:line="115"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208"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As of December 31, 2022, we had $9.5 million of federal net operating loss, or NOL, carryforwards and $5.6 million of tax credit carryforwards which expire over a period of 9 to 15 years. As of December 31, 2022, we had $104.4 million of such NOLs that do not expire. As of December 31, 2022, we also had state net operating loss carryforwards of $2.7 million, which expire over a period of 19 to 20 years.</w:t>
      </w:r>
    </w:p>
    <w:p>
      <w:pPr>
        <w:spacing w:after="0" w:line="201"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210" w:lineRule="exact"/>
        <w:rPr>
          <w:sz w:val="20"/>
          <w:szCs w:val="20"/>
          <w:color w:val="auto"/>
        </w:rPr>
      </w:pPr>
    </w:p>
    <w:p>
      <w:pPr>
        <w:jc w:val="both"/>
        <w:ind w:firstLine="505"/>
        <w:spacing w:after="0" w:line="242" w:lineRule="auto"/>
        <w:rPr>
          <w:sz w:val="20"/>
          <w:szCs w:val="20"/>
          <w:color w:val="auto"/>
        </w:rPr>
      </w:pPr>
      <w:r>
        <w:rPr>
          <w:rFonts w:ascii="Arial" w:cs="Arial" w:eastAsia="Arial" w:hAnsi="Arial"/>
          <w:sz w:val="21"/>
          <w:szCs w:val="21"/>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130</w:t>
      </w:r>
    </w:p>
    <w:p>
      <w:pPr>
        <w:sectPr>
          <w:pgSz w:w="12240" w:h="15840" w:orient="portrait"/>
          <w:cols w:equalWidth="0" w:num="1">
            <w:col w:w="9640"/>
          </w:cols>
          <w:pgMar w:left="1300" w:top="1226" w:right="1300" w:bottom="0" w:gutter="0" w:footer="0" w:header="0"/>
          <w:type w:val="continuous"/>
        </w:sectPr>
      </w:pPr>
    </w:p>
    <w:bookmarkStart w:id="136" w:name="page137"/>
    <w:bookmarkEnd w:id="136"/>
    <w:p>
      <w:pPr>
        <w:spacing w:after="0"/>
        <w:rPr>
          <w:sz w:val="20"/>
          <w:szCs w:val="20"/>
          <w:color w:val="auto"/>
        </w:rPr>
      </w:pPr>
      <w:r>
        <w:rPr>
          <w:rFonts w:ascii="Arial" w:cs="Arial" w:eastAsia="Arial" w:hAnsi="Arial"/>
          <w:sz w:val="21"/>
          <w:szCs w:val="21"/>
          <w:b w:val="1"/>
          <w:bCs w:val="1"/>
          <w:color w:val="auto"/>
        </w:rPr>
        <w:t>Recent Accounting Pronouncements</w:t>
      </w:r>
    </w:p>
    <w:p>
      <w:pPr>
        <w:spacing w:after="0" w:line="122"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See Note 2 to our consolidated financial statements included elsewhere in this report for additional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Emerging Growth Company Status</w:t>
      </w:r>
    </w:p>
    <w:p>
      <w:pPr>
        <w:spacing w:after="0" w:line="122"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0"/>
          <w:szCs w:val="20"/>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95"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our initial public offering.</w:t>
      </w: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7A. Quantitative and Qualitative Disclosures About Market Risk.</w:t>
      </w:r>
    </w:p>
    <w:p>
      <w:pPr>
        <w:spacing w:after="0" w:line="122"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As a smaller reporting company, we are not required to provide the information requested by this item pursuant to Item 305 of Regulation S-K.</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8. Financial Statements and Supplementary Data.</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131</w:t>
      </w:r>
    </w:p>
    <w:p>
      <w:pPr>
        <w:sectPr>
          <w:pgSz w:w="12240" w:h="15840" w:orient="portrait"/>
          <w:cols w:equalWidth="0" w:num="1">
            <w:col w:w="9640"/>
          </w:cols>
          <w:pgMar w:left="1300" w:top="1222" w:right="1300" w:bottom="0" w:gutter="0" w:footer="0" w:header="0"/>
          <w:type w:val="continuous"/>
        </w:sectPr>
      </w:pPr>
    </w:p>
    <w:bookmarkStart w:id="137" w:name="page138"/>
    <w:bookmarkEnd w:id="137"/>
    <w:p>
      <w:pPr>
        <w:jc w:val="center"/>
        <w:ind w:right="-519"/>
        <w:spacing w:after="0"/>
        <w:rPr>
          <w:sz w:val="20"/>
          <w:szCs w:val="20"/>
          <w:color w:val="auto"/>
        </w:rPr>
      </w:pPr>
      <w:r>
        <w:rPr>
          <w:rFonts w:ascii="Arial" w:cs="Arial" w:eastAsia="Arial" w:hAnsi="Arial"/>
          <w:sz w:val="21"/>
          <w:szCs w:val="21"/>
          <w:b w:val="1"/>
          <w:bCs w:val="1"/>
          <w:color w:val="auto"/>
        </w:rPr>
        <w:t>Athira Pharma, Inc.</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21"/>
          <w:szCs w:val="21"/>
          <w:b w:val="1"/>
          <w:bCs w:val="1"/>
          <w:color w:val="auto"/>
        </w:rPr>
        <w:t>Index to Financial Statements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040" w:type="dxa"/>
            <w:vAlign w:val="bottom"/>
          </w:tcPr>
          <w:p>
            <w:pPr>
              <w:spacing w:after="0"/>
              <w:rPr>
                <w:sz w:val="20"/>
                <w:szCs w:val="20"/>
                <w:color w:val="auto"/>
              </w:rPr>
            </w:pPr>
            <w:r>
              <w:rPr>
                <w:rFonts w:ascii="Arial" w:cs="Arial" w:eastAsia="Arial" w:hAnsi="Arial"/>
                <w:sz w:val="21"/>
                <w:szCs w:val="21"/>
                <w:color w:val="auto"/>
              </w:rPr>
              <w:t>Report of Independent Registered Public Accounting Firm (PCAOB ID: 42)</w:t>
            </w:r>
          </w:p>
        </w:tc>
        <w:tc>
          <w:tcPr>
            <w:tcW w:w="1580" w:type="dxa"/>
            <w:vAlign w:val="bottom"/>
          </w:tcPr>
          <w:p>
            <w:pPr>
              <w:jc w:val="right"/>
              <w:spacing w:after="0"/>
              <w:rPr>
                <w:sz w:val="20"/>
                <w:szCs w:val="20"/>
                <w:color w:val="auto"/>
              </w:rPr>
            </w:pPr>
            <w:r>
              <w:rPr>
                <w:rFonts w:ascii="Arial" w:cs="Arial" w:eastAsia="Arial" w:hAnsi="Arial"/>
                <w:sz w:val="21"/>
                <w:szCs w:val="21"/>
                <w:color w:val="auto"/>
              </w:rPr>
              <w:t>133</w:t>
            </w:r>
          </w:p>
        </w:tc>
      </w:tr>
      <w:tr>
        <w:trPr>
          <w:trHeight w:val="252"/>
        </w:trPr>
        <w:tc>
          <w:tcPr>
            <w:tcW w:w="8040" w:type="dxa"/>
            <w:vAlign w:val="bottom"/>
          </w:tcPr>
          <w:p>
            <w:pPr>
              <w:spacing w:after="0"/>
              <w:rPr>
                <w:sz w:val="20"/>
                <w:szCs w:val="20"/>
                <w:color w:val="auto"/>
              </w:rPr>
            </w:pPr>
            <w:r>
              <w:rPr>
                <w:rFonts w:ascii="Arial" w:cs="Arial" w:eastAsia="Arial" w:hAnsi="Arial"/>
                <w:sz w:val="21"/>
                <w:szCs w:val="21"/>
                <w:color w:val="auto"/>
              </w:rPr>
              <w:t>Consolidated Balance Sheets</w:t>
            </w:r>
          </w:p>
        </w:tc>
        <w:tc>
          <w:tcPr>
            <w:tcW w:w="1580" w:type="dxa"/>
            <w:vAlign w:val="bottom"/>
          </w:tcPr>
          <w:p>
            <w:pPr>
              <w:jc w:val="right"/>
              <w:spacing w:after="0"/>
              <w:rPr>
                <w:sz w:val="20"/>
                <w:szCs w:val="20"/>
                <w:color w:val="auto"/>
              </w:rPr>
            </w:pPr>
            <w:r>
              <w:rPr>
                <w:rFonts w:ascii="Arial" w:cs="Arial" w:eastAsia="Arial" w:hAnsi="Arial"/>
                <w:sz w:val="21"/>
                <w:szCs w:val="21"/>
                <w:color w:val="auto"/>
              </w:rPr>
              <w:t>134</w:t>
            </w:r>
          </w:p>
        </w:tc>
      </w:tr>
      <w:tr>
        <w:trPr>
          <w:trHeight w:val="252"/>
        </w:trPr>
        <w:tc>
          <w:tcPr>
            <w:tcW w:w="8040" w:type="dxa"/>
            <w:vAlign w:val="bottom"/>
          </w:tcPr>
          <w:p>
            <w:pPr>
              <w:spacing w:after="0"/>
              <w:rPr>
                <w:sz w:val="20"/>
                <w:szCs w:val="20"/>
                <w:color w:val="auto"/>
              </w:rPr>
            </w:pPr>
            <w:r>
              <w:rPr>
                <w:rFonts w:ascii="Arial" w:cs="Arial" w:eastAsia="Arial" w:hAnsi="Arial"/>
                <w:sz w:val="21"/>
                <w:szCs w:val="21"/>
                <w:color w:val="auto"/>
              </w:rPr>
              <w:t>Consolidated Statements of Operations and Comprehensive Loss</w:t>
            </w:r>
          </w:p>
        </w:tc>
        <w:tc>
          <w:tcPr>
            <w:tcW w:w="1580" w:type="dxa"/>
            <w:vAlign w:val="bottom"/>
          </w:tcPr>
          <w:p>
            <w:pPr>
              <w:jc w:val="right"/>
              <w:spacing w:after="0"/>
              <w:rPr>
                <w:sz w:val="20"/>
                <w:szCs w:val="20"/>
                <w:color w:val="auto"/>
              </w:rPr>
            </w:pPr>
            <w:r>
              <w:rPr>
                <w:rFonts w:ascii="Arial" w:cs="Arial" w:eastAsia="Arial" w:hAnsi="Arial"/>
                <w:sz w:val="21"/>
                <w:szCs w:val="21"/>
                <w:color w:val="auto"/>
              </w:rPr>
              <w:t>135</w:t>
            </w:r>
          </w:p>
        </w:tc>
      </w:tr>
      <w:tr>
        <w:trPr>
          <w:trHeight w:val="253"/>
        </w:trPr>
        <w:tc>
          <w:tcPr>
            <w:tcW w:w="8040" w:type="dxa"/>
            <w:vAlign w:val="bottom"/>
          </w:tcPr>
          <w:p>
            <w:pPr>
              <w:spacing w:after="0"/>
              <w:rPr>
                <w:sz w:val="20"/>
                <w:szCs w:val="20"/>
                <w:color w:val="auto"/>
              </w:rPr>
            </w:pPr>
            <w:r>
              <w:rPr>
                <w:rFonts w:ascii="Arial" w:cs="Arial" w:eastAsia="Arial" w:hAnsi="Arial"/>
                <w:sz w:val="21"/>
                <w:szCs w:val="21"/>
                <w:color w:val="auto"/>
              </w:rPr>
              <w:t>Consolidated Statements of Stockholders' Equity</w:t>
            </w:r>
          </w:p>
        </w:tc>
        <w:tc>
          <w:tcPr>
            <w:tcW w:w="1580" w:type="dxa"/>
            <w:vAlign w:val="bottom"/>
          </w:tcPr>
          <w:p>
            <w:pPr>
              <w:jc w:val="right"/>
              <w:spacing w:after="0"/>
              <w:rPr>
                <w:sz w:val="20"/>
                <w:szCs w:val="20"/>
                <w:color w:val="auto"/>
              </w:rPr>
            </w:pPr>
            <w:r>
              <w:rPr>
                <w:rFonts w:ascii="Arial" w:cs="Arial" w:eastAsia="Arial" w:hAnsi="Arial"/>
                <w:sz w:val="21"/>
                <w:szCs w:val="21"/>
                <w:color w:val="auto"/>
              </w:rPr>
              <w:t>136</w:t>
            </w:r>
          </w:p>
        </w:tc>
      </w:tr>
      <w:tr>
        <w:trPr>
          <w:trHeight w:val="252"/>
        </w:trPr>
        <w:tc>
          <w:tcPr>
            <w:tcW w:w="8040" w:type="dxa"/>
            <w:vAlign w:val="bottom"/>
          </w:tcPr>
          <w:p>
            <w:pPr>
              <w:spacing w:after="0"/>
              <w:rPr>
                <w:sz w:val="20"/>
                <w:szCs w:val="20"/>
                <w:color w:val="auto"/>
              </w:rPr>
            </w:pPr>
            <w:r>
              <w:rPr>
                <w:rFonts w:ascii="Arial" w:cs="Arial" w:eastAsia="Arial" w:hAnsi="Arial"/>
                <w:sz w:val="21"/>
                <w:szCs w:val="21"/>
                <w:color w:val="auto"/>
              </w:rPr>
              <w:t>Consolidated Statements of Cash Flows</w:t>
            </w:r>
          </w:p>
        </w:tc>
        <w:tc>
          <w:tcPr>
            <w:tcW w:w="1580" w:type="dxa"/>
            <w:vAlign w:val="bottom"/>
          </w:tcPr>
          <w:p>
            <w:pPr>
              <w:jc w:val="right"/>
              <w:spacing w:after="0"/>
              <w:rPr>
                <w:sz w:val="20"/>
                <w:szCs w:val="20"/>
                <w:color w:val="auto"/>
              </w:rPr>
            </w:pPr>
            <w:r>
              <w:rPr>
                <w:rFonts w:ascii="Arial" w:cs="Arial" w:eastAsia="Arial" w:hAnsi="Arial"/>
                <w:sz w:val="21"/>
                <w:szCs w:val="21"/>
                <w:color w:val="auto"/>
              </w:rPr>
              <w:t>137</w:t>
            </w:r>
          </w:p>
        </w:tc>
      </w:tr>
      <w:tr>
        <w:trPr>
          <w:trHeight w:val="279"/>
        </w:trPr>
        <w:tc>
          <w:tcPr>
            <w:tcW w:w="8040" w:type="dxa"/>
            <w:vAlign w:val="bottom"/>
          </w:tcPr>
          <w:p>
            <w:pPr>
              <w:spacing w:after="0"/>
              <w:rPr>
                <w:sz w:val="20"/>
                <w:szCs w:val="20"/>
                <w:color w:val="auto"/>
              </w:rPr>
            </w:pPr>
            <w:r>
              <w:rPr>
                <w:rFonts w:ascii="Arial" w:cs="Arial" w:eastAsia="Arial" w:hAnsi="Arial"/>
                <w:sz w:val="21"/>
                <w:szCs w:val="21"/>
                <w:color w:val="auto"/>
              </w:rPr>
              <w:t>Notes to Consolidated Financial Statements</w:t>
            </w:r>
          </w:p>
        </w:tc>
        <w:tc>
          <w:tcPr>
            <w:tcW w:w="1580" w:type="dxa"/>
            <w:vAlign w:val="bottom"/>
          </w:tcPr>
          <w:p>
            <w:pPr>
              <w:jc w:val="right"/>
              <w:spacing w:after="0"/>
              <w:rPr>
                <w:sz w:val="20"/>
                <w:szCs w:val="20"/>
                <w:color w:val="auto"/>
              </w:rPr>
            </w:pPr>
            <w:r>
              <w:rPr>
                <w:rFonts w:ascii="Arial" w:cs="Arial" w:eastAsia="Arial" w:hAnsi="Arial"/>
                <w:sz w:val="21"/>
                <w:szCs w:val="21"/>
                <w:color w:val="auto"/>
              </w:rPr>
              <w:t>137</w:t>
            </w:r>
          </w:p>
        </w:tc>
      </w:tr>
    </w:tbl>
    <w:p>
      <w:pPr>
        <w:spacing w:after="0" w:line="200" w:lineRule="exact"/>
        <w:rPr>
          <w:sz w:val="20"/>
          <w:szCs w:val="20"/>
          <w:color w:val="auto"/>
        </w:rPr>
      </w:pPr>
    </w:p>
    <w:p>
      <w:pPr>
        <w:sectPr>
          <w:pgSz w:w="12240" w:h="15840" w:orient="portrait"/>
          <w:cols w:equalWidth="0" w:num="1">
            <w:col w:w="9620"/>
          </w:cols>
          <w:pgMar w:left="1300" w:top="1222"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132</w:t>
      </w:r>
    </w:p>
    <w:p>
      <w:pPr>
        <w:sectPr>
          <w:pgSz w:w="12240" w:h="15840" w:orient="portrait"/>
          <w:cols w:equalWidth="0" w:num="1">
            <w:col w:w="9620"/>
          </w:cols>
          <w:pgMar w:left="1300" w:top="1222" w:right="1320" w:bottom="0" w:gutter="0" w:footer="0" w:header="0"/>
          <w:type w:val="continuous"/>
        </w:sectPr>
      </w:pPr>
    </w:p>
    <w:bookmarkStart w:id="138" w:name="page139"/>
    <w:bookmarkEnd w:id="138"/>
    <w:p>
      <w:pPr>
        <w:ind w:right="980" w:firstLine="988"/>
        <w:spacing w:after="0" w:line="463" w:lineRule="auto"/>
        <w:rPr>
          <w:sz w:val="20"/>
          <w:szCs w:val="20"/>
          <w:color w:val="auto"/>
        </w:rPr>
      </w:pPr>
      <w:r>
        <w:rPr>
          <w:rFonts w:ascii="Arial" w:cs="Arial" w:eastAsia="Arial" w:hAnsi="Arial"/>
          <w:sz w:val="23"/>
          <w:szCs w:val="23"/>
          <w:b w:val="1"/>
          <w:bCs w:val="1"/>
          <w:color w:val="auto"/>
        </w:rPr>
        <w:t xml:space="preserve">REPORT OF INDEPENDENT REGISTERED PUBLIC ACCOUNTING FIRM </w:t>
      </w:r>
      <w:r>
        <w:rPr>
          <w:rFonts w:ascii="Arial" w:cs="Arial" w:eastAsia="Arial" w:hAnsi="Arial"/>
          <w:sz w:val="23"/>
          <w:szCs w:val="23"/>
          <w:color w:val="auto"/>
        </w:rPr>
        <w:t>To the Stockholders and the Board of Directors of Athira Pharma, Inc.:</w:t>
      </w:r>
    </w:p>
    <w:p>
      <w:pPr>
        <w:spacing w:after="0"/>
        <w:rPr>
          <w:sz w:val="20"/>
          <w:szCs w:val="20"/>
          <w:color w:val="auto"/>
        </w:rPr>
      </w:pPr>
      <w:r>
        <w:rPr>
          <w:rFonts w:ascii="Arial" w:cs="Arial" w:eastAsia="Arial" w:hAnsi="Arial"/>
          <w:sz w:val="23"/>
          <w:szCs w:val="23"/>
          <w:b w:val="1"/>
          <w:bCs w:val="1"/>
          <w:color w:val="auto"/>
        </w:rPr>
        <w:t>Opinion on the Financial Statements</w:t>
      </w:r>
    </w:p>
    <w:p>
      <w:pPr>
        <w:spacing w:after="0" w:line="261" w:lineRule="exact"/>
        <w:rPr>
          <w:sz w:val="20"/>
          <w:szCs w:val="20"/>
          <w:color w:val="auto"/>
        </w:rPr>
      </w:pPr>
    </w:p>
    <w:p>
      <w:pPr>
        <w:ind w:right="140"/>
        <w:spacing w:after="0" w:line="241" w:lineRule="auto"/>
        <w:rPr>
          <w:sz w:val="20"/>
          <w:szCs w:val="20"/>
          <w:color w:val="auto"/>
        </w:rPr>
      </w:pPr>
      <w:r>
        <w:rPr>
          <w:rFonts w:ascii="Arial" w:cs="Arial" w:eastAsia="Arial" w:hAnsi="Arial"/>
          <w:sz w:val="23"/>
          <w:szCs w:val="23"/>
          <w:color w:val="auto"/>
        </w:rPr>
        <w:t>We have audited the accompanying consolidated balance sheets of Athira Pharma, Inc. (the Company) as of December 31, 2022 and 2021, the related consolidated statements of operations and comprehensive loss,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Basis for Opinion</w:t>
      </w:r>
    </w:p>
    <w:p>
      <w:pPr>
        <w:spacing w:after="0" w:line="261" w:lineRule="exact"/>
        <w:rPr>
          <w:sz w:val="20"/>
          <w:szCs w:val="20"/>
          <w:color w:val="auto"/>
        </w:rPr>
      </w:pPr>
    </w:p>
    <w:p>
      <w:pPr>
        <w:ind w:right="280"/>
        <w:spacing w:after="0" w:line="244" w:lineRule="auto"/>
        <w:rPr>
          <w:sz w:val="20"/>
          <w:szCs w:val="20"/>
          <w:color w:val="auto"/>
        </w:rPr>
      </w:pPr>
      <w:r>
        <w:rPr>
          <w:rFonts w:ascii="Arial" w:cs="Arial" w:eastAsia="Arial" w:hAnsi="Arial"/>
          <w:sz w:val="23"/>
          <w:szCs w:val="2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60"/>
        <w:spacing w:after="0" w:line="241" w:lineRule="auto"/>
        <w:rPr>
          <w:sz w:val="20"/>
          <w:szCs w:val="20"/>
          <w:color w:val="auto"/>
        </w:rPr>
      </w:pPr>
      <w:r>
        <w:rPr>
          <w:rFonts w:ascii="Arial" w:cs="Arial" w:eastAsia="Arial" w:hAnsi="Arial"/>
          <w:sz w:val="23"/>
          <w:szCs w:val="2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23"/>
          <w:szCs w:val="23"/>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7" w:lineRule="exact"/>
        <w:rPr>
          <w:sz w:val="20"/>
          <w:szCs w:val="20"/>
          <w:color w:val="auto"/>
        </w:rPr>
      </w:pPr>
    </w:p>
    <w:p>
      <w:pPr>
        <w:spacing w:after="0"/>
        <w:rPr>
          <w:sz w:val="20"/>
          <w:szCs w:val="20"/>
          <w:color w:val="auto"/>
        </w:rPr>
      </w:pPr>
      <w:r>
        <w:rPr>
          <w:rFonts w:ascii="Arial" w:cs="Arial" w:eastAsia="Arial" w:hAnsi="Arial"/>
          <w:sz w:val="23"/>
          <w:szCs w:val="23"/>
          <w:color w:val="auto"/>
        </w:rPr>
        <w:t>/s/ Ernst &amp; Young LLP</w:t>
      </w:r>
    </w:p>
    <w:p>
      <w:pPr>
        <w:spacing w:after="0" w:line="257" w:lineRule="exact"/>
        <w:rPr>
          <w:sz w:val="20"/>
          <w:szCs w:val="20"/>
          <w:color w:val="auto"/>
        </w:rPr>
      </w:pPr>
    </w:p>
    <w:p>
      <w:pPr>
        <w:spacing w:after="0"/>
        <w:rPr>
          <w:sz w:val="20"/>
          <w:szCs w:val="20"/>
          <w:color w:val="auto"/>
        </w:rPr>
      </w:pPr>
      <w:r>
        <w:rPr>
          <w:rFonts w:ascii="Arial" w:cs="Arial" w:eastAsia="Arial" w:hAnsi="Arial"/>
          <w:sz w:val="23"/>
          <w:szCs w:val="23"/>
          <w:color w:val="auto"/>
        </w:rPr>
        <w:t>We have served as the Company’s auditor since 2018.</w:t>
      </w:r>
    </w:p>
    <w:p>
      <w:pPr>
        <w:spacing w:after="0" w:line="257" w:lineRule="exact"/>
        <w:rPr>
          <w:sz w:val="20"/>
          <w:szCs w:val="20"/>
          <w:color w:val="auto"/>
        </w:rPr>
      </w:pPr>
    </w:p>
    <w:p>
      <w:pPr>
        <w:spacing w:after="0"/>
        <w:rPr>
          <w:sz w:val="20"/>
          <w:szCs w:val="20"/>
          <w:color w:val="auto"/>
        </w:rPr>
      </w:pPr>
      <w:r>
        <w:rPr>
          <w:rFonts w:ascii="Arial" w:cs="Arial" w:eastAsia="Arial" w:hAnsi="Arial"/>
          <w:sz w:val="23"/>
          <w:szCs w:val="23"/>
          <w:color w:val="auto"/>
        </w:rPr>
        <w:t>Seattle, Washington</w:t>
      </w:r>
    </w:p>
    <w:p>
      <w:pPr>
        <w:spacing w:after="0" w:line="25" w:lineRule="exact"/>
        <w:rPr>
          <w:sz w:val="20"/>
          <w:szCs w:val="20"/>
          <w:color w:val="auto"/>
        </w:rPr>
      </w:pPr>
    </w:p>
    <w:p>
      <w:pPr>
        <w:spacing w:after="0"/>
        <w:rPr>
          <w:sz w:val="20"/>
          <w:szCs w:val="20"/>
          <w:color w:val="auto"/>
        </w:rPr>
      </w:pPr>
      <w:r>
        <w:rPr>
          <w:rFonts w:ascii="Arial" w:cs="Arial" w:eastAsia="Arial" w:hAnsi="Arial"/>
          <w:sz w:val="23"/>
          <w:szCs w:val="23"/>
          <w:color w:val="auto"/>
        </w:rPr>
        <w:t>March 23, 2023</w:t>
      </w:r>
    </w:p>
    <w:p>
      <w:pPr>
        <w:sectPr>
          <w:pgSz w:w="12240" w:h="15840" w:orient="portrait"/>
          <w:cols w:equalWidth="0" w:num="1">
            <w:col w:w="9640"/>
          </w:cols>
          <w:pgMar w:left="1300" w:top="1219"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133</w:t>
      </w:r>
    </w:p>
    <w:p>
      <w:pPr>
        <w:sectPr>
          <w:pgSz w:w="12240" w:h="15840" w:orient="portrait"/>
          <w:cols w:equalWidth="0" w:num="1">
            <w:col w:w="9640"/>
          </w:cols>
          <w:pgMar w:left="1300" w:top="1219" w:right="1300" w:bottom="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21"/>
          <w:szCs w:val="21"/>
          <w:b w:val="1"/>
          <w:bCs w:val="1"/>
          <w:color w:val="auto"/>
        </w:rPr>
        <w:t>Athira Pharma,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Balance Sheets</w:t>
      </w:r>
    </w:p>
    <w:p>
      <w:pPr>
        <w:jc w:val="center"/>
        <w:spacing w:after="0"/>
        <w:rPr>
          <w:sz w:val="20"/>
          <w:szCs w:val="20"/>
          <w:color w:val="auto"/>
        </w:rPr>
      </w:pPr>
      <w:r>
        <w:rPr>
          <w:rFonts w:ascii="Arial" w:cs="Arial" w:eastAsia="Arial" w:hAnsi="Arial"/>
          <w:sz w:val="21"/>
          <w:szCs w:val="21"/>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center"/>
              <w:ind w:left="698"/>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100" w:type="dxa"/>
            <w:vAlign w:val="bottom"/>
            <w:tcBorders>
              <w:bottom w:val="single" w:sz="8" w:color="E0E0E0"/>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8"/>
              <w:spacing w:after="0" w:line="181" w:lineRule="exact"/>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E0E0E0"/>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8"/>
              <w:spacing w:after="0" w:line="18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100" w:type="dxa"/>
            <w:vAlign w:val="bottom"/>
            <w:tcBorders>
              <w:right w:val="single" w:sz="8" w:color="E0E0E0"/>
            </w:tcBorders>
            <w:shd w:val="clear" w:color="auto" w:fill="E0E0E0"/>
          </w:tcPr>
          <w:p>
            <w:pPr>
              <w:spacing w:after="0" w:line="227" w:lineRule="exact"/>
              <w:rPr>
                <w:sz w:val="20"/>
                <w:szCs w:val="20"/>
                <w:color w:val="auto"/>
              </w:rPr>
            </w:pPr>
            <w:r>
              <w:rPr>
                <w:rFonts w:ascii="Arial" w:cs="Arial" w:eastAsia="Arial" w:hAnsi="Arial"/>
                <w:sz w:val="21"/>
                <w:szCs w:val="21"/>
                <w:b w:val="1"/>
                <w:bCs w:val="1"/>
                <w:color w:val="auto"/>
              </w:rPr>
              <w:t>Assets</w:t>
            </w:r>
          </w:p>
        </w:tc>
        <w:tc>
          <w:tcPr>
            <w:tcW w:w="32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180" w:type="dxa"/>
            <w:vAlign w:val="bottom"/>
            <w:tcBorders>
              <w:right w:val="single" w:sz="8" w:color="E0E0E0"/>
            </w:tcBorders>
            <w:shd w:val="clear" w:color="auto" w:fill="E0E0E0"/>
          </w:tcPr>
          <w:p>
            <w:pPr>
              <w:spacing w:after="0"/>
              <w:rPr>
                <w:sz w:val="19"/>
                <w:szCs w:val="19"/>
                <w:color w:val="auto"/>
              </w:rPr>
            </w:pPr>
          </w:p>
        </w:tc>
        <w:tc>
          <w:tcPr>
            <w:tcW w:w="660" w:type="dxa"/>
            <w:vAlign w:val="bottom"/>
            <w:shd w:val="clear" w:color="auto" w:fill="E0E0E0"/>
          </w:tcPr>
          <w:p>
            <w:pPr>
              <w:spacing w:after="0"/>
              <w:rPr>
                <w:sz w:val="19"/>
                <w:szCs w:val="19"/>
                <w:color w:val="auto"/>
              </w:rPr>
            </w:pPr>
          </w:p>
        </w:tc>
        <w:tc>
          <w:tcPr>
            <w:tcW w:w="1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line="237" w:lineRule="exact"/>
              <w:rPr>
                <w:sz w:val="20"/>
                <w:szCs w:val="20"/>
                <w:color w:val="auto"/>
              </w:rPr>
            </w:pPr>
            <w:r>
              <w:rPr>
                <w:rFonts w:ascii="Arial" w:cs="Arial" w:eastAsia="Arial" w:hAnsi="Arial"/>
                <w:sz w:val="21"/>
                <w:szCs w:val="21"/>
                <w:color w:val="auto"/>
              </w:rPr>
              <w:t>Current assets: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100" w:type="dxa"/>
            <w:vAlign w:val="bottom"/>
            <w:tcBorders>
              <w:right w:val="single" w:sz="8" w:color="E0E0E0"/>
            </w:tcBorders>
            <w:shd w:val="clear" w:color="auto" w:fill="E0E0E0"/>
          </w:tcPr>
          <w:p>
            <w:pPr>
              <w:ind w:left="280"/>
              <w:spacing w:after="0" w:line="236" w:lineRule="exact"/>
              <w:rPr>
                <w:sz w:val="20"/>
                <w:szCs w:val="20"/>
                <w:color w:val="auto"/>
              </w:rPr>
            </w:pPr>
            <w:r>
              <w:rPr>
                <w:rFonts w:ascii="Arial" w:cs="Arial" w:eastAsia="Arial" w:hAnsi="Arial"/>
                <w:sz w:val="21"/>
                <w:szCs w:val="21"/>
                <w:color w:val="auto"/>
              </w:rPr>
              <w:t>Cash and cash equivalents</w:t>
            </w:r>
          </w:p>
        </w:tc>
        <w:tc>
          <w:tcPr>
            <w:tcW w:w="320" w:type="dxa"/>
            <w:vAlign w:val="bottom"/>
            <w:shd w:val="clear" w:color="auto" w:fill="E0E0E0"/>
          </w:tcPr>
          <w:p>
            <w:pPr>
              <w:jc w:val="right"/>
              <w:ind w:right="122"/>
              <w:spacing w:after="0"/>
              <w:rPr>
                <w:sz w:val="20"/>
                <w:szCs w:val="20"/>
                <w:color w:val="auto"/>
              </w:rPr>
            </w:pPr>
            <w:r>
              <w:rPr>
                <w:rFonts w:ascii="Arial" w:cs="Arial" w:eastAsia="Arial" w:hAnsi="Arial"/>
                <w:sz w:val="20"/>
                <w:szCs w:val="20"/>
                <w:color w:val="auto"/>
                <w:w w:val="71"/>
              </w:rPr>
              <w:t>$</w:t>
            </w:r>
          </w:p>
        </w:tc>
        <w:tc>
          <w:tcPr>
            <w:tcW w:w="1340" w:type="dxa"/>
            <w:vAlign w:val="bottom"/>
            <w:tcBorders>
              <w:right w:val="single" w:sz="8" w:color="E0E0E0"/>
            </w:tcBorders>
            <w:gridSpan w:val="2"/>
            <w:shd w:val="clear" w:color="auto" w:fill="E0E0E0"/>
          </w:tcPr>
          <w:p>
            <w:pPr>
              <w:jc w:val="right"/>
              <w:ind w:right="180"/>
              <w:spacing w:after="0" w:line="236" w:lineRule="exact"/>
              <w:rPr>
                <w:sz w:val="20"/>
                <w:szCs w:val="20"/>
                <w:color w:val="auto"/>
              </w:rPr>
            </w:pPr>
            <w:r>
              <w:rPr>
                <w:rFonts w:ascii="Arial" w:cs="Arial" w:eastAsia="Arial" w:hAnsi="Arial"/>
                <w:sz w:val="21"/>
                <w:szCs w:val="21"/>
                <w:color w:val="auto"/>
              </w:rPr>
              <w:t>95,966</w:t>
            </w:r>
          </w:p>
        </w:tc>
        <w:tc>
          <w:tcPr>
            <w:tcW w:w="660" w:type="dxa"/>
            <w:vAlign w:val="bottom"/>
            <w:shd w:val="clear" w:color="auto" w:fill="E0E0E0"/>
          </w:tcPr>
          <w:p>
            <w:pPr>
              <w:jc w:val="center"/>
              <w:ind w:right="437"/>
              <w:spacing w:after="0" w:line="236" w:lineRule="exact"/>
              <w:rPr>
                <w:sz w:val="20"/>
                <w:szCs w:val="20"/>
                <w:color w:val="auto"/>
              </w:rPr>
            </w:pPr>
            <w:r>
              <w:rPr>
                <w:rFonts w:ascii="Arial" w:cs="Arial" w:eastAsia="Arial" w:hAnsi="Arial"/>
                <w:sz w:val="21"/>
                <w:szCs w:val="21"/>
                <w:color w:val="auto"/>
              </w:rPr>
              <w:t>$</w:t>
            </w:r>
          </w:p>
        </w:tc>
        <w:tc>
          <w:tcPr>
            <w:tcW w:w="1220" w:type="dxa"/>
            <w:vAlign w:val="bottom"/>
            <w:gridSpan w:val="2"/>
            <w:shd w:val="clear" w:color="auto" w:fill="E0E0E0"/>
          </w:tcPr>
          <w:p>
            <w:pPr>
              <w:jc w:val="right"/>
              <w:ind w:right="100"/>
              <w:spacing w:after="0" w:line="236" w:lineRule="exact"/>
              <w:rPr>
                <w:sz w:val="20"/>
                <w:szCs w:val="20"/>
                <w:color w:val="auto"/>
              </w:rPr>
            </w:pPr>
            <w:r>
              <w:rPr>
                <w:rFonts w:ascii="Arial" w:cs="Arial" w:eastAsia="Arial" w:hAnsi="Arial"/>
                <w:sz w:val="21"/>
                <w:szCs w:val="21"/>
                <w:color w:val="auto"/>
              </w:rPr>
              <w:t>110,537</w:t>
            </w:r>
          </w:p>
        </w:tc>
        <w:tc>
          <w:tcPr>
            <w:tcW w:w="0" w:type="dxa"/>
            <w:vAlign w:val="bottom"/>
          </w:tcPr>
          <w:p>
            <w:pPr>
              <w:spacing w:after="0"/>
              <w:rPr>
                <w:sz w:val="1"/>
                <w:szCs w:val="1"/>
                <w:color w:val="auto"/>
              </w:rPr>
            </w:pPr>
          </w:p>
        </w:tc>
      </w:tr>
      <w:tr>
        <w:trPr>
          <w:trHeight w:val="237"/>
        </w:trPr>
        <w:tc>
          <w:tcPr>
            <w:tcW w:w="6100" w:type="dxa"/>
            <w:vAlign w:val="bottom"/>
          </w:tcPr>
          <w:p>
            <w:pPr>
              <w:ind w:left="280"/>
              <w:spacing w:after="0" w:line="237" w:lineRule="exact"/>
              <w:rPr>
                <w:sz w:val="20"/>
                <w:szCs w:val="20"/>
                <w:color w:val="auto"/>
              </w:rPr>
            </w:pPr>
            <w:r>
              <w:rPr>
                <w:rFonts w:ascii="Arial" w:cs="Arial" w:eastAsia="Arial" w:hAnsi="Arial"/>
                <w:sz w:val="21"/>
                <w:szCs w:val="21"/>
                <w:color w:val="auto"/>
              </w:rPr>
              <w:t>Short-term investments</w:t>
            </w:r>
          </w:p>
        </w:tc>
        <w:tc>
          <w:tcPr>
            <w:tcW w:w="320" w:type="dxa"/>
            <w:vAlign w:val="bottom"/>
          </w:tcPr>
          <w:p>
            <w:pPr>
              <w:spacing w:after="0"/>
              <w:rPr>
                <w:sz w:val="20"/>
                <w:szCs w:val="20"/>
                <w:color w:val="auto"/>
              </w:rPr>
            </w:pPr>
          </w:p>
        </w:tc>
        <w:tc>
          <w:tcPr>
            <w:tcW w:w="1340" w:type="dxa"/>
            <w:vAlign w:val="bottom"/>
            <w:gridSpan w:val="2"/>
          </w:tcPr>
          <w:p>
            <w:pPr>
              <w:jc w:val="right"/>
              <w:ind w:right="180"/>
              <w:spacing w:after="0" w:line="237" w:lineRule="exact"/>
              <w:rPr>
                <w:sz w:val="20"/>
                <w:szCs w:val="20"/>
                <w:color w:val="auto"/>
              </w:rPr>
            </w:pPr>
            <w:r>
              <w:rPr>
                <w:rFonts w:ascii="Arial" w:cs="Arial" w:eastAsia="Arial" w:hAnsi="Arial"/>
                <w:sz w:val="21"/>
                <w:szCs w:val="21"/>
                <w:color w:val="auto"/>
              </w:rPr>
              <w:t>104,378</w:t>
            </w:r>
          </w:p>
        </w:tc>
        <w:tc>
          <w:tcPr>
            <w:tcW w:w="660" w:type="dxa"/>
            <w:vAlign w:val="bottom"/>
          </w:tcPr>
          <w:p>
            <w:pPr>
              <w:spacing w:after="0"/>
              <w:rPr>
                <w:sz w:val="20"/>
                <w:szCs w:val="20"/>
                <w:color w:val="auto"/>
              </w:rPr>
            </w:pPr>
          </w:p>
        </w:tc>
        <w:tc>
          <w:tcPr>
            <w:tcW w:w="1220" w:type="dxa"/>
            <w:vAlign w:val="bottom"/>
            <w:gridSpan w:val="2"/>
          </w:tcPr>
          <w:p>
            <w:pPr>
              <w:jc w:val="right"/>
              <w:ind w:right="100"/>
              <w:spacing w:after="0" w:line="237" w:lineRule="exact"/>
              <w:rPr>
                <w:sz w:val="20"/>
                <w:szCs w:val="20"/>
                <w:color w:val="auto"/>
              </w:rPr>
            </w:pPr>
            <w:r>
              <w:rPr>
                <w:rFonts w:ascii="Arial" w:cs="Arial" w:eastAsia="Arial" w:hAnsi="Arial"/>
                <w:sz w:val="21"/>
                <w:szCs w:val="21"/>
                <w:color w:val="auto"/>
              </w:rPr>
              <w:t>143,222</w:t>
            </w:r>
          </w:p>
        </w:tc>
        <w:tc>
          <w:tcPr>
            <w:tcW w:w="0" w:type="dxa"/>
            <w:vAlign w:val="bottom"/>
          </w:tcPr>
          <w:p>
            <w:pPr>
              <w:spacing w:after="0"/>
              <w:rPr>
                <w:sz w:val="1"/>
                <w:szCs w:val="1"/>
                <w:color w:val="auto"/>
              </w:rPr>
            </w:pPr>
          </w:p>
        </w:tc>
      </w:tr>
      <w:tr>
        <w:trPr>
          <w:trHeight w:val="236"/>
        </w:trPr>
        <w:tc>
          <w:tcPr>
            <w:tcW w:w="6100" w:type="dxa"/>
            <w:vAlign w:val="bottom"/>
            <w:tcBorders>
              <w:right w:val="single" w:sz="8" w:color="E0E0E0"/>
            </w:tcBorders>
            <w:shd w:val="clear" w:color="auto" w:fill="E0E0E0"/>
          </w:tcPr>
          <w:p>
            <w:pPr>
              <w:ind w:left="280"/>
              <w:spacing w:after="0" w:line="236" w:lineRule="exact"/>
              <w:rPr>
                <w:sz w:val="20"/>
                <w:szCs w:val="20"/>
                <w:color w:val="auto"/>
              </w:rPr>
            </w:pPr>
            <w:r>
              <w:rPr>
                <w:rFonts w:ascii="Arial" w:cs="Arial" w:eastAsia="Arial" w:hAnsi="Arial"/>
                <w:sz w:val="21"/>
                <w:szCs w:val="21"/>
                <w:color w:val="auto"/>
              </w:rPr>
              <w:t>Unbilled grant receivable</w:t>
            </w:r>
          </w:p>
        </w:tc>
        <w:tc>
          <w:tcPr>
            <w:tcW w:w="320" w:type="dxa"/>
            <w:vAlign w:val="bottom"/>
            <w:shd w:val="clear" w:color="auto" w:fill="E0E0E0"/>
          </w:tcPr>
          <w:p>
            <w:pPr>
              <w:spacing w:after="0"/>
              <w:rPr>
                <w:sz w:val="20"/>
                <w:szCs w:val="20"/>
                <w:color w:val="auto"/>
              </w:rPr>
            </w:pPr>
          </w:p>
        </w:tc>
        <w:tc>
          <w:tcPr>
            <w:tcW w:w="1340" w:type="dxa"/>
            <w:vAlign w:val="bottom"/>
            <w:tcBorders>
              <w:right w:val="single" w:sz="8" w:color="E0E0E0"/>
            </w:tcBorders>
            <w:gridSpan w:val="2"/>
            <w:shd w:val="clear" w:color="auto" w:fill="E0E0E0"/>
          </w:tcPr>
          <w:p>
            <w:pPr>
              <w:jc w:val="right"/>
              <w:ind w:right="180"/>
              <w:spacing w:after="0" w:line="236" w:lineRule="exact"/>
              <w:rPr>
                <w:sz w:val="20"/>
                <w:szCs w:val="20"/>
                <w:color w:val="auto"/>
              </w:rPr>
            </w:pPr>
            <w:r>
              <w:rPr>
                <w:rFonts w:ascii="Arial" w:cs="Arial" w:eastAsia="Arial" w:hAnsi="Arial"/>
                <w:sz w:val="21"/>
                <w:szCs w:val="21"/>
                <w:color w:val="auto"/>
              </w:rPr>
              <w:t>1,227</w:t>
            </w:r>
          </w:p>
        </w:tc>
        <w:tc>
          <w:tcPr>
            <w:tcW w:w="660" w:type="dxa"/>
            <w:vAlign w:val="bottom"/>
            <w:shd w:val="clear" w:color="auto" w:fill="E0E0E0"/>
          </w:tcPr>
          <w:p>
            <w:pPr>
              <w:spacing w:after="0"/>
              <w:rPr>
                <w:sz w:val="20"/>
                <w:szCs w:val="20"/>
                <w:color w:val="auto"/>
              </w:rPr>
            </w:pPr>
          </w:p>
        </w:tc>
        <w:tc>
          <w:tcPr>
            <w:tcW w:w="1220" w:type="dxa"/>
            <w:vAlign w:val="bottom"/>
            <w:gridSpan w:val="2"/>
            <w:shd w:val="clear" w:color="auto" w:fill="E0E0E0"/>
          </w:tcPr>
          <w:p>
            <w:pPr>
              <w:jc w:val="right"/>
              <w:ind w:right="100"/>
              <w:spacing w:after="0" w:line="236" w:lineRule="exact"/>
              <w:rPr>
                <w:sz w:val="20"/>
                <w:szCs w:val="20"/>
                <w:color w:val="auto"/>
              </w:rPr>
            </w:pPr>
            <w:r>
              <w:rPr>
                <w:rFonts w:ascii="Arial" w:cs="Arial" w:eastAsia="Arial" w:hAnsi="Arial"/>
                <w:sz w:val="21"/>
                <w:szCs w:val="21"/>
                <w:color w:val="auto"/>
              </w:rPr>
              <w:t>2,336</w:t>
            </w:r>
          </w:p>
        </w:tc>
        <w:tc>
          <w:tcPr>
            <w:tcW w:w="0" w:type="dxa"/>
            <w:vAlign w:val="bottom"/>
          </w:tcPr>
          <w:p>
            <w:pPr>
              <w:spacing w:after="0"/>
              <w:rPr>
                <w:sz w:val="1"/>
                <w:szCs w:val="1"/>
                <w:color w:val="auto"/>
              </w:rPr>
            </w:pPr>
          </w:p>
        </w:tc>
      </w:tr>
      <w:tr>
        <w:trPr>
          <w:trHeight w:val="237"/>
        </w:trPr>
        <w:tc>
          <w:tcPr>
            <w:tcW w:w="6100" w:type="dxa"/>
            <w:vAlign w:val="bottom"/>
          </w:tcPr>
          <w:p>
            <w:pPr>
              <w:ind w:left="280"/>
              <w:spacing w:after="0" w:line="237" w:lineRule="exact"/>
              <w:rPr>
                <w:sz w:val="20"/>
                <w:szCs w:val="20"/>
                <w:color w:val="auto"/>
              </w:rPr>
            </w:pPr>
            <w:r>
              <w:rPr>
                <w:rFonts w:ascii="Arial" w:cs="Arial" w:eastAsia="Arial" w:hAnsi="Arial"/>
                <w:sz w:val="21"/>
                <w:szCs w:val="21"/>
                <w:color w:val="auto"/>
              </w:rPr>
              <w:t>Prepaid expenses and other current assets</w:t>
            </w:r>
          </w:p>
        </w:tc>
        <w:tc>
          <w:tcPr>
            <w:tcW w:w="320" w:type="dxa"/>
            <w:vAlign w:val="bottom"/>
          </w:tcPr>
          <w:p>
            <w:pPr>
              <w:spacing w:after="0"/>
              <w:rPr>
                <w:sz w:val="20"/>
                <w:szCs w:val="20"/>
                <w:color w:val="auto"/>
              </w:rPr>
            </w:pPr>
          </w:p>
        </w:tc>
        <w:tc>
          <w:tcPr>
            <w:tcW w:w="1160" w:type="dxa"/>
            <w:vAlign w:val="bottom"/>
          </w:tcPr>
          <w:p>
            <w:pPr>
              <w:jc w:val="right"/>
              <w:spacing w:after="0" w:line="237" w:lineRule="exact"/>
              <w:rPr>
                <w:sz w:val="20"/>
                <w:szCs w:val="20"/>
                <w:color w:val="auto"/>
              </w:rPr>
            </w:pPr>
            <w:r>
              <w:rPr>
                <w:rFonts w:ascii="Arial" w:cs="Arial" w:eastAsia="Arial" w:hAnsi="Arial"/>
                <w:sz w:val="21"/>
                <w:szCs w:val="21"/>
                <w:color w:val="auto"/>
              </w:rPr>
              <w:t>5,962</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gridSpan w:val="2"/>
          </w:tcPr>
          <w:p>
            <w:pPr>
              <w:jc w:val="right"/>
              <w:ind w:right="100"/>
              <w:spacing w:after="0" w:line="237" w:lineRule="exact"/>
              <w:rPr>
                <w:sz w:val="20"/>
                <w:szCs w:val="20"/>
                <w:color w:val="auto"/>
              </w:rPr>
            </w:pPr>
            <w:r>
              <w:rPr>
                <w:rFonts w:ascii="Arial" w:cs="Arial" w:eastAsia="Arial" w:hAnsi="Arial"/>
                <w:sz w:val="21"/>
                <w:szCs w:val="21"/>
                <w:color w:val="auto"/>
              </w:rPr>
              <w:t>4,704</w:t>
            </w:r>
          </w:p>
        </w:tc>
        <w:tc>
          <w:tcPr>
            <w:tcW w:w="0" w:type="dxa"/>
            <w:vAlign w:val="bottom"/>
          </w:tcPr>
          <w:p>
            <w:pPr>
              <w:spacing w:after="0"/>
              <w:rPr>
                <w:sz w:val="1"/>
                <w:szCs w:val="1"/>
                <w:color w:val="auto"/>
              </w:rPr>
            </w:pPr>
          </w:p>
        </w:tc>
      </w:tr>
      <w:tr>
        <w:trPr>
          <w:trHeight w:val="20"/>
        </w:trPr>
        <w:tc>
          <w:tcPr>
            <w:tcW w:w="6100" w:type="dxa"/>
            <w:vAlign w:val="bottom"/>
            <w:tcBorders>
              <w:right w:val="single" w:sz="8" w:color="E0E0E0"/>
            </w:tcBorders>
            <w:vMerge w:val="restart"/>
            <w:shd w:val="clear" w:color="auto" w:fill="E0E0E0"/>
          </w:tcPr>
          <w:p>
            <w:pPr>
              <w:ind w:left="580"/>
              <w:spacing w:after="0"/>
              <w:rPr>
                <w:sz w:val="20"/>
                <w:szCs w:val="20"/>
                <w:color w:val="auto"/>
              </w:rPr>
            </w:pPr>
            <w:r>
              <w:rPr>
                <w:rFonts w:ascii="Arial" w:cs="Arial" w:eastAsia="Arial" w:hAnsi="Arial"/>
                <w:sz w:val="21"/>
                <w:szCs w:val="21"/>
                <w:color w:val="auto"/>
              </w:rPr>
              <w:t>Total current assets</w:t>
            </w: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100" w:type="dxa"/>
            <w:vAlign w:val="bottom"/>
            <w:tcBorders>
              <w:right w:val="single" w:sz="8" w:color="E0E0E0"/>
            </w:tcBorders>
            <w:vMerge w:val="continue"/>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16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rPr>
              <w:t>207,533</w:t>
            </w:r>
          </w:p>
        </w:tc>
        <w:tc>
          <w:tcPr>
            <w:tcW w:w="180" w:type="dxa"/>
            <w:vAlign w:val="bottom"/>
            <w:tcBorders>
              <w:right w:val="single" w:sz="8" w:color="E0E0E0"/>
            </w:tcBorders>
            <w:shd w:val="clear" w:color="auto" w:fill="E0E0E0"/>
          </w:tcPr>
          <w:p>
            <w:pPr>
              <w:spacing w:after="0"/>
              <w:rPr>
                <w:sz w:val="19"/>
                <w:szCs w:val="19"/>
                <w:color w:val="auto"/>
              </w:rPr>
            </w:pPr>
          </w:p>
        </w:tc>
        <w:tc>
          <w:tcPr>
            <w:tcW w:w="660" w:type="dxa"/>
            <w:vAlign w:val="bottom"/>
            <w:shd w:val="clear" w:color="auto" w:fill="E0E0E0"/>
          </w:tcPr>
          <w:p>
            <w:pPr>
              <w:spacing w:after="0"/>
              <w:rPr>
                <w:sz w:val="19"/>
                <w:szCs w:val="19"/>
                <w:color w:val="auto"/>
              </w:rPr>
            </w:pPr>
          </w:p>
        </w:tc>
        <w:tc>
          <w:tcPr>
            <w:tcW w:w="1220" w:type="dxa"/>
            <w:vAlign w:val="bottom"/>
            <w:gridSpan w:val="2"/>
            <w:shd w:val="clear" w:color="auto" w:fill="E0E0E0"/>
          </w:tcPr>
          <w:p>
            <w:pPr>
              <w:jc w:val="right"/>
              <w:ind w:right="100"/>
              <w:spacing w:after="0" w:line="227" w:lineRule="exact"/>
              <w:rPr>
                <w:sz w:val="20"/>
                <w:szCs w:val="20"/>
                <w:color w:val="auto"/>
              </w:rPr>
            </w:pPr>
            <w:r>
              <w:rPr>
                <w:rFonts w:ascii="Arial" w:cs="Arial" w:eastAsia="Arial" w:hAnsi="Arial"/>
                <w:sz w:val="21"/>
                <w:szCs w:val="21"/>
                <w:color w:val="auto"/>
              </w:rPr>
              <w:t>260,799</w:t>
            </w:r>
          </w:p>
        </w:tc>
        <w:tc>
          <w:tcPr>
            <w:tcW w:w="0" w:type="dxa"/>
            <w:vAlign w:val="bottom"/>
          </w:tcPr>
          <w:p>
            <w:pPr>
              <w:spacing w:after="0"/>
              <w:rPr>
                <w:sz w:val="1"/>
                <w:szCs w:val="1"/>
                <w:color w:val="auto"/>
              </w:rPr>
            </w:pPr>
          </w:p>
        </w:tc>
      </w:tr>
      <w:tr>
        <w:trPr>
          <w:trHeight w:val="237"/>
        </w:trPr>
        <w:tc>
          <w:tcPr>
            <w:tcW w:w="6100" w:type="dxa"/>
            <w:vAlign w:val="bottom"/>
          </w:tcPr>
          <w:p>
            <w:pPr>
              <w:spacing w:after="0" w:line="237" w:lineRule="exact"/>
              <w:rPr>
                <w:sz w:val="20"/>
                <w:szCs w:val="20"/>
                <w:color w:val="auto"/>
              </w:rPr>
            </w:pPr>
            <w:r>
              <w:rPr>
                <w:rFonts w:ascii="Arial" w:cs="Arial" w:eastAsia="Arial" w:hAnsi="Arial"/>
                <w:sz w:val="21"/>
                <w:szCs w:val="21"/>
                <w:color w:val="auto"/>
              </w:rPr>
              <w:t>Restricted cash</w:t>
            </w:r>
          </w:p>
        </w:tc>
        <w:tc>
          <w:tcPr>
            <w:tcW w:w="320" w:type="dxa"/>
            <w:vAlign w:val="bottom"/>
          </w:tcPr>
          <w:p>
            <w:pPr>
              <w:spacing w:after="0"/>
              <w:rPr>
                <w:sz w:val="20"/>
                <w:szCs w:val="20"/>
                <w:color w:val="auto"/>
              </w:rPr>
            </w:pPr>
          </w:p>
        </w:tc>
        <w:tc>
          <w:tcPr>
            <w:tcW w:w="1340" w:type="dxa"/>
            <w:vAlign w:val="bottom"/>
            <w:gridSpan w:val="2"/>
          </w:tcPr>
          <w:p>
            <w:pPr>
              <w:jc w:val="right"/>
              <w:ind w:right="180"/>
              <w:spacing w:after="0" w:line="237" w:lineRule="exact"/>
              <w:rPr>
                <w:sz w:val="20"/>
                <w:szCs w:val="20"/>
                <w:color w:val="auto"/>
              </w:rPr>
            </w:pPr>
            <w:r>
              <w:rPr>
                <w:rFonts w:ascii="Arial" w:cs="Arial" w:eastAsia="Arial" w:hAnsi="Arial"/>
                <w:sz w:val="21"/>
                <w:szCs w:val="21"/>
                <w:color w:val="auto"/>
              </w:rPr>
              <w:t>420</w:t>
            </w:r>
          </w:p>
        </w:tc>
        <w:tc>
          <w:tcPr>
            <w:tcW w:w="660" w:type="dxa"/>
            <w:vAlign w:val="bottom"/>
          </w:tcPr>
          <w:p>
            <w:pPr>
              <w:spacing w:after="0"/>
              <w:rPr>
                <w:sz w:val="20"/>
                <w:szCs w:val="20"/>
                <w:color w:val="auto"/>
              </w:rPr>
            </w:pPr>
          </w:p>
        </w:tc>
        <w:tc>
          <w:tcPr>
            <w:tcW w:w="1220" w:type="dxa"/>
            <w:vAlign w:val="bottom"/>
            <w:gridSpan w:val="2"/>
          </w:tcPr>
          <w:p>
            <w:pPr>
              <w:jc w:val="right"/>
              <w:ind w:right="100"/>
              <w:spacing w:after="0" w:line="237"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36"/>
        </w:trPr>
        <w:tc>
          <w:tcPr>
            <w:tcW w:w="6100" w:type="dxa"/>
            <w:vAlign w:val="bottom"/>
            <w:tcBorders>
              <w:right w:val="single" w:sz="8" w:color="E0E0E0"/>
            </w:tcBorders>
            <w:shd w:val="clear" w:color="auto" w:fill="E0E0E0"/>
          </w:tcPr>
          <w:p>
            <w:pPr>
              <w:spacing w:after="0" w:line="236" w:lineRule="exact"/>
              <w:rPr>
                <w:sz w:val="20"/>
                <w:szCs w:val="20"/>
                <w:color w:val="auto"/>
              </w:rPr>
            </w:pPr>
            <w:r>
              <w:rPr>
                <w:rFonts w:ascii="Arial" w:cs="Arial" w:eastAsia="Arial" w:hAnsi="Arial"/>
                <w:sz w:val="21"/>
                <w:szCs w:val="21"/>
                <w:color w:val="auto"/>
              </w:rPr>
              <w:t>Property and equipment, net</w:t>
            </w:r>
          </w:p>
        </w:tc>
        <w:tc>
          <w:tcPr>
            <w:tcW w:w="320" w:type="dxa"/>
            <w:vAlign w:val="bottom"/>
            <w:shd w:val="clear" w:color="auto" w:fill="E0E0E0"/>
          </w:tcPr>
          <w:p>
            <w:pPr>
              <w:spacing w:after="0"/>
              <w:rPr>
                <w:sz w:val="20"/>
                <w:szCs w:val="20"/>
                <w:color w:val="auto"/>
              </w:rPr>
            </w:pPr>
          </w:p>
        </w:tc>
        <w:tc>
          <w:tcPr>
            <w:tcW w:w="1340" w:type="dxa"/>
            <w:vAlign w:val="bottom"/>
            <w:tcBorders>
              <w:right w:val="single" w:sz="8" w:color="E0E0E0"/>
            </w:tcBorders>
            <w:gridSpan w:val="2"/>
            <w:shd w:val="clear" w:color="auto" w:fill="E0E0E0"/>
          </w:tcPr>
          <w:p>
            <w:pPr>
              <w:jc w:val="right"/>
              <w:ind w:right="180"/>
              <w:spacing w:after="0" w:line="236" w:lineRule="exact"/>
              <w:rPr>
                <w:sz w:val="20"/>
                <w:szCs w:val="20"/>
                <w:color w:val="auto"/>
              </w:rPr>
            </w:pPr>
            <w:r>
              <w:rPr>
                <w:rFonts w:ascii="Arial" w:cs="Arial" w:eastAsia="Arial" w:hAnsi="Arial"/>
                <w:sz w:val="21"/>
                <w:szCs w:val="21"/>
                <w:color w:val="auto"/>
              </w:rPr>
              <w:t>4,053</w:t>
            </w:r>
          </w:p>
        </w:tc>
        <w:tc>
          <w:tcPr>
            <w:tcW w:w="660" w:type="dxa"/>
            <w:vAlign w:val="bottom"/>
            <w:shd w:val="clear" w:color="auto" w:fill="E0E0E0"/>
          </w:tcPr>
          <w:p>
            <w:pPr>
              <w:spacing w:after="0"/>
              <w:rPr>
                <w:sz w:val="20"/>
                <w:szCs w:val="20"/>
                <w:color w:val="auto"/>
              </w:rPr>
            </w:pPr>
          </w:p>
        </w:tc>
        <w:tc>
          <w:tcPr>
            <w:tcW w:w="1220" w:type="dxa"/>
            <w:vAlign w:val="bottom"/>
            <w:gridSpan w:val="2"/>
            <w:shd w:val="clear" w:color="auto" w:fill="E0E0E0"/>
          </w:tcPr>
          <w:p>
            <w:pPr>
              <w:jc w:val="right"/>
              <w:ind w:right="100"/>
              <w:spacing w:after="0" w:line="236" w:lineRule="exact"/>
              <w:rPr>
                <w:sz w:val="20"/>
                <w:szCs w:val="20"/>
                <w:color w:val="auto"/>
              </w:rPr>
            </w:pPr>
            <w:r>
              <w:rPr>
                <w:rFonts w:ascii="Arial" w:cs="Arial" w:eastAsia="Arial" w:hAnsi="Arial"/>
                <w:sz w:val="21"/>
                <w:szCs w:val="21"/>
                <w:color w:val="auto"/>
              </w:rPr>
              <w:t>3,757</w:t>
            </w:r>
          </w:p>
        </w:tc>
        <w:tc>
          <w:tcPr>
            <w:tcW w:w="0" w:type="dxa"/>
            <w:vAlign w:val="bottom"/>
          </w:tcPr>
          <w:p>
            <w:pPr>
              <w:spacing w:after="0"/>
              <w:rPr>
                <w:sz w:val="1"/>
                <w:szCs w:val="1"/>
                <w:color w:val="auto"/>
              </w:rPr>
            </w:pPr>
          </w:p>
        </w:tc>
      </w:tr>
      <w:tr>
        <w:trPr>
          <w:trHeight w:val="237"/>
        </w:trPr>
        <w:tc>
          <w:tcPr>
            <w:tcW w:w="6100" w:type="dxa"/>
            <w:vAlign w:val="bottom"/>
          </w:tcPr>
          <w:p>
            <w:pPr>
              <w:spacing w:after="0" w:line="237" w:lineRule="exact"/>
              <w:rPr>
                <w:sz w:val="20"/>
                <w:szCs w:val="20"/>
                <w:color w:val="auto"/>
              </w:rPr>
            </w:pPr>
            <w:r>
              <w:rPr>
                <w:rFonts w:ascii="Arial" w:cs="Arial" w:eastAsia="Arial" w:hAnsi="Arial"/>
                <w:sz w:val="21"/>
                <w:szCs w:val="21"/>
                <w:color w:val="auto"/>
              </w:rPr>
              <w:t>Operating lease right-of-use asset</w:t>
            </w:r>
          </w:p>
        </w:tc>
        <w:tc>
          <w:tcPr>
            <w:tcW w:w="320" w:type="dxa"/>
            <w:vAlign w:val="bottom"/>
          </w:tcPr>
          <w:p>
            <w:pPr>
              <w:spacing w:after="0"/>
              <w:rPr>
                <w:sz w:val="20"/>
                <w:szCs w:val="20"/>
                <w:color w:val="auto"/>
              </w:rPr>
            </w:pPr>
          </w:p>
        </w:tc>
        <w:tc>
          <w:tcPr>
            <w:tcW w:w="1340" w:type="dxa"/>
            <w:vAlign w:val="bottom"/>
            <w:gridSpan w:val="2"/>
          </w:tcPr>
          <w:p>
            <w:pPr>
              <w:jc w:val="right"/>
              <w:ind w:right="180"/>
              <w:spacing w:after="0" w:line="237" w:lineRule="exact"/>
              <w:rPr>
                <w:sz w:val="20"/>
                <w:szCs w:val="20"/>
                <w:color w:val="auto"/>
              </w:rPr>
            </w:pPr>
            <w:r>
              <w:rPr>
                <w:rFonts w:ascii="Arial" w:cs="Arial" w:eastAsia="Arial" w:hAnsi="Arial"/>
                <w:sz w:val="21"/>
                <w:szCs w:val="21"/>
                <w:color w:val="auto"/>
              </w:rPr>
              <w:t>1,263</w:t>
            </w:r>
          </w:p>
        </w:tc>
        <w:tc>
          <w:tcPr>
            <w:tcW w:w="660" w:type="dxa"/>
            <w:vAlign w:val="bottom"/>
          </w:tcPr>
          <w:p>
            <w:pPr>
              <w:spacing w:after="0"/>
              <w:rPr>
                <w:sz w:val="20"/>
                <w:szCs w:val="20"/>
                <w:color w:val="auto"/>
              </w:rPr>
            </w:pPr>
          </w:p>
        </w:tc>
        <w:tc>
          <w:tcPr>
            <w:tcW w:w="1220" w:type="dxa"/>
            <w:vAlign w:val="bottom"/>
            <w:gridSpan w:val="2"/>
          </w:tcPr>
          <w:p>
            <w:pPr>
              <w:jc w:val="right"/>
              <w:ind w:right="100"/>
              <w:spacing w:after="0" w:line="237" w:lineRule="exact"/>
              <w:rPr>
                <w:sz w:val="20"/>
                <w:szCs w:val="20"/>
                <w:color w:val="auto"/>
              </w:rPr>
            </w:pPr>
            <w:r>
              <w:rPr>
                <w:rFonts w:ascii="Arial" w:cs="Arial" w:eastAsia="Arial" w:hAnsi="Arial"/>
                <w:sz w:val="21"/>
                <w:szCs w:val="21"/>
                <w:color w:val="auto"/>
              </w:rPr>
              <w:t>1,460</w:t>
            </w:r>
          </w:p>
        </w:tc>
        <w:tc>
          <w:tcPr>
            <w:tcW w:w="0" w:type="dxa"/>
            <w:vAlign w:val="bottom"/>
          </w:tcPr>
          <w:p>
            <w:pPr>
              <w:spacing w:after="0"/>
              <w:rPr>
                <w:sz w:val="1"/>
                <w:szCs w:val="1"/>
                <w:color w:val="auto"/>
              </w:rPr>
            </w:pPr>
          </w:p>
        </w:tc>
      </w:tr>
      <w:tr>
        <w:trPr>
          <w:trHeight w:val="237"/>
        </w:trPr>
        <w:tc>
          <w:tcPr>
            <w:tcW w:w="6100" w:type="dxa"/>
            <w:vAlign w:val="bottom"/>
            <w:tcBorders>
              <w:right w:val="single" w:sz="8" w:color="E0E0E0"/>
            </w:tcBorders>
            <w:shd w:val="clear" w:color="auto" w:fill="E0E0E0"/>
          </w:tcPr>
          <w:p>
            <w:pPr>
              <w:spacing w:after="0" w:line="237" w:lineRule="exact"/>
              <w:rPr>
                <w:sz w:val="20"/>
                <w:szCs w:val="20"/>
                <w:color w:val="auto"/>
              </w:rPr>
            </w:pPr>
            <w:r>
              <w:rPr>
                <w:rFonts w:ascii="Arial" w:cs="Arial" w:eastAsia="Arial" w:hAnsi="Arial"/>
                <w:sz w:val="21"/>
                <w:szCs w:val="21"/>
                <w:color w:val="auto"/>
              </w:rPr>
              <w:t>Long-term investments</w:t>
            </w:r>
          </w:p>
        </w:tc>
        <w:tc>
          <w:tcPr>
            <w:tcW w:w="320" w:type="dxa"/>
            <w:vAlign w:val="bottom"/>
            <w:shd w:val="clear" w:color="auto" w:fill="E0E0E0"/>
          </w:tcPr>
          <w:p>
            <w:pPr>
              <w:spacing w:after="0"/>
              <w:rPr>
                <w:sz w:val="20"/>
                <w:szCs w:val="20"/>
                <w:color w:val="auto"/>
              </w:rPr>
            </w:pPr>
          </w:p>
        </w:tc>
        <w:tc>
          <w:tcPr>
            <w:tcW w:w="1340" w:type="dxa"/>
            <w:vAlign w:val="bottom"/>
            <w:tcBorders>
              <w:right w:val="single" w:sz="8" w:color="E0E0E0"/>
            </w:tcBorders>
            <w:gridSpan w:val="2"/>
            <w:shd w:val="clear" w:color="auto" w:fill="E0E0E0"/>
          </w:tcPr>
          <w:p>
            <w:pPr>
              <w:jc w:val="right"/>
              <w:ind w:right="180"/>
              <w:spacing w:after="0" w:line="237" w:lineRule="exact"/>
              <w:rPr>
                <w:sz w:val="20"/>
                <w:szCs w:val="20"/>
                <w:color w:val="auto"/>
              </w:rPr>
            </w:pPr>
            <w:r>
              <w:rPr>
                <w:rFonts w:ascii="Arial" w:cs="Arial" w:eastAsia="Arial" w:hAnsi="Arial"/>
                <w:sz w:val="21"/>
                <w:szCs w:val="21"/>
                <w:color w:val="auto"/>
              </w:rPr>
              <w:t>44,829</w:t>
            </w:r>
          </w:p>
        </w:tc>
        <w:tc>
          <w:tcPr>
            <w:tcW w:w="660" w:type="dxa"/>
            <w:vAlign w:val="bottom"/>
            <w:shd w:val="clear" w:color="auto" w:fill="E0E0E0"/>
          </w:tcPr>
          <w:p>
            <w:pPr>
              <w:spacing w:after="0"/>
              <w:rPr>
                <w:sz w:val="20"/>
                <w:szCs w:val="20"/>
                <w:color w:val="auto"/>
              </w:rPr>
            </w:pPr>
          </w:p>
        </w:tc>
        <w:tc>
          <w:tcPr>
            <w:tcW w:w="1220" w:type="dxa"/>
            <w:vAlign w:val="bottom"/>
            <w:gridSpan w:val="2"/>
            <w:shd w:val="clear" w:color="auto" w:fill="E0E0E0"/>
          </w:tcPr>
          <w:p>
            <w:pPr>
              <w:jc w:val="right"/>
              <w:ind w:right="100"/>
              <w:spacing w:after="0" w:line="237" w:lineRule="exact"/>
              <w:rPr>
                <w:sz w:val="20"/>
                <w:szCs w:val="20"/>
                <w:color w:val="auto"/>
              </w:rPr>
            </w:pPr>
            <w:r>
              <w:rPr>
                <w:rFonts w:ascii="Arial" w:cs="Arial" w:eastAsia="Arial" w:hAnsi="Arial"/>
                <w:sz w:val="21"/>
                <w:szCs w:val="21"/>
                <w:color w:val="auto"/>
              </w:rPr>
              <w:t>65,936</w:t>
            </w:r>
          </w:p>
        </w:tc>
        <w:tc>
          <w:tcPr>
            <w:tcW w:w="0" w:type="dxa"/>
            <w:vAlign w:val="bottom"/>
          </w:tcPr>
          <w:p>
            <w:pPr>
              <w:spacing w:after="0"/>
              <w:rPr>
                <w:sz w:val="1"/>
                <w:szCs w:val="1"/>
                <w:color w:val="auto"/>
              </w:rPr>
            </w:pPr>
          </w:p>
        </w:tc>
      </w:tr>
      <w:tr>
        <w:trPr>
          <w:trHeight w:val="236"/>
        </w:trPr>
        <w:tc>
          <w:tcPr>
            <w:tcW w:w="6100" w:type="dxa"/>
            <w:vAlign w:val="bottom"/>
          </w:tcPr>
          <w:p>
            <w:pPr>
              <w:spacing w:after="0" w:line="236" w:lineRule="exact"/>
              <w:rPr>
                <w:sz w:val="20"/>
                <w:szCs w:val="20"/>
                <w:color w:val="auto"/>
              </w:rPr>
            </w:pPr>
            <w:r>
              <w:rPr>
                <w:rFonts w:ascii="Arial" w:cs="Arial" w:eastAsia="Arial" w:hAnsi="Arial"/>
                <w:sz w:val="21"/>
                <w:szCs w:val="21"/>
                <w:color w:val="auto"/>
              </w:rPr>
              <w:t>Other long-term assets</w:t>
            </w:r>
          </w:p>
        </w:tc>
        <w:tc>
          <w:tcPr>
            <w:tcW w:w="320" w:type="dxa"/>
            <w:vAlign w:val="bottom"/>
          </w:tcPr>
          <w:p>
            <w:pPr>
              <w:spacing w:after="0"/>
              <w:rPr>
                <w:sz w:val="20"/>
                <w:szCs w:val="20"/>
                <w:color w:val="auto"/>
              </w:rPr>
            </w:pPr>
          </w:p>
        </w:tc>
        <w:tc>
          <w:tcPr>
            <w:tcW w:w="1160" w:type="dxa"/>
            <w:vAlign w:val="bottom"/>
          </w:tcPr>
          <w:p>
            <w:pPr>
              <w:jc w:val="right"/>
              <w:spacing w:after="0" w:line="236" w:lineRule="exact"/>
              <w:rPr>
                <w:sz w:val="20"/>
                <w:szCs w:val="20"/>
                <w:color w:val="auto"/>
              </w:rPr>
            </w:pPr>
            <w:r>
              <w:rPr>
                <w:rFonts w:ascii="Arial" w:cs="Arial" w:eastAsia="Arial" w:hAnsi="Arial"/>
                <w:sz w:val="21"/>
                <w:szCs w:val="21"/>
                <w:color w:val="auto"/>
              </w:rPr>
              <w:t>55</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gridSpan w:val="2"/>
          </w:tcPr>
          <w:p>
            <w:pPr>
              <w:jc w:val="right"/>
              <w:ind w:right="100"/>
              <w:spacing w:after="0" w:line="236" w:lineRule="exact"/>
              <w:rPr>
                <w:sz w:val="20"/>
                <w:szCs w:val="20"/>
                <w:color w:val="auto"/>
              </w:rPr>
            </w:pPr>
            <w:r>
              <w:rPr>
                <w:rFonts w:ascii="Arial" w:cs="Arial" w:eastAsia="Arial" w:hAnsi="Arial"/>
                <w:sz w:val="21"/>
                <w:szCs w:val="21"/>
                <w:color w:val="auto"/>
              </w:rPr>
              <w:t>56</w:t>
            </w:r>
          </w:p>
        </w:tc>
        <w:tc>
          <w:tcPr>
            <w:tcW w:w="0" w:type="dxa"/>
            <w:vAlign w:val="bottom"/>
          </w:tcPr>
          <w:p>
            <w:pPr>
              <w:spacing w:after="0"/>
              <w:rPr>
                <w:sz w:val="1"/>
                <w:szCs w:val="1"/>
                <w:color w:val="auto"/>
              </w:rPr>
            </w:pPr>
          </w:p>
        </w:tc>
      </w:tr>
      <w:tr>
        <w:trPr>
          <w:trHeight w:val="20"/>
        </w:trPr>
        <w:tc>
          <w:tcPr>
            <w:tcW w:w="6100" w:type="dxa"/>
            <w:vAlign w:val="bottom"/>
            <w:tcBorders>
              <w:right w:val="single" w:sz="8" w:color="E0E0E0"/>
            </w:tcBorders>
            <w:shd w:val="clear" w:color="auto" w:fill="E0E0E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100" w:type="dxa"/>
            <w:vAlign w:val="bottom"/>
            <w:tcBorders>
              <w:right w:val="single" w:sz="8" w:color="E0E0E0"/>
            </w:tcBorders>
            <w:shd w:val="clear" w:color="auto" w:fill="E0E0E0"/>
          </w:tcPr>
          <w:p>
            <w:pPr>
              <w:ind w:left="580"/>
              <w:spacing w:after="0" w:line="227" w:lineRule="exact"/>
              <w:rPr>
                <w:sz w:val="20"/>
                <w:szCs w:val="20"/>
                <w:color w:val="auto"/>
              </w:rPr>
            </w:pPr>
            <w:r>
              <w:rPr>
                <w:rFonts w:ascii="Arial" w:cs="Arial" w:eastAsia="Arial" w:hAnsi="Arial"/>
                <w:sz w:val="21"/>
                <w:szCs w:val="21"/>
                <w:color w:val="auto"/>
              </w:rPr>
              <w:t>Total assets</w:t>
            </w:r>
          </w:p>
        </w:tc>
        <w:tc>
          <w:tcPr>
            <w:tcW w:w="320" w:type="dxa"/>
            <w:vAlign w:val="bottom"/>
            <w:shd w:val="clear" w:color="auto" w:fill="E0E0E0"/>
          </w:tcPr>
          <w:p>
            <w:pPr>
              <w:jc w:val="right"/>
              <w:ind w:right="122"/>
              <w:spacing w:after="0" w:line="228" w:lineRule="exact"/>
              <w:rPr>
                <w:sz w:val="20"/>
                <w:szCs w:val="20"/>
                <w:color w:val="auto"/>
              </w:rPr>
            </w:pPr>
            <w:r>
              <w:rPr>
                <w:rFonts w:ascii="Arial" w:cs="Arial" w:eastAsia="Arial" w:hAnsi="Arial"/>
                <w:sz w:val="20"/>
                <w:szCs w:val="20"/>
                <w:color w:val="auto"/>
                <w:w w:val="71"/>
              </w:rPr>
              <w:t>$</w:t>
            </w:r>
          </w:p>
        </w:tc>
        <w:tc>
          <w:tcPr>
            <w:tcW w:w="116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rPr>
              <w:t>258,153</w:t>
            </w:r>
          </w:p>
        </w:tc>
        <w:tc>
          <w:tcPr>
            <w:tcW w:w="180" w:type="dxa"/>
            <w:vAlign w:val="bottom"/>
            <w:tcBorders>
              <w:right w:val="single" w:sz="8" w:color="E0E0E0"/>
            </w:tcBorders>
            <w:shd w:val="clear" w:color="auto" w:fill="E0E0E0"/>
          </w:tcPr>
          <w:p>
            <w:pPr>
              <w:spacing w:after="0"/>
              <w:rPr>
                <w:sz w:val="21"/>
                <w:szCs w:val="21"/>
                <w:color w:val="auto"/>
              </w:rPr>
            </w:pPr>
          </w:p>
        </w:tc>
        <w:tc>
          <w:tcPr>
            <w:tcW w:w="660" w:type="dxa"/>
            <w:vAlign w:val="bottom"/>
            <w:shd w:val="clear" w:color="auto" w:fill="E0E0E0"/>
          </w:tcPr>
          <w:p>
            <w:pPr>
              <w:jc w:val="center"/>
              <w:ind w:right="437"/>
              <w:spacing w:after="0" w:line="227" w:lineRule="exact"/>
              <w:rPr>
                <w:sz w:val="20"/>
                <w:szCs w:val="20"/>
                <w:color w:val="auto"/>
              </w:rPr>
            </w:pPr>
            <w:r>
              <w:rPr>
                <w:rFonts w:ascii="Arial" w:cs="Arial" w:eastAsia="Arial" w:hAnsi="Arial"/>
                <w:sz w:val="21"/>
                <w:szCs w:val="21"/>
                <w:color w:val="auto"/>
              </w:rPr>
              <w:t>$</w:t>
            </w:r>
          </w:p>
        </w:tc>
        <w:tc>
          <w:tcPr>
            <w:tcW w:w="1220" w:type="dxa"/>
            <w:vAlign w:val="bottom"/>
            <w:gridSpan w:val="2"/>
            <w:shd w:val="clear" w:color="auto" w:fill="E0E0E0"/>
          </w:tcPr>
          <w:p>
            <w:pPr>
              <w:jc w:val="right"/>
              <w:ind w:right="100"/>
              <w:spacing w:after="0" w:line="227" w:lineRule="exact"/>
              <w:rPr>
                <w:sz w:val="20"/>
                <w:szCs w:val="20"/>
                <w:color w:val="auto"/>
              </w:rPr>
            </w:pPr>
            <w:r>
              <w:rPr>
                <w:rFonts w:ascii="Arial" w:cs="Arial" w:eastAsia="Arial" w:hAnsi="Arial"/>
                <w:sz w:val="21"/>
                <w:szCs w:val="21"/>
                <w:color w:val="auto"/>
              </w:rPr>
              <w:t>332,008</w:t>
            </w:r>
          </w:p>
        </w:tc>
        <w:tc>
          <w:tcPr>
            <w:tcW w:w="0" w:type="dxa"/>
            <w:vAlign w:val="bottom"/>
          </w:tcPr>
          <w:p>
            <w:pPr>
              <w:spacing w:after="0"/>
              <w:rPr>
                <w:sz w:val="1"/>
                <w:szCs w:val="1"/>
                <w:color w:val="auto"/>
              </w:rPr>
            </w:pPr>
          </w:p>
        </w:tc>
      </w:tr>
      <w:tr>
        <w:trPr>
          <w:trHeight w:val="20"/>
        </w:trPr>
        <w:tc>
          <w:tcPr>
            <w:tcW w:w="6100" w:type="dxa"/>
            <w:vAlign w:val="bottom"/>
            <w:tcBorders>
              <w:top w:val="single" w:sz="8" w:color="E0E0E0"/>
              <w:bottom w:val="single" w:sz="8" w:color="E0E0E0"/>
            </w:tcBorders>
            <w:vMerge w:val="restart"/>
          </w:tcPr>
          <w:p>
            <w:pPr>
              <w:spacing w:after="0"/>
              <w:rPr>
                <w:sz w:val="20"/>
                <w:szCs w:val="20"/>
                <w:color w:val="auto"/>
              </w:rPr>
            </w:pPr>
            <w:r>
              <w:rPr>
                <w:rFonts w:ascii="Arial" w:cs="Arial" w:eastAsia="Arial" w:hAnsi="Arial"/>
                <w:sz w:val="21"/>
                <w:szCs w:val="21"/>
                <w:b w:val="1"/>
                <w:bCs w:val="1"/>
                <w:color w:val="auto"/>
              </w:rPr>
              <w:t>Liabilities and stockholders'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0E0E0"/>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0E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00" w:type="dxa"/>
            <w:vAlign w:val="bottom"/>
            <w:tcBorders>
              <w:right w:val="single" w:sz="8" w:color="E0E0E0"/>
            </w:tcBorders>
            <w:shd w:val="clear" w:color="auto" w:fill="E0E0E0"/>
          </w:tcPr>
          <w:p>
            <w:pPr>
              <w:spacing w:after="0" w:line="236" w:lineRule="exact"/>
              <w:rPr>
                <w:sz w:val="20"/>
                <w:szCs w:val="20"/>
                <w:color w:val="auto"/>
              </w:rPr>
            </w:pPr>
            <w:r>
              <w:rPr>
                <w:rFonts w:ascii="Arial" w:cs="Arial" w:eastAsia="Arial" w:hAnsi="Arial"/>
                <w:sz w:val="21"/>
                <w:szCs w:val="21"/>
                <w:color w:val="auto"/>
              </w:rPr>
              <w:t>Current liabilities:</w:t>
            </w:r>
          </w:p>
        </w:tc>
        <w:tc>
          <w:tcPr>
            <w:tcW w:w="320" w:type="dxa"/>
            <w:vAlign w:val="bottom"/>
            <w:shd w:val="clear" w:color="auto" w:fill="E0E0E0"/>
          </w:tcPr>
          <w:p>
            <w:pPr>
              <w:spacing w:after="0"/>
              <w:rPr>
                <w:sz w:val="20"/>
                <w:szCs w:val="20"/>
                <w:color w:val="auto"/>
              </w:rPr>
            </w:pPr>
          </w:p>
        </w:tc>
        <w:tc>
          <w:tcPr>
            <w:tcW w:w="1160" w:type="dxa"/>
            <w:vAlign w:val="bottom"/>
            <w:shd w:val="clear" w:color="auto" w:fill="E0E0E0"/>
          </w:tcPr>
          <w:p>
            <w:pPr>
              <w:spacing w:after="0"/>
              <w:rPr>
                <w:sz w:val="20"/>
                <w:szCs w:val="20"/>
                <w:color w:val="auto"/>
              </w:rPr>
            </w:pPr>
          </w:p>
        </w:tc>
        <w:tc>
          <w:tcPr>
            <w:tcW w:w="180" w:type="dxa"/>
            <w:vAlign w:val="bottom"/>
            <w:tcBorders>
              <w:right w:val="single" w:sz="8" w:color="E0E0E0"/>
            </w:tcBorders>
            <w:shd w:val="clear" w:color="auto" w:fill="E0E0E0"/>
          </w:tcPr>
          <w:p>
            <w:pPr>
              <w:spacing w:after="0"/>
              <w:rPr>
                <w:sz w:val="20"/>
                <w:szCs w:val="20"/>
                <w:color w:val="auto"/>
              </w:rPr>
            </w:pPr>
          </w:p>
        </w:tc>
        <w:tc>
          <w:tcPr>
            <w:tcW w:w="66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80"/>
              <w:spacing w:after="0" w:line="237" w:lineRule="exact"/>
              <w:rPr>
                <w:sz w:val="20"/>
                <w:szCs w:val="20"/>
                <w:color w:val="auto"/>
              </w:rPr>
            </w:pPr>
            <w:r>
              <w:rPr>
                <w:rFonts w:ascii="Arial" w:cs="Arial" w:eastAsia="Arial" w:hAnsi="Arial"/>
                <w:sz w:val="21"/>
                <w:szCs w:val="21"/>
                <w:color w:val="auto"/>
              </w:rPr>
              <w:t>Accounts payable</w:t>
            </w:r>
          </w:p>
        </w:tc>
        <w:tc>
          <w:tcPr>
            <w:tcW w:w="320" w:type="dxa"/>
            <w:vAlign w:val="bottom"/>
          </w:tcPr>
          <w:p>
            <w:pPr>
              <w:jc w:val="right"/>
              <w:ind w:right="122"/>
              <w:spacing w:after="0"/>
              <w:rPr>
                <w:sz w:val="20"/>
                <w:szCs w:val="20"/>
                <w:color w:val="auto"/>
              </w:rPr>
            </w:pPr>
            <w:r>
              <w:rPr>
                <w:rFonts w:ascii="Arial" w:cs="Arial" w:eastAsia="Arial" w:hAnsi="Arial"/>
                <w:sz w:val="20"/>
                <w:szCs w:val="20"/>
                <w:color w:val="auto"/>
                <w:w w:val="71"/>
              </w:rPr>
              <w:t>$</w:t>
            </w:r>
          </w:p>
        </w:tc>
        <w:tc>
          <w:tcPr>
            <w:tcW w:w="1340" w:type="dxa"/>
            <w:vAlign w:val="bottom"/>
            <w:gridSpan w:val="2"/>
          </w:tcPr>
          <w:p>
            <w:pPr>
              <w:jc w:val="right"/>
              <w:ind w:right="180"/>
              <w:spacing w:after="0" w:line="237" w:lineRule="exact"/>
              <w:rPr>
                <w:sz w:val="20"/>
                <w:szCs w:val="20"/>
                <w:color w:val="auto"/>
              </w:rPr>
            </w:pPr>
            <w:r>
              <w:rPr>
                <w:rFonts w:ascii="Arial" w:cs="Arial" w:eastAsia="Arial" w:hAnsi="Arial"/>
                <w:sz w:val="21"/>
                <w:szCs w:val="21"/>
                <w:color w:val="auto"/>
              </w:rPr>
              <w:t>2,501</w:t>
            </w:r>
          </w:p>
        </w:tc>
        <w:tc>
          <w:tcPr>
            <w:tcW w:w="660" w:type="dxa"/>
            <w:vAlign w:val="bottom"/>
          </w:tcPr>
          <w:p>
            <w:pPr>
              <w:jc w:val="center"/>
              <w:ind w:right="437"/>
              <w:spacing w:after="0" w:line="237" w:lineRule="exact"/>
              <w:rPr>
                <w:sz w:val="20"/>
                <w:szCs w:val="20"/>
                <w:color w:val="auto"/>
              </w:rPr>
            </w:pPr>
            <w:r>
              <w:rPr>
                <w:rFonts w:ascii="Arial" w:cs="Arial" w:eastAsia="Arial" w:hAnsi="Arial"/>
                <w:sz w:val="21"/>
                <w:szCs w:val="21"/>
                <w:color w:val="auto"/>
              </w:rPr>
              <w:t>$</w:t>
            </w:r>
          </w:p>
        </w:tc>
        <w:tc>
          <w:tcPr>
            <w:tcW w:w="1220" w:type="dxa"/>
            <w:vAlign w:val="bottom"/>
            <w:gridSpan w:val="2"/>
          </w:tcPr>
          <w:p>
            <w:pPr>
              <w:jc w:val="right"/>
              <w:ind w:right="100"/>
              <w:spacing w:after="0" w:line="237" w:lineRule="exact"/>
              <w:rPr>
                <w:sz w:val="20"/>
                <w:szCs w:val="20"/>
                <w:color w:val="auto"/>
              </w:rPr>
            </w:pPr>
            <w:r>
              <w:rPr>
                <w:rFonts w:ascii="Arial" w:cs="Arial" w:eastAsia="Arial" w:hAnsi="Arial"/>
                <w:sz w:val="21"/>
                <w:szCs w:val="21"/>
                <w:color w:val="auto"/>
              </w:rPr>
              <w:t>567</w:t>
            </w:r>
          </w:p>
        </w:tc>
        <w:tc>
          <w:tcPr>
            <w:tcW w:w="0" w:type="dxa"/>
            <w:vAlign w:val="bottom"/>
          </w:tcPr>
          <w:p>
            <w:pPr>
              <w:spacing w:after="0"/>
              <w:rPr>
                <w:sz w:val="1"/>
                <w:szCs w:val="1"/>
                <w:color w:val="auto"/>
              </w:rPr>
            </w:pPr>
          </w:p>
        </w:tc>
      </w:tr>
      <w:tr>
        <w:trPr>
          <w:trHeight w:val="236"/>
        </w:trPr>
        <w:tc>
          <w:tcPr>
            <w:tcW w:w="6100" w:type="dxa"/>
            <w:vAlign w:val="bottom"/>
            <w:tcBorders>
              <w:right w:val="single" w:sz="8" w:color="E0E0E0"/>
            </w:tcBorders>
            <w:shd w:val="clear" w:color="auto" w:fill="E0E0E0"/>
          </w:tcPr>
          <w:p>
            <w:pPr>
              <w:ind w:left="280"/>
              <w:spacing w:after="0" w:line="236" w:lineRule="exact"/>
              <w:rPr>
                <w:sz w:val="20"/>
                <w:szCs w:val="20"/>
                <w:color w:val="auto"/>
              </w:rPr>
            </w:pPr>
            <w:r>
              <w:rPr>
                <w:rFonts w:ascii="Arial" w:cs="Arial" w:eastAsia="Arial" w:hAnsi="Arial"/>
                <w:sz w:val="21"/>
                <w:szCs w:val="21"/>
                <w:color w:val="auto"/>
              </w:rPr>
              <w:t>Accrued liabilities</w:t>
            </w:r>
          </w:p>
        </w:tc>
        <w:tc>
          <w:tcPr>
            <w:tcW w:w="320" w:type="dxa"/>
            <w:vAlign w:val="bottom"/>
            <w:shd w:val="clear" w:color="auto" w:fill="E0E0E0"/>
          </w:tcPr>
          <w:p>
            <w:pPr>
              <w:spacing w:after="0"/>
              <w:rPr>
                <w:sz w:val="20"/>
                <w:szCs w:val="20"/>
                <w:color w:val="auto"/>
              </w:rPr>
            </w:pPr>
          </w:p>
        </w:tc>
        <w:tc>
          <w:tcPr>
            <w:tcW w:w="1340" w:type="dxa"/>
            <w:vAlign w:val="bottom"/>
            <w:tcBorders>
              <w:right w:val="single" w:sz="8" w:color="E0E0E0"/>
            </w:tcBorders>
            <w:gridSpan w:val="2"/>
            <w:shd w:val="clear" w:color="auto" w:fill="E0E0E0"/>
          </w:tcPr>
          <w:p>
            <w:pPr>
              <w:jc w:val="right"/>
              <w:ind w:right="180"/>
              <w:spacing w:after="0" w:line="236" w:lineRule="exact"/>
              <w:rPr>
                <w:sz w:val="20"/>
                <w:szCs w:val="20"/>
                <w:color w:val="auto"/>
              </w:rPr>
            </w:pPr>
            <w:r>
              <w:rPr>
                <w:rFonts w:ascii="Arial" w:cs="Arial" w:eastAsia="Arial" w:hAnsi="Arial"/>
                <w:sz w:val="21"/>
                <w:szCs w:val="21"/>
                <w:color w:val="auto"/>
              </w:rPr>
              <w:t>8,604</w:t>
            </w:r>
          </w:p>
        </w:tc>
        <w:tc>
          <w:tcPr>
            <w:tcW w:w="660" w:type="dxa"/>
            <w:vAlign w:val="bottom"/>
            <w:shd w:val="clear" w:color="auto" w:fill="E0E0E0"/>
          </w:tcPr>
          <w:p>
            <w:pPr>
              <w:spacing w:after="0"/>
              <w:rPr>
                <w:sz w:val="20"/>
                <w:szCs w:val="20"/>
                <w:color w:val="auto"/>
              </w:rPr>
            </w:pPr>
          </w:p>
        </w:tc>
        <w:tc>
          <w:tcPr>
            <w:tcW w:w="1220" w:type="dxa"/>
            <w:vAlign w:val="bottom"/>
            <w:gridSpan w:val="2"/>
            <w:shd w:val="clear" w:color="auto" w:fill="E0E0E0"/>
          </w:tcPr>
          <w:p>
            <w:pPr>
              <w:jc w:val="right"/>
              <w:ind w:right="100"/>
              <w:spacing w:after="0" w:line="236" w:lineRule="exact"/>
              <w:rPr>
                <w:sz w:val="20"/>
                <w:szCs w:val="20"/>
                <w:color w:val="auto"/>
              </w:rPr>
            </w:pPr>
            <w:r>
              <w:rPr>
                <w:rFonts w:ascii="Arial" w:cs="Arial" w:eastAsia="Arial" w:hAnsi="Arial"/>
                <w:sz w:val="21"/>
                <w:szCs w:val="21"/>
                <w:color w:val="auto"/>
              </w:rPr>
              <w:t>8,437</w:t>
            </w:r>
          </w:p>
        </w:tc>
        <w:tc>
          <w:tcPr>
            <w:tcW w:w="0" w:type="dxa"/>
            <w:vAlign w:val="bottom"/>
          </w:tcPr>
          <w:p>
            <w:pPr>
              <w:spacing w:after="0"/>
              <w:rPr>
                <w:sz w:val="1"/>
                <w:szCs w:val="1"/>
                <w:color w:val="auto"/>
              </w:rPr>
            </w:pPr>
          </w:p>
        </w:tc>
      </w:tr>
      <w:tr>
        <w:trPr>
          <w:trHeight w:val="237"/>
        </w:trPr>
        <w:tc>
          <w:tcPr>
            <w:tcW w:w="6100" w:type="dxa"/>
            <w:vAlign w:val="bottom"/>
          </w:tcPr>
          <w:p>
            <w:pPr>
              <w:ind w:left="280"/>
              <w:spacing w:after="0" w:line="237" w:lineRule="exact"/>
              <w:rPr>
                <w:sz w:val="20"/>
                <w:szCs w:val="20"/>
                <w:color w:val="auto"/>
              </w:rPr>
            </w:pPr>
            <w:r>
              <w:rPr>
                <w:rFonts w:ascii="Arial" w:cs="Arial" w:eastAsia="Arial" w:hAnsi="Arial"/>
                <w:sz w:val="21"/>
                <w:szCs w:val="21"/>
                <w:color w:val="auto"/>
              </w:rPr>
              <w:t>Accrued legal settlement (Note 7)</w:t>
            </w:r>
          </w:p>
        </w:tc>
        <w:tc>
          <w:tcPr>
            <w:tcW w:w="320" w:type="dxa"/>
            <w:vAlign w:val="bottom"/>
          </w:tcPr>
          <w:p>
            <w:pPr>
              <w:spacing w:after="0"/>
              <w:rPr>
                <w:sz w:val="20"/>
                <w:szCs w:val="20"/>
                <w:color w:val="auto"/>
              </w:rPr>
            </w:pPr>
          </w:p>
        </w:tc>
        <w:tc>
          <w:tcPr>
            <w:tcW w:w="1340" w:type="dxa"/>
            <w:vAlign w:val="bottom"/>
            <w:gridSpan w:val="2"/>
          </w:tcPr>
          <w:p>
            <w:pPr>
              <w:jc w:val="right"/>
              <w:ind w:right="180"/>
              <w:spacing w:after="0" w:line="237" w:lineRule="exact"/>
              <w:rPr>
                <w:sz w:val="20"/>
                <w:szCs w:val="20"/>
                <w:color w:val="auto"/>
              </w:rPr>
            </w:pPr>
            <w:r>
              <w:rPr>
                <w:rFonts w:ascii="Arial" w:cs="Arial" w:eastAsia="Arial" w:hAnsi="Arial"/>
                <w:sz w:val="21"/>
                <w:szCs w:val="21"/>
                <w:color w:val="auto"/>
              </w:rPr>
              <w:t>10,000</w:t>
            </w:r>
          </w:p>
        </w:tc>
        <w:tc>
          <w:tcPr>
            <w:tcW w:w="660" w:type="dxa"/>
            <w:vAlign w:val="bottom"/>
          </w:tcPr>
          <w:p>
            <w:pPr>
              <w:spacing w:after="0"/>
              <w:rPr>
                <w:sz w:val="20"/>
                <w:szCs w:val="20"/>
                <w:color w:val="auto"/>
              </w:rPr>
            </w:pPr>
          </w:p>
        </w:tc>
        <w:tc>
          <w:tcPr>
            <w:tcW w:w="1220" w:type="dxa"/>
            <w:vAlign w:val="bottom"/>
            <w:gridSpan w:val="2"/>
          </w:tcPr>
          <w:p>
            <w:pPr>
              <w:jc w:val="right"/>
              <w:ind w:right="100"/>
              <w:spacing w:after="0" w:line="237"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37"/>
        </w:trPr>
        <w:tc>
          <w:tcPr>
            <w:tcW w:w="6100" w:type="dxa"/>
            <w:vAlign w:val="bottom"/>
            <w:tcBorders>
              <w:right w:val="single" w:sz="8" w:color="E0E0E0"/>
            </w:tcBorders>
            <w:shd w:val="clear" w:color="auto" w:fill="E0E0E0"/>
          </w:tcPr>
          <w:p>
            <w:pPr>
              <w:ind w:left="280"/>
              <w:spacing w:after="0" w:line="237" w:lineRule="exact"/>
              <w:rPr>
                <w:sz w:val="20"/>
                <w:szCs w:val="20"/>
                <w:color w:val="auto"/>
              </w:rPr>
            </w:pPr>
            <w:r>
              <w:rPr>
                <w:rFonts w:ascii="Arial" w:cs="Arial" w:eastAsia="Arial" w:hAnsi="Arial"/>
                <w:sz w:val="21"/>
                <w:szCs w:val="21"/>
                <w:color w:val="auto"/>
              </w:rPr>
              <w:t>Current operating lease liability</w:t>
            </w:r>
          </w:p>
        </w:tc>
        <w:tc>
          <w:tcPr>
            <w:tcW w:w="320" w:type="dxa"/>
            <w:vAlign w:val="bottom"/>
            <w:shd w:val="clear" w:color="auto" w:fill="E0E0E0"/>
          </w:tcPr>
          <w:p>
            <w:pPr>
              <w:spacing w:after="0"/>
              <w:rPr>
                <w:sz w:val="20"/>
                <w:szCs w:val="20"/>
                <w:color w:val="auto"/>
              </w:rPr>
            </w:pPr>
          </w:p>
        </w:tc>
        <w:tc>
          <w:tcPr>
            <w:tcW w:w="1340" w:type="dxa"/>
            <w:vAlign w:val="bottom"/>
            <w:tcBorders>
              <w:right w:val="single" w:sz="8" w:color="E0E0E0"/>
            </w:tcBorders>
            <w:gridSpan w:val="2"/>
            <w:shd w:val="clear" w:color="auto" w:fill="E0E0E0"/>
          </w:tcPr>
          <w:p>
            <w:pPr>
              <w:jc w:val="right"/>
              <w:ind w:right="180"/>
              <w:spacing w:after="0" w:line="237" w:lineRule="exact"/>
              <w:rPr>
                <w:sz w:val="20"/>
                <w:szCs w:val="20"/>
                <w:color w:val="auto"/>
              </w:rPr>
            </w:pPr>
            <w:r>
              <w:rPr>
                <w:rFonts w:ascii="Arial" w:cs="Arial" w:eastAsia="Arial" w:hAnsi="Arial"/>
                <w:sz w:val="21"/>
                <w:szCs w:val="21"/>
                <w:color w:val="auto"/>
              </w:rPr>
              <w:t>326</w:t>
            </w:r>
          </w:p>
        </w:tc>
        <w:tc>
          <w:tcPr>
            <w:tcW w:w="660" w:type="dxa"/>
            <w:vAlign w:val="bottom"/>
            <w:shd w:val="clear" w:color="auto" w:fill="E0E0E0"/>
          </w:tcPr>
          <w:p>
            <w:pPr>
              <w:spacing w:after="0"/>
              <w:rPr>
                <w:sz w:val="20"/>
                <w:szCs w:val="20"/>
                <w:color w:val="auto"/>
              </w:rPr>
            </w:pPr>
          </w:p>
        </w:tc>
        <w:tc>
          <w:tcPr>
            <w:tcW w:w="1220" w:type="dxa"/>
            <w:vAlign w:val="bottom"/>
            <w:gridSpan w:val="2"/>
            <w:shd w:val="clear" w:color="auto" w:fill="E0E0E0"/>
          </w:tcPr>
          <w:p>
            <w:pPr>
              <w:jc w:val="right"/>
              <w:ind w:right="100"/>
              <w:spacing w:after="0" w:line="237" w:lineRule="exact"/>
              <w:rPr>
                <w:sz w:val="20"/>
                <w:szCs w:val="20"/>
                <w:color w:val="auto"/>
              </w:rPr>
            </w:pPr>
            <w:r>
              <w:rPr>
                <w:rFonts w:ascii="Arial" w:cs="Arial" w:eastAsia="Arial" w:hAnsi="Arial"/>
                <w:sz w:val="21"/>
                <w:szCs w:val="21"/>
                <w:color w:val="auto"/>
              </w:rPr>
              <w:t>288</w:t>
            </w:r>
          </w:p>
        </w:tc>
        <w:tc>
          <w:tcPr>
            <w:tcW w:w="0" w:type="dxa"/>
            <w:vAlign w:val="bottom"/>
          </w:tcPr>
          <w:p>
            <w:pPr>
              <w:spacing w:after="0"/>
              <w:rPr>
                <w:sz w:val="1"/>
                <w:szCs w:val="1"/>
                <w:color w:val="auto"/>
              </w:rPr>
            </w:pPr>
          </w:p>
        </w:tc>
      </w:tr>
      <w:tr>
        <w:trPr>
          <w:trHeight w:val="227"/>
        </w:trPr>
        <w:tc>
          <w:tcPr>
            <w:tcW w:w="6100" w:type="dxa"/>
            <w:vAlign w:val="bottom"/>
          </w:tcPr>
          <w:p>
            <w:pPr>
              <w:ind w:left="580"/>
              <w:spacing w:after="0" w:line="227" w:lineRule="exact"/>
              <w:rPr>
                <w:sz w:val="20"/>
                <w:szCs w:val="20"/>
                <w:color w:val="auto"/>
              </w:rPr>
            </w:pPr>
            <w:r>
              <w:rPr>
                <w:rFonts w:ascii="Arial" w:cs="Arial" w:eastAsia="Arial" w:hAnsi="Arial"/>
                <w:sz w:val="21"/>
                <w:szCs w:val="21"/>
                <w:color w:val="auto"/>
              </w:rPr>
              <w:t>Total current liabilities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1"/>
                <w:szCs w:val="21"/>
                <w:color w:val="auto"/>
              </w:rPr>
              <w:t>21,431</w:t>
            </w: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1"/>
                <w:szCs w:val="21"/>
                <w:color w:val="auto"/>
              </w:rPr>
              <w:t>9,292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100" w:type="dxa"/>
            <w:vAlign w:val="bottom"/>
            <w:tcBorders>
              <w:right w:val="single" w:sz="8" w:color="E0E0E0"/>
            </w:tcBorders>
            <w:shd w:val="clear" w:color="auto" w:fill="E0E0E0"/>
          </w:tcPr>
          <w:p>
            <w:pPr>
              <w:spacing w:after="0" w:line="236" w:lineRule="exact"/>
              <w:rPr>
                <w:sz w:val="20"/>
                <w:szCs w:val="20"/>
                <w:color w:val="auto"/>
              </w:rPr>
            </w:pPr>
            <w:r>
              <w:rPr>
                <w:rFonts w:ascii="Arial" w:cs="Arial" w:eastAsia="Arial" w:hAnsi="Arial"/>
                <w:sz w:val="21"/>
                <w:szCs w:val="21"/>
                <w:color w:val="auto"/>
              </w:rPr>
              <w:t>Operating lease liability, less current portion</w:t>
            </w:r>
          </w:p>
        </w:tc>
        <w:tc>
          <w:tcPr>
            <w:tcW w:w="320" w:type="dxa"/>
            <w:vAlign w:val="bottom"/>
            <w:shd w:val="clear" w:color="auto" w:fill="E0E0E0"/>
          </w:tcPr>
          <w:p>
            <w:pPr>
              <w:spacing w:after="0"/>
              <w:rPr>
                <w:sz w:val="20"/>
                <w:szCs w:val="20"/>
                <w:color w:val="auto"/>
              </w:rPr>
            </w:pPr>
          </w:p>
        </w:tc>
        <w:tc>
          <w:tcPr>
            <w:tcW w:w="1340" w:type="dxa"/>
            <w:vAlign w:val="bottom"/>
            <w:tcBorders>
              <w:right w:val="single" w:sz="8" w:color="E0E0E0"/>
            </w:tcBorders>
            <w:gridSpan w:val="2"/>
            <w:shd w:val="clear" w:color="auto" w:fill="E0E0E0"/>
          </w:tcPr>
          <w:p>
            <w:pPr>
              <w:jc w:val="right"/>
              <w:ind w:right="180"/>
              <w:spacing w:after="0" w:line="236" w:lineRule="exact"/>
              <w:rPr>
                <w:sz w:val="20"/>
                <w:szCs w:val="20"/>
                <w:color w:val="auto"/>
              </w:rPr>
            </w:pPr>
            <w:r>
              <w:rPr>
                <w:rFonts w:ascii="Arial" w:cs="Arial" w:eastAsia="Arial" w:hAnsi="Arial"/>
                <w:sz w:val="21"/>
                <w:szCs w:val="21"/>
                <w:color w:val="auto"/>
              </w:rPr>
              <w:t>1,585</w:t>
            </w:r>
          </w:p>
        </w:tc>
        <w:tc>
          <w:tcPr>
            <w:tcW w:w="660" w:type="dxa"/>
            <w:vAlign w:val="bottom"/>
            <w:shd w:val="clear" w:color="auto" w:fill="E0E0E0"/>
          </w:tcPr>
          <w:p>
            <w:pPr>
              <w:spacing w:after="0"/>
              <w:rPr>
                <w:sz w:val="20"/>
                <w:szCs w:val="20"/>
                <w:color w:val="auto"/>
              </w:rPr>
            </w:pPr>
          </w:p>
        </w:tc>
        <w:tc>
          <w:tcPr>
            <w:tcW w:w="1220" w:type="dxa"/>
            <w:vAlign w:val="bottom"/>
            <w:gridSpan w:val="2"/>
            <w:shd w:val="clear" w:color="auto" w:fill="E0E0E0"/>
          </w:tcPr>
          <w:p>
            <w:pPr>
              <w:jc w:val="right"/>
              <w:ind w:right="100"/>
              <w:spacing w:after="0" w:line="236" w:lineRule="exact"/>
              <w:rPr>
                <w:sz w:val="20"/>
                <w:szCs w:val="20"/>
                <w:color w:val="auto"/>
              </w:rPr>
            </w:pPr>
            <w:r>
              <w:rPr>
                <w:rFonts w:ascii="Arial" w:cs="Arial" w:eastAsia="Arial" w:hAnsi="Arial"/>
                <w:sz w:val="21"/>
                <w:szCs w:val="21"/>
                <w:color w:val="auto"/>
              </w:rPr>
              <w:t>1,632</w:t>
            </w:r>
          </w:p>
        </w:tc>
        <w:tc>
          <w:tcPr>
            <w:tcW w:w="0" w:type="dxa"/>
            <w:vAlign w:val="bottom"/>
          </w:tcPr>
          <w:p>
            <w:pPr>
              <w:spacing w:after="0"/>
              <w:rPr>
                <w:sz w:val="1"/>
                <w:szCs w:val="1"/>
                <w:color w:val="auto"/>
              </w:rPr>
            </w:pPr>
          </w:p>
        </w:tc>
      </w:tr>
      <w:tr>
        <w:trPr>
          <w:trHeight w:val="227"/>
        </w:trPr>
        <w:tc>
          <w:tcPr>
            <w:tcW w:w="6100" w:type="dxa"/>
            <w:vAlign w:val="bottom"/>
            <w:tcBorders>
              <w:bottom w:val="single" w:sz="8" w:color="E0E0E0"/>
            </w:tcBorders>
          </w:tcPr>
          <w:p>
            <w:pPr>
              <w:ind w:left="580"/>
              <w:spacing w:after="0" w:line="227" w:lineRule="exact"/>
              <w:rPr>
                <w:sz w:val="20"/>
                <w:szCs w:val="20"/>
                <w:color w:val="auto"/>
              </w:rPr>
            </w:pPr>
            <w:r>
              <w:rPr>
                <w:rFonts w:ascii="Arial" w:cs="Arial" w:eastAsia="Arial" w:hAnsi="Arial"/>
                <w:sz w:val="21"/>
                <w:szCs w:val="21"/>
                <w:color w:val="auto"/>
              </w:rPr>
              <w:t>Total liabilities</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23,016</w:t>
            </w:r>
          </w:p>
        </w:tc>
        <w:tc>
          <w:tcPr>
            <w:tcW w:w="180" w:type="dxa"/>
            <w:vAlign w:val="bottom"/>
            <w:tcBorders>
              <w:bottom w:val="single" w:sz="8" w:color="E0E0E0"/>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10,924</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00" w:type="dxa"/>
            <w:vAlign w:val="bottom"/>
            <w:tcBorders>
              <w:right w:val="single" w:sz="8" w:color="E0E0E0"/>
            </w:tcBorders>
            <w:shd w:val="clear" w:color="auto" w:fill="E0E0E0"/>
          </w:tcPr>
          <w:p>
            <w:pPr>
              <w:spacing w:after="0" w:line="227" w:lineRule="exact"/>
              <w:rPr>
                <w:sz w:val="20"/>
                <w:szCs w:val="20"/>
                <w:color w:val="auto"/>
              </w:rPr>
            </w:pPr>
            <w:r>
              <w:rPr>
                <w:rFonts w:ascii="Arial" w:cs="Arial" w:eastAsia="Arial" w:hAnsi="Arial"/>
                <w:sz w:val="21"/>
                <w:szCs w:val="21"/>
                <w:color w:val="auto"/>
              </w:rPr>
              <w:t>Stockholders' equity:</w:t>
            </w:r>
          </w:p>
        </w:tc>
        <w:tc>
          <w:tcPr>
            <w:tcW w:w="320" w:type="dxa"/>
            <w:vAlign w:val="bottom"/>
            <w:shd w:val="clear" w:color="auto" w:fill="E0E0E0"/>
          </w:tcPr>
          <w:p>
            <w:pPr>
              <w:spacing w:after="0"/>
              <w:rPr>
                <w:sz w:val="19"/>
                <w:szCs w:val="19"/>
                <w:color w:val="auto"/>
              </w:rPr>
            </w:pPr>
          </w:p>
        </w:tc>
        <w:tc>
          <w:tcPr>
            <w:tcW w:w="1160" w:type="dxa"/>
            <w:vAlign w:val="bottom"/>
            <w:shd w:val="clear" w:color="auto" w:fill="E0E0E0"/>
          </w:tcPr>
          <w:p>
            <w:pPr>
              <w:spacing w:after="0"/>
              <w:rPr>
                <w:sz w:val="19"/>
                <w:szCs w:val="19"/>
                <w:color w:val="auto"/>
              </w:rPr>
            </w:pPr>
          </w:p>
        </w:tc>
        <w:tc>
          <w:tcPr>
            <w:tcW w:w="180" w:type="dxa"/>
            <w:vAlign w:val="bottom"/>
            <w:tcBorders>
              <w:right w:val="single" w:sz="8" w:color="E0E0E0"/>
            </w:tcBorders>
            <w:shd w:val="clear" w:color="auto" w:fill="E0E0E0"/>
          </w:tcPr>
          <w:p>
            <w:pPr>
              <w:spacing w:after="0"/>
              <w:rPr>
                <w:sz w:val="19"/>
                <w:szCs w:val="19"/>
                <w:color w:val="auto"/>
              </w:rPr>
            </w:pPr>
          </w:p>
        </w:tc>
        <w:tc>
          <w:tcPr>
            <w:tcW w:w="660" w:type="dxa"/>
            <w:vAlign w:val="bottom"/>
            <w:shd w:val="clear" w:color="auto" w:fill="E0E0E0"/>
          </w:tcPr>
          <w:p>
            <w:pPr>
              <w:spacing w:after="0"/>
              <w:rPr>
                <w:sz w:val="19"/>
                <w:szCs w:val="19"/>
                <w:color w:val="auto"/>
              </w:rPr>
            </w:pPr>
          </w:p>
        </w:tc>
        <w:tc>
          <w:tcPr>
            <w:tcW w:w="1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00" w:type="dxa"/>
            <w:vAlign w:val="bottom"/>
          </w:tcPr>
          <w:p>
            <w:pPr>
              <w:ind w:left="280"/>
              <w:spacing w:after="0" w:line="219" w:lineRule="exact"/>
              <w:rPr>
                <w:sz w:val="20"/>
                <w:szCs w:val="20"/>
                <w:color w:val="auto"/>
              </w:rPr>
            </w:pPr>
            <w:r>
              <w:rPr>
                <w:rFonts w:ascii="Arial" w:cs="Arial" w:eastAsia="Arial" w:hAnsi="Arial"/>
                <w:sz w:val="21"/>
                <w:szCs w:val="21"/>
                <w:color w:val="auto"/>
              </w:rPr>
              <w:t>Common stock, $0.0001 par value; 900,000,000 shares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100" w:type="dxa"/>
            <w:vAlign w:val="bottom"/>
          </w:tcPr>
          <w:p>
            <w:pPr>
              <w:ind w:left="460"/>
              <w:spacing w:after="0" w:line="236" w:lineRule="exact"/>
              <w:rPr>
                <w:sz w:val="20"/>
                <w:szCs w:val="20"/>
                <w:color w:val="auto"/>
              </w:rPr>
            </w:pPr>
            <w:r>
              <w:rPr>
                <w:rFonts w:ascii="Arial" w:cs="Arial" w:eastAsia="Arial" w:hAnsi="Arial"/>
                <w:sz w:val="21"/>
                <w:szCs w:val="21"/>
                <w:color w:val="auto"/>
              </w:rPr>
              <w:t>authorized at December 31, 2022 and December 31, 2021,</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60"/>
              <w:spacing w:after="0" w:line="237" w:lineRule="exact"/>
              <w:rPr>
                <w:sz w:val="20"/>
                <w:szCs w:val="20"/>
                <w:color w:val="auto"/>
              </w:rPr>
            </w:pPr>
            <w:r>
              <w:rPr>
                <w:rFonts w:ascii="Arial" w:cs="Arial" w:eastAsia="Arial" w:hAnsi="Arial"/>
                <w:sz w:val="21"/>
                <w:szCs w:val="21"/>
                <w:color w:val="auto"/>
              </w:rPr>
              <w:t>respectively; 37,877,387 and 37,379,077 shares issued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60"/>
              <w:spacing w:after="0" w:line="237" w:lineRule="exact"/>
              <w:rPr>
                <w:sz w:val="20"/>
                <w:szCs w:val="20"/>
                <w:color w:val="auto"/>
              </w:rPr>
            </w:pPr>
            <w:r>
              <w:rPr>
                <w:rFonts w:ascii="Arial" w:cs="Arial" w:eastAsia="Arial" w:hAnsi="Arial"/>
                <w:sz w:val="21"/>
                <w:szCs w:val="21"/>
                <w:color w:val="auto"/>
              </w:rPr>
              <w:t>and outstanding at December 31, 2022 and December 31,</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100" w:type="dxa"/>
            <w:vAlign w:val="bottom"/>
          </w:tcPr>
          <w:p>
            <w:pPr>
              <w:ind w:left="460"/>
              <w:spacing w:after="0"/>
              <w:rPr>
                <w:sz w:val="20"/>
                <w:szCs w:val="20"/>
                <w:color w:val="auto"/>
              </w:rPr>
            </w:pPr>
            <w:r>
              <w:rPr>
                <w:rFonts w:ascii="Arial" w:cs="Arial" w:eastAsia="Arial" w:hAnsi="Arial"/>
                <w:sz w:val="21"/>
                <w:szCs w:val="21"/>
                <w:color w:val="auto"/>
              </w:rPr>
              <w:t>2021, respectively</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4</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1"/>
                <w:szCs w:val="21"/>
                <w:color w:val="auto"/>
              </w:rPr>
              <w:t>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100" w:type="dxa"/>
            <w:vAlign w:val="bottom"/>
            <w:tcBorders>
              <w:right w:val="single" w:sz="8" w:color="E0E0E0"/>
            </w:tcBorders>
            <w:shd w:val="clear" w:color="auto" w:fill="E0E0E0"/>
          </w:tcPr>
          <w:p>
            <w:pPr>
              <w:ind w:left="280"/>
              <w:spacing w:after="0" w:line="236" w:lineRule="exact"/>
              <w:rPr>
                <w:sz w:val="20"/>
                <w:szCs w:val="20"/>
                <w:color w:val="auto"/>
              </w:rPr>
            </w:pPr>
            <w:r>
              <w:rPr>
                <w:rFonts w:ascii="Arial" w:cs="Arial" w:eastAsia="Arial" w:hAnsi="Arial"/>
                <w:sz w:val="21"/>
                <w:szCs w:val="21"/>
                <w:color w:val="auto"/>
              </w:rPr>
              <w:t>Additional paid-in capital</w:t>
            </w:r>
          </w:p>
        </w:tc>
        <w:tc>
          <w:tcPr>
            <w:tcW w:w="320" w:type="dxa"/>
            <w:vAlign w:val="bottom"/>
            <w:shd w:val="clear" w:color="auto" w:fill="E0E0E0"/>
          </w:tcPr>
          <w:p>
            <w:pPr>
              <w:spacing w:after="0"/>
              <w:rPr>
                <w:sz w:val="20"/>
                <w:szCs w:val="20"/>
                <w:color w:val="auto"/>
              </w:rPr>
            </w:pPr>
          </w:p>
        </w:tc>
        <w:tc>
          <w:tcPr>
            <w:tcW w:w="1340" w:type="dxa"/>
            <w:vAlign w:val="bottom"/>
            <w:tcBorders>
              <w:right w:val="single" w:sz="8" w:color="E0E0E0"/>
            </w:tcBorders>
            <w:gridSpan w:val="2"/>
            <w:shd w:val="clear" w:color="auto" w:fill="E0E0E0"/>
          </w:tcPr>
          <w:p>
            <w:pPr>
              <w:jc w:val="right"/>
              <w:ind w:right="180"/>
              <w:spacing w:after="0" w:line="236" w:lineRule="exact"/>
              <w:rPr>
                <w:sz w:val="20"/>
                <w:szCs w:val="20"/>
                <w:color w:val="auto"/>
              </w:rPr>
            </w:pPr>
            <w:r>
              <w:rPr>
                <w:rFonts w:ascii="Arial" w:cs="Arial" w:eastAsia="Arial" w:hAnsi="Arial"/>
                <w:sz w:val="21"/>
                <w:szCs w:val="21"/>
                <w:color w:val="auto"/>
              </w:rPr>
              <w:t>428,623</w:t>
            </w:r>
          </w:p>
        </w:tc>
        <w:tc>
          <w:tcPr>
            <w:tcW w:w="660" w:type="dxa"/>
            <w:vAlign w:val="bottom"/>
            <w:shd w:val="clear" w:color="auto" w:fill="E0E0E0"/>
          </w:tcPr>
          <w:p>
            <w:pPr>
              <w:spacing w:after="0"/>
              <w:rPr>
                <w:sz w:val="20"/>
                <w:szCs w:val="20"/>
                <w:color w:val="auto"/>
              </w:rPr>
            </w:pPr>
          </w:p>
        </w:tc>
        <w:tc>
          <w:tcPr>
            <w:tcW w:w="1220" w:type="dxa"/>
            <w:vAlign w:val="bottom"/>
            <w:gridSpan w:val="2"/>
            <w:shd w:val="clear" w:color="auto" w:fill="E0E0E0"/>
          </w:tcPr>
          <w:p>
            <w:pPr>
              <w:jc w:val="right"/>
              <w:ind w:right="100"/>
              <w:spacing w:after="0" w:line="236" w:lineRule="exact"/>
              <w:rPr>
                <w:sz w:val="20"/>
                <w:szCs w:val="20"/>
                <w:color w:val="auto"/>
              </w:rPr>
            </w:pPr>
            <w:r>
              <w:rPr>
                <w:rFonts w:ascii="Arial" w:cs="Arial" w:eastAsia="Arial" w:hAnsi="Arial"/>
                <w:sz w:val="21"/>
                <w:szCs w:val="21"/>
                <w:color w:val="auto"/>
              </w:rPr>
              <w:t>417,363</w:t>
            </w:r>
          </w:p>
        </w:tc>
        <w:tc>
          <w:tcPr>
            <w:tcW w:w="0" w:type="dxa"/>
            <w:vAlign w:val="bottom"/>
          </w:tcPr>
          <w:p>
            <w:pPr>
              <w:spacing w:after="0"/>
              <w:rPr>
                <w:sz w:val="1"/>
                <w:szCs w:val="1"/>
                <w:color w:val="auto"/>
              </w:rPr>
            </w:pPr>
          </w:p>
        </w:tc>
      </w:tr>
      <w:tr>
        <w:trPr>
          <w:trHeight w:val="237"/>
        </w:trPr>
        <w:tc>
          <w:tcPr>
            <w:tcW w:w="6100" w:type="dxa"/>
            <w:vAlign w:val="bottom"/>
          </w:tcPr>
          <w:p>
            <w:pPr>
              <w:ind w:left="280"/>
              <w:spacing w:after="0" w:line="237" w:lineRule="exact"/>
              <w:rPr>
                <w:sz w:val="20"/>
                <w:szCs w:val="20"/>
                <w:color w:val="auto"/>
              </w:rPr>
            </w:pPr>
            <w:r>
              <w:rPr>
                <w:rFonts w:ascii="Arial" w:cs="Arial" w:eastAsia="Arial" w:hAnsi="Arial"/>
                <w:sz w:val="21"/>
                <w:szCs w:val="21"/>
                <w:color w:val="auto"/>
              </w:rPr>
              <w:t>Accumulated other comprehensive loss</w:t>
            </w:r>
          </w:p>
        </w:tc>
        <w:tc>
          <w:tcPr>
            <w:tcW w:w="320" w:type="dxa"/>
            <w:vAlign w:val="bottom"/>
          </w:tcPr>
          <w:p>
            <w:pPr>
              <w:spacing w:after="0"/>
              <w:rPr>
                <w:sz w:val="20"/>
                <w:szCs w:val="20"/>
                <w:color w:val="auto"/>
              </w:rPr>
            </w:pPr>
          </w:p>
        </w:tc>
        <w:tc>
          <w:tcPr>
            <w:tcW w:w="1340" w:type="dxa"/>
            <w:vAlign w:val="bottom"/>
            <w:gridSpan w:val="2"/>
          </w:tcPr>
          <w:p>
            <w:pPr>
              <w:jc w:val="right"/>
              <w:ind w:right="120"/>
              <w:spacing w:after="0" w:line="237" w:lineRule="exact"/>
              <w:rPr>
                <w:sz w:val="20"/>
                <w:szCs w:val="20"/>
                <w:color w:val="auto"/>
              </w:rPr>
            </w:pPr>
            <w:r>
              <w:rPr>
                <w:rFonts w:ascii="Arial" w:cs="Arial" w:eastAsia="Arial" w:hAnsi="Arial"/>
                <w:sz w:val="21"/>
                <w:szCs w:val="21"/>
                <w:color w:val="auto"/>
              </w:rPr>
              <w:t>(1,956)</w:t>
            </w:r>
          </w:p>
        </w:tc>
        <w:tc>
          <w:tcPr>
            <w:tcW w:w="660" w:type="dxa"/>
            <w:vAlign w:val="bottom"/>
          </w:tcPr>
          <w:p>
            <w:pPr>
              <w:spacing w:after="0"/>
              <w:rPr>
                <w:sz w:val="20"/>
                <w:szCs w:val="20"/>
                <w:color w:val="auto"/>
              </w:rPr>
            </w:pPr>
          </w:p>
        </w:tc>
        <w:tc>
          <w:tcPr>
            <w:tcW w:w="1220" w:type="dxa"/>
            <w:vAlign w:val="bottom"/>
            <w:gridSpan w:val="2"/>
          </w:tcPr>
          <w:p>
            <w:pPr>
              <w:jc w:val="right"/>
              <w:ind w:right="20"/>
              <w:spacing w:after="0" w:line="237" w:lineRule="exact"/>
              <w:rPr>
                <w:sz w:val="20"/>
                <w:szCs w:val="20"/>
                <w:color w:val="auto"/>
              </w:rPr>
            </w:pPr>
            <w:r>
              <w:rPr>
                <w:rFonts w:ascii="Arial" w:cs="Arial" w:eastAsia="Arial" w:hAnsi="Arial"/>
                <w:sz w:val="21"/>
                <w:szCs w:val="21"/>
                <w:color w:val="auto"/>
              </w:rPr>
              <w:t>(388)</w:t>
            </w:r>
          </w:p>
        </w:tc>
        <w:tc>
          <w:tcPr>
            <w:tcW w:w="0" w:type="dxa"/>
            <w:vAlign w:val="bottom"/>
          </w:tcPr>
          <w:p>
            <w:pPr>
              <w:spacing w:after="0"/>
              <w:rPr>
                <w:sz w:val="1"/>
                <w:szCs w:val="1"/>
                <w:color w:val="auto"/>
              </w:rPr>
            </w:pPr>
          </w:p>
        </w:tc>
      </w:tr>
      <w:tr>
        <w:trPr>
          <w:trHeight w:val="237"/>
        </w:trPr>
        <w:tc>
          <w:tcPr>
            <w:tcW w:w="6100" w:type="dxa"/>
            <w:vAlign w:val="bottom"/>
            <w:tcBorders>
              <w:right w:val="single" w:sz="8" w:color="E0E0E0"/>
            </w:tcBorders>
            <w:shd w:val="clear" w:color="auto" w:fill="E0E0E0"/>
          </w:tcPr>
          <w:p>
            <w:pPr>
              <w:ind w:left="280"/>
              <w:spacing w:after="0" w:line="237" w:lineRule="exact"/>
              <w:rPr>
                <w:sz w:val="20"/>
                <w:szCs w:val="20"/>
                <w:color w:val="auto"/>
              </w:rPr>
            </w:pPr>
            <w:r>
              <w:rPr>
                <w:rFonts w:ascii="Arial" w:cs="Arial" w:eastAsia="Arial" w:hAnsi="Arial"/>
                <w:sz w:val="21"/>
                <w:szCs w:val="21"/>
                <w:color w:val="auto"/>
              </w:rPr>
              <w:t>Accumulated deficit</w:t>
            </w:r>
          </w:p>
        </w:tc>
        <w:tc>
          <w:tcPr>
            <w:tcW w:w="320" w:type="dxa"/>
            <w:vAlign w:val="bottom"/>
            <w:shd w:val="clear" w:color="auto" w:fill="E0E0E0"/>
          </w:tcPr>
          <w:p>
            <w:pPr>
              <w:spacing w:after="0"/>
              <w:rPr>
                <w:sz w:val="20"/>
                <w:szCs w:val="20"/>
                <w:color w:val="auto"/>
              </w:rPr>
            </w:pPr>
          </w:p>
        </w:tc>
        <w:tc>
          <w:tcPr>
            <w:tcW w:w="1340" w:type="dxa"/>
            <w:vAlign w:val="bottom"/>
            <w:tcBorders>
              <w:right w:val="single" w:sz="8" w:color="E0E0E0"/>
            </w:tcBorders>
            <w:gridSpan w:val="2"/>
            <w:shd w:val="clear" w:color="auto" w:fill="E0E0E0"/>
          </w:tcPr>
          <w:p>
            <w:pPr>
              <w:jc w:val="right"/>
              <w:ind w:right="120"/>
              <w:spacing w:after="0" w:line="237" w:lineRule="exact"/>
              <w:rPr>
                <w:sz w:val="20"/>
                <w:szCs w:val="20"/>
                <w:color w:val="auto"/>
              </w:rPr>
            </w:pPr>
            <w:r>
              <w:rPr>
                <w:rFonts w:ascii="Arial" w:cs="Arial" w:eastAsia="Arial" w:hAnsi="Arial"/>
                <w:sz w:val="21"/>
                <w:szCs w:val="21"/>
                <w:color w:val="auto"/>
              </w:rPr>
              <w:t>(191,534)</w:t>
            </w:r>
          </w:p>
        </w:tc>
        <w:tc>
          <w:tcPr>
            <w:tcW w:w="660" w:type="dxa"/>
            <w:vAlign w:val="bottom"/>
            <w:shd w:val="clear" w:color="auto" w:fill="E0E0E0"/>
          </w:tcPr>
          <w:p>
            <w:pPr>
              <w:spacing w:after="0"/>
              <w:rPr>
                <w:sz w:val="20"/>
                <w:szCs w:val="20"/>
                <w:color w:val="auto"/>
              </w:rPr>
            </w:pPr>
          </w:p>
        </w:tc>
        <w:tc>
          <w:tcPr>
            <w:tcW w:w="1220" w:type="dxa"/>
            <w:vAlign w:val="bottom"/>
            <w:gridSpan w:val="2"/>
            <w:shd w:val="clear" w:color="auto" w:fill="E0E0E0"/>
          </w:tcPr>
          <w:p>
            <w:pPr>
              <w:jc w:val="right"/>
              <w:ind w:right="20"/>
              <w:spacing w:after="0" w:line="237" w:lineRule="exact"/>
              <w:rPr>
                <w:sz w:val="20"/>
                <w:szCs w:val="20"/>
                <w:color w:val="auto"/>
              </w:rPr>
            </w:pPr>
            <w:r>
              <w:rPr>
                <w:rFonts w:ascii="Arial" w:cs="Arial" w:eastAsia="Arial" w:hAnsi="Arial"/>
                <w:sz w:val="21"/>
                <w:szCs w:val="21"/>
                <w:color w:val="auto"/>
              </w:rPr>
              <w:t>(95,895)</w:t>
            </w:r>
          </w:p>
        </w:tc>
        <w:tc>
          <w:tcPr>
            <w:tcW w:w="0" w:type="dxa"/>
            <w:vAlign w:val="bottom"/>
          </w:tcPr>
          <w:p>
            <w:pPr>
              <w:spacing w:after="0"/>
              <w:rPr>
                <w:sz w:val="1"/>
                <w:szCs w:val="1"/>
                <w:color w:val="auto"/>
              </w:rPr>
            </w:pPr>
          </w:p>
        </w:tc>
      </w:tr>
      <w:tr>
        <w:trPr>
          <w:trHeight w:val="227"/>
        </w:trPr>
        <w:tc>
          <w:tcPr>
            <w:tcW w:w="6100" w:type="dxa"/>
            <w:vAlign w:val="bottom"/>
            <w:tcBorders>
              <w:bottom w:val="single" w:sz="8" w:color="E0E0E0"/>
            </w:tcBorders>
          </w:tcPr>
          <w:p>
            <w:pPr>
              <w:ind w:left="580"/>
              <w:spacing w:after="0" w:line="227" w:lineRule="exact"/>
              <w:rPr>
                <w:sz w:val="20"/>
                <w:szCs w:val="20"/>
                <w:color w:val="auto"/>
              </w:rPr>
            </w:pPr>
            <w:r>
              <w:rPr>
                <w:rFonts w:ascii="Arial" w:cs="Arial" w:eastAsia="Arial" w:hAnsi="Arial"/>
                <w:sz w:val="21"/>
                <w:szCs w:val="21"/>
                <w:color w:val="auto"/>
              </w:rPr>
              <w:t>Total stockholders' equity</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235,137</w:t>
            </w:r>
          </w:p>
        </w:tc>
        <w:tc>
          <w:tcPr>
            <w:tcW w:w="180" w:type="dxa"/>
            <w:vAlign w:val="bottom"/>
            <w:tcBorders>
              <w:bottom w:val="single" w:sz="8" w:color="E0E0E0"/>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321,084</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00" w:type="dxa"/>
            <w:vAlign w:val="bottom"/>
            <w:tcBorders>
              <w:right w:val="single" w:sz="8" w:color="E0E0E0"/>
            </w:tcBorders>
            <w:shd w:val="clear" w:color="auto" w:fill="E0E0E0"/>
          </w:tcPr>
          <w:p>
            <w:pPr>
              <w:ind w:left="580"/>
              <w:spacing w:after="0" w:line="227" w:lineRule="exact"/>
              <w:rPr>
                <w:sz w:val="20"/>
                <w:szCs w:val="20"/>
                <w:color w:val="auto"/>
              </w:rPr>
            </w:pPr>
            <w:r>
              <w:rPr>
                <w:rFonts w:ascii="Arial" w:cs="Arial" w:eastAsia="Arial" w:hAnsi="Arial"/>
                <w:sz w:val="21"/>
                <w:szCs w:val="21"/>
                <w:color w:val="auto"/>
              </w:rPr>
              <w:t>Total liabilities and stockholders' equity</w:t>
            </w:r>
          </w:p>
        </w:tc>
        <w:tc>
          <w:tcPr>
            <w:tcW w:w="320" w:type="dxa"/>
            <w:vAlign w:val="bottom"/>
            <w:shd w:val="clear" w:color="auto" w:fill="E0E0E0"/>
          </w:tcPr>
          <w:p>
            <w:pPr>
              <w:jc w:val="right"/>
              <w:ind w:right="122"/>
              <w:spacing w:after="0" w:line="228" w:lineRule="exact"/>
              <w:rPr>
                <w:sz w:val="20"/>
                <w:szCs w:val="20"/>
                <w:color w:val="auto"/>
              </w:rPr>
            </w:pPr>
            <w:r>
              <w:rPr>
                <w:rFonts w:ascii="Arial" w:cs="Arial" w:eastAsia="Arial" w:hAnsi="Arial"/>
                <w:sz w:val="20"/>
                <w:szCs w:val="20"/>
                <w:color w:val="auto"/>
                <w:w w:val="71"/>
              </w:rPr>
              <w:t>$</w:t>
            </w:r>
          </w:p>
        </w:tc>
        <w:tc>
          <w:tcPr>
            <w:tcW w:w="1340" w:type="dxa"/>
            <w:vAlign w:val="bottom"/>
            <w:tcBorders>
              <w:right w:val="single" w:sz="8" w:color="E0E0E0"/>
            </w:tcBorders>
            <w:gridSpan w:val="2"/>
            <w:shd w:val="clear" w:color="auto" w:fill="E0E0E0"/>
          </w:tcPr>
          <w:p>
            <w:pPr>
              <w:jc w:val="right"/>
              <w:ind w:right="180"/>
              <w:spacing w:after="0" w:line="228" w:lineRule="exact"/>
              <w:rPr>
                <w:sz w:val="20"/>
                <w:szCs w:val="20"/>
                <w:color w:val="auto"/>
              </w:rPr>
            </w:pPr>
            <w:r>
              <w:rPr>
                <w:rFonts w:ascii="Arial" w:cs="Arial" w:eastAsia="Arial" w:hAnsi="Arial"/>
                <w:sz w:val="21"/>
                <w:szCs w:val="21"/>
                <w:color w:val="auto"/>
              </w:rPr>
              <w:t>258,153</w:t>
            </w:r>
          </w:p>
        </w:tc>
        <w:tc>
          <w:tcPr>
            <w:tcW w:w="660" w:type="dxa"/>
            <w:vAlign w:val="bottom"/>
            <w:shd w:val="clear" w:color="auto" w:fill="E0E0E0"/>
          </w:tcPr>
          <w:p>
            <w:pPr>
              <w:jc w:val="center"/>
              <w:ind w:right="437"/>
              <w:spacing w:after="0" w:line="228" w:lineRule="exact"/>
              <w:rPr>
                <w:sz w:val="20"/>
                <w:szCs w:val="20"/>
                <w:color w:val="auto"/>
              </w:rPr>
            </w:pPr>
            <w:r>
              <w:rPr>
                <w:rFonts w:ascii="Arial" w:cs="Arial" w:eastAsia="Arial" w:hAnsi="Arial"/>
                <w:sz w:val="21"/>
                <w:szCs w:val="21"/>
                <w:color w:val="auto"/>
              </w:rPr>
              <w:t>$</w:t>
            </w:r>
          </w:p>
        </w:tc>
        <w:tc>
          <w:tcPr>
            <w:tcW w:w="1220" w:type="dxa"/>
            <w:vAlign w:val="bottom"/>
            <w:gridSpan w:val="2"/>
            <w:shd w:val="clear" w:color="auto" w:fill="E0E0E0"/>
          </w:tcPr>
          <w:p>
            <w:pPr>
              <w:jc w:val="right"/>
              <w:ind w:right="100"/>
              <w:spacing w:after="0" w:line="228" w:lineRule="exact"/>
              <w:rPr>
                <w:sz w:val="20"/>
                <w:szCs w:val="20"/>
                <w:color w:val="auto"/>
              </w:rPr>
            </w:pPr>
            <w:r>
              <w:rPr>
                <w:rFonts w:ascii="Arial" w:cs="Arial" w:eastAsia="Arial" w:hAnsi="Arial"/>
                <w:sz w:val="21"/>
                <w:szCs w:val="21"/>
                <w:color w:val="auto"/>
              </w:rPr>
              <w:t>332,008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3865880</wp:posOffset>
                </wp:positionH>
                <wp:positionV relativeFrom="paragraph">
                  <wp:posOffset>-3070860</wp:posOffset>
                </wp:positionV>
                <wp:extent cx="94488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4880" cy="4763"/>
                        </a:xfrm>
                        <a:prstGeom prst="line">
                          <a:avLst/>
                        </a:prstGeom>
                        <a:solidFill>
                          <a:srgbClr val="FFFFFF"/>
                        </a:solidFill>
                        <a:ln w="1841">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4pt,-241.7999pt" to="378.8pt,-241.7999pt" o:allowincell="f" strokecolor="#FFFFFF" strokeweight="0.145pt"/>
            </w:pict>
          </mc:Fallback>
        </mc:AlternateContent>
        <mc:AlternateContent>
          <mc:Choice Requires="wps">
            <w:drawing>
              <wp:anchor simplePos="0" relativeHeight="251657728" behindDoc="1" locked="0" layoutInCell="0" allowOverlap="1">
                <wp:simplePos x="0" y="0"/>
                <wp:positionH relativeFrom="column">
                  <wp:posOffset>4930140</wp:posOffset>
                </wp:positionH>
                <wp:positionV relativeFrom="paragraph">
                  <wp:posOffset>-3070860</wp:posOffset>
                </wp:positionV>
                <wp:extent cx="113157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1570" cy="4763"/>
                        </a:xfrm>
                        <a:prstGeom prst="line">
                          <a:avLst/>
                        </a:prstGeom>
                        <a:solidFill>
                          <a:srgbClr val="FFFFFF"/>
                        </a:solidFill>
                        <a:ln w="1841">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2pt,-241.7999pt" to="477.3pt,-241.7999pt" o:allowincell="f" strokecolor="#FFFFFF" strokeweight="0.145pt"/>
            </w:pict>
          </mc:Fallback>
        </mc:AlternateConten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The accompanying notes are an integral part of these consolidated financial statements.</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134</w:t>
      </w:r>
    </w:p>
    <w:p>
      <w:pPr>
        <w:sectPr>
          <w:pgSz w:w="12240" w:h="15840" w:orient="portrait"/>
          <w:cols w:equalWidth="0" w:num="1">
            <w:col w:w="9640"/>
          </w:cols>
          <w:pgMar w:left="1300" w:top="1222" w:right="1300" w:bottom="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21"/>
          <w:szCs w:val="21"/>
          <w:b w:val="1"/>
          <w:bCs w:val="1"/>
          <w:color w:val="auto"/>
        </w:rPr>
        <w:t>Athira Pharma,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21"/>
          <w:szCs w:val="21"/>
          <w:b w:val="1"/>
          <w:bCs w:val="1"/>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5"/>
          </w:tcPr>
          <w:p>
            <w:pPr>
              <w:jc w:val="right"/>
              <w:ind w:right="377"/>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80"/>
        </w:trPr>
        <w:tc>
          <w:tcPr>
            <w:tcW w:w="67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80"/>
              <w:spacing w:after="0" w:line="181" w:lineRule="exact"/>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E0E0E0"/>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358"/>
              <w:spacing w:after="0" w:line="18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760" w:type="dxa"/>
            <w:vAlign w:val="bottom"/>
            <w:gridSpan w:val="2"/>
            <w:shd w:val="clear" w:color="auto" w:fill="E0E0E0"/>
          </w:tcPr>
          <w:p>
            <w:pPr>
              <w:spacing w:after="0" w:line="227" w:lineRule="exact"/>
              <w:rPr>
                <w:sz w:val="20"/>
                <w:szCs w:val="20"/>
                <w:color w:val="auto"/>
              </w:rPr>
            </w:pPr>
            <w:r>
              <w:rPr>
                <w:rFonts w:ascii="Arial" w:cs="Arial" w:eastAsia="Arial" w:hAnsi="Arial"/>
                <w:sz w:val="21"/>
                <w:szCs w:val="21"/>
                <w:color w:val="auto"/>
              </w:rPr>
              <w:t>Operating expenses:</w:t>
            </w:r>
          </w:p>
        </w:tc>
        <w:tc>
          <w:tcPr>
            <w:tcW w:w="180" w:type="dxa"/>
            <w:vAlign w:val="bottom"/>
            <w:shd w:val="clear" w:color="auto" w:fill="E0E0E0"/>
          </w:tcPr>
          <w:p>
            <w:pPr>
              <w:spacing w:after="0"/>
              <w:rPr>
                <w:sz w:val="19"/>
                <w:szCs w:val="19"/>
                <w:color w:val="auto"/>
              </w:rPr>
            </w:pPr>
          </w:p>
        </w:tc>
        <w:tc>
          <w:tcPr>
            <w:tcW w:w="1120" w:type="dxa"/>
            <w:vAlign w:val="bottom"/>
            <w:shd w:val="clear" w:color="auto" w:fill="E0E0E0"/>
          </w:tcPr>
          <w:p>
            <w:pPr>
              <w:spacing w:after="0"/>
              <w:rPr>
                <w:sz w:val="19"/>
                <w:szCs w:val="19"/>
                <w:color w:val="auto"/>
              </w:rPr>
            </w:pPr>
          </w:p>
        </w:tc>
        <w:tc>
          <w:tcPr>
            <w:tcW w:w="180" w:type="dxa"/>
            <w:vAlign w:val="bottom"/>
            <w:tcBorders>
              <w:right w:val="single" w:sz="8" w:color="E0E0E0"/>
            </w:tcBorders>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60" w:type="dxa"/>
            <w:vAlign w:val="bottom"/>
            <w:gridSpan w:val="2"/>
          </w:tcPr>
          <w:p>
            <w:pPr>
              <w:ind w:left="280"/>
              <w:spacing w:after="0" w:line="236" w:lineRule="exact"/>
              <w:rPr>
                <w:sz w:val="20"/>
                <w:szCs w:val="20"/>
                <w:color w:val="auto"/>
              </w:rPr>
            </w:pPr>
            <w:r>
              <w:rPr>
                <w:rFonts w:ascii="Arial" w:cs="Arial" w:eastAsia="Arial" w:hAnsi="Arial"/>
                <w:sz w:val="21"/>
                <w:szCs w:val="21"/>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gridSpan w:val="2"/>
          </w:tcPr>
          <w:p>
            <w:pPr>
              <w:jc w:val="right"/>
              <w:ind w:right="103"/>
              <w:spacing w:after="0" w:line="236" w:lineRule="exact"/>
              <w:rPr>
                <w:sz w:val="20"/>
                <w:szCs w:val="20"/>
                <w:color w:val="auto"/>
              </w:rPr>
            </w:pPr>
            <w:r>
              <w:rPr>
                <w:rFonts w:ascii="Arial" w:cs="Arial" w:eastAsia="Arial" w:hAnsi="Arial"/>
                <w:sz w:val="21"/>
                <w:szCs w:val="21"/>
                <w:color w:val="auto"/>
              </w:rPr>
              <w:t>61,464</w:t>
            </w:r>
          </w:p>
        </w:tc>
        <w:tc>
          <w:tcPr>
            <w:tcW w:w="200" w:type="dxa"/>
            <w:vAlign w:val="bottom"/>
          </w:tcPr>
          <w:p>
            <w:pPr>
              <w:jc w:val="right"/>
              <w:spacing w:after="0" w:line="236" w:lineRule="exact"/>
              <w:rPr>
                <w:sz w:val="20"/>
                <w:szCs w:val="20"/>
                <w:color w:val="auto"/>
              </w:rPr>
            </w:pPr>
            <w:r>
              <w:rPr>
                <w:rFonts w:ascii="Arial" w:cs="Arial" w:eastAsia="Arial" w:hAnsi="Arial"/>
                <w:sz w:val="21"/>
                <w:szCs w:val="21"/>
                <w:color w:val="auto"/>
                <w:w w:val="85"/>
              </w:rPr>
              <w:t>$</w:t>
            </w:r>
          </w:p>
        </w:tc>
        <w:tc>
          <w:tcPr>
            <w:tcW w:w="1200" w:type="dxa"/>
            <w:vAlign w:val="bottom"/>
            <w:gridSpan w:val="2"/>
          </w:tcPr>
          <w:p>
            <w:pPr>
              <w:jc w:val="right"/>
              <w:spacing w:after="0" w:line="236" w:lineRule="exact"/>
              <w:rPr>
                <w:sz w:val="20"/>
                <w:szCs w:val="20"/>
                <w:color w:val="auto"/>
              </w:rPr>
            </w:pPr>
            <w:r>
              <w:rPr>
                <w:rFonts w:ascii="Arial" w:cs="Arial" w:eastAsia="Arial" w:hAnsi="Arial"/>
                <w:sz w:val="21"/>
                <w:szCs w:val="21"/>
                <w:color w:val="auto"/>
              </w:rPr>
              <w:t>42,794</w:t>
            </w:r>
          </w:p>
        </w:tc>
        <w:tc>
          <w:tcPr>
            <w:tcW w:w="0" w:type="dxa"/>
            <w:vAlign w:val="bottom"/>
          </w:tcPr>
          <w:p>
            <w:pPr>
              <w:spacing w:after="0"/>
              <w:rPr>
                <w:sz w:val="1"/>
                <w:szCs w:val="1"/>
                <w:color w:val="auto"/>
              </w:rPr>
            </w:pPr>
          </w:p>
        </w:tc>
      </w:tr>
      <w:tr>
        <w:trPr>
          <w:trHeight w:val="237"/>
        </w:trPr>
        <w:tc>
          <w:tcPr>
            <w:tcW w:w="6760" w:type="dxa"/>
            <w:vAlign w:val="bottom"/>
            <w:gridSpan w:val="2"/>
            <w:shd w:val="clear" w:color="auto" w:fill="E0E0E0"/>
          </w:tcPr>
          <w:p>
            <w:pPr>
              <w:ind w:left="280"/>
              <w:spacing w:after="0" w:line="237" w:lineRule="exact"/>
              <w:rPr>
                <w:sz w:val="20"/>
                <w:szCs w:val="20"/>
                <w:color w:val="auto"/>
              </w:rPr>
            </w:pPr>
            <w:r>
              <w:rPr>
                <w:rFonts w:ascii="Arial" w:cs="Arial" w:eastAsia="Arial" w:hAnsi="Arial"/>
                <w:sz w:val="21"/>
                <w:szCs w:val="21"/>
                <w:color w:val="auto"/>
              </w:rPr>
              <w:t>General and administrative</w:t>
            </w:r>
          </w:p>
        </w:tc>
        <w:tc>
          <w:tcPr>
            <w:tcW w:w="180" w:type="dxa"/>
            <w:vAlign w:val="bottom"/>
            <w:shd w:val="clear" w:color="auto" w:fill="E0E0E0"/>
          </w:tcPr>
          <w:p>
            <w:pPr>
              <w:spacing w:after="0"/>
              <w:rPr>
                <w:sz w:val="20"/>
                <w:szCs w:val="20"/>
                <w:color w:val="auto"/>
              </w:rPr>
            </w:pPr>
          </w:p>
        </w:tc>
        <w:tc>
          <w:tcPr>
            <w:tcW w:w="1300" w:type="dxa"/>
            <w:vAlign w:val="bottom"/>
            <w:tcBorders>
              <w:right w:val="single" w:sz="8" w:color="E0E0E0"/>
            </w:tcBorders>
            <w:gridSpan w:val="2"/>
            <w:shd w:val="clear" w:color="auto" w:fill="E0E0E0"/>
          </w:tcPr>
          <w:p>
            <w:pPr>
              <w:jc w:val="right"/>
              <w:ind w:right="103"/>
              <w:spacing w:after="0" w:line="237" w:lineRule="exact"/>
              <w:rPr>
                <w:sz w:val="20"/>
                <w:szCs w:val="20"/>
                <w:color w:val="auto"/>
              </w:rPr>
            </w:pPr>
            <w:r>
              <w:rPr>
                <w:rFonts w:ascii="Arial" w:cs="Arial" w:eastAsia="Arial" w:hAnsi="Arial"/>
                <w:sz w:val="21"/>
                <w:szCs w:val="21"/>
                <w:color w:val="auto"/>
              </w:rPr>
              <w:t>32,552</w:t>
            </w:r>
          </w:p>
        </w:tc>
        <w:tc>
          <w:tcPr>
            <w:tcW w:w="200" w:type="dxa"/>
            <w:vAlign w:val="bottom"/>
            <w:shd w:val="clear" w:color="auto" w:fill="E0E0E0"/>
          </w:tcPr>
          <w:p>
            <w:pPr>
              <w:spacing w:after="0"/>
              <w:rPr>
                <w:sz w:val="20"/>
                <w:szCs w:val="20"/>
                <w:color w:val="auto"/>
              </w:rPr>
            </w:pPr>
          </w:p>
        </w:tc>
        <w:tc>
          <w:tcPr>
            <w:tcW w:w="1200" w:type="dxa"/>
            <w:vAlign w:val="bottom"/>
            <w:gridSpan w:val="2"/>
            <w:shd w:val="clear" w:color="auto" w:fill="E0E0E0"/>
          </w:tcPr>
          <w:p>
            <w:pPr>
              <w:jc w:val="right"/>
              <w:spacing w:after="0" w:line="237" w:lineRule="exact"/>
              <w:rPr>
                <w:sz w:val="20"/>
                <w:szCs w:val="20"/>
                <w:color w:val="auto"/>
              </w:rPr>
            </w:pPr>
            <w:r>
              <w:rPr>
                <w:rFonts w:ascii="Arial" w:cs="Arial" w:eastAsia="Arial" w:hAnsi="Arial"/>
                <w:sz w:val="21"/>
                <w:szCs w:val="21"/>
                <w:color w:val="auto"/>
              </w:rPr>
              <w:t>21,228</w:t>
            </w:r>
          </w:p>
        </w:tc>
        <w:tc>
          <w:tcPr>
            <w:tcW w:w="0" w:type="dxa"/>
            <w:vAlign w:val="bottom"/>
          </w:tcPr>
          <w:p>
            <w:pPr>
              <w:spacing w:after="0"/>
              <w:rPr>
                <w:sz w:val="1"/>
                <w:szCs w:val="1"/>
                <w:color w:val="auto"/>
              </w:rPr>
            </w:pPr>
          </w:p>
        </w:tc>
      </w:tr>
      <w:tr>
        <w:trPr>
          <w:trHeight w:val="237"/>
        </w:trPr>
        <w:tc>
          <w:tcPr>
            <w:tcW w:w="6760" w:type="dxa"/>
            <w:vAlign w:val="bottom"/>
            <w:gridSpan w:val="2"/>
          </w:tcPr>
          <w:p>
            <w:pPr>
              <w:ind w:left="280"/>
              <w:spacing w:after="0" w:line="237" w:lineRule="exact"/>
              <w:rPr>
                <w:sz w:val="20"/>
                <w:szCs w:val="20"/>
                <w:color w:val="auto"/>
              </w:rPr>
            </w:pPr>
            <w:r>
              <w:rPr>
                <w:rFonts w:ascii="Arial" w:cs="Arial" w:eastAsia="Arial" w:hAnsi="Arial"/>
                <w:sz w:val="21"/>
                <w:szCs w:val="21"/>
                <w:color w:val="auto"/>
              </w:rPr>
              <w:t>Legal settlement</w:t>
            </w:r>
          </w:p>
        </w:tc>
        <w:tc>
          <w:tcPr>
            <w:tcW w:w="180" w:type="dxa"/>
            <w:vAlign w:val="bottom"/>
          </w:tcPr>
          <w:p>
            <w:pPr>
              <w:spacing w:after="0"/>
              <w:rPr>
                <w:sz w:val="20"/>
                <w:szCs w:val="20"/>
                <w:color w:val="auto"/>
              </w:rPr>
            </w:pPr>
          </w:p>
        </w:tc>
        <w:tc>
          <w:tcPr>
            <w:tcW w:w="1120" w:type="dxa"/>
            <w:vAlign w:val="bottom"/>
          </w:tcPr>
          <w:p>
            <w:pPr>
              <w:jc w:val="right"/>
              <w:spacing w:after="0" w:line="237" w:lineRule="exact"/>
              <w:rPr>
                <w:sz w:val="20"/>
                <w:szCs w:val="20"/>
                <w:color w:val="auto"/>
              </w:rPr>
            </w:pPr>
            <w:r>
              <w:rPr>
                <w:rFonts w:ascii="Arial" w:cs="Arial" w:eastAsia="Arial" w:hAnsi="Arial"/>
                <w:sz w:val="21"/>
                <w:szCs w:val="21"/>
                <w:color w:val="auto"/>
              </w:rPr>
              <w:t>10,000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
        </w:trPr>
        <w:tc>
          <w:tcPr>
            <w:tcW w:w="6760" w:type="dxa"/>
            <w:vAlign w:val="bottom"/>
            <w:gridSpan w:val="2"/>
            <w:vMerge w:val="restart"/>
            <w:shd w:val="clear" w:color="auto" w:fill="E0E0E0"/>
          </w:tcPr>
          <w:p>
            <w:pPr>
              <w:ind w:left="580"/>
              <w:spacing w:after="0"/>
              <w:rPr>
                <w:sz w:val="20"/>
                <w:szCs w:val="20"/>
                <w:color w:val="auto"/>
              </w:rPr>
            </w:pPr>
            <w:r>
              <w:rPr>
                <w:rFonts w:ascii="Arial" w:cs="Arial" w:eastAsia="Arial" w:hAnsi="Arial"/>
                <w:sz w:val="21"/>
                <w:szCs w:val="21"/>
                <w:color w:val="auto"/>
              </w:rPr>
              <w:t>Total operating expenses</w:t>
            </w: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760" w:type="dxa"/>
            <w:vAlign w:val="bottom"/>
            <w:gridSpan w:val="2"/>
            <w:vMerge w:val="continue"/>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120" w:type="dxa"/>
            <w:vAlign w:val="bottom"/>
            <w:shd w:val="clear" w:color="auto" w:fill="E0E0E0"/>
          </w:tcPr>
          <w:p>
            <w:pPr>
              <w:jc w:val="right"/>
              <w:spacing w:after="0" w:line="226" w:lineRule="exact"/>
              <w:rPr>
                <w:sz w:val="20"/>
                <w:szCs w:val="20"/>
                <w:color w:val="auto"/>
              </w:rPr>
            </w:pPr>
            <w:r>
              <w:rPr>
                <w:rFonts w:ascii="Arial" w:cs="Arial" w:eastAsia="Arial" w:hAnsi="Arial"/>
                <w:sz w:val="21"/>
                <w:szCs w:val="21"/>
                <w:color w:val="auto"/>
              </w:rPr>
              <w:t>104,016</w:t>
            </w:r>
          </w:p>
        </w:tc>
        <w:tc>
          <w:tcPr>
            <w:tcW w:w="180" w:type="dxa"/>
            <w:vAlign w:val="bottom"/>
            <w:tcBorders>
              <w:right w:val="single" w:sz="8" w:color="E0E0E0"/>
            </w:tcBorders>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200" w:type="dxa"/>
            <w:vAlign w:val="bottom"/>
            <w:gridSpan w:val="2"/>
            <w:shd w:val="clear" w:color="auto" w:fill="E0E0E0"/>
          </w:tcPr>
          <w:p>
            <w:pPr>
              <w:jc w:val="right"/>
              <w:spacing w:after="0" w:line="226" w:lineRule="exact"/>
              <w:rPr>
                <w:sz w:val="20"/>
                <w:szCs w:val="20"/>
                <w:color w:val="auto"/>
              </w:rPr>
            </w:pPr>
            <w:r>
              <w:rPr>
                <w:rFonts w:ascii="Arial" w:cs="Arial" w:eastAsia="Arial" w:hAnsi="Arial"/>
                <w:sz w:val="21"/>
                <w:szCs w:val="21"/>
                <w:color w:val="auto"/>
              </w:rPr>
              <w:t>64,022</w:t>
            </w:r>
          </w:p>
        </w:tc>
        <w:tc>
          <w:tcPr>
            <w:tcW w:w="0" w:type="dxa"/>
            <w:vAlign w:val="bottom"/>
          </w:tcPr>
          <w:p>
            <w:pPr>
              <w:spacing w:after="0"/>
              <w:rPr>
                <w:sz w:val="1"/>
                <w:szCs w:val="1"/>
                <w:color w:val="auto"/>
              </w:rPr>
            </w:pPr>
          </w:p>
        </w:tc>
      </w:tr>
      <w:tr>
        <w:trPr>
          <w:trHeight w:val="227"/>
        </w:trPr>
        <w:tc>
          <w:tcPr>
            <w:tcW w:w="6760" w:type="dxa"/>
            <w:vAlign w:val="bottom"/>
            <w:gridSpan w:val="2"/>
          </w:tcPr>
          <w:p>
            <w:pPr>
              <w:spacing w:after="0" w:line="227" w:lineRule="exact"/>
              <w:rPr>
                <w:sz w:val="20"/>
                <w:szCs w:val="20"/>
                <w:color w:val="auto"/>
              </w:rPr>
            </w:pPr>
            <w:r>
              <w:rPr>
                <w:rFonts w:ascii="Arial" w:cs="Arial" w:eastAsia="Arial" w:hAnsi="Arial"/>
                <w:sz w:val="21"/>
                <w:szCs w:val="21"/>
                <w:color w:val="auto"/>
              </w:rPr>
              <w:t>Loss from operations</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1"/>
                <w:szCs w:val="21"/>
                <w:color w:val="auto"/>
              </w:rPr>
              <w:t>(104,016</w:t>
            </w:r>
          </w:p>
        </w:tc>
        <w:tc>
          <w:tcPr>
            <w:tcW w:w="180" w:type="dxa"/>
            <w:vAlign w:val="bottom"/>
          </w:tcPr>
          <w:p>
            <w:pPr>
              <w:jc w:val="right"/>
              <w:ind w:right="43"/>
              <w:spacing w:after="0"/>
              <w:rPr>
                <w:sz w:val="20"/>
                <w:szCs w:val="20"/>
                <w:color w:val="auto"/>
              </w:rPr>
            </w:pPr>
            <w:r>
              <w:rPr>
                <w:rFonts w:ascii="Arial" w:cs="Arial" w:eastAsia="Arial" w:hAnsi="Arial"/>
                <w:sz w:val="15"/>
                <w:szCs w:val="15"/>
                <w:color w:val="auto"/>
                <w:w w:val="79"/>
              </w:rPr>
              <w:t>)</w:t>
            </w: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1"/>
                <w:szCs w:val="21"/>
                <w:color w:val="auto"/>
              </w:rPr>
              <w:t>(64,022</w:t>
            </w:r>
          </w:p>
        </w:tc>
        <w:tc>
          <w:tcPr>
            <w:tcW w:w="100" w:type="dxa"/>
            <w:vAlign w:val="bottom"/>
          </w:tcPr>
          <w:p>
            <w:pPr>
              <w:jc w:val="right"/>
              <w:spacing w:after="0" w:line="227" w:lineRule="exact"/>
              <w:rPr>
                <w:sz w:val="20"/>
                <w:szCs w:val="20"/>
                <w:color w:val="auto"/>
              </w:rPr>
            </w:pPr>
            <w:r>
              <w:rPr>
                <w:rFonts w:ascii="Arial" w:cs="Arial" w:eastAsia="Arial" w:hAnsi="Arial"/>
                <w:sz w:val="21"/>
                <w:szCs w:val="21"/>
                <w:color w:val="auto"/>
                <w:w w:val="85"/>
              </w:rPr>
              <w:t>)</w:t>
            </w:r>
          </w:p>
        </w:tc>
        <w:tc>
          <w:tcPr>
            <w:tcW w:w="0" w:type="dxa"/>
            <w:vAlign w:val="bottom"/>
          </w:tcPr>
          <w:p>
            <w:pPr>
              <w:spacing w:after="0"/>
              <w:rPr>
                <w:sz w:val="1"/>
                <w:szCs w:val="1"/>
                <w:color w:val="auto"/>
              </w:rPr>
            </w:pPr>
          </w:p>
        </w:tc>
      </w:tr>
      <w:tr>
        <w:trPr>
          <w:trHeight w:val="237"/>
        </w:trPr>
        <w:tc>
          <w:tcPr>
            <w:tcW w:w="6760" w:type="dxa"/>
            <w:vAlign w:val="bottom"/>
            <w:gridSpan w:val="2"/>
            <w:shd w:val="clear" w:color="auto" w:fill="E0E0E0"/>
          </w:tcPr>
          <w:p>
            <w:pPr>
              <w:spacing w:after="0" w:line="237" w:lineRule="exact"/>
              <w:rPr>
                <w:sz w:val="20"/>
                <w:szCs w:val="20"/>
                <w:color w:val="auto"/>
              </w:rPr>
            </w:pPr>
            <w:r>
              <w:rPr>
                <w:rFonts w:ascii="Arial" w:cs="Arial" w:eastAsia="Arial" w:hAnsi="Arial"/>
                <w:sz w:val="21"/>
                <w:szCs w:val="21"/>
                <w:color w:val="auto"/>
              </w:rPr>
              <w:t>Grant income</w:t>
            </w:r>
          </w:p>
        </w:tc>
        <w:tc>
          <w:tcPr>
            <w:tcW w:w="180" w:type="dxa"/>
            <w:vAlign w:val="bottom"/>
            <w:shd w:val="clear" w:color="auto" w:fill="E0E0E0"/>
          </w:tcPr>
          <w:p>
            <w:pPr>
              <w:spacing w:after="0"/>
              <w:rPr>
                <w:sz w:val="20"/>
                <w:szCs w:val="20"/>
                <w:color w:val="auto"/>
              </w:rPr>
            </w:pPr>
          </w:p>
        </w:tc>
        <w:tc>
          <w:tcPr>
            <w:tcW w:w="1300" w:type="dxa"/>
            <w:vAlign w:val="bottom"/>
            <w:tcBorders>
              <w:right w:val="single" w:sz="8" w:color="E0E0E0"/>
            </w:tcBorders>
            <w:gridSpan w:val="2"/>
            <w:shd w:val="clear" w:color="auto" w:fill="E0E0E0"/>
          </w:tcPr>
          <w:p>
            <w:pPr>
              <w:jc w:val="right"/>
              <w:ind w:right="103"/>
              <w:spacing w:after="0" w:line="237" w:lineRule="exact"/>
              <w:rPr>
                <w:sz w:val="20"/>
                <w:szCs w:val="20"/>
                <w:color w:val="auto"/>
              </w:rPr>
            </w:pPr>
            <w:r>
              <w:rPr>
                <w:rFonts w:ascii="Arial" w:cs="Arial" w:eastAsia="Arial" w:hAnsi="Arial"/>
                <w:sz w:val="21"/>
                <w:szCs w:val="21"/>
                <w:color w:val="auto"/>
              </w:rPr>
              <w:t>5,161</w:t>
            </w:r>
          </w:p>
        </w:tc>
        <w:tc>
          <w:tcPr>
            <w:tcW w:w="200" w:type="dxa"/>
            <w:vAlign w:val="bottom"/>
            <w:shd w:val="clear" w:color="auto" w:fill="E0E0E0"/>
          </w:tcPr>
          <w:p>
            <w:pPr>
              <w:spacing w:after="0"/>
              <w:rPr>
                <w:sz w:val="20"/>
                <w:szCs w:val="20"/>
                <w:color w:val="auto"/>
              </w:rPr>
            </w:pPr>
          </w:p>
        </w:tc>
        <w:tc>
          <w:tcPr>
            <w:tcW w:w="1200" w:type="dxa"/>
            <w:vAlign w:val="bottom"/>
            <w:gridSpan w:val="2"/>
            <w:shd w:val="clear" w:color="auto" w:fill="E0E0E0"/>
          </w:tcPr>
          <w:p>
            <w:pPr>
              <w:jc w:val="right"/>
              <w:spacing w:after="0" w:line="237" w:lineRule="exact"/>
              <w:rPr>
                <w:sz w:val="20"/>
                <w:szCs w:val="20"/>
                <w:color w:val="auto"/>
              </w:rPr>
            </w:pPr>
            <w:r>
              <w:rPr>
                <w:rFonts w:ascii="Arial" w:cs="Arial" w:eastAsia="Arial" w:hAnsi="Arial"/>
                <w:sz w:val="21"/>
                <w:szCs w:val="21"/>
                <w:color w:val="auto"/>
              </w:rPr>
              <w:t>8,835</w:t>
            </w:r>
          </w:p>
        </w:tc>
        <w:tc>
          <w:tcPr>
            <w:tcW w:w="0" w:type="dxa"/>
            <w:vAlign w:val="bottom"/>
          </w:tcPr>
          <w:p>
            <w:pPr>
              <w:spacing w:after="0"/>
              <w:rPr>
                <w:sz w:val="1"/>
                <w:szCs w:val="1"/>
                <w:color w:val="auto"/>
              </w:rPr>
            </w:pPr>
          </w:p>
        </w:tc>
      </w:tr>
      <w:tr>
        <w:trPr>
          <w:trHeight w:val="237"/>
        </w:trPr>
        <w:tc>
          <w:tcPr>
            <w:tcW w:w="6760" w:type="dxa"/>
            <w:vAlign w:val="bottom"/>
            <w:gridSpan w:val="2"/>
          </w:tcPr>
          <w:p>
            <w:pPr>
              <w:spacing w:after="0" w:line="237" w:lineRule="exact"/>
              <w:rPr>
                <w:sz w:val="20"/>
                <w:szCs w:val="20"/>
                <w:color w:val="auto"/>
              </w:rPr>
            </w:pPr>
            <w:r>
              <w:rPr>
                <w:rFonts w:ascii="Arial" w:cs="Arial" w:eastAsia="Arial" w:hAnsi="Arial"/>
                <w:sz w:val="21"/>
                <w:szCs w:val="21"/>
                <w:color w:val="auto"/>
              </w:rPr>
              <w:t>Other income, net</w:t>
            </w:r>
          </w:p>
        </w:tc>
        <w:tc>
          <w:tcPr>
            <w:tcW w:w="180" w:type="dxa"/>
            <w:vAlign w:val="bottom"/>
          </w:tcPr>
          <w:p>
            <w:pPr>
              <w:spacing w:after="0"/>
              <w:rPr>
                <w:sz w:val="20"/>
                <w:szCs w:val="20"/>
                <w:color w:val="auto"/>
              </w:rPr>
            </w:pPr>
          </w:p>
        </w:tc>
        <w:tc>
          <w:tcPr>
            <w:tcW w:w="1120" w:type="dxa"/>
            <w:vAlign w:val="bottom"/>
          </w:tcPr>
          <w:p>
            <w:pPr>
              <w:jc w:val="right"/>
              <w:spacing w:after="0" w:line="237" w:lineRule="exact"/>
              <w:rPr>
                <w:sz w:val="20"/>
                <w:szCs w:val="20"/>
                <w:color w:val="auto"/>
              </w:rPr>
            </w:pPr>
            <w:r>
              <w:rPr>
                <w:rFonts w:ascii="Arial" w:cs="Arial" w:eastAsia="Arial" w:hAnsi="Arial"/>
                <w:sz w:val="21"/>
                <w:szCs w:val="21"/>
                <w:color w:val="auto"/>
              </w:rPr>
              <w:t>3,216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334</w:t>
            </w:r>
          </w:p>
        </w:tc>
        <w:tc>
          <w:tcPr>
            <w:tcW w:w="0" w:type="dxa"/>
            <w:vAlign w:val="bottom"/>
          </w:tcPr>
          <w:p>
            <w:pPr>
              <w:spacing w:after="0"/>
              <w:rPr>
                <w:sz w:val="1"/>
                <w:szCs w:val="1"/>
                <w:color w:val="auto"/>
              </w:rPr>
            </w:pPr>
          </w:p>
        </w:tc>
      </w:tr>
      <w:tr>
        <w:trPr>
          <w:trHeight w:val="20"/>
        </w:trPr>
        <w:tc>
          <w:tcPr>
            <w:tcW w:w="6760" w:type="dxa"/>
            <w:vAlign w:val="bottom"/>
            <w:gridSpan w:val="2"/>
            <w:vMerge w:val="restart"/>
            <w:shd w:val="clear" w:color="auto" w:fill="E0E0E0"/>
          </w:tcPr>
          <w:p>
            <w:pPr>
              <w:spacing w:after="0"/>
              <w:rPr>
                <w:sz w:val="20"/>
                <w:szCs w:val="20"/>
                <w:color w:val="auto"/>
              </w:rPr>
            </w:pPr>
            <w:r>
              <w:rPr>
                <w:rFonts w:ascii="Arial" w:cs="Arial" w:eastAsia="Arial" w:hAnsi="Arial"/>
                <w:sz w:val="21"/>
                <w:szCs w:val="21"/>
                <w:color w:val="auto"/>
              </w:rPr>
              <w:t>Net loss</w:t>
            </w: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760" w:type="dxa"/>
            <w:vAlign w:val="bottom"/>
            <w:gridSpan w:val="2"/>
            <w:vMerge w:val="continue"/>
            <w:shd w:val="clear" w:color="auto" w:fill="E0E0E0"/>
          </w:tcPr>
          <w:p>
            <w:pPr>
              <w:spacing w:after="0"/>
              <w:rPr>
                <w:sz w:val="19"/>
                <w:szCs w:val="19"/>
                <w:color w:val="auto"/>
              </w:rPr>
            </w:pPr>
          </w:p>
        </w:tc>
        <w:tc>
          <w:tcPr>
            <w:tcW w:w="180" w:type="dxa"/>
            <w:vAlign w:val="bottom"/>
            <w:shd w:val="clear" w:color="auto" w:fill="E0E0E0"/>
          </w:tcPr>
          <w:p>
            <w:pPr>
              <w:jc w:val="right"/>
              <w:spacing w:after="0" w:line="228" w:lineRule="exact"/>
              <w:rPr>
                <w:sz w:val="20"/>
                <w:szCs w:val="20"/>
                <w:color w:val="auto"/>
              </w:rPr>
            </w:pPr>
            <w:r>
              <w:rPr>
                <w:rFonts w:ascii="Arial" w:cs="Arial" w:eastAsia="Arial" w:hAnsi="Arial"/>
                <w:sz w:val="20"/>
                <w:szCs w:val="20"/>
                <w:color w:val="auto"/>
                <w:w w:val="71"/>
              </w:rPr>
              <w:t>$</w:t>
            </w:r>
          </w:p>
        </w:tc>
        <w:tc>
          <w:tcPr>
            <w:tcW w:w="1300" w:type="dxa"/>
            <w:vAlign w:val="bottom"/>
            <w:tcBorders>
              <w:right w:val="single" w:sz="8" w:color="E0E0E0"/>
            </w:tcBorders>
            <w:gridSpan w:val="2"/>
            <w:shd w:val="clear" w:color="auto" w:fill="E0E0E0"/>
          </w:tcPr>
          <w:p>
            <w:pPr>
              <w:jc w:val="right"/>
              <w:ind w:right="43"/>
              <w:spacing w:after="0" w:line="227" w:lineRule="exact"/>
              <w:rPr>
                <w:sz w:val="20"/>
                <w:szCs w:val="20"/>
                <w:color w:val="auto"/>
              </w:rPr>
            </w:pPr>
            <w:r>
              <w:rPr>
                <w:rFonts w:ascii="Arial" w:cs="Arial" w:eastAsia="Arial" w:hAnsi="Arial"/>
                <w:sz w:val="21"/>
                <w:szCs w:val="21"/>
                <w:color w:val="auto"/>
              </w:rPr>
              <w:t>(95,639)</w:t>
            </w:r>
          </w:p>
        </w:tc>
        <w:tc>
          <w:tcPr>
            <w:tcW w:w="20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w w:val="85"/>
              </w:rPr>
              <w:t>$</w:t>
            </w:r>
          </w:p>
        </w:tc>
        <w:tc>
          <w:tcPr>
            <w:tcW w:w="1200" w:type="dxa"/>
            <w:vAlign w:val="bottom"/>
            <w:gridSpan w:val="2"/>
            <w:shd w:val="clear" w:color="auto" w:fill="E0E0E0"/>
          </w:tcPr>
          <w:p>
            <w:pPr>
              <w:jc w:val="right"/>
              <w:spacing w:after="0" w:line="227" w:lineRule="exact"/>
              <w:rPr>
                <w:sz w:val="20"/>
                <w:szCs w:val="20"/>
                <w:color w:val="auto"/>
              </w:rPr>
            </w:pPr>
            <w:r>
              <w:rPr>
                <w:rFonts w:ascii="Arial" w:cs="Arial" w:eastAsia="Arial" w:hAnsi="Arial"/>
                <w:sz w:val="21"/>
                <w:szCs w:val="21"/>
                <w:color w:val="auto"/>
              </w:rPr>
              <w:t>(54,853)</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21"/>
                <w:szCs w:val="21"/>
                <w:color w:val="auto"/>
              </w:rPr>
              <w:t>Unrealized loss on available-for-sale securities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jc w:val="right"/>
              <w:ind w:right="43"/>
              <w:spacing w:after="0"/>
              <w:rPr>
                <w:sz w:val="20"/>
                <w:szCs w:val="20"/>
                <w:color w:val="auto"/>
              </w:rPr>
            </w:pPr>
            <w:r>
              <w:rPr>
                <w:rFonts w:ascii="Arial" w:cs="Arial" w:eastAsia="Arial" w:hAnsi="Arial"/>
                <w:sz w:val="15"/>
                <w:szCs w:val="15"/>
                <w:color w:val="auto"/>
                <w:w w:val="79"/>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21"/>
                <w:szCs w:val="21"/>
                <w:color w:val="auto"/>
                <w:w w:val="85"/>
              </w:rPr>
              <w:t>)</w:t>
            </w:r>
          </w:p>
        </w:tc>
        <w:tc>
          <w:tcPr>
            <w:tcW w:w="0" w:type="dxa"/>
            <w:vAlign w:val="bottom"/>
          </w:tcPr>
          <w:p>
            <w:pPr>
              <w:spacing w:after="0" w:line="20" w:lineRule="exact"/>
              <w:rPr>
                <w:sz w:val="1"/>
                <w:szCs w:val="1"/>
                <w:color w:val="auto"/>
              </w:rPr>
            </w:pPr>
          </w:p>
        </w:tc>
      </w:tr>
      <w:tr>
        <w:trPr>
          <w:trHeight w:val="223"/>
        </w:trPr>
        <w:tc>
          <w:tcPr>
            <w:tcW w:w="6760" w:type="dxa"/>
            <w:vAlign w:val="bottom"/>
            <w:tcBorders>
              <w:bottom w:val="single" w:sz="8" w:color="E0E0E0"/>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1"/>
                <w:szCs w:val="21"/>
                <w:color w:val="auto"/>
              </w:rPr>
              <w:t>(1,568</w:t>
            </w:r>
          </w:p>
        </w:tc>
        <w:tc>
          <w:tcPr>
            <w:tcW w:w="180" w:type="dxa"/>
            <w:vAlign w:val="bottom"/>
            <w:tcBorders>
              <w:bottom w:val="single" w:sz="8" w:color="E0E0E0"/>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1"/>
                <w:szCs w:val="21"/>
                <w:color w:val="auto"/>
              </w:rPr>
              <w:t>(421</w:t>
            </w:r>
          </w:p>
        </w:tc>
        <w:tc>
          <w:tcPr>
            <w:tcW w:w="100" w:type="dxa"/>
            <w:vAlign w:val="bottom"/>
            <w:tcBorders>
              <w:bottom w:val="single" w:sz="8" w:color="E0E0E0"/>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gridSpan w:val="2"/>
            <w:shd w:val="clear" w:color="auto" w:fill="E0E0E0"/>
          </w:tcPr>
          <w:p>
            <w:pPr>
              <w:spacing w:after="0" w:line="227" w:lineRule="exact"/>
              <w:rPr>
                <w:sz w:val="20"/>
                <w:szCs w:val="20"/>
                <w:color w:val="auto"/>
              </w:rPr>
            </w:pPr>
            <w:r>
              <w:rPr>
                <w:rFonts w:ascii="Arial" w:cs="Arial" w:eastAsia="Arial" w:hAnsi="Arial"/>
                <w:sz w:val="21"/>
                <w:szCs w:val="21"/>
                <w:color w:val="auto"/>
              </w:rPr>
              <w:t>Comprehensive loss attributable to common stockholders</w:t>
            </w:r>
          </w:p>
        </w:tc>
        <w:tc>
          <w:tcPr>
            <w:tcW w:w="180" w:type="dxa"/>
            <w:vAlign w:val="bottom"/>
            <w:shd w:val="clear" w:color="auto" w:fill="E0E0E0"/>
          </w:tcPr>
          <w:p>
            <w:pPr>
              <w:jc w:val="right"/>
              <w:spacing w:after="0" w:line="228" w:lineRule="exact"/>
              <w:rPr>
                <w:sz w:val="20"/>
                <w:szCs w:val="20"/>
                <w:color w:val="auto"/>
              </w:rPr>
            </w:pPr>
            <w:r>
              <w:rPr>
                <w:rFonts w:ascii="Arial" w:cs="Arial" w:eastAsia="Arial" w:hAnsi="Arial"/>
                <w:sz w:val="20"/>
                <w:szCs w:val="20"/>
                <w:color w:val="auto"/>
                <w:w w:val="71"/>
              </w:rPr>
              <w:t>$</w:t>
            </w:r>
          </w:p>
        </w:tc>
        <w:tc>
          <w:tcPr>
            <w:tcW w:w="1300" w:type="dxa"/>
            <w:vAlign w:val="bottom"/>
            <w:tcBorders>
              <w:right w:val="single" w:sz="8" w:color="E0E0E0"/>
            </w:tcBorders>
            <w:gridSpan w:val="2"/>
            <w:shd w:val="clear" w:color="auto" w:fill="E0E0E0"/>
          </w:tcPr>
          <w:p>
            <w:pPr>
              <w:jc w:val="right"/>
              <w:ind w:right="43"/>
              <w:spacing w:after="0" w:line="227" w:lineRule="exact"/>
              <w:rPr>
                <w:sz w:val="20"/>
                <w:szCs w:val="20"/>
                <w:color w:val="auto"/>
              </w:rPr>
            </w:pPr>
            <w:r>
              <w:rPr>
                <w:rFonts w:ascii="Arial" w:cs="Arial" w:eastAsia="Arial" w:hAnsi="Arial"/>
                <w:sz w:val="21"/>
                <w:szCs w:val="21"/>
                <w:color w:val="auto"/>
              </w:rPr>
              <w:t>(97,207)</w:t>
            </w:r>
          </w:p>
        </w:tc>
        <w:tc>
          <w:tcPr>
            <w:tcW w:w="20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w w:val="85"/>
              </w:rPr>
              <w:t>$</w:t>
            </w:r>
          </w:p>
        </w:tc>
        <w:tc>
          <w:tcPr>
            <w:tcW w:w="1200" w:type="dxa"/>
            <w:vAlign w:val="bottom"/>
            <w:gridSpan w:val="2"/>
            <w:shd w:val="clear" w:color="auto" w:fill="E0E0E0"/>
          </w:tcPr>
          <w:p>
            <w:pPr>
              <w:jc w:val="right"/>
              <w:spacing w:after="0" w:line="227" w:lineRule="exact"/>
              <w:rPr>
                <w:sz w:val="20"/>
                <w:szCs w:val="20"/>
                <w:color w:val="auto"/>
              </w:rPr>
            </w:pPr>
            <w:r>
              <w:rPr>
                <w:rFonts w:ascii="Arial" w:cs="Arial" w:eastAsia="Arial" w:hAnsi="Arial"/>
                <w:sz w:val="21"/>
                <w:szCs w:val="21"/>
                <w:color w:val="auto"/>
              </w:rPr>
              <w:t>(55,274)</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21"/>
                <w:szCs w:val="21"/>
                <w:color w:val="auto"/>
              </w:rPr>
              <w:t>Net loss per share attributable to common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vMerge w:val="restart"/>
          </w:tcPr>
          <w:p>
            <w:pPr>
              <w:jc w:val="right"/>
              <w:ind w:right="43"/>
              <w:spacing w:after="0"/>
              <w:rPr>
                <w:sz w:val="20"/>
                <w:szCs w:val="20"/>
                <w:color w:val="auto"/>
              </w:rPr>
            </w:pPr>
            <w:r>
              <w:rPr>
                <w:rFonts w:ascii="Arial" w:cs="Arial" w:eastAsia="Arial" w:hAnsi="Arial"/>
                <w:sz w:val="21"/>
                <w:szCs w:val="21"/>
                <w:color w:val="auto"/>
              </w:rPr>
              <w:t>(2.53)</w:t>
            </w:r>
          </w:p>
        </w:tc>
        <w:tc>
          <w:tcPr>
            <w:tcW w:w="200" w:type="dxa"/>
            <w:vAlign w:val="bottom"/>
          </w:tcPr>
          <w:p>
            <w:pPr>
              <w:spacing w:after="0"/>
              <w:rPr>
                <w:sz w:val="17"/>
                <w:szCs w:val="17"/>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21"/>
                <w:szCs w:val="21"/>
                <w:color w:val="auto"/>
              </w:rPr>
              <w:t>(1.49)</w:t>
            </w:r>
          </w:p>
        </w:tc>
        <w:tc>
          <w:tcPr>
            <w:tcW w:w="0" w:type="dxa"/>
            <w:vAlign w:val="bottom"/>
          </w:tcPr>
          <w:p>
            <w:pPr>
              <w:spacing w:after="0"/>
              <w:rPr>
                <w:sz w:val="1"/>
                <w:szCs w:val="1"/>
                <w:color w:val="auto"/>
              </w:rPr>
            </w:pPr>
          </w:p>
        </w:tc>
      </w:tr>
      <w:tr>
        <w:trPr>
          <w:trHeight w:val="296"/>
        </w:trPr>
        <w:tc>
          <w:tcPr>
            <w:tcW w:w="6760" w:type="dxa"/>
            <w:vAlign w:val="bottom"/>
            <w:gridSpan w:val="2"/>
          </w:tcPr>
          <w:p>
            <w:pPr>
              <w:ind w:left="180"/>
              <w:spacing w:after="0"/>
              <w:rPr>
                <w:sz w:val="20"/>
                <w:szCs w:val="20"/>
                <w:color w:val="auto"/>
              </w:rPr>
            </w:pPr>
            <w:r>
              <w:rPr>
                <w:rFonts w:ascii="Arial" w:cs="Arial" w:eastAsia="Arial" w:hAnsi="Arial"/>
                <w:sz w:val="21"/>
                <w:szCs w:val="21"/>
                <w:color w:val="auto"/>
              </w:rPr>
              <w:t>stockholders, basic and diluted</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gridSpan w:val="2"/>
            <w:vMerge w:val="continue"/>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1"/>
                <w:szCs w:val="21"/>
                <w:color w:val="auto"/>
                <w:w w:val="85"/>
              </w:rPr>
              <w:t>$</w:t>
            </w:r>
          </w:p>
        </w:tc>
        <w:tc>
          <w:tcPr>
            <w:tcW w:w="12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60" w:type="dxa"/>
            <w:vAlign w:val="bottom"/>
            <w:tcBorders>
              <w:top w:val="single" w:sz="8" w:color="E0E0E0"/>
            </w:tcBorders>
            <w:gridSpan w:val="2"/>
            <w:shd w:val="clear" w:color="auto" w:fill="E0E0E0"/>
          </w:tcPr>
          <w:p>
            <w:pPr>
              <w:spacing w:after="0" w:line="203" w:lineRule="exact"/>
              <w:rPr>
                <w:sz w:val="20"/>
                <w:szCs w:val="20"/>
                <w:color w:val="auto"/>
              </w:rPr>
            </w:pPr>
            <w:r>
              <w:rPr>
                <w:rFonts w:ascii="Arial" w:cs="Arial" w:eastAsia="Arial" w:hAnsi="Arial"/>
                <w:sz w:val="21"/>
                <w:szCs w:val="21"/>
                <w:color w:val="auto"/>
              </w:rPr>
              <w:t>Weighted-average shares used in computing</w:t>
            </w:r>
          </w:p>
        </w:tc>
        <w:tc>
          <w:tcPr>
            <w:tcW w:w="180" w:type="dxa"/>
            <w:vAlign w:val="bottom"/>
            <w:tcBorders>
              <w:top w:val="single" w:sz="8" w:color="auto"/>
            </w:tcBorders>
            <w:shd w:val="clear" w:color="auto" w:fill="E0E0E0"/>
          </w:tcPr>
          <w:p>
            <w:pPr>
              <w:spacing w:after="0"/>
              <w:rPr>
                <w:sz w:val="17"/>
                <w:szCs w:val="17"/>
                <w:color w:val="auto"/>
              </w:rPr>
            </w:pPr>
          </w:p>
        </w:tc>
        <w:tc>
          <w:tcPr>
            <w:tcW w:w="1120" w:type="dxa"/>
            <w:vAlign w:val="bottom"/>
            <w:tcBorders>
              <w:top w:val="single" w:sz="8" w:color="auto"/>
            </w:tcBorders>
            <w:shd w:val="clear" w:color="auto" w:fill="E0E0E0"/>
          </w:tcPr>
          <w:p>
            <w:pPr>
              <w:spacing w:after="0"/>
              <w:rPr>
                <w:sz w:val="17"/>
                <w:szCs w:val="17"/>
                <w:color w:val="auto"/>
              </w:rPr>
            </w:pPr>
          </w:p>
        </w:tc>
        <w:tc>
          <w:tcPr>
            <w:tcW w:w="180" w:type="dxa"/>
            <w:vAlign w:val="bottom"/>
            <w:tcBorders>
              <w:top w:val="single" w:sz="8" w:color="E0E0E0"/>
              <w:right w:val="single" w:sz="8" w:color="E0E0E0"/>
            </w:tcBorders>
            <w:shd w:val="clear" w:color="auto" w:fill="E0E0E0"/>
          </w:tcPr>
          <w:p>
            <w:pPr>
              <w:spacing w:after="0"/>
              <w:rPr>
                <w:sz w:val="17"/>
                <w:szCs w:val="17"/>
                <w:color w:val="auto"/>
              </w:rPr>
            </w:pPr>
          </w:p>
        </w:tc>
        <w:tc>
          <w:tcPr>
            <w:tcW w:w="200" w:type="dxa"/>
            <w:vAlign w:val="bottom"/>
            <w:tcBorders>
              <w:top w:val="single" w:sz="8" w:color="auto"/>
            </w:tcBorders>
            <w:shd w:val="clear" w:color="auto" w:fill="E0E0E0"/>
          </w:tcPr>
          <w:p>
            <w:pPr>
              <w:spacing w:after="0"/>
              <w:rPr>
                <w:sz w:val="17"/>
                <w:szCs w:val="17"/>
                <w:color w:val="auto"/>
              </w:rPr>
            </w:pPr>
          </w:p>
        </w:tc>
        <w:tc>
          <w:tcPr>
            <w:tcW w:w="1100" w:type="dxa"/>
            <w:vAlign w:val="bottom"/>
            <w:tcBorders>
              <w:top w:val="single" w:sz="8" w:color="auto"/>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60" w:type="dxa"/>
            <w:vAlign w:val="bottom"/>
            <w:gridSpan w:val="2"/>
            <w:shd w:val="clear" w:color="auto" w:fill="E0E0E0"/>
          </w:tcPr>
          <w:p>
            <w:pPr>
              <w:ind w:left="180"/>
              <w:spacing w:after="0"/>
              <w:rPr>
                <w:sz w:val="20"/>
                <w:szCs w:val="20"/>
                <w:color w:val="auto"/>
              </w:rPr>
            </w:pPr>
            <w:r>
              <w:rPr>
                <w:rFonts w:ascii="Arial" w:cs="Arial" w:eastAsia="Arial" w:hAnsi="Arial"/>
                <w:sz w:val="21"/>
                <w:szCs w:val="21"/>
                <w:color w:val="auto"/>
              </w:rPr>
              <w:t>net loss per share attributable to common</w:t>
            </w:r>
          </w:p>
        </w:tc>
        <w:tc>
          <w:tcPr>
            <w:tcW w:w="180" w:type="dxa"/>
            <w:vAlign w:val="bottom"/>
            <w:shd w:val="clear" w:color="auto" w:fill="E0E0E0"/>
          </w:tcPr>
          <w:p>
            <w:pPr>
              <w:spacing w:after="0"/>
              <w:rPr>
                <w:sz w:val="22"/>
                <w:szCs w:val="22"/>
                <w:color w:val="auto"/>
              </w:rPr>
            </w:pPr>
          </w:p>
        </w:tc>
        <w:tc>
          <w:tcPr>
            <w:tcW w:w="1120" w:type="dxa"/>
            <w:vAlign w:val="bottom"/>
            <w:shd w:val="clear" w:color="auto" w:fill="E0E0E0"/>
          </w:tcPr>
          <w:p>
            <w:pPr>
              <w:spacing w:after="0"/>
              <w:rPr>
                <w:sz w:val="22"/>
                <w:szCs w:val="22"/>
                <w:color w:val="auto"/>
              </w:rPr>
            </w:pPr>
          </w:p>
        </w:tc>
        <w:tc>
          <w:tcPr>
            <w:tcW w:w="180" w:type="dxa"/>
            <w:vAlign w:val="bottom"/>
            <w:tcBorders>
              <w:right w:val="single" w:sz="8" w:color="E0E0E0"/>
            </w:tcBorders>
            <w:shd w:val="clear" w:color="auto" w:fill="E0E0E0"/>
          </w:tcPr>
          <w:p>
            <w:pPr>
              <w:spacing w:after="0"/>
              <w:rPr>
                <w:sz w:val="22"/>
                <w:szCs w:val="22"/>
                <w:color w:val="auto"/>
              </w:rPr>
            </w:pPr>
          </w:p>
        </w:tc>
        <w:tc>
          <w:tcPr>
            <w:tcW w:w="200" w:type="dxa"/>
            <w:vAlign w:val="bottom"/>
            <w:shd w:val="clear" w:color="auto" w:fill="E0E0E0"/>
          </w:tcPr>
          <w:p>
            <w:pPr>
              <w:spacing w:after="0"/>
              <w:rPr>
                <w:sz w:val="22"/>
                <w:szCs w:val="22"/>
                <w:color w:val="auto"/>
              </w:rPr>
            </w:pPr>
          </w:p>
        </w:tc>
        <w:tc>
          <w:tcPr>
            <w:tcW w:w="1100" w:type="dxa"/>
            <w:vAlign w:val="bottom"/>
            <w:shd w:val="clear" w:color="auto" w:fill="E0E0E0"/>
          </w:tcPr>
          <w:p>
            <w:pPr>
              <w:spacing w:after="0"/>
              <w:rPr>
                <w:sz w:val="22"/>
                <w:szCs w:val="22"/>
                <w:color w:val="auto"/>
              </w:rPr>
            </w:pPr>
          </w:p>
        </w:tc>
        <w:tc>
          <w:tcPr>
            <w:tcW w:w="100" w:type="dxa"/>
            <w:vAlign w:val="bottom"/>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740" w:type="dxa"/>
            <w:vAlign w:val="bottom"/>
            <w:shd w:val="clear" w:color="auto" w:fill="E0E0E0"/>
          </w:tcPr>
          <w:p>
            <w:pPr>
              <w:ind w:left="180"/>
              <w:spacing w:after="0" w:line="237" w:lineRule="exact"/>
              <w:rPr>
                <w:sz w:val="20"/>
                <w:szCs w:val="20"/>
                <w:color w:val="auto"/>
              </w:rPr>
            </w:pPr>
            <w:r>
              <w:rPr>
                <w:rFonts w:ascii="Arial" w:cs="Arial" w:eastAsia="Arial" w:hAnsi="Arial"/>
                <w:sz w:val="21"/>
                <w:szCs w:val="21"/>
                <w:color w:val="auto"/>
              </w:rPr>
              <w:t>stockholders, basic and diluted</w:t>
            </w: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1300" w:type="dxa"/>
            <w:vAlign w:val="bottom"/>
            <w:tcBorders>
              <w:right w:val="single" w:sz="8" w:color="E0E0E0"/>
            </w:tcBorders>
            <w:gridSpan w:val="2"/>
            <w:shd w:val="clear" w:color="auto" w:fill="E0E0E0"/>
          </w:tcPr>
          <w:p>
            <w:pPr>
              <w:jc w:val="right"/>
              <w:ind w:right="103"/>
              <w:spacing w:after="0" w:line="237" w:lineRule="exact"/>
              <w:rPr>
                <w:sz w:val="20"/>
                <w:szCs w:val="20"/>
                <w:color w:val="auto"/>
              </w:rPr>
            </w:pPr>
            <w:r>
              <w:rPr>
                <w:rFonts w:ascii="Arial" w:cs="Arial" w:eastAsia="Arial" w:hAnsi="Arial"/>
                <w:sz w:val="21"/>
                <w:szCs w:val="21"/>
                <w:color w:val="auto"/>
              </w:rPr>
              <w:t>37,733,240</w:t>
            </w:r>
          </w:p>
        </w:tc>
        <w:tc>
          <w:tcPr>
            <w:tcW w:w="200" w:type="dxa"/>
            <w:vAlign w:val="bottom"/>
            <w:shd w:val="clear" w:color="auto" w:fill="E0E0E0"/>
          </w:tcPr>
          <w:p>
            <w:pPr>
              <w:spacing w:after="0"/>
              <w:rPr>
                <w:sz w:val="20"/>
                <w:szCs w:val="20"/>
                <w:color w:val="auto"/>
              </w:rPr>
            </w:pPr>
          </w:p>
        </w:tc>
        <w:tc>
          <w:tcPr>
            <w:tcW w:w="1200" w:type="dxa"/>
            <w:vAlign w:val="bottom"/>
            <w:gridSpan w:val="2"/>
            <w:shd w:val="clear" w:color="auto" w:fill="E0E0E0"/>
          </w:tcPr>
          <w:p>
            <w:pPr>
              <w:jc w:val="right"/>
              <w:spacing w:after="0" w:line="237" w:lineRule="exact"/>
              <w:rPr>
                <w:sz w:val="20"/>
                <w:szCs w:val="20"/>
                <w:color w:val="auto"/>
              </w:rPr>
            </w:pPr>
            <w:r>
              <w:rPr>
                <w:rFonts w:ascii="Arial" w:cs="Arial" w:eastAsia="Arial" w:hAnsi="Arial"/>
                <w:sz w:val="21"/>
                <w:szCs w:val="21"/>
                <w:color w:val="auto"/>
              </w:rPr>
              <w:t>36,921,172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4284980</wp:posOffset>
                </wp:positionH>
                <wp:positionV relativeFrom="paragraph">
                  <wp:posOffset>-1148080</wp:posOffset>
                </wp:positionV>
                <wp:extent cx="82804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829">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4pt,-90.3999pt" to="402.6pt,-90.3999pt" o:allowincell="f" strokecolor="#FFFFFF" strokeweight="0.144pt"/>
            </w:pict>
          </mc:Fallback>
        </mc:AlternateContent>
        <mc:AlternateContent>
          <mc:Choice Requires="wps">
            <w:drawing>
              <wp:anchor simplePos="0" relativeHeight="251657728" behindDoc="1" locked="0" layoutInCell="0" allowOverlap="1">
                <wp:simplePos x="0" y="0"/>
                <wp:positionH relativeFrom="column">
                  <wp:posOffset>5233035</wp:posOffset>
                </wp:positionH>
                <wp:positionV relativeFrom="paragraph">
                  <wp:posOffset>-1148080</wp:posOffset>
                </wp:positionV>
                <wp:extent cx="82804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829">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05pt,-90.3999pt" to="477.25pt,-90.3999pt" o:allowincell="f" strokecolor="#FFFFFF" strokeweight="0.14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-825500</wp:posOffset>
                </wp:positionV>
                <wp:extent cx="428498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84980" cy="4763"/>
                        </a:xfrm>
                        <a:prstGeom prst="line">
                          <a:avLst/>
                        </a:prstGeom>
                        <a:solidFill>
                          <a:srgbClr val="FFFFFF"/>
                        </a:solidFill>
                        <a:ln w="29833">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5pt" to="337.4pt,-65pt" o:allowincell="f" strokecolor="#FFFFFF" strokeweight="2.3491pt"/>
            </w:pict>
          </mc:Fallback>
        </mc:AlternateContent>
        <mc:AlternateContent>
          <mc:Choice Requires="wps">
            <w:drawing>
              <wp:anchor simplePos="0" relativeHeight="251657728" behindDoc="1" locked="0" layoutInCell="0" allowOverlap="1">
                <wp:simplePos x="0" y="0"/>
                <wp:positionH relativeFrom="column">
                  <wp:posOffset>4284980</wp:posOffset>
                </wp:positionH>
                <wp:positionV relativeFrom="paragraph">
                  <wp:posOffset>-811530</wp:posOffset>
                </wp:positionV>
                <wp:extent cx="82804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4pt,-63.8999pt" to="402.6pt,-63.89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5233035</wp:posOffset>
                </wp:positionH>
                <wp:positionV relativeFrom="paragraph">
                  <wp:posOffset>-811530</wp:posOffset>
                </wp:positionV>
                <wp:extent cx="82804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05pt,-63.8999pt" to="477.25pt,-63.8999pt" o:allowincell="f" strokecolor="#FFFFFF" strokeweight="0.1439pt"/>
            </w:pict>
          </mc:Fallback>
        </mc:AlternateConten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The accompanying notes are an integral part of these consolidated financial statements.</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135</w:t>
      </w:r>
    </w:p>
    <w:p>
      <w:pPr>
        <w:sectPr>
          <w:pgSz w:w="12240" w:h="15840" w:orient="portrait"/>
          <w:cols w:equalWidth="0" w:num="1">
            <w:col w:w="9640"/>
          </w:cols>
          <w:pgMar w:left="1300" w:top="1222" w:right="1300" w:bottom="0" w:gutter="0" w:footer="0" w:header="0"/>
          <w:type w:val="continuous"/>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55" w:type="dxa"/>
            <w:vAlign w:val="bottom"/>
            <w:textDirection w:val="tbRl"/>
          </w:tcPr>
          <w:p>
            <w:pPr>
              <w:spacing w:after="0"/>
              <w:rPr>
                <w:sz w:val="20"/>
                <w:szCs w:val="20"/>
                <w:color w:val="auto"/>
              </w:rPr>
            </w:pPr>
            <w:r>
              <w:rPr>
                <w:rFonts w:ascii="Arial" w:cs="Arial" w:eastAsia="Arial" w:hAnsi="Arial"/>
                <w:sz w:val="21"/>
                <w:szCs w:val="21"/>
                <w:color w:val="auto"/>
              </w:rPr>
              <w:t>13</w:t>
            </w:r>
            <w:r>
              <w:rPr>
                <w:rFonts w:ascii="PMingLiU" w:cs="PMingLiU" w:eastAsia="PMingLiU" w:hAnsi="PMingLiU"/>
                <w:sz w:val="21"/>
                <w:szCs w:val="21"/>
                <w:color w:val="auto"/>
              </w:rPr>
              <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1"/>
          <w:szCs w:val="21"/>
          <w:b w:val="1"/>
          <w:bCs w:val="1"/>
          <w:color w:val="auto"/>
        </w:rPr>
        <w:t>Athira Pharma,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Statements of Stockholders’ Equity</w:t>
      </w:r>
    </w:p>
    <w:p>
      <w:pPr>
        <w:jc w:val="center"/>
        <w:spacing w:after="0" w:line="235" w:lineRule="auto"/>
        <w:rPr>
          <w:sz w:val="20"/>
          <w:szCs w:val="20"/>
          <w:color w:val="auto"/>
        </w:rPr>
      </w:pPr>
      <w:r>
        <w:rPr>
          <w:rFonts w:ascii="Arial" w:cs="Arial" w:eastAsia="Arial" w:hAnsi="Arial"/>
          <w:sz w:val="21"/>
          <w:szCs w:val="21"/>
          <w:b w:val="1"/>
          <w:bCs w:val="1"/>
          <w:color w:val="auto"/>
        </w:rPr>
        <w:t>(in thousands, except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Additional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Total</w:t>
            </w:r>
          </w:p>
        </w:tc>
      </w:tr>
      <w:tr>
        <w:trPr>
          <w:trHeight w:val="225"/>
        </w:trPr>
        <w:tc>
          <w:tcPr>
            <w:tcW w:w="4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Paid-In</w:t>
            </w:r>
          </w:p>
        </w:tc>
        <w:tc>
          <w:tcPr>
            <w:tcW w:w="20" w:type="dxa"/>
            <w:vAlign w:val="bottom"/>
          </w:tcPr>
          <w:p>
            <w:pPr>
              <w:spacing w:after="0"/>
              <w:rPr>
                <w:sz w:val="19"/>
                <w:szCs w:val="19"/>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Accumulated</w:t>
            </w:r>
          </w:p>
        </w:tc>
        <w:tc>
          <w:tcPr>
            <w:tcW w:w="20" w:type="dxa"/>
            <w:vAlign w:val="bottom"/>
          </w:tcPr>
          <w:p>
            <w:pPr>
              <w:spacing w:after="0"/>
              <w:rPr>
                <w:sz w:val="19"/>
                <w:szCs w:val="19"/>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rPr>
              <w:t>Stockholders’</w:t>
            </w:r>
          </w:p>
        </w:tc>
      </w:tr>
      <w:tr>
        <w:trPr>
          <w:trHeight w:val="179"/>
        </w:trPr>
        <w:tc>
          <w:tcPr>
            <w:tcW w:w="42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20" w:type="dxa"/>
            <w:vAlign w:val="bottom"/>
            <w:tcBorders>
              <w:bottom w:val="single" w:sz="8" w:color="auto"/>
            </w:tcBorders>
          </w:tcPr>
          <w:p>
            <w:pPr>
              <w:jc w:val="right"/>
              <w:ind w:right="249"/>
              <w:spacing w:after="0" w:line="179" w:lineRule="exact"/>
              <w:rPr>
                <w:sz w:val="20"/>
                <w:szCs w:val="20"/>
                <w:color w:val="auto"/>
              </w:rPr>
            </w:pPr>
            <w:r>
              <w:rPr>
                <w:rFonts w:ascii="Arial" w:cs="Arial" w:eastAsia="Arial" w:hAnsi="Arial"/>
                <w:sz w:val="16"/>
                <w:szCs w:val="16"/>
                <w:b w:val="1"/>
                <w:bCs w:val="1"/>
                <w:color w:val="auto"/>
              </w:rPr>
              <w:t>Shares</w:t>
            </w:r>
          </w:p>
        </w:tc>
        <w:tc>
          <w:tcPr>
            <w:tcW w:w="2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9"/>
              <w:spacing w:after="0" w:line="179" w:lineRule="exact"/>
              <w:rPr>
                <w:sz w:val="20"/>
                <w:szCs w:val="20"/>
                <w:color w:val="auto"/>
              </w:rPr>
            </w:pPr>
            <w:r>
              <w:rPr>
                <w:rFonts w:ascii="Arial" w:cs="Arial" w:eastAsia="Arial" w:hAnsi="Arial"/>
                <w:sz w:val="16"/>
                <w:szCs w:val="16"/>
                <w:b w:val="1"/>
                <w:bCs w:val="1"/>
                <w:color w:val="auto"/>
              </w:rPr>
              <w:t>Capital</w:t>
            </w:r>
          </w:p>
        </w:tc>
        <w:tc>
          <w:tcPr>
            <w:tcW w:w="2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
              <w:spacing w:after="0" w:line="179" w:lineRule="exact"/>
              <w:rPr>
                <w:sz w:val="20"/>
                <w:szCs w:val="20"/>
                <w:color w:val="auto"/>
              </w:rPr>
            </w:pPr>
            <w:r>
              <w:rPr>
                <w:rFonts w:ascii="Arial" w:cs="Arial" w:eastAsia="Arial" w:hAnsi="Arial"/>
                <w:sz w:val="16"/>
                <w:szCs w:val="16"/>
                <w:b w:val="1"/>
                <w:bCs w:val="1"/>
                <w:color w:val="auto"/>
              </w:rPr>
              <w:t>Income (Loss)</w:t>
            </w:r>
          </w:p>
        </w:tc>
        <w:tc>
          <w:tcPr>
            <w:tcW w:w="14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69"/>
              <w:spacing w:after="0" w:line="179" w:lineRule="exact"/>
              <w:rPr>
                <w:sz w:val="20"/>
                <w:szCs w:val="20"/>
                <w:color w:val="auto"/>
              </w:rPr>
            </w:pPr>
            <w:r>
              <w:rPr>
                <w:rFonts w:ascii="Arial" w:cs="Arial" w:eastAsia="Arial" w:hAnsi="Arial"/>
                <w:sz w:val="16"/>
                <w:szCs w:val="16"/>
                <w:b w:val="1"/>
                <w:bCs w:val="1"/>
                <w:color w:val="auto"/>
              </w:rPr>
              <w:t>Deficit</w:t>
            </w:r>
          </w:p>
        </w:tc>
        <w:tc>
          <w:tcPr>
            <w:tcW w:w="2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9"/>
              <w:spacing w:after="0" w:line="179" w:lineRule="exact"/>
              <w:rPr>
                <w:sz w:val="20"/>
                <w:szCs w:val="20"/>
                <w:color w:val="auto"/>
              </w:rPr>
            </w:pPr>
            <w:r>
              <w:rPr>
                <w:rFonts w:ascii="Arial" w:cs="Arial" w:eastAsia="Arial" w:hAnsi="Arial"/>
                <w:sz w:val="16"/>
                <w:szCs w:val="16"/>
                <w:b w:val="1"/>
                <w:bCs w:val="1"/>
                <w:color w:val="auto"/>
              </w:rPr>
              <w:t>Equity</w:t>
            </w:r>
          </w:p>
        </w:tc>
        <w:tc>
          <w:tcPr>
            <w:tcW w:w="140" w:type="dxa"/>
            <w:vAlign w:val="bottom"/>
            <w:tcBorders>
              <w:bottom w:val="single" w:sz="8" w:color="E0E0E0"/>
            </w:tcBorders>
            <w:gridSpan w:val="2"/>
          </w:tcPr>
          <w:p>
            <w:pPr>
              <w:spacing w:after="0"/>
              <w:rPr>
                <w:sz w:val="15"/>
                <w:szCs w:val="15"/>
                <w:color w:val="auto"/>
              </w:rPr>
            </w:pPr>
          </w:p>
        </w:tc>
      </w:tr>
      <w:tr>
        <w:trPr>
          <w:trHeight w:val="204"/>
        </w:trPr>
        <w:tc>
          <w:tcPr>
            <w:tcW w:w="4280" w:type="dxa"/>
            <w:vAlign w:val="bottom"/>
            <w:gridSpan w:val="2"/>
            <w:shd w:val="clear" w:color="auto" w:fill="E0E0E0"/>
          </w:tcPr>
          <w:p>
            <w:pPr>
              <w:spacing w:after="0" w:line="204" w:lineRule="exact"/>
              <w:rPr>
                <w:sz w:val="20"/>
                <w:szCs w:val="20"/>
                <w:color w:val="auto"/>
              </w:rPr>
            </w:pPr>
            <w:r>
              <w:rPr>
                <w:rFonts w:ascii="Arial" w:cs="Arial" w:eastAsia="Arial" w:hAnsi="Arial"/>
                <w:sz w:val="19"/>
                <w:szCs w:val="19"/>
                <w:b w:val="1"/>
                <w:bCs w:val="1"/>
                <w:color w:val="auto"/>
              </w:rPr>
              <w:t>Balance as of January 1, 2021</w:t>
            </w:r>
          </w:p>
        </w:tc>
        <w:tc>
          <w:tcPr>
            <w:tcW w:w="1220" w:type="dxa"/>
            <w:vAlign w:val="bottom"/>
            <w:shd w:val="clear" w:color="auto" w:fill="E0E0E0"/>
          </w:tcPr>
          <w:p>
            <w:pPr>
              <w:jc w:val="right"/>
              <w:spacing w:after="0" w:line="204" w:lineRule="exact"/>
              <w:rPr>
                <w:sz w:val="20"/>
                <w:szCs w:val="20"/>
                <w:color w:val="auto"/>
              </w:rPr>
            </w:pPr>
            <w:r>
              <w:rPr>
                <w:rFonts w:ascii="Arial" w:cs="Arial" w:eastAsia="Arial" w:hAnsi="Arial"/>
                <w:sz w:val="19"/>
                <w:szCs w:val="19"/>
                <w:color w:val="auto"/>
              </w:rPr>
              <w:t>32,485,784</w:t>
            </w:r>
          </w:p>
        </w:tc>
        <w:tc>
          <w:tcPr>
            <w:tcW w:w="1280" w:type="dxa"/>
            <w:vAlign w:val="bottom"/>
            <w:gridSpan w:val="3"/>
            <w:shd w:val="clear" w:color="auto" w:fill="E0E0E0"/>
          </w:tcPr>
          <w:p>
            <w:pPr>
              <w:jc w:val="right"/>
              <w:ind w:right="811"/>
              <w:spacing w:after="0" w:line="204" w:lineRule="exact"/>
              <w:rPr>
                <w:sz w:val="20"/>
                <w:szCs w:val="20"/>
                <w:color w:val="auto"/>
              </w:rPr>
            </w:pPr>
            <w:r>
              <w:rPr>
                <w:rFonts w:ascii="Arial" w:cs="Arial" w:eastAsia="Arial" w:hAnsi="Arial"/>
                <w:sz w:val="19"/>
                <w:szCs w:val="19"/>
                <w:color w:val="auto"/>
              </w:rPr>
              <w:t>$</w:t>
            </w:r>
          </w:p>
        </w:tc>
        <w:tc>
          <w:tcPr>
            <w:tcW w:w="500" w:type="dxa"/>
            <w:vAlign w:val="bottom"/>
            <w:gridSpan w:val="2"/>
            <w:shd w:val="clear" w:color="auto" w:fill="E0E0E0"/>
          </w:tcPr>
          <w:p>
            <w:pPr>
              <w:jc w:val="right"/>
              <w:ind w:right="260"/>
              <w:spacing w:after="0" w:line="204" w:lineRule="exact"/>
              <w:rPr>
                <w:sz w:val="20"/>
                <w:szCs w:val="20"/>
                <w:color w:val="auto"/>
              </w:rPr>
            </w:pPr>
            <w:r>
              <w:rPr>
                <w:rFonts w:ascii="Arial" w:cs="Arial" w:eastAsia="Arial" w:hAnsi="Arial"/>
                <w:sz w:val="19"/>
                <w:szCs w:val="19"/>
                <w:color w:val="auto"/>
              </w:rPr>
              <w:t>3</w:t>
            </w:r>
          </w:p>
        </w:tc>
        <w:tc>
          <w:tcPr>
            <w:tcW w:w="20" w:type="dxa"/>
            <w:vAlign w:val="bottom"/>
            <w:shd w:val="clear" w:color="auto" w:fill="E0E0E0"/>
          </w:tcPr>
          <w:p>
            <w:pPr>
              <w:spacing w:after="0"/>
              <w:rPr>
                <w:sz w:val="17"/>
                <w:szCs w:val="17"/>
                <w:color w:val="auto"/>
              </w:rPr>
            </w:pPr>
          </w:p>
        </w:tc>
        <w:tc>
          <w:tcPr>
            <w:tcW w:w="160" w:type="dxa"/>
            <w:vAlign w:val="bottom"/>
            <w:shd w:val="clear" w:color="auto" w:fill="E0E0E0"/>
          </w:tcPr>
          <w:p>
            <w:pPr>
              <w:jc w:val="right"/>
              <w:spacing w:after="0" w:line="204" w:lineRule="exact"/>
              <w:rPr>
                <w:sz w:val="20"/>
                <w:szCs w:val="20"/>
                <w:color w:val="auto"/>
              </w:rPr>
            </w:pPr>
            <w:r>
              <w:rPr>
                <w:rFonts w:ascii="Arial" w:cs="Arial" w:eastAsia="Arial" w:hAnsi="Arial"/>
                <w:sz w:val="19"/>
                <w:szCs w:val="19"/>
                <w:color w:val="auto"/>
                <w:w w:val="75"/>
              </w:rPr>
              <w:t>$</w:t>
            </w:r>
          </w:p>
        </w:tc>
        <w:tc>
          <w:tcPr>
            <w:tcW w:w="1080" w:type="dxa"/>
            <w:vAlign w:val="bottom"/>
            <w:shd w:val="clear" w:color="auto" w:fill="E0E0E0"/>
          </w:tcPr>
          <w:p>
            <w:pPr>
              <w:jc w:val="right"/>
              <w:spacing w:after="0" w:line="204" w:lineRule="exact"/>
              <w:rPr>
                <w:sz w:val="20"/>
                <w:szCs w:val="20"/>
                <w:color w:val="auto"/>
              </w:rPr>
            </w:pPr>
            <w:r>
              <w:rPr>
                <w:rFonts w:ascii="Arial" w:cs="Arial" w:eastAsia="Arial" w:hAnsi="Arial"/>
                <w:sz w:val="19"/>
                <w:szCs w:val="19"/>
                <w:color w:val="auto"/>
              </w:rPr>
              <w:t>315,288</w:t>
            </w:r>
          </w:p>
        </w:tc>
        <w:tc>
          <w:tcPr>
            <w:tcW w:w="2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jc w:val="right"/>
              <w:spacing w:after="0" w:line="204" w:lineRule="exact"/>
              <w:rPr>
                <w:sz w:val="20"/>
                <w:szCs w:val="20"/>
                <w:color w:val="auto"/>
              </w:rPr>
            </w:pPr>
            <w:r>
              <w:rPr>
                <w:rFonts w:ascii="Arial" w:cs="Arial" w:eastAsia="Arial" w:hAnsi="Arial"/>
                <w:sz w:val="19"/>
                <w:szCs w:val="19"/>
                <w:color w:val="auto"/>
                <w:w w:val="75"/>
              </w:rPr>
              <w:t>$</w:t>
            </w:r>
          </w:p>
        </w:tc>
        <w:tc>
          <w:tcPr>
            <w:tcW w:w="1260" w:type="dxa"/>
            <w:vAlign w:val="bottom"/>
            <w:shd w:val="clear" w:color="auto" w:fill="E0E0E0"/>
          </w:tcPr>
          <w:p>
            <w:pPr>
              <w:jc w:val="right"/>
              <w:spacing w:after="0" w:line="204" w:lineRule="exact"/>
              <w:rPr>
                <w:sz w:val="20"/>
                <w:szCs w:val="20"/>
                <w:color w:val="auto"/>
              </w:rPr>
            </w:pPr>
            <w:r>
              <w:rPr>
                <w:rFonts w:ascii="Arial" w:cs="Arial" w:eastAsia="Arial" w:hAnsi="Arial"/>
                <w:sz w:val="19"/>
                <w:szCs w:val="19"/>
                <w:color w:val="auto"/>
              </w:rPr>
              <w:t>33</w:t>
            </w:r>
          </w:p>
        </w:tc>
        <w:tc>
          <w:tcPr>
            <w:tcW w:w="140" w:type="dxa"/>
            <w:vAlign w:val="bottom"/>
            <w:shd w:val="clear" w:color="auto" w:fill="E0E0E0"/>
          </w:tcPr>
          <w:p>
            <w:pPr>
              <w:spacing w:after="0"/>
              <w:rPr>
                <w:sz w:val="17"/>
                <w:szCs w:val="17"/>
                <w:color w:val="auto"/>
              </w:rPr>
            </w:pPr>
          </w:p>
        </w:tc>
        <w:tc>
          <w:tcPr>
            <w:tcW w:w="240" w:type="dxa"/>
            <w:vAlign w:val="bottom"/>
            <w:gridSpan w:val="3"/>
            <w:shd w:val="clear" w:color="auto" w:fill="E0E0E0"/>
          </w:tcPr>
          <w:p>
            <w:pPr>
              <w:jc w:val="right"/>
              <w:spacing w:after="0" w:line="204" w:lineRule="exact"/>
              <w:rPr>
                <w:sz w:val="20"/>
                <w:szCs w:val="20"/>
                <w:color w:val="auto"/>
              </w:rPr>
            </w:pPr>
            <w:r>
              <w:rPr>
                <w:rFonts w:ascii="Arial" w:cs="Arial" w:eastAsia="Arial" w:hAnsi="Arial"/>
                <w:sz w:val="19"/>
                <w:szCs w:val="19"/>
                <w:color w:val="auto"/>
              </w:rPr>
              <w:t>$</w:t>
            </w:r>
          </w:p>
        </w:tc>
        <w:tc>
          <w:tcPr>
            <w:tcW w:w="1400" w:type="dxa"/>
            <w:vAlign w:val="bottom"/>
            <w:gridSpan w:val="2"/>
            <w:shd w:val="clear" w:color="auto" w:fill="E0E0E0"/>
          </w:tcPr>
          <w:p>
            <w:pPr>
              <w:jc w:val="right"/>
              <w:ind w:right="200"/>
              <w:spacing w:after="0" w:line="204" w:lineRule="exact"/>
              <w:rPr>
                <w:sz w:val="20"/>
                <w:szCs w:val="20"/>
                <w:color w:val="auto"/>
              </w:rPr>
            </w:pPr>
            <w:r>
              <w:rPr>
                <w:rFonts w:ascii="Arial" w:cs="Arial" w:eastAsia="Arial" w:hAnsi="Arial"/>
                <w:sz w:val="19"/>
                <w:szCs w:val="19"/>
                <w:color w:val="auto"/>
              </w:rPr>
              <w:t>(41,042)</w:t>
            </w:r>
          </w:p>
        </w:tc>
        <w:tc>
          <w:tcPr>
            <w:tcW w:w="260" w:type="dxa"/>
            <w:vAlign w:val="bottom"/>
            <w:gridSpan w:val="2"/>
            <w:shd w:val="clear" w:color="auto" w:fill="E0E0E0"/>
          </w:tcPr>
          <w:p>
            <w:pPr>
              <w:jc w:val="right"/>
              <w:ind w:right="51"/>
              <w:spacing w:after="0" w:line="204" w:lineRule="exact"/>
              <w:rPr>
                <w:sz w:val="20"/>
                <w:szCs w:val="20"/>
                <w:color w:val="auto"/>
              </w:rPr>
            </w:pPr>
            <w:r>
              <w:rPr>
                <w:rFonts w:ascii="Arial" w:cs="Arial" w:eastAsia="Arial" w:hAnsi="Arial"/>
                <w:sz w:val="19"/>
                <w:szCs w:val="19"/>
                <w:color w:val="auto"/>
                <w:w w:val="94"/>
              </w:rPr>
              <w:t>$</w:t>
            </w:r>
          </w:p>
        </w:tc>
        <w:tc>
          <w:tcPr>
            <w:tcW w:w="1000" w:type="dxa"/>
            <w:vAlign w:val="bottom"/>
            <w:shd w:val="clear" w:color="auto" w:fill="E0E0E0"/>
          </w:tcPr>
          <w:p>
            <w:pPr>
              <w:jc w:val="right"/>
              <w:spacing w:after="0" w:line="204" w:lineRule="exact"/>
              <w:rPr>
                <w:sz w:val="20"/>
                <w:szCs w:val="20"/>
                <w:color w:val="auto"/>
              </w:rPr>
            </w:pPr>
            <w:r>
              <w:rPr>
                <w:rFonts w:ascii="Arial" w:cs="Arial" w:eastAsia="Arial" w:hAnsi="Arial"/>
                <w:sz w:val="19"/>
                <w:szCs w:val="19"/>
                <w:color w:val="auto"/>
              </w:rPr>
              <w:t>274,282</w:t>
            </w: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r>
      <w:tr>
        <w:trPr>
          <w:trHeight w:val="173"/>
        </w:trPr>
        <w:tc>
          <w:tcPr>
            <w:tcW w:w="4280" w:type="dxa"/>
            <w:vAlign w:val="bottom"/>
            <w:gridSpan w:val="2"/>
          </w:tcPr>
          <w:p>
            <w:pPr>
              <w:ind w:left="220"/>
              <w:spacing w:after="0" w:line="173" w:lineRule="exact"/>
              <w:rPr>
                <w:sz w:val="20"/>
                <w:szCs w:val="20"/>
                <w:color w:val="auto"/>
              </w:rPr>
            </w:pPr>
            <w:r>
              <w:rPr>
                <w:rFonts w:ascii="Arial" w:cs="Arial" w:eastAsia="Arial" w:hAnsi="Arial"/>
                <w:sz w:val="19"/>
                <w:szCs w:val="19"/>
                <w:color w:val="auto"/>
              </w:rPr>
              <w:t>Issuance of common stock upon exercise of</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4"/>
        </w:trPr>
        <w:tc>
          <w:tcPr>
            <w:tcW w:w="4280" w:type="dxa"/>
            <w:vAlign w:val="bottom"/>
            <w:gridSpan w:val="2"/>
          </w:tcPr>
          <w:p>
            <w:pPr>
              <w:ind w:left="360"/>
              <w:spacing w:after="0" w:line="214" w:lineRule="exact"/>
              <w:rPr>
                <w:sz w:val="20"/>
                <w:szCs w:val="20"/>
                <w:color w:val="auto"/>
              </w:rPr>
            </w:pPr>
            <w:r>
              <w:rPr>
                <w:rFonts w:ascii="Arial" w:cs="Arial" w:eastAsia="Arial" w:hAnsi="Arial"/>
                <w:sz w:val="19"/>
                <w:szCs w:val="19"/>
                <w:color w:val="auto"/>
              </w:rPr>
              <w:t>common stock options and vesting of</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2"/>
        </w:trPr>
        <w:tc>
          <w:tcPr>
            <w:tcW w:w="4280" w:type="dxa"/>
            <w:vAlign w:val="bottom"/>
            <w:gridSpan w:val="2"/>
          </w:tcPr>
          <w:p>
            <w:pPr>
              <w:ind w:left="360"/>
              <w:spacing w:after="0"/>
              <w:rPr>
                <w:sz w:val="20"/>
                <w:szCs w:val="20"/>
                <w:color w:val="auto"/>
              </w:rPr>
            </w:pPr>
            <w:r>
              <w:rPr>
                <w:rFonts w:ascii="Arial" w:cs="Arial" w:eastAsia="Arial" w:hAnsi="Arial"/>
                <w:sz w:val="19"/>
                <w:szCs w:val="19"/>
                <w:color w:val="auto"/>
              </w:rPr>
              <w:t>restricted stock units</w:t>
            </w:r>
          </w:p>
        </w:tc>
        <w:tc>
          <w:tcPr>
            <w:tcW w:w="1220" w:type="dxa"/>
            <w:vAlign w:val="bottom"/>
          </w:tcPr>
          <w:p>
            <w:pPr>
              <w:jc w:val="right"/>
              <w:spacing w:after="0"/>
              <w:rPr>
                <w:sz w:val="20"/>
                <w:szCs w:val="20"/>
                <w:color w:val="auto"/>
              </w:rPr>
            </w:pPr>
            <w:r>
              <w:rPr>
                <w:rFonts w:ascii="Arial" w:cs="Arial" w:eastAsia="Arial" w:hAnsi="Arial"/>
                <w:sz w:val="19"/>
                <w:szCs w:val="19"/>
                <w:color w:val="auto"/>
              </w:rPr>
              <w:t>266,653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327</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327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4"/>
        </w:trPr>
        <w:tc>
          <w:tcPr>
            <w:tcW w:w="4280" w:type="dxa"/>
            <w:vAlign w:val="bottom"/>
            <w:gridSpan w:val="2"/>
            <w:shd w:val="clear" w:color="auto" w:fill="E0E0E0"/>
          </w:tcPr>
          <w:p>
            <w:pPr>
              <w:ind w:left="220"/>
              <w:spacing w:after="0" w:line="214" w:lineRule="exact"/>
              <w:rPr>
                <w:sz w:val="20"/>
                <w:szCs w:val="20"/>
                <w:color w:val="auto"/>
              </w:rPr>
            </w:pPr>
            <w:r>
              <w:rPr>
                <w:rFonts w:ascii="Arial" w:cs="Arial" w:eastAsia="Arial" w:hAnsi="Arial"/>
                <w:sz w:val="19"/>
                <w:szCs w:val="19"/>
                <w:color w:val="auto"/>
              </w:rPr>
              <w:t>Issuance of common stock under</w:t>
            </w:r>
          </w:p>
        </w:tc>
        <w:tc>
          <w:tcPr>
            <w:tcW w:w="122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08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26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14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r>
      <w:tr>
        <w:trPr>
          <w:trHeight w:val="213"/>
        </w:trPr>
        <w:tc>
          <w:tcPr>
            <w:tcW w:w="4260" w:type="dxa"/>
            <w:vAlign w:val="bottom"/>
            <w:shd w:val="clear" w:color="auto" w:fill="E0E0E0"/>
          </w:tcPr>
          <w:p>
            <w:pPr>
              <w:ind w:left="360"/>
              <w:spacing w:after="0" w:line="213" w:lineRule="exact"/>
              <w:rPr>
                <w:sz w:val="20"/>
                <w:szCs w:val="20"/>
                <w:color w:val="auto"/>
              </w:rPr>
            </w:pPr>
            <w:r>
              <w:rPr>
                <w:rFonts w:ascii="Arial" w:cs="Arial" w:eastAsia="Arial" w:hAnsi="Arial"/>
                <w:sz w:val="19"/>
                <w:szCs w:val="19"/>
                <w:color w:val="auto"/>
              </w:rPr>
              <w:t>employee stock purchase plan</w:t>
            </w:r>
          </w:p>
        </w:tc>
        <w:tc>
          <w:tcPr>
            <w:tcW w:w="20" w:type="dxa"/>
            <w:vAlign w:val="bottom"/>
            <w:shd w:val="clear" w:color="auto" w:fill="E0E0E0"/>
          </w:tcPr>
          <w:p>
            <w:pPr>
              <w:spacing w:after="0"/>
              <w:rPr>
                <w:sz w:val="18"/>
                <w:szCs w:val="18"/>
                <w:color w:val="auto"/>
              </w:rPr>
            </w:pPr>
          </w:p>
        </w:tc>
        <w:tc>
          <w:tcPr>
            <w:tcW w:w="1220" w:type="dxa"/>
            <w:vAlign w:val="bottom"/>
            <w:shd w:val="clear" w:color="auto" w:fill="E0E0E0"/>
          </w:tcPr>
          <w:p>
            <w:pPr>
              <w:jc w:val="right"/>
              <w:spacing w:after="0" w:line="213" w:lineRule="exact"/>
              <w:rPr>
                <w:sz w:val="20"/>
                <w:szCs w:val="20"/>
                <w:color w:val="auto"/>
              </w:rPr>
            </w:pPr>
            <w:r>
              <w:rPr>
                <w:rFonts w:ascii="Arial" w:cs="Arial" w:eastAsia="Arial" w:hAnsi="Arial"/>
                <w:sz w:val="19"/>
                <w:szCs w:val="19"/>
                <w:color w:val="auto"/>
              </w:rPr>
              <w:t>26,640</w:t>
            </w:r>
          </w:p>
        </w:tc>
        <w:tc>
          <w:tcPr>
            <w:tcW w:w="2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520" w:type="dxa"/>
            <w:vAlign w:val="bottom"/>
            <w:gridSpan w:val="3"/>
            <w:shd w:val="clear" w:color="auto" w:fill="E0E0E0"/>
          </w:tcPr>
          <w:p>
            <w:pPr>
              <w:jc w:val="right"/>
              <w:ind w:right="280"/>
              <w:spacing w:after="0" w:line="213" w:lineRule="exact"/>
              <w:rPr>
                <w:sz w:val="20"/>
                <w:szCs w:val="20"/>
                <w:color w:val="auto"/>
              </w:rPr>
            </w:pPr>
            <w:r>
              <w:rPr>
                <w:rFonts w:ascii="Arial" w:cs="Arial" w:eastAsia="Arial" w:hAnsi="Arial"/>
                <w:sz w:val="19"/>
                <w:szCs w:val="19"/>
                <w:color w:val="auto"/>
              </w:rPr>
              <w:t>—</w:t>
            </w:r>
          </w:p>
        </w:tc>
        <w:tc>
          <w:tcPr>
            <w:tcW w:w="16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line="213" w:lineRule="exact"/>
              <w:rPr>
                <w:sz w:val="20"/>
                <w:szCs w:val="20"/>
                <w:color w:val="auto"/>
              </w:rPr>
            </w:pPr>
            <w:r>
              <w:rPr>
                <w:rFonts w:ascii="Arial" w:cs="Arial" w:eastAsia="Arial" w:hAnsi="Arial"/>
                <w:sz w:val="19"/>
                <w:szCs w:val="19"/>
                <w:color w:val="auto"/>
              </w:rPr>
              <w:t>364</w:t>
            </w:r>
          </w:p>
        </w:tc>
        <w:tc>
          <w:tcPr>
            <w:tcW w:w="2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260" w:type="dxa"/>
            <w:vAlign w:val="bottom"/>
            <w:shd w:val="clear" w:color="auto" w:fill="E0E0E0"/>
          </w:tcPr>
          <w:p>
            <w:pPr>
              <w:jc w:val="right"/>
              <w:spacing w:after="0" w:line="213" w:lineRule="exact"/>
              <w:rPr>
                <w:sz w:val="20"/>
                <w:szCs w:val="20"/>
                <w:color w:val="auto"/>
              </w:rPr>
            </w:pPr>
            <w:r>
              <w:rPr>
                <w:rFonts w:ascii="Arial" w:cs="Arial" w:eastAsia="Arial" w:hAnsi="Arial"/>
                <w:sz w:val="19"/>
                <w:szCs w:val="19"/>
                <w:color w:val="auto"/>
              </w:rPr>
              <w:t>—</w:t>
            </w:r>
          </w:p>
        </w:tc>
        <w:tc>
          <w:tcPr>
            <w:tcW w:w="14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400" w:type="dxa"/>
            <w:vAlign w:val="bottom"/>
            <w:gridSpan w:val="2"/>
            <w:shd w:val="clear" w:color="auto" w:fill="E0E0E0"/>
          </w:tcPr>
          <w:p>
            <w:pPr>
              <w:jc w:val="right"/>
              <w:ind w:right="260"/>
              <w:spacing w:after="0" w:line="213" w:lineRule="exact"/>
              <w:rPr>
                <w:sz w:val="20"/>
                <w:szCs w:val="20"/>
                <w:color w:val="auto"/>
              </w:rPr>
            </w:pPr>
            <w:r>
              <w:rPr>
                <w:rFonts w:ascii="Arial" w:cs="Arial" w:eastAsia="Arial" w:hAnsi="Arial"/>
                <w:sz w:val="19"/>
                <w:szCs w:val="19"/>
                <w:color w:val="auto"/>
              </w:rPr>
              <w:t>—</w:t>
            </w:r>
          </w:p>
        </w:tc>
        <w:tc>
          <w:tcPr>
            <w:tcW w:w="2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000" w:type="dxa"/>
            <w:vAlign w:val="bottom"/>
            <w:shd w:val="clear" w:color="auto" w:fill="E0E0E0"/>
          </w:tcPr>
          <w:p>
            <w:pPr>
              <w:jc w:val="right"/>
              <w:spacing w:after="0" w:line="213" w:lineRule="exact"/>
              <w:rPr>
                <w:sz w:val="20"/>
                <w:szCs w:val="20"/>
                <w:color w:val="auto"/>
              </w:rPr>
            </w:pPr>
            <w:r>
              <w:rPr>
                <w:rFonts w:ascii="Arial" w:cs="Arial" w:eastAsia="Arial" w:hAnsi="Arial"/>
                <w:sz w:val="19"/>
                <w:szCs w:val="19"/>
                <w:color w:val="auto"/>
              </w:rPr>
              <w:t>364</w:t>
            </w: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r>
      <w:tr>
        <w:trPr>
          <w:trHeight w:val="173"/>
        </w:trPr>
        <w:tc>
          <w:tcPr>
            <w:tcW w:w="4280" w:type="dxa"/>
            <w:vAlign w:val="bottom"/>
            <w:gridSpan w:val="2"/>
          </w:tcPr>
          <w:p>
            <w:pPr>
              <w:ind w:left="220"/>
              <w:spacing w:after="0" w:line="173" w:lineRule="exact"/>
              <w:rPr>
                <w:sz w:val="20"/>
                <w:szCs w:val="20"/>
                <w:color w:val="auto"/>
              </w:rPr>
            </w:pPr>
            <w:r>
              <w:rPr>
                <w:rFonts w:ascii="Arial" w:cs="Arial" w:eastAsia="Arial" w:hAnsi="Arial"/>
                <w:sz w:val="19"/>
                <w:szCs w:val="19"/>
                <w:color w:val="auto"/>
              </w:rPr>
              <w:t>Proceeds from follow-on public offering, net</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4"/>
        </w:trPr>
        <w:tc>
          <w:tcPr>
            <w:tcW w:w="4280" w:type="dxa"/>
            <w:vAlign w:val="bottom"/>
            <w:gridSpan w:val="2"/>
          </w:tcPr>
          <w:p>
            <w:pPr>
              <w:ind w:left="360"/>
              <w:spacing w:after="0" w:line="214" w:lineRule="exact"/>
              <w:rPr>
                <w:sz w:val="20"/>
                <w:szCs w:val="20"/>
                <w:color w:val="auto"/>
              </w:rPr>
            </w:pPr>
            <w:r>
              <w:rPr>
                <w:rFonts w:ascii="Arial" w:cs="Arial" w:eastAsia="Arial" w:hAnsi="Arial"/>
                <w:sz w:val="19"/>
                <w:szCs w:val="19"/>
                <w:color w:val="auto"/>
              </w:rPr>
              <w:t>of underwriters' discounts and commissions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2"/>
        </w:trPr>
        <w:tc>
          <w:tcPr>
            <w:tcW w:w="4280" w:type="dxa"/>
            <w:vAlign w:val="bottom"/>
            <w:gridSpan w:val="2"/>
          </w:tcPr>
          <w:p>
            <w:pPr>
              <w:ind w:left="360"/>
              <w:spacing w:after="0"/>
              <w:rPr>
                <w:sz w:val="20"/>
                <w:szCs w:val="20"/>
                <w:color w:val="auto"/>
              </w:rPr>
            </w:pPr>
            <w:r>
              <w:rPr>
                <w:rFonts w:ascii="Arial" w:cs="Arial" w:eastAsia="Arial" w:hAnsi="Arial"/>
                <w:sz w:val="19"/>
                <w:szCs w:val="19"/>
                <w:color w:val="auto"/>
              </w:rPr>
              <w:t>and issuance costs</w:t>
            </w:r>
          </w:p>
        </w:tc>
        <w:tc>
          <w:tcPr>
            <w:tcW w:w="1220" w:type="dxa"/>
            <w:vAlign w:val="bottom"/>
          </w:tcPr>
          <w:p>
            <w:pPr>
              <w:jc w:val="right"/>
              <w:spacing w:after="0"/>
              <w:rPr>
                <w:sz w:val="20"/>
                <w:szCs w:val="20"/>
                <w:color w:val="auto"/>
              </w:rPr>
            </w:pPr>
            <w:r>
              <w:rPr>
                <w:rFonts w:ascii="Arial" w:cs="Arial" w:eastAsia="Arial" w:hAnsi="Arial"/>
                <w:sz w:val="19"/>
                <w:szCs w:val="19"/>
                <w:color w:val="auto"/>
              </w:rPr>
              <w:t>4,600,000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9"/>
                <w:szCs w:val="19"/>
                <w:color w:val="auto"/>
              </w:rPr>
              <w:t>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96,761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96,762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4"/>
        </w:trPr>
        <w:tc>
          <w:tcPr>
            <w:tcW w:w="4280" w:type="dxa"/>
            <w:vAlign w:val="bottom"/>
            <w:gridSpan w:val="2"/>
            <w:shd w:val="clear" w:color="auto" w:fill="E0E0E0"/>
          </w:tcPr>
          <w:p>
            <w:pPr>
              <w:ind w:left="220"/>
              <w:spacing w:after="0" w:line="214" w:lineRule="exact"/>
              <w:rPr>
                <w:sz w:val="20"/>
                <w:szCs w:val="20"/>
                <w:color w:val="auto"/>
              </w:rPr>
            </w:pPr>
            <w:r>
              <w:rPr>
                <w:rFonts w:ascii="Arial" w:cs="Arial" w:eastAsia="Arial" w:hAnsi="Arial"/>
                <w:sz w:val="19"/>
                <w:szCs w:val="19"/>
                <w:color w:val="auto"/>
              </w:rPr>
              <w:t>Stock-based compensation</w:t>
            </w:r>
          </w:p>
        </w:tc>
        <w:tc>
          <w:tcPr>
            <w:tcW w:w="1220" w:type="dxa"/>
            <w:vAlign w:val="bottom"/>
            <w:shd w:val="clear" w:color="auto" w:fill="E0E0E0"/>
          </w:tcPr>
          <w:p>
            <w:pPr>
              <w:jc w:val="right"/>
              <w:spacing w:after="0" w:line="214" w:lineRule="exact"/>
              <w:rPr>
                <w:sz w:val="20"/>
                <w:szCs w:val="20"/>
                <w:color w:val="auto"/>
              </w:rPr>
            </w:pPr>
            <w:r>
              <w:rPr>
                <w:rFonts w:ascii="Arial" w:cs="Arial" w:eastAsia="Arial" w:hAnsi="Arial"/>
                <w:sz w:val="19"/>
                <w:szCs w:val="19"/>
                <w:color w:val="auto"/>
              </w:rPr>
              <w:t>—</w:t>
            </w:r>
          </w:p>
        </w:tc>
        <w:tc>
          <w:tcPr>
            <w:tcW w:w="2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520" w:type="dxa"/>
            <w:vAlign w:val="bottom"/>
            <w:gridSpan w:val="3"/>
            <w:shd w:val="clear" w:color="auto" w:fill="E0E0E0"/>
          </w:tcPr>
          <w:p>
            <w:pPr>
              <w:jc w:val="right"/>
              <w:ind w:right="280"/>
              <w:spacing w:after="0" w:line="214" w:lineRule="exact"/>
              <w:rPr>
                <w:sz w:val="20"/>
                <w:szCs w:val="20"/>
                <w:color w:val="auto"/>
              </w:rPr>
            </w:pPr>
            <w:r>
              <w:rPr>
                <w:rFonts w:ascii="Arial" w:cs="Arial" w:eastAsia="Arial" w:hAnsi="Arial"/>
                <w:sz w:val="19"/>
                <w:szCs w:val="19"/>
                <w:color w:val="auto"/>
              </w:rPr>
              <w:t>—</w:t>
            </w:r>
          </w:p>
        </w:tc>
        <w:tc>
          <w:tcPr>
            <w:tcW w:w="16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line="214" w:lineRule="exact"/>
              <w:rPr>
                <w:sz w:val="20"/>
                <w:szCs w:val="20"/>
                <w:color w:val="auto"/>
              </w:rPr>
            </w:pPr>
            <w:r>
              <w:rPr>
                <w:rFonts w:ascii="Arial" w:cs="Arial" w:eastAsia="Arial" w:hAnsi="Arial"/>
                <w:sz w:val="19"/>
                <w:szCs w:val="19"/>
                <w:color w:val="auto"/>
              </w:rPr>
              <w:t>4,623</w:t>
            </w:r>
          </w:p>
        </w:tc>
        <w:tc>
          <w:tcPr>
            <w:tcW w:w="2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260" w:type="dxa"/>
            <w:vAlign w:val="bottom"/>
            <w:shd w:val="clear" w:color="auto" w:fill="E0E0E0"/>
          </w:tcPr>
          <w:p>
            <w:pPr>
              <w:jc w:val="right"/>
              <w:spacing w:after="0" w:line="214" w:lineRule="exact"/>
              <w:rPr>
                <w:sz w:val="20"/>
                <w:szCs w:val="20"/>
                <w:color w:val="auto"/>
              </w:rPr>
            </w:pPr>
            <w:r>
              <w:rPr>
                <w:rFonts w:ascii="Arial" w:cs="Arial" w:eastAsia="Arial" w:hAnsi="Arial"/>
                <w:sz w:val="19"/>
                <w:szCs w:val="19"/>
                <w:color w:val="auto"/>
              </w:rPr>
              <w:t>—</w:t>
            </w:r>
          </w:p>
        </w:tc>
        <w:tc>
          <w:tcPr>
            <w:tcW w:w="14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400" w:type="dxa"/>
            <w:vAlign w:val="bottom"/>
            <w:gridSpan w:val="2"/>
            <w:shd w:val="clear" w:color="auto" w:fill="E0E0E0"/>
          </w:tcPr>
          <w:p>
            <w:pPr>
              <w:jc w:val="right"/>
              <w:ind w:right="260"/>
              <w:spacing w:after="0" w:line="214" w:lineRule="exact"/>
              <w:rPr>
                <w:sz w:val="20"/>
                <w:szCs w:val="20"/>
                <w:color w:val="auto"/>
              </w:rPr>
            </w:pPr>
            <w:r>
              <w:rPr>
                <w:rFonts w:ascii="Arial" w:cs="Arial" w:eastAsia="Arial" w:hAnsi="Arial"/>
                <w:sz w:val="19"/>
                <w:szCs w:val="19"/>
                <w:color w:val="auto"/>
              </w:rPr>
              <w:t>—</w:t>
            </w:r>
          </w:p>
        </w:tc>
        <w:tc>
          <w:tcPr>
            <w:tcW w:w="2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000" w:type="dxa"/>
            <w:vAlign w:val="bottom"/>
            <w:shd w:val="clear" w:color="auto" w:fill="E0E0E0"/>
          </w:tcPr>
          <w:p>
            <w:pPr>
              <w:jc w:val="right"/>
              <w:spacing w:after="0" w:line="214" w:lineRule="exact"/>
              <w:rPr>
                <w:sz w:val="20"/>
                <w:szCs w:val="20"/>
                <w:color w:val="auto"/>
              </w:rPr>
            </w:pPr>
            <w:r>
              <w:rPr>
                <w:rFonts w:ascii="Arial" w:cs="Arial" w:eastAsia="Arial" w:hAnsi="Arial"/>
                <w:sz w:val="19"/>
                <w:szCs w:val="19"/>
                <w:color w:val="auto"/>
              </w:rPr>
              <w:t>4,623</w:t>
            </w: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r>
      <w:tr>
        <w:trPr>
          <w:trHeight w:val="214"/>
        </w:trPr>
        <w:tc>
          <w:tcPr>
            <w:tcW w:w="4280" w:type="dxa"/>
            <w:vAlign w:val="bottom"/>
            <w:gridSpan w:val="2"/>
          </w:tcPr>
          <w:p>
            <w:pPr>
              <w:ind w:left="220"/>
              <w:spacing w:after="0" w:line="214" w:lineRule="exact"/>
              <w:rPr>
                <w:sz w:val="20"/>
                <w:szCs w:val="20"/>
                <w:color w:val="auto"/>
              </w:rPr>
            </w:pPr>
            <w:r>
              <w:rPr>
                <w:rFonts w:ascii="Arial" w:cs="Arial" w:eastAsia="Arial" w:hAnsi="Arial"/>
                <w:sz w:val="19"/>
                <w:szCs w:val="19"/>
                <w:color w:val="auto"/>
              </w:rPr>
              <w:t>Unrealized loss on available-for-sale securities</w:t>
            </w:r>
          </w:p>
        </w:tc>
        <w:tc>
          <w:tcPr>
            <w:tcW w:w="1220" w:type="dxa"/>
            <w:vAlign w:val="bottom"/>
          </w:tcPr>
          <w:p>
            <w:pPr>
              <w:jc w:val="right"/>
              <w:spacing w:after="0" w:line="214" w:lineRule="exact"/>
              <w:rPr>
                <w:sz w:val="20"/>
                <w:szCs w:val="20"/>
                <w:color w:val="auto"/>
              </w:rPr>
            </w:pPr>
            <w:r>
              <w:rPr>
                <w:rFonts w:ascii="Arial" w:cs="Arial" w:eastAsia="Arial" w:hAnsi="Arial"/>
                <w:sz w:val="19"/>
                <w:szCs w:val="19"/>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gridSpan w:val="3"/>
          </w:tcPr>
          <w:p>
            <w:pPr>
              <w:jc w:val="right"/>
              <w:ind w:right="280"/>
              <w:spacing w:after="0" w:line="214" w:lineRule="exact"/>
              <w:rPr>
                <w:sz w:val="20"/>
                <w:szCs w:val="20"/>
                <w:color w:val="auto"/>
              </w:rPr>
            </w:pPr>
            <w:r>
              <w:rPr>
                <w:rFonts w:ascii="Arial" w:cs="Arial" w:eastAsia="Arial" w:hAnsi="Arial"/>
                <w:sz w:val="19"/>
                <w:szCs w:val="19"/>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60"/>
              <w:spacing w:after="0" w:line="214"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line="214" w:lineRule="exact"/>
              <w:rPr>
                <w:sz w:val="20"/>
                <w:szCs w:val="20"/>
                <w:color w:val="auto"/>
              </w:rPr>
            </w:pPr>
            <w:r>
              <w:rPr>
                <w:rFonts w:ascii="Arial" w:cs="Arial" w:eastAsia="Arial" w:hAnsi="Arial"/>
                <w:sz w:val="19"/>
                <w:szCs w:val="19"/>
                <w:color w:val="auto"/>
              </w:rPr>
              <w:t>(421)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line="214"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80"/>
              <w:spacing w:after="0" w:line="214" w:lineRule="exact"/>
              <w:rPr>
                <w:sz w:val="20"/>
                <w:szCs w:val="20"/>
                <w:color w:val="auto"/>
              </w:rPr>
            </w:pPr>
            <w:r>
              <w:rPr>
                <w:rFonts w:ascii="Arial" w:cs="Arial" w:eastAsia="Arial" w:hAnsi="Arial"/>
                <w:sz w:val="19"/>
                <w:szCs w:val="19"/>
                <w:color w:val="auto"/>
              </w:rPr>
              <w:t>(421)</w:t>
            </w:r>
          </w:p>
        </w:tc>
      </w:tr>
      <w:tr>
        <w:trPr>
          <w:trHeight w:val="213"/>
        </w:trPr>
        <w:tc>
          <w:tcPr>
            <w:tcW w:w="4280" w:type="dxa"/>
            <w:vAlign w:val="bottom"/>
            <w:gridSpan w:val="2"/>
            <w:shd w:val="clear" w:color="auto" w:fill="E0E0E0"/>
          </w:tcPr>
          <w:p>
            <w:pPr>
              <w:ind w:left="220"/>
              <w:spacing w:after="0" w:line="213" w:lineRule="exact"/>
              <w:rPr>
                <w:sz w:val="20"/>
                <w:szCs w:val="20"/>
                <w:color w:val="auto"/>
              </w:rPr>
            </w:pPr>
            <w:r>
              <w:rPr>
                <w:rFonts w:ascii="Arial" w:cs="Arial" w:eastAsia="Arial" w:hAnsi="Arial"/>
                <w:sz w:val="19"/>
                <w:szCs w:val="19"/>
                <w:color w:val="auto"/>
              </w:rPr>
              <w:t>Net loss</w:t>
            </w:r>
          </w:p>
        </w:tc>
        <w:tc>
          <w:tcPr>
            <w:tcW w:w="1220" w:type="dxa"/>
            <w:vAlign w:val="bottom"/>
            <w:shd w:val="clear" w:color="auto" w:fill="E0E0E0"/>
          </w:tcPr>
          <w:p>
            <w:pPr>
              <w:jc w:val="right"/>
              <w:spacing w:after="0" w:line="213" w:lineRule="exact"/>
              <w:rPr>
                <w:sz w:val="20"/>
                <w:szCs w:val="20"/>
                <w:color w:val="auto"/>
              </w:rPr>
            </w:pPr>
            <w:r>
              <w:rPr>
                <w:rFonts w:ascii="Arial" w:cs="Arial" w:eastAsia="Arial" w:hAnsi="Arial"/>
                <w:sz w:val="19"/>
                <w:szCs w:val="19"/>
                <w:color w:val="auto"/>
              </w:rPr>
              <w:t>—</w:t>
            </w:r>
          </w:p>
        </w:tc>
        <w:tc>
          <w:tcPr>
            <w:tcW w:w="2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520" w:type="dxa"/>
            <w:vAlign w:val="bottom"/>
            <w:gridSpan w:val="3"/>
            <w:shd w:val="clear" w:color="auto" w:fill="E0E0E0"/>
          </w:tcPr>
          <w:p>
            <w:pPr>
              <w:jc w:val="right"/>
              <w:ind w:right="280"/>
              <w:spacing w:after="0" w:line="213" w:lineRule="exact"/>
              <w:rPr>
                <w:sz w:val="20"/>
                <w:szCs w:val="20"/>
                <w:color w:val="auto"/>
              </w:rPr>
            </w:pPr>
            <w:r>
              <w:rPr>
                <w:rFonts w:ascii="Arial" w:cs="Arial" w:eastAsia="Arial" w:hAnsi="Arial"/>
                <w:sz w:val="19"/>
                <w:szCs w:val="19"/>
                <w:color w:val="auto"/>
              </w:rPr>
              <w:t>—</w:t>
            </w:r>
          </w:p>
        </w:tc>
        <w:tc>
          <w:tcPr>
            <w:tcW w:w="160" w:type="dxa"/>
            <w:vAlign w:val="bottom"/>
            <w:shd w:val="clear" w:color="auto" w:fill="E0E0E0"/>
          </w:tcPr>
          <w:p>
            <w:pPr>
              <w:spacing w:after="0"/>
              <w:rPr>
                <w:sz w:val="18"/>
                <w:szCs w:val="18"/>
                <w:color w:val="auto"/>
              </w:rPr>
            </w:pPr>
          </w:p>
        </w:tc>
        <w:tc>
          <w:tcPr>
            <w:tcW w:w="1340" w:type="dxa"/>
            <w:vAlign w:val="bottom"/>
            <w:gridSpan w:val="2"/>
            <w:shd w:val="clear" w:color="auto" w:fill="E0E0E0"/>
          </w:tcPr>
          <w:p>
            <w:pPr>
              <w:jc w:val="right"/>
              <w:ind w:right="260"/>
              <w:spacing w:after="0" w:line="213" w:lineRule="exact"/>
              <w:rPr>
                <w:sz w:val="20"/>
                <w:szCs w:val="20"/>
                <w:color w:val="auto"/>
              </w:rPr>
            </w:pPr>
            <w:r>
              <w:rPr>
                <w:rFonts w:ascii="Arial" w:cs="Arial" w:eastAsia="Arial" w:hAnsi="Arial"/>
                <w:sz w:val="19"/>
                <w:szCs w:val="19"/>
                <w:color w:val="auto"/>
              </w:rPr>
              <w:t>—</w:t>
            </w: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260" w:type="dxa"/>
            <w:vAlign w:val="bottom"/>
            <w:shd w:val="clear" w:color="auto" w:fill="E0E0E0"/>
          </w:tcPr>
          <w:p>
            <w:pPr>
              <w:jc w:val="right"/>
              <w:spacing w:after="0" w:line="213" w:lineRule="exact"/>
              <w:rPr>
                <w:sz w:val="20"/>
                <w:szCs w:val="20"/>
                <w:color w:val="auto"/>
              </w:rPr>
            </w:pPr>
            <w:r>
              <w:rPr>
                <w:rFonts w:ascii="Arial" w:cs="Arial" w:eastAsia="Arial" w:hAnsi="Arial"/>
                <w:sz w:val="19"/>
                <w:szCs w:val="19"/>
                <w:color w:val="auto"/>
              </w:rPr>
              <w:t>—</w:t>
            </w:r>
          </w:p>
        </w:tc>
        <w:tc>
          <w:tcPr>
            <w:tcW w:w="14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400" w:type="dxa"/>
            <w:vAlign w:val="bottom"/>
            <w:gridSpan w:val="2"/>
            <w:shd w:val="clear" w:color="auto" w:fill="E0E0E0"/>
          </w:tcPr>
          <w:p>
            <w:pPr>
              <w:jc w:val="right"/>
              <w:ind w:right="200"/>
              <w:spacing w:after="0" w:line="213" w:lineRule="exact"/>
              <w:rPr>
                <w:sz w:val="20"/>
                <w:szCs w:val="20"/>
                <w:color w:val="auto"/>
              </w:rPr>
            </w:pPr>
            <w:r>
              <w:rPr>
                <w:rFonts w:ascii="Arial" w:cs="Arial" w:eastAsia="Arial" w:hAnsi="Arial"/>
                <w:sz w:val="19"/>
                <w:szCs w:val="19"/>
                <w:color w:val="auto"/>
              </w:rPr>
              <w:t>(54,853)</w:t>
            </w:r>
          </w:p>
        </w:tc>
        <w:tc>
          <w:tcPr>
            <w:tcW w:w="2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140" w:type="dxa"/>
            <w:vAlign w:val="bottom"/>
            <w:gridSpan w:val="3"/>
            <w:shd w:val="clear" w:color="auto" w:fill="E0E0E0"/>
          </w:tcPr>
          <w:p>
            <w:pPr>
              <w:jc w:val="right"/>
              <w:ind w:right="80"/>
              <w:spacing w:after="0" w:line="213" w:lineRule="exact"/>
              <w:rPr>
                <w:sz w:val="20"/>
                <w:szCs w:val="20"/>
                <w:color w:val="auto"/>
              </w:rPr>
            </w:pPr>
            <w:r>
              <w:rPr>
                <w:rFonts w:ascii="Arial" w:cs="Arial" w:eastAsia="Arial" w:hAnsi="Arial"/>
                <w:sz w:val="19"/>
                <w:szCs w:val="19"/>
                <w:color w:val="auto"/>
              </w:rPr>
              <w:t>(54,853)</w:t>
            </w:r>
          </w:p>
        </w:tc>
      </w:tr>
      <w:tr>
        <w:trPr>
          <w:trHeight w:val="244"/>
        </w:trPr>
        <w:tc>
          <w:tcPr>
            <w:tcW w:w="4280" w:type="dxa"/>
            <w:vAlign w:val="bottom"/>
            <w:tcBorders>
              <w:bottom w:val="single" w:sz="8" w:color="E0E0E0"/>
            </w:tcBorders>
            <w:gridSpan w:val="2"/>
          </w:tcPr>
          <w:p>
            <w:pPr>
              <w:spacing w:after="0" w:line="204" w:lineRule="exact"/>
              <w:rPr>
                <w:sz w:val="20"/>
                <w:szCs w:val="20"/>
                <w:color w:val="auto"/>
              </w:rPr>
            </w:pPr>
            <w:r>
              <w:rPr>
                <w:rFonts w:ascii="Arial" w:cs="Arial" w:eastAsia="Arial" w:hAnsi="Arial"/>
                <w:sz w:val="19"/>
                <w:szCs w:val="19"/>
                <w:b w:val="1"/>
                <w:bCs w:val="1"/>
                <w:color w:val="auto"/>
              </w:rPr>
              <w:t>Balance as of December 31, 2021</w:t>
            </w:r>
          </w:p>
        </w:tc>
        <w:tc>
          <w:tcPr>
            <w:tcW w:w="12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37,379,077</w:t>
            </w:r>
          </w:p>
        </w:tc>
        <w:tc>
          <w:tcPr>
            <w:tcW w:w="2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11"/>
              <w:spacing w:after="0" w:line="204" w:lineRule="exact"/>
              <w:rPr>
                <w:sz w:val="20"/>
                <w:szCs w:val="20"/>
                <w:color w:val="auto"/>
              </w:rPr>
            </w:pPr>
            <w:r>
              <w:rPr>
                <w:rFonts w:ascii="Arial" w:cs="Arial" w:eastAsia="Arial" w:hAnsi="Arial"/>
                <w:sz w:val="19"/>
                <w:szCs w:val="19"/>
                <w:color w:val="auto"/>
                <w:w w:val="75"/>
              </w:rPr>
              <w:t>$</w:t>
            </w:r>
          </w:p>
        </w:tc>
        <w:tc>
          <w:tcPr>
            <w:tcW w:w="2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4</w:t>
            </w:r>
          </w:p>
        </w:tc>
        <w:tc>
          <w:tcPr>
            <w:tcW w:w="2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9"/>
                <w:szCs w:val="19"/>
                <w:color w:val="auto"/>
                <w:w w:val="75"/>
              </w:rPr>
              <w:t>$</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417,363</w:t>
            </w:r>
          </w:p>
        </w:tc>
        <w:tc>
          <w:tcPr>
            <w:tcW w:w="2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9"/>
                <w:szCs w:val="19"/>
                <w:color w:val="auto"/>
                <w:w w:val="75"/>
              </w:rPr>
              <w:t>$</w:t>
            </w:r>
          </w:p>
        </w:tc>
        <w:tc>
          <w:tcPr>
            <w:tcW w:w="12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(388)</w:t>
            </w:r>
          </w:p>
        </w:tc>
        <w:tc>
          <w:tcPr>
            <w:tcW w:w="14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9"/>
                <w:szCs w:val="19"/>
                <w:color w:val="auto"/>
                <w:w w:val="75"/>
              </w:rPr>
              <w:t>$</w:t>
            </w:r>
          </w:p>
        </w:tc>
        <w:tc>
          <w:tcPr>
            <w:tcW w:w="11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(95,895)</w:t>
            </w:r>
          </w:p>
        </w:tc>
        <w:tc>
          <w:tcPr>
            <w:tcW w:w="2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1"/>
              <w:spacing w:after="0" w:line="204" w:lineRule="exact"/>
              <w:rPr>
                <w:sz w:val="20"/>
                <w:szCs w:val="20"/>
                <w:color w:val="auto"/>
              </w:rPr>
            </w:pPr>
            <w:r>
              <w:rPr>
                <w:rFonts w:ascii="Arial" w:cs="Arial" w:eastAsia="Arial" w:hAnsi="Arial"/>
                <w:sz w:val="19"/>
                <w:szCs w:val="19"/>
                <w:color w:val="auto"/>
                <w:w w:val="75"/>
              </w:rPr>
              <w:t>$</w:t>
            </w:r>
          </w:p>
        </w:tc>
        <w:tc>
          <w:tcPr>
            <w:tcW w:w="10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9"/>
                <w:szCs w:val="19"/>
                <w:color w:val="auto"/>
              </w:rPr>
              <w:t>321,084</w:t>
            </w: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r>
      <w:tr>
        <w:trPr>
          <w:trHeight w:val="160"/>
        </w:trPr>
        <w:tc>
          <w:tcPr>
            <w:tcW w:w="4280" w:type="dxa"/>
            <w:vAlign w:val="bottom"/>
            <w:gridSpan w:val="2"/>
            <w:shd w:val="clear" w:color="auto" w:fill="E0E0E0"/>
          </w:tcPr>
          <w:p>
            <w:pPr>
              <w:ind w:left="220"/>
              <w:spacing w:after="0" w:line="160" w:lineRule="exact"/>
              <w:rPr>
                <w:sz w:val="20"/>
                <w:szCs w:val="20"/>
                <w:color w:val="auto"/>
              </w:rPr>
            </w:pPr>
            <w:r>
              <w:rPr>
                <w:rFonts w:ascii="Arial" w:cs="Arial" w:eastAsia="Arial" w:hAnsi="Arial"/>
                <w:sz w:val="18"/>
                <w:szCs w:val="18"/>
                <w:color w:val="auto"/>
              </w:rPr>
              <w:t>Issuance of common stock upon exercise of</w:t>
            </w:r>
          </w:p>
        </w:tc>
        <w:tc>
          <w:tcPr>
            <w:tcW w:w="1220" w:type="dxa"/>
            <w:vAlign w:val="bottom"/>
            <w:shd w:val="clear" w:color="auto" w:fill="E0E0E0"/>
          </w:tcPr>
          <w:p>
            <w:pPr>
              <w:spacing w:after="0"/>
              <w:rPr>
                <w:sz w:val="13"/>
                <w:szCs w:val="13"/>
                <w:color w:val="auto"/>
              </w:rPr>
            </w:pPr>
          </w:p>
        </w:tc>
        <w:tc>
          <w:tcPr>
            <w:tcW w:w="26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6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60" w:type="dxa"/>
            <w:vAlign w:val="bottom"/>
            <w:shd w:val="clear" w:color="auto" w:fill="E0E0E0"/>
          </w:tcPr>
          <w:p>
            <w:pPr>
              <w:spacing w:after="0"/>
              <w:rPr>
                <w:sz w:val="13"/>
                <w:szCs w:val="13"/>
                <w:color w:val="auto"/>
              </w:rPr>
            </w:pPr>
          </w:p>
        </w:tc>
        <w:tc>
          <w:tcPr>
            <w:tcW w:w="1080" w:type="dxa"/>
            <w:vAlign w:val="bottom"/>
            <w:shd w:val="clear" w:color="auto" w:fill="E0E0E0"/>
          </w:tcPr>
          <w:p>
            <w:pPr>
              <w:spacing w:after="0"/>
              <w:rPr>
                <w:sz w:val="13"/>
                <w:szCs w:val="13"/>
                <w:color w:val="auto"/>
              </w:rPr>
            </w:pPr>
          </w:p>
        </w:tc>
        <w:tc>
          <w:tcPr>
            <w:tcW w:w="26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1260" w:type="dxa"/>
            <w:vAlign w:val="bottom"/>
            <w:shd w:val="clear" w:color="auto" w:fill="E0E0E0"/>
          </w:tcPr>
          <w:p>
            <w:pPr>
              <w:spacing w:after="0"/>
              <w:rPr>
                <w:sz w:val="13"/>
                <w:szCs w:val="13"/>
                <w:color w:val="auto"/>
              </w:rPr>
            </w:pPr>
          </w:p>
        </w:tc>
        <w:tc>
          <w:tcPr>
            <w:tcW w:w="14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1140" w:type="dxa"/>
            <w:vAlign w:val="bottom"/>
            <w:shd w:val="clear" w:color="auto" w:fill="E0E0E0"/>
          </w:tcPr>
          <w:p>
            <w:pPr>
              <w:spacing w:after="0"/>
              <w:rPr>
                <w:sz w:val="13"/>
                <w:szCs w:val="13"/>
                <w:color w:val="auto"/>
              </w:rPr>
            </w:pPr>
          </w:p>
        </w:tc>
        <w:tc>
          <w:tcPr>
            <w:tcW w:w="26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10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r>
      <w:tr>
        <w:trPr>
          <w:trHeight w:val="252"/>
        </w:trPr>
        <w:tc>
          <w:tcPr>
            <w:tcW w:w="4280" w:type="dxa"/>
            <w:vAlign w:val="bottom"/>
            <w:gridSpan w:val="2"/>
            <w:shd w:val="clear" w:color="auto" w:fill="E0E0E0"/>
          </w:tcPr>
          <w:p>
            <w:pPr>
              <w:ind w:left="360"/>
              <w:spacing w:after="0"/>
              <w:rPr>
                <w:sz w:val="20"/>
                <w:szCs w:val="20"/>
                <w:color w:val="auto"/>
              </w:rPr>
            </w:pPr>
            <w:r>
              <w:rPr>
                <w:rFonts w:ascii="Arial" w:cs="Arial" w:eastAsia="Arial" w:hAnsi="Arial"/>
                <w:sz w:val="19"/>
                <w:szCs w:val="19"/>
                <w:color w:val="auto"/>
              </w:rPr>
              <w:t>common stock options and vesting of</w:t>
            </w:r>
          </w:p>
        </w:tc>
        <w:tc>
          <w:tcPr>
            <w:tcW w:w="12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08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26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14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r>
      <w:tr>
        <w:trPr>
          <w:trHeight w:val="214"/>
        </w:trPr>
        <w:tc>
          <w:tcPr>
            <w:tcW w:w="4260" w:type="dxa"/>
            <w:vAlign w:val="bottom"/>
            <w:shd w:val="clear" w:color="auto" w:fill="E0E0E0"/>
          </w:tcPr>
          <w:p>
            <w:pPr>
              <w:ind w:left="360"/>
              <w:spacing w:after="0" w:line="214" w:lineRule="exact"/>
              <w:rPr>
                <w:sz w:val="20"/>
                <w:szCs w:val="20"/>
                <w:color w:val="auto"/>
              </w:rPr>
            </w:pPr>
            <w:r>
              <w:rPr>
                <w:rFonts w:ascii="Arial" w:cs="Arial" w:eastAsia="Arial" w:hAnsi="Arial"/>
                <w:sz w:val="19"/>
                <w:szCs w:val="19"/>
                <w:color w:val="auto"/>
              </w:rPr>
              <w:t>restricted stock units</w:t>
            </w:r>
          </w:p>
        </w:tc>
        <w:tc>
          <w:tcPr>
            <w:tcW w:w="20" w:type="dxa"/>
            <w:vAlign w:val="bottom"/>
            <w:shd w:val="clear" w:color="auto" w:fill="E0E0E0"/>
          </w:tcPr>
          <w:p>
            <w:pPr>
              <w:spacing w:after="0"/>
              <w:rPr>
                <w:sz w:val="18"/>
                <w:szCs w:val="18"/>
                <w:color w:val="auto"/>
              </w:rPr>
            </w:pPr>
          </w:p>
        </w:tc>
        <w:tc>
          <w:tcPr>
            <w:tcW w:w="1220" w:type="dxa"/>
            <w:vAlign w:val="bottom"/>
            <w:shd w:val="clear" w:color="auto" w:fill="E0E0E0"/>
          </w:tcPr>
          <w:p>
            <w:pPr>
              <w:jc w:val="right"/>
              <w:spacing w:after="0" w:line="214" w:lineRule="exact"/>
              <w:rPr>
                <w:sz w:val="20"/>
                <w:szCs w:val="20"/>
                <w:color w:val="auto"/>
              </w:rPr>
            </w:pPr>
            <w:r>
              <w:rPr>
                <w:rFonts w:ascii="Arial" w:cs="Arial" w:eastAsia="Arial" w:hAnsi="Arial"/>
                <w:sz w:val="19"/>
                <w:szCs w:val="19"/>
                <w:color w:val="auto"/>
              </w:rPr>
              <w:t>419,949</w:t>
            </w:r>
          </w:p>
        </w:tc>
        <w:tc>
          <w:tcPr>
            <w:tcW w:w="2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520" w:type="dxa"/>
            <w:vAlign w:val="bottom"/>
            <w:gridSpan w:val="3"/>
            <w:shd w:val="clear" w:color="auto" w:fill="E0E0E0"/>
          </w:tcPr>
          <w:p>
            <w:pPr>
              <w:jc w:val="right"/>
              <w:ind w:right="280"/>
              <w:spacing w:after="0" w:line="214" w:lineRule="exact"/>
              <w:rPr>
                <w:sz w:val="20"/>
                <w:szCs w:val="20"/>
                <w:color w:val="auto"/>
              </w:rPr>
            </w:pPr>
            <w:r>
              <w:rPr>
                <w:rFonts w:ascii="Arial" w:cs="Arial" w:eastAsia="Arial" w:hAnsi="Arial"/>
                <w:sz w:val="19"/>
                <w:szCs w:val="19"/>
                <w:color w:val="auto"/>
              </w:rPr>
              <w:t>—</w:t>
            </w:r>
          </w:p>
        </w:tc>
        <w:tc>
          <w:tcPr>
            <w:tcW w:w="16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line="214" w:lineRule="exact"/>
              <w:rPr>
                <w:sz w:val="20"/>
                <w:szCs w:val="20"/>
                <w:color w:val="auto"/>
              </w:rPr>
            </w:pPr>
            <w:r>
              <w:rPr>
                <w:rFonts w:ascii="Arial" w:cs="Arial" w:eastAsia="Arial" w:hAnsi="Arial"/>
                <w:sz w:val="19"/>
                <w:szCs w:val="19"/>
                <w:color w:val="auto"/>
              </w:rPr>
              <w:t>309</w:t>
            </w:r>
          </w:p>
        </w:tc>
        <w:tc>
          <w:tcPr>
            <w:tcW w:w="2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260" w:type="dxa"/>
            <w:vAlign w:val="bottom"/>
            <w:shd w:val="clear" w:color="auto" w:fill="E0E0E0"/>
          </w:tcPr>
          <w:p>
            <w:pPr>
              <w:jc w:val="right"/>
              <w:spacing w:after="0" w:line="214" w:lineRule="exact"/>
              <w:rPr>
                <w:sz w:val="20"/>
                <w:szCs w:val="20"/>
                <w:color w:val="auto"/>
              </w:rPr>
            </w:pPr>
            <w:r>
              <w:rPr>
                <w:rFonts w:ascii="Arial" w:cs="Arial" w:eastAsia="Arial" w:hAnsi="Arial"/>
                <w:sz w:val="19"/>
                <w:szCs w:val="19"/>
                <w:color w:val="auto"/>
              </w:rPr>
              <w:t>—</w:t>
            </w:r>
          </w:p>
        </w:tc>
        <w:tc>
          <w:tcPr>
            <w:tcW w:w="14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400" w:type="dxa"/>
            <w:vAlign w:val="bottom"/>
            <w:gridSpan w:val="2"/>
            <w:shd w:val="clear" w:color="auto" w:fill="E0E0E0"/>
          </w:tcPr>
          <w:p>
            <w:pPr>
              <w:jc w:val="right"/>
              <w:ind w:right="260"/>
              <w:spacing w:after="0" w:line="214" w:lineRule="exact"/>
              <w:rPr>
                <w:sz w:val="20"/>
                <w:szCs w:val="20"/>
                <w:color w:val="auto"/>
              </w:rPr>
            </w:pPr>
            <w:r>
              <w:rPr>
                <w:rFonts w:ascii="Arial" w:cs="Arial" w:eastAsia="Arial" w:hAnsi="Arial"/>
                <w:sz w:val="19"/>
                <w:szCs w:val="19"/>
                <w:color w:val="auto"/>
              </w:rPr>
              <w:t>—</w:t>
            </w:r>
          </w:p>
        </w:tc>
        <w:tc>
          <w:tcPr>
            <w:tcW w:w="2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000" w:type="dxa"/>
            <w:vAlign w:val="bottom"/>
            <w:shd w:val="clear" w:color="auto" w:fill="E0E0E0"/>
          </w:tcPr>
          <w:p>
            <w:pPr>
              <w:jc w:val="right"/>
              <w:spacing w:after="0" w:line="214" w:lineRule="exact"/>
              <w:rPr>
                <w:sz w:val="20"/>
                <w:szCs w:val="20"/>
                <w:color w:val="auto"/>
              </w:rPr>
            </w:pPr>
            <w:r>
              <w:rPr>
                <w:rFonts w:ascii="Arial" w:cs="Arial" w:eastAsia="Arial" w:hAnsi="Arial"/>
                <w:sz w:val="19"/>
                <w:szCs w:val="19"/>
                <w:color w:val="auto"/>
              </w:rPr>
              <w:t>309</w:t>
            </w: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r>
      <w:tr>
        <w:trPr>
          <w:trHeight w:val="173"/>
        </w:trPr>
        <w:tc>
          <w:tcPr>
            <w:tcW w:w="4280" w:type="dxa"/>
            <w:vAlign w:val="bottom"/>
            <w:gridSpan w:val="2"/>
          </w:tcPr>
          <w:p>
            <w:pPr>
              <w:ind w:left="220"/>
              <w:spacing w:after="0" w:line="173" w:lineRule="exact"/>
              <w:rPr>
                <w:sz w:val="20"/>
                <w:szCs w:val="20"/>
                <w:color w:val="auto"/>
              </w:rPr>
            </w:pPr>
            <w:r>
              <w:rPr>
                <w:rFonts w:ascii="Arial" w:cs="Arial" w:eastAsia="Arial" w:hAnsi="Arial"/>
                <w:sz w:val="19"/>
                <w:szCs w:val="19"/>
                <w:color w:val="auto"/>
              </w:rPr>
              <w:t>Issuance of common stock under</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52"/>
        </w:trPr>
        <w:tc>
          <w:tcPr>
            <w:tcW w:w="4280" w:type="dxa"/>
            <w:vAlign w:val="bottom"/>
            <w:gridSpan w:val="2"/>
          </w:tcPr>
          <w:p>
            <w:pPr>
              <w:ind w:left="360"/>
              <w:spacing w:after="0"/>
              <w:rPr>
                <w:sz w:val="20"/>
                <w:szCs w:val="20"/>
                <w:color w:val="auto"/>
              </w:rPr>
            </w:pPr>
            <w:r>
              <w:rPr>
                <w:rFonts w:ascii="Arial" w:cs="Arial" w:eastAsia="Arial" w:hAnsi="Arial"/>
                <w:sz w:val="19"/>
                <w:szCs w:val="19"/>
                <w:color w:val="auto"/>
              </w:rPr>
              <w:t>employee stock purchase plan</w:t>
            </w:r>
          </w:p>
        </w:tc>
        <w:tc>
          <w:tcPr>
            <w:tcW w:w="1220" w:type="dxa"/>
            <w:vAlign w:val="bottom"/>
          </w:tcPr>
          <w:p>
            <w:pPr>
              <w:jc w:val="right"/>
              <w:spacing w:after="0"/>
              <w:rPr>
                <w:sz w:val="20"/>
                <w:szCs w:val="20"/>
                <w:color w:val="auto"/>
              </w:rPr>
            </w:pPr>
            <w:r>
              <w:rPr>
                <w:rFonts w:ascii="Arial" w:cs="Arial" w:eastAsia="Arial" w:hAnsi="Arial"/>
                <w:sz w:val="19"/>
                <w:szCs w:val="19"/>
                <w:color w:val="auto"/>
              </w:rPr>
              <w:t>78,361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345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345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5"/>
        </w:trPr>
        <w:tc>
          <w:tcPr>
            <w:tcW w:w="4280" w:type="dxa"/>
            <w:vAlign w:val="bottom"/>
            <w:gridSpan w:val="2"/>
            <w:shd w:val="clear" w:color="auto" w:fill="E0E0E0"/>
          </w:tcPr>
          <w:p>
            <w:pPr>
              <w:ind w:left="220"/>
              <w:spacing w:after="0" w:line="215" w:lineRule="exact"/>
              <w:rPr>
                <w:sz w:val="20"/>
                <w:szCs w:val="20"/>
                <w:color w:val="auto"/>
              </w:rPr>
            </w:pPr>
            <w:r>
              <w:rPr>
                <w:rFonts w:ascii="Arial" w:cs="Arial" w:eastAsia="Arial" w:hAnsi="Arial"/>
                <w:sz w:val="19"/>
                <w:szCs w:val="19"/>
                <w:color w:val="auto"/>
              </w:rPr>
              <w:t>Stock-based compensation</w:t>
            </w:r>
          </w:p>
        </w:tc>
        <w:tc>
          <w:tcPr>
            <w:tcW w:w="1220" w:type="dxa"/>
            <w:vAlign w:val="bottom"/>
            <w:shd w:val="clear" w:color="auto" w:fill="E0E0E0"/>
          </w:tcPr>
          <w:p>
            <w:pPr>
              <w:jc w:val="right"/>
              <w:spacing w:after="0" w:line="215" w:lineRule="exact"/>
              <w:rPr>
                <w:sz w:val="20"/>
                <w:szCs w:val="20"/>
                <w:color w:val="auto"/>
              </w:rPr>
            </w:pPr>
            <w:r>
              <w:rPr>
                <w:rFonts w:ascii="Arial" w:cs="Arial" w:eastAsia="Arial" w:hAnsi="Arial"/>
                <w:sz w:val="19"/>
                <w:szCs w:val="19"/>
                <w:color w:val="auto"/>
              </w:rPr>
              <w:t>—</w:t>
            </w:r>
          </w:p>
        </w:tc>
        <w:tc>
          <w:tcPr>
            <w:tcW w:w="2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520" w:type="dxa"/>
            <w:vAlign w:val="bottom"/>
            <w:gridSpan w:val="3"/>
            <w:shd w:val="clear" w:color="auto" w:fill="E0E0E0"/>
          </w:tcPr>
          <w:p>
            <w:pPr>
              <w:jc w:val="right"/>
              <w:ind w:right="280"/>
              <w:spacing w:after="0" w:line="215" w:lineRule="exact"/>
              <w:rPr>
                <w:sz w:val="20"/>
                <w:szCs w:val="20"/>
                <w:color w:val="auto"/>
              </w:rPr>
            </w:pPr>
            <w:r>
              <w:rPr>
                <w:rFonts w:ascii="Arial" w:cs="Arial" w:eastAsia="Arial" w:hAnsi="Arial"/>
                <w:sz w:val="19"/>
                <w:szCs w:val="19"/>
                <w:color w:val="auto"/>
              </w:rPr>
              <w:t>—</w:t>
            </w:r>
          </w:p>
        </w:tc>
        <w:tc>
          <w:tcPr>
            <w:tcW w:w="16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line="215" w:lineRule="exact"/>
              <w:rPr>
                <w:sz w:val="20"/>
                <w:szCs w:val="20"/>
                <w:color w:val="auto"/>
              </w:rPr>
            </w:pPr>
            <w:r>
              <w:rPr>
                <w:rFonts w:ascii="Arial" w:cs="Arial" w:eastAsia="Arial" w:hAnsi="Arial"/>
                <w:sz w:val="19"/>
                <w:szCs w:val="19"/>
                <w:color w:val="auto"/>
              </w:rPr>
              <w:t>10,606</w:t>
            </w:r>
          </w:p>
        </w:tc>
        <w:tc>
          <w:tcPr>
            <w:tcW w:w="2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260" w:type="dxa"/>
            <w:vAlign w:val="bottom"/>
            <w:shd w:val="clear" w:color="auto" w:fill="E0E0E0"/>
          </w:tcPr>
          <w:p>
            <w:pPr>
              <w:jc w:val="right"/>
              <w:spacing w:after="0" w:line="215" w:lineRule="exact"/>
              <w:rPr>
                <w:sz w:val="20"/>
                <w:szCs w:val="20"/>
                <w:color w:val="auto"/>
              </w:rPr>
            </w:pPr>
            <w:r>
              <w:rPr>
                <w:rFonts w:ascii="Arial" w:cs="Arial" w:eastAsia="Arial" w:hAnsi="Arial"/>
                <w:sz w:val="19"/>
                <w:szCs w:val="19"/>
                <w:color w:val="auto"/>
              </w:rPr>
              <w:t>—</w:t>
            </w:r>
          </w:p>
        </w:tc>
        <w:tc>
          <w:tcPr>
            <w:tcW w:w="14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400" w:type="dxa"/>
            <w:vAlign w:val="bottom"/>
            <w:gridSpan w:val="2"/>
            <w:shd w:val="clear" w:color="auto" w:fill="E0E0E0"/>
          </w:tcPr>
          <w:p>
            <w:pPr>
              <w:jc w:val="right"/>
              <w:ind w:right="260"/>
              <w:spacing w:after="0" w:line="215" w:lineRule="exact"/>
              <w:rPr>
                <w:sz w:val="20"/>
                <w:szCs w:val="20"/>
                <w:color w:val="auto"/>
              </w:rPr>
            </w:pPr>
            <w:r>
              <w:rPr>
                <w:rFonts w:ascii="Arial" w:cs="Arial" w:eastAsia="Arial" w:hAnsi="Arial"/>
                <w:sz w:val="19"/>
                <w:szCs w:val="19"/>
                <w:color w:val="auto"/>
              </w:rPr>
              <w:t>—</w:t>
            </w:r>
          </w:p>
        </w:tc>
        <w:tc>
          <w:tcPr>
            <w:tcW w:w="2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000" w:type="dxa"/>
            <w:vAlign w:val="bottom"/>
            <w:shd w:val="clear" w:color="auto" w:fill="E0E0E0"/>
          </w:tcPr>
          <w:p>
            <w:pPr>
              <w:jc w:val="right"/>
              <w:spacing w:after="0" w:line="215" w:lineRule="exact"/>
              <w:rPr>
                <w:sz w:val="20"/>
                <w:szCs w:val="20"/>
                <w:color w:val="auto"/>
              </w:rPr>
            </w:pPr>
            <w:r>
              <w:rPr>
                <w:rFonts w:ascii="Arial" w:cs="Arial" w:eastAsia="Arial" w:hAnsi="Arial"/>
                <w:sz w:val="19"/>
                <w:szCs w:val="19"/>
                <w:color w:val="auto"/>
              </w:rPr>
              <w:t>10,606</w:t>
            </w:r>
          </w:p>
        </w:tc>
        <w:tc>
          <w:tcPr>
            <w:tcW w:w="2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r>
      <w:tr>
        <w:trPr>
          <w:trHeight w:val="213"/>
        </w:trPr>
        <w:tc>
          <w:tcPr>
            <w:tcW w:w="4280" w:type="dxa"/>
            <w:vAlign w:val="bottom"/>
            <w:gridSpan w:val="2"/>
          </w:tcPr>
          <w:p>
            <w:pPr>
              <w:ind w:left="220"/>
              <w:spacing w:after="0" w:line="213" w:lineRule="exact"/>
              <w:rPr>
                <w:sz w:val="20"/>
                <w:szCs w:val="20"/>
                <w:color w:val="auto"/>
              </w:rPr>
            </w:pPr>
            <w:r>
              <w:rPr>
                <w:rFonts w:ascii="Arial" w:cs="Arial" w:eastAsia="Arial" w:hAnsi="Arial"/>
                <w:sz w:val="19"/>
                <w:szCs w:val="19"/>
                <w:color w:val="auto"/>
              </w:rPr>
              <w:t>Unrealized loss on available-for-sale securities</w:t>
            </w:r>
          </w:p>
        </w:tc>
        <w:tc>
          <w:tcPr>
            <w:tcW w:w="1220" w:type="dxa"/>
            <w:vAlign w:val="bottom"/>
          </w:tcPr>
          <w:p>
            <w:pPr>
              <w:jc w:val="right"/>
              <w:spacing w:after="0" w:line="213" w:lineRule="exact"/>
              <w:rPr>
                <w:sz w:val="20"/>
                <w:szCs w:val="20"/>
                <w:color w:val="auto"/>
              </w:rPr>
            </w:pPr>
            <w:r>
              <w:rPr>
                <w:rFonts w:ascii="Arial" w:cs="Arial" w:eastAsia="Arial" w:hAnsi="Arial"/>
                <w:sz w:val="19"/>
                <w:szCs w:val="19"/>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gridSpan w:val="3"/>
          </w:tcPr>
          <w:p>
            <w:pPr>
              <w:jc w:val="right"/>
              <w:ind w:right="280"/>
              <w:spacing w:after="0" w:line="213" w:lineRule="exact"/>
              <w:rPr>
                <w:sz w:val="20"/>
                <w:szCs w:val="20"/>
                <w:color w:val="auto"/>
              </w:rPr>
            </w:pPr>
            <w:r>
              <w:rPr>
                <w:rFonts w:ascii="Arial" w:cs="Arial" w:eastAsia="Arial" w:hAnsi="Arial"/>
                <w:sz w:val="19"/>
                <w:szCs w:val="19"/>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60"/>
              <w:spacing w:after="0" w:line="213"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Arial" w:cs="Arial" w:eastAsia="Arial" w:hAnsi="Arial"/>
                <w:sz w:val="19"/>
                <w:szCs w:val="19"/>
                <w:color w:val="auto"/>
              </w:rPr>
              <w:t>(1,568)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line="213"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80"/>
              <w:spacing w:after="0" w:line="213" w:lineRule="exact"/>
              <w:rPr>
                <w:sz w:val="20"/>
                <w:szCs w:val="20"/>
                <w:color w:val="auto"/>
              </w:rPr>
            </w:pPr>
            <w:r>
              <w:rPr>
                <w:rFonts w:ascii="Arial" w:cs="Arial" w:eastAsia="Arial" w:hAnsi="Arial"/>
                <w:sz w:val="19"/>
                <w:szCs w:val="19"/>
                <w:color w:val="auto"/>
              </w:rPr>
              <w:t>(1,568)</w:t>
            </w:r>
          </w:p>
        </w:tc>
      </w:tr>
      <w:tr>
        <w:trPr>
          <w:trHeight w:val="214"/>
        </w:trPr>
        <w:tc>
          <w:tcPr>
            <w:tcW w:w="4280" w:type="dxa"/>
            <w:vAlign w:val="bottom"/>
            <w:gridSpan w:val="2"/>
            <w:shd w:val="clear" w:color="auto" w:fill="E0E0E0"/>
          </w:tcPr>
          <w:p>
            <w:pPr>
              <w:ind w:left="220"/>
              <w:spacing w:after="0" w:line="214" w:lineRule="exact"/>
              <w:rPr>
                <w:sz w:val="20"/>
                <w:szCs w:val="20"/>
                <w:color w:val="auto"/>
              </w:rPr>
            </w:pPr>
            <w:r>
              <w:rPr>
                <w:rFonts w:ascii="Arial" w:cs="Arial" w:eastAsia="Arial" w:hAnsi="Arial"/>
                <w:sz w:val="19"/>
                <w:szCs w:val="19"/>
                <w:color w:val="auto"/>
              </w:rPr>
              <w:t>Net loss</w:t>
            </w:r>
          </w:p>
        </w:tc>
        <w:tc>
          <w:tcPr>
            <w:tcW w:w="1220" w:type="dxa"/>
            <w:vAlign w:val="bottom"/>
            <w:shd w:val="clear" w:color="auto" w:fill="E0E0E0"/>
          </w:tcPr>
          <w:p>
            <w:pPr>
              <w:jc w:val="right"/>
              <w:spacing w:after="0" w:line="214" w:lineRule="exact"/>
              <w:rPr>
                <w:sz w:val="20"/>
                <w:szCs w:val="20"/>
                <w:color w:val="auto"/>
              </w:rPr>
            </w:pPr>
            <w:r>
              <w:rPr>
                <w:rFonts w:ascii="Arial" w:cs="Arial" w:eastAsia="Arial" w:hAnsi="Arial"/>
                <w:sz w:val="19"/>
                <w:szCs w:val="19"/>
                <w:color w:val="auto"/>
              </w:rPr>
              <w:t>—</w:t>
            </w:r>
          </w:p>
        </w:tc>
        <w:tc>
          <w:tcPr>
            <w:tcW w:w="2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520" w:type="dxa"/>
            <w:vAlign w:val="bottom"/>
            <w:gridSpan w:val="3"/>
            <w:shd w:val="clear" w:color="auto" w:fill="E0E0E0"/>
          </w:tcPr>
          <w:p>
            <w:pPr>
              <w:jc w:val="right"/>
              <w:ind w:right="280"/>
              <w:spacing w:after="0" w:line="214" w:lineRule="exact"/>
              <w:rPr>
                <w:sz w:val="20"/>
                <w:szCs w:val="20"/>
                <w:color w:val="auto"/>
              </w:rPr>
            </w:pPr>
            <w:r>
              <w:rPr>
                <w:rFonts w:ascii="Arial" w:cs="Arial" w:eastAsia="Arial" w:hAnsi="Arial"/>
                <w:sz w:val="19"/>
                <w:szCs w:val="19"/>
                <w:color w:val="auto"/>
              </w:rPr>
              <w:t>—</w:t>
            </w:r>
          </w:p>
        </w:tc>
        <w:tc>
          <w:tcPr>
            <w:tcW w:w="160" w:type="dxa"/>
            <w:vAlign w:val="bottom"/>
            <w:shd w:val="clear" w:color="auto" w:fill="E0E0E0"/>
          </w:tcPr>
          <w:p>
            <w:pPr>
              <w:spacing w:after="0"/>
              <w:rPr>
                <w:sz w:val="18"/>
                <w:szCs w:val="18"/>
                <w:color w:val="auto"/>
              </w:rPr>
            </w:pPr>
          </w:p>
        </w:tc>
        <w:tc>
          <w:tcPr>
            <w:tcW w:w="1340" w:type="dxa"/>
            <w:vAlign w:val="bottom"/>
            <w:gridSpan w:val="2"/>
            <w:shd w:val="clear" w:color="auto" w:fill="E0E0E0"/>
          </w:tcPr>
          <w:p>
            <w:pPr>
              <w:jc w:val="right"/>
              <w:ind w:right="260"/>
              <w:spacing w:after="0" w:line="214" w:lineRule="exact"/>
              <w:rPr>
                <w:sz w:val="20"/>
                <w:szCs w:val="20"/>
                <w:color w:val="auto"/>
              </w:rPr>
            </w:pPr>
            <w:r>
              <w:rPr>
                <w:rFonts w:ascii="Arial" w:cs="Arial" w:eastAsia="Arial" w:hAnsi="Arial"/>
                <w:sz w:val="19"/>
                <w:szCs w:val="19"/>
                <w:color w:val="auto"/>
              </w:rPr>
              <w:t>—</w:t>
            </w: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260" w:type="dxa"/>
            <w:vAlign w:val="bottom"/>
            <w:shd w:val="clear" w:color="auto" w:fill="E0E0E0"/>
          </w:tcPr>
          <w:p>
            <w:pPr>
              <w:jc w:val="right"/>
              <w:spacing w:after="0" w:line="214" w:lineRule="exact"/>
              <w:rPr>
                <w:sz w:val="20"/>
                <w:szCs w:val="20"/>
                <w:color w:val="auto"/>
              </w:rPr>
            </w:pPr>
            <w:r>
              <w:rPr>
                <w:rFonts w:ascii="Arial" w:cs="Arial" w:eastAsia="Arial" w:hAnsi="Arial"/>
                <w:sz w:val="19"/>
                <w:szCs w:val="19"/>
                <w:color w:val="auto"/>
              </w:rPr>
              <w:t>—</w:t>
            </w:r>
          </w:p>
        </w:tc>
        <w:tc>
          <w:tcPr>
            <w:tcW w:w="14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400" w:type="dxa"/>
            <w:vAlign w:val="bottom"/>
            <w:gridSpan w:val="2"/>
            <w:shd w:val="clear" w:color="auto" w:fill="E0E0E0"/>
          </w:tcPr>
          <w:p>
            <w:pPr>
              <w:jc w:val="right"/>
              <w:ind w:right="200"/>
              <w:spacing w:after="0" w:line="214" w:lineRule="exact"/>
              <w:rPr>
                <w:sz w:val="20"/>
                <w:szCs w:val="20"/>
                <w:color w:val="auto"/>
              </w:rPr>
            </w:pPr>
            <w:r>
              <w:rPr>
                <w:rFonts w:ascii="Arial" w:cs="Arial" w:eastAsia="Arial" w:hAnsi="Arial"/>
                <w:sz w:val="19"/>
                <w:szCs w:val="19"/>
                <w:color w:val="auto"/>
              </w:rPr>
              <w:t>(95,639)</w:t>
            </w:r>
          </w:p>
        </w:tc>
        <w:tc>
          <w:tcPr>
            <w:tcW w:w="2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140" w:type="dxa"/>
            <w:vAlign w:val="bottom"/>
            <w:gridSpan w:val="3"/>
            <w:shd w:val="clear" w:color="auto" w:fill="E0E0E0"/>
          </w:tcPr>
          <w:p>
            <w:pPr>
              <w:jc w:val="right"/>
              <w:ind w:right="80"/>
              <w:spacing w:after="0" w:line="214" w:lineRule="exact"/>
              <w:rPr>
                <w:sz w:val="20"/>
                <w:szCs w:val="20"/>
                <w:color w:val="auto"/>
              </w:rPr>
            </w:pPr>
            <w:r>
              <w:rPr>
                <w:rFonts w:ascii="Arial" w:cs="Arial" w:eastAsia="Arial" w:hAnsi="Arial"/>
                <w:sz w:val="19"/>
                <w:szCs w:val="19"/>
                <w:color w:val="auto"/>
              </w:rPr>
              <w:t>(95,639)</w:t>
            </w:r>
          </w:p>
        </w:tc>
      </w:tr>
      <w:tr>
        <w:trPr>
          <w:trHeight w:val="205"/>
        </w:trPr>
        <w:tc>
          <w:tcPr>
            <w:tcW w:w="4280" w:type="dxa"/>
            <w:vAlign w:val="bottom"/>
            <w:gridSpan w:val="2"/>
          </w:tcPr>
          <w:p>
            <w:pPr>
              <w:spacing w:after="0" w:line="205" w:lineRule="exact"/>
              <w:rPr>
                <w:sz w:val="20"/>
                <w:szCs w:val="20"/>
                <w:color w:val="auto"/>
              </w:rPr>
            </w:pPr>
            <w:r>
              <w:rPr>
                <w:rFonts w:ascii="Arial" w:cs="Arial" w:eastAsia="Arial" w:hAnsi="Arial"/>
                <w:sz w:val="19"/>
                <w:szCs w:val="19"/>
                <w:b w:val="1"/>
                <w:bCs w:val="1"/>
                <w:color w:val="auto"/>
              </w:rPr>
              <w:t>Balance as of December 31, 2022</w:t>
            </w:r>
          </w:p>
        </w:tc>
        <w:tc>
          <w:tcPr>
            <w:tcW w:w="12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9"/>
                <w:szCs w:val="19"/>
                <w:color w:val="auto"/>
              </w:rPr>
              <w:t>37,877,387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auto"/>
            </w:tcBorders>
          </w:tcPr>
          <w:p>
            <w:pPr>
              <w:jc w:val="right"/>
              <w:ind w:right="811"/>
              <w:spacing w:after="0" w:line="205" w:lineRule="exact"/>
              <w:rPr>
                <w:sz w:val="20"/>
                <w:szCs w:val="20"/>
                <w:color w:val="auto"/>
              </w:rPr>
            </w:pPr>
            <w:r>
              <w:rPr>
                <w:rFonts w:ascii="Arial" w:cs="Arial" w:eastAsia="Arial" w:hAnsi="Arial"/>
                <w:sz w:val="19"/>
                <w:szCs w:val="19"/>
                <w:color w:val="auto"/>
                <w:w w:val="75"/>
              </w:rPr>
              <w:t>$</w:t>
            </w:r>
          </w:p>
        </w:tc>
        <w:tc>
          <w:tcPr>
            <w:tcW w:w="2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9"/>
                <w:szCs w:val="19"/>
                <w:color w:val="auto"/>
              </w:rPr>
              <w:t>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9"/>
                <w:szCs w:val="19"/>
                <w:color w:val="auto"/>
                <w:w w:val="75"/>
              </w:rPr>
              <w:t>$</w:t>
            </w:r>
          </w:p>
        </w:tc>
        <w:tc>
          <w:tcPr>
            <w:tcW w:w="10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9"/>
                <w:szCs w:val="19"/>
                <w:color w:val="auto"/>
              </w:rPr>
              <w:t>428,623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9"/>
                <w:szCs w:val="19"/>
                <w:color w:val="auto"/>
                <w:w w:val="75"/>
              </w:rPr>
              <w:t>$</w:t>
            </w:r>
          </w:p>
        </w:tc>
        <w:tc>
          <w:tcPr>
            <w:tcW w:w="12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9"/>
                <w:szCs w:val="19"/>
                <w:color w:val="auto"/>
              </w:rPr>
              <w:t>(1,956)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9"/>
                <w:szCs w:val="19"/>
                <w:color w:val="auto"/>
                <w:w w:val="75"/>
              </w:rPr>
              <w:t>$</w:t>
            </w:r>
          </w:p>
        </w:tc>
        <w:tc>
          <w:tcPr>
            <w:tcW w:w="11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9"/>
                <w:szCs w:val="19"/>
                <w:color w:val="auto"/>
              </w:rPr>
              <w:t>(191,534)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jc w:val="right"/>
              <w:ind w:right="51"/>
              <w:spacing w:after="0" w:line="205" w:lineRule="exact"/>
              <w:rPr>
                <w:sz w:val="20"/>
                <w:szCs w:val="20"/>
                <w:color w:val="auto"/>
              </w:rPr>
            </w:pPr>
            <w:r>
              <w:rPr>
                <w:rFonts w:ascii="Arial" w:cs="Arial" w:eastAsia="Arial" w:hAnsi="Arial"/>
                <w:sz w:val="19"/>
                <w:szCs w:val="19"/>
                <w:color w:val="auto"/>
                <w:w w:val="75"/>
              </w:rPr>
              <w:t>$</w:t>
            </w:r>
          </w:p>
        </w:tc>
        <w:tc>
          <w:tcPr>
            <w:tcW w:w="10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9"/>
                <w:szCs w:val="19"/>
                <w:color w:val="auto"/>
              </w:rPr>
              <w:t>235,137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7" w:lineRule="exact"/>
        <w:rPr>
          <w:sz w:val="20"/>
          <w:szCs w:val="20"/>
          <w:color w:val="auto"/>
        </w:rPr>
      </w:pPr>
    </w:p>
    <w:p>
      <w:pPr>
        <w:ind w:left="2660"/>
        <w:spacing w:after="0"/>
        <w:rPr>
          <w:sz w:val="20"/>
          <w:szCs w:val="20"/>
          <w:color w:val="auto"/>
        </w:rPr>
      </w:pPr>
      <w:r>
        <w:rPr>
          <w:rFonts w:ascii="Arial" w:cs="Arial" w:eastAsia="Arial" w:hAnsi="Arial"/>
          <w:sz w:val="21"/>
          <w:szCs w:val="21"/>
          <w:i w:val="1"/>
          <w:iCs w:val="1"/>
          <w:color w:val="auto"/>
        </w:rPr>
        <w:t>The accompanying notes are an integral part of these consolidated financial statements.</w:t>
      </w:r>
    </w:p>
    <w:p>
      <w:pPr>
        <w:sectPr>
          <w:pgSz w:w="15840" w:h="12240" w:orient="landscape"/>
          <w:cols w:equalWidth="0" w:num="2">
            <w:col w:w="255" w:space="480"/>
            <w:col w:w="13360"/>
          </w:cols>
          <w:pgMar w:left="505" w:top="1230" w:right="12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21"/>
          <w:szCs w:val="21"/>
          <w:b w:val="1"/>
          <w:bCs w:val="1"/>
          <w:color w:val="auto"/>
        </w:rPr>
        <w:t>Athira Pharma,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Statements of Cash Flows</w:t>
      </w:r>
    </w:p>
    <w:p>
      <w:pPr>
        <w:jc w:val="center"/>
        <w:spacing w:after="0"/>
        <w:rPr>
          <w:sz w:val="20"/>
          <w:szCs w:val="20"/>
          <w:color w:val="auto"/>
        </w:rPr>
      </w:pPr>
      <w:r>
        <w:rPr>
          <w:rFonts w:ascii="Arial" w:cs="Arial" w:eastAsia="Arial" w:hAnsi="Arial"/>
          <w:sz w:val="21"/>
          <w:szCs w:val="21"/>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5"/>
          </w:tcPr>
          <w:p>
            <w:pPr>
              <w:jc w:val="right"/>
              <w:ind w:right="377"/>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27"/>
        </w:trPr>
        <w:tc>
          <w:tcPr>
            <w:tcW w:w="674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E0E0E0"/>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gridSpan w:val="2"/>
            <w:shd w:val="clear" w:color="auto" w:fill="E0E0E0"/>
          </w:tcPr>
          <w:p>
            <w:pPr>
              <w:spacing w:after="0" w:line="227" w:lineRule="exact"/>
              <w:rPr>
                <w:sz w:val="20"/>
                <w:szCs w:val="20"/>
                <w:color w:val="auto"/>
              </w:rPr>
            </w:pPr>
            <w:r>
              <w:rPr>
                <w:rFonts w:ascii="Arial" w:cs="Arial" w:eastAsia="Arial" w:hAnsi="Arial"/>
                <w:sz w:val="21"/>
                <w:szCs w:val="21"/>
                <w:b w:val="1"/>
                <w:bCs w:val="1"/>
                <w:color w:val="auto"/>
              </w:rPr>
              <w:t>Operating activities</w:t>
            </w:r>
          </w:p>
        </w:tc>
        <w:tc>
          <w:tcPr>
            <w:tcW w:w="240" w:type="dxa"/>
            <w:vAlign w:val="bottom"/>
            <w:shd w:val="clear" w:color="auto" w:fill="E0E0E0"/>
          </w:tcPr>
          <w:p>
            <w:pPr>
              <w:spacing w:after="0"/>
              <w:rPr>
                <w:sz w:val="19"/>
                <w:szCs w:val="19"/>
                <w:color w:val="auto"/>
              </w:rPr>
            </w:pPr>
          </w:p>
        </w:tc>
        <w:tc>
          <w:tcPr>
            <w:tcW w:w="1060" w:type="dxa"/>
            <w:vAlign w:val="bottom"/>
            <w:shd w:val="clear" w:color="auto" w:fill="E0E0E0"/>
          </w:tcPr>
          <w:p>
            <w:pPr>
              <w:spacing w:after="0"/>
              <w:rPr>
                <w:sz w:val="19"/>
                <w:szCs w:val="19"/>
                <w:color w:val="auto"/>
              </w:rPr>
            </w:pPr>
          </w:p>
        </w:tc>
        <w:tc>
          <w:tcPr>
            <w:tcW w:w="180" w:type="dxa"/>
            <w:vAlign w:val="bottom"/>
            <w:tcBorders>
              <w:right w:val="single" w:sz="8" w:color="E0E0E0"/>
            </w:tcBorders>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60" w:type="dxa"/>
            <w:vAlign w:val="bottom"/>
            <w:gridSpan w:val="2"/>
          </w:tcPr>
          <w:p>
            <w:pPr>
              <w:ind w:left="280"/>
              <w:spacing w:after="0" w:line="237" w:lineRule="exact"/>
              <w:rPr>
                <w:sz w:val="20"/>
                <w:szCs w:val="20"/>
                <w:color w:val="auto"/>
              </w:rPr>
            </w:pPr>
            <w:r>
              <w:rPr>
                <w:rFonts w:ascii="Arial" w:cs="Arial" w:eastAsia="Arial" w:hAnsi="Arial"/>
                <w:sz w:val="21"/>
                <w:szCs w:val="21"/>
                <w:color w:val="auto"/>
              </w:rPr>
              <w:t>Net loss</w:t>
            </w:r>
          </w:p>
        </w:tc>
        <w:tc>
          <w:tcPr>
            <w:tcW w:w="240" w:type="dxa"/>
            <w:vAlign w:val="bottom"/>
          </w:tcPr>
          <w:p>
            <w:pPr>
              <w:jc w:val="right"/>
              <w:ind w:right="42"/>
              <w:spacing w:after="0"/>
              <w:rPr>
                <w:sz w:val="20"/>
                <w:szCs w:val="20"/>
                <w:color w:val="auto"/>
              </w:rPr>
            </w:pPr>
            <w:r>
              <w:rPr>
                <w:rFonts w:ascii="Arial" w:cs="Arial" w:eastAsia="Arial" w:hAnsi="Arial"/>
                <w:sz w:val="20"/>
                <w:szCs w:val="20"/>
                <w:color w:val="auto"/>
                <w:w w:val="71"/>
              </w:rPr>
              <w:t>$</w:t>
            </w:r>
          </w:p>
        </w:tc>
        <w:tc>
          <w:tcPr>
            <w:tcW w:w="1240" w:type="dxa"/>
            <w:vAlign w:val="bottom"/>
            <w:gridSpan w:val="2"/>
          </w:tcPr>
          <w:p>
            <w:pPr>
              <w:jc w:val="right"/>
              <w:ind w:right="43"/>
              <w:spacing w:after="0" w:line="237" w:lineRule="exact"/>
              <w:rPr>
                <w:sz w:val="20"/>
                <w:szCs w:val="20"/>
                <w:color w:val="auto"/>
              </w:rPr>
            </w:pPr>
            <w:r>
              <w:rPr>
                <w:rFonts w:ascii="Arial" w:cs="Arial" w:eastAsia="Arial" w:hAnsi="Arial"/>
                <w:sz w:val="21"/>
                <w:szCs w:val="21"/>
                <w:color w:val="auto"/>
              </w:rPr>
              <w:t>(95,639)</w:t>
            </w:r>
          </w:p>
        </w:tc>
        <w:tc>
          <w:tcPr>
            <w:tcW w:w="300" w:type="dxa"/>
            <w:vAlign w:val="bottom"/>
          </w:tcPr>
          <w:p>
            <w:pPr>
              <w:jc w:val="right"/>
              <w:ind w:right="77"/>
              <w:spacing w:after="0" w:line="237" w:lineRule="exact"/>
              <w:rPr>
                <w:sz w:val="20"/>
                <w:szCs w:val="20"/>
                <w:color w:val="auto"/>
              </w:rPr>
            </w:pPr>
            <w:r>
              <w:rPr>
                <w:rFonts w:ascii="Arial" w:cs="Arial" w:eastAsia="Arial" w:hAnsi="Arial"/>
                <w:sz w:val="21"/>
                <w:szCs w:val="21"/>
                <w:color w:val="auto"/>
                <w:w w:val="85"/>
              </w:rPr>
              <w:t>$</w:t>
            </w:r>
          </w:p>
        </w:tc>
        <w:tc>
          <w:tcPr>
            <w:tcW w:w="110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(54,853)</w:t>
            </w:r>
          </w:p>
        </w:tc>
        <w:tc>
          <w:tcPr>
            <w:tcW w:w="0" w:type="dxa"/>
            <w:vAlign w:val="bottom"/>
          </w:tcPr>
          <w:p>
            <w:pPr>
              <w:spacing w:after="0"/>
              <w:rPr>
                <w:sz w:val="1"/>
                <w:szCs w:val="1"/>
                <w:color w:val="auto"/>
              </w:rPr>
            </w:pPr>
          </w:p>
        </w:tc>
      </w:tr>
      <w:tr>
        <w:trPr>
          <w:trHeight w:val="237"/>
        </w:trPr>
        <w:tc>
          <w:tcPr>
            <w:tcW w:w="6760" w:type="dxa"/>
            <w:vAlign w:val="bottom"/>
            <w:gridSpan w:val="2"/>
            <w:shd w:val="clear" w:color="auto" w:fill="E0E0E0"/>
          </w:tcPr>
          <w:p>
            <w:pPr>
              <w:ind w:left="580"/>
              <w:spacing w:after="0" w:line="237" w:lineRule="exact"/>
              <w:rPr>
                <w:sz w:val="20"/>
                <w:szCs w:val="20"/>
                <w:color w:val="auto"/>
              </w:rPr>
            </w:pPr>
            <w:r>
              <w:rPr>
                <w:rFonts w:ascii="Arial" w:cs="Arial" w:eastAsia="Arial" w:hAnsi="Arial"/>
                <w:sz w:val="21"/>
                <w:szCs w:val="21"/>
                <w:color w:val="auto"/>
              </w:rPr>
              <w:t>Adjustments to reconcile net loss to net cash used in operating</w:t>
            </w:r>
          </w:p>
        </w:tc>
        <w:tc>
          <w:tcPr>
            <w:tcW w:w="240" w:type="dxa"/>
            <w:vAlign w:val="bottom"/>
            <w:shd w:val="clear" w:color="auto" w:fill="E0E0E0"/>
          </w:tcPr>
          <w:p>
            <w:pPr>
              <w:spacing w:after="0"/>
              <w:rPr>
                <w:sz w:val="20"/>
                <w:szCs w:val="20"/>
                <w:color w:val="auto"/>
              </w:rPr>
            </w:pPr>
          </w:p>
        </w:tc>
        <w:tc>
          <w:tcPr>
            <w:tcW w:w="1060" w:type="dxa"/>
            <w:vAlign w:val="bottom"/>
            <w:shd w:val="clear" w:color="auto" w:fill="E0E0E0"/>
          </w:tcPr>
          <w:p>
            <w:pPr>
              <w:spacing w:after="0"/>
              <w:rPr>
                <w:sz w:val="20"/>
                <w:szCs w:val="20"/>
                <w:color w:val="auto"/>
              </w:rPr>
            </w:pPr>
          </w:p>
        </w:tc>
        <w:tc>
          <w:tcPr>
            <w:tcW w:w="180" w:type="dxa"/>
            <w:vAlign w:val="bottom"/>
            <w:tcBorders>
              <w:right w:val="single" w:sz="8" w:color="E0E0E0"/>
            </w:tcBorders>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40" w:type="dxa"/>
            <w:vAlign w:val="bottom"/>
            <w:shd w:val="clear" w:color="auto" w:fill="E0E0E0"/>
          </w:tcPr>
          <w:p>
            <w:pPr>
              <w:ind w:left="580"/>
              <w:spacing w:after="0" w:line="236" w:lineRule="exact"/>
              <w:rPr>
                <w:sz w:val="20"/>
                <w:szCs w:val="20"/>
                <w:color w:val="auto"/>
              </w:rPr>
            </w:pPr>
            <w:r>
              <w:rPr>
                <w:rFonts w:ascii="Arial" w:cs="Arial" w:eastAsia="Arial" w:hAnsi="Arial"/>
                <w:sz w:val="21"/>
                <w:szCs w:val="21"/>
                <w:color w:val="auto"/>
              </w:rPr>
              <w:t>activities:</w:t>
            </w:r>
          </w:p>
        </w:tc>
        <w:tc>
          <w:tcPr>
            <w:tcW w:w="2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1060" w:type="dxa"/>
            <w:vAlign w:val="bottom"/>
            <w:shd w:val="clear" w:color="auto" w:fill="E0E0E0"/>
          </w:tcPr>
          <w:p>
            <w:pPr>
              <w:spacing w:after="0"/>
              <w:rPr>
                <w:sz w:val="20"/>
                <w:szCs w:val="20"/>
                <w:color w:val="auto"/>
              </w:rPr>
            </w:pPr>
          </w:p>
        </w:tc>
        <w:tc>
          <w:tcPr>
            <w:tcW w:w="180" w:type="dxa"/>
            <w:vAlign w:val="bottom"/>
            <w:tcBorders>
              <w:right w:val="single" w:sz="8" w:color="E0E0E0"/>
            </w:tcBorders>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gridSpan w:val="2"/>
          </w:tcPr>
          <w:p>
            <w:pPr>
              <w:ind w:left="580"/>
              <w:spacing w:after="0" w:line="237" w:lineRule="exact"/>
              <w:rPr>
                <w:sz w:val="20"/>
                <w:szCs w:val="20"/>
                <w:color w:val="auto"/>
              </w:rPr>
            </w:pPr>
            <w:r>
              <w:rPr>
                <w:rFonts w:ascii="Arial" w:cs="Arial" w:eastAsia="Arial" w:hAnsi="Arial"/>
                <w:sz w:val="21"/>
                <w:szCs w:val="21"/>
                <w:color w:val="auto"/>
              </w:rPr>
              <w:t>Stock-based compensation</w:t>
            </w:r>
          </w:p>
        </w:tc>
        <w:tc>
          <w:tcPr>
            <w:tcW w:w="240" w:type="dxa"/>
            <w:vAlign w:val="bottom"/>
          </w:tcPr>
          <w:p>
            <w:pPr>
              <w:spacing w:after="0"/>
              <w:rPr>
                <w:sz w:val="20"/>
                <w:szCs w:val="20"/>
                <w:color w:val="auto"/>
              </w:rPr>
            </w:pPr>
          </w:p>
        </w:tc>
        <w:tc>
          <w:tcPr>
            <w:tcW w:w="1240" w:type="dxa"/>
            <w:vAlign w:val="bottom"/>
            <w:gridSpan w:val="2"/>
          </w:tcPr>
          <w:p>
            <w:pPr>
              <w:jc w:val="right"/>
              <w:ind w:right="103"/>
              <w:spacing w:after="0" w:line="237" w:lineRule="exact"/>
              <w:rPr>
                <w:sz w:val="20"/>
                <w:szCs w:val="20"/>
                <w:color w:val="auto"/>
              </w:rPr>
            </w:pPr>
            <w:r>
              <w:rPr>
                <w:rFonts w:ascii="Arial" w:cs="Arial" w:eastAsia="Arial" w:hAnsi="Arial"/>
                <w:sz w:val="21"/>
                <w:szCs w:val="21"/>
                <w:color w:val="auto"/>
              </w:rPr>
              <w:t>10,606</w:t>
            </w:r>
          </w:p>
        </w:tc>
        <w:tc>
          <w:tcPr>
            <w:tcW w:w="300" w:type="dxa"/>
            <w:vAlign w:val="bottom"/>
          </w:tcPr>
          <w:p>
            <w:pPr>
              <w:spacing w:after="0"/>
              <w:rPr>
                <w:sz w:val="20"/>
                <w:szCs w:val="20"/>
                <w:color w:val="auto"/>
              </w:rPr>
            </w:pPr>
          </w:p>
        </w:tc>
        <w:tc>
          <w:tcPr>
            <w:tcW w:w="110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4,623</w:t>
            </w:r>
          </w:p>
        </w:tc>
        <w:tc>
          <w:tcPr>
            <w:tcW w:w="0" w:type="dxa"/>
            <w:vAlign w:val="bottom"/>
          </w:tcPr>
          <w:p>
            <w:pPr>
              <w:spacing w:after="0"/>
              <w:rPr>
                <w:sz w:val="1"/>
                <w:szCs w:val="1"/>
                <w:color w:val="auto"/>
              </w:rPr>
            </w:pPr>
          </w:p>
        </w:tc>
      </w:tr>
      <w:tr>
        <w:trPr>
          <w:trHeight w:val="236"/>
        </w:trPr>
        <w:tc>
          <w:tcPr>
            <w:tcW w:w="6760" w:type="dxa"/>
            <w:vAlign w:val="bottom"/>
            <w:gridSpan w:val="2"/>
            <w:shd w:val="clear" w:color="auto" w:fill="E0E0E0"/>
          </w:tcPr>
          <w:p>
            <w:pPr>
              <w:ind w:left="580"/>
              <w:spacing w:after="0" w:line="236" w:lineRule="exact"/>
              <w:rPr>
                <w:sz w:val="20"/>
                <w:szCs w:val="20"/>
                <w:color w:val="auto"/>
              </w:rPr>
            </w:pPr>
            <w:r>
              <w:rPr>
                <w:rFonts w:ascii="Arial" w:cs="Arial" w:eastAsia="Arial" w:hAnsi="Arial"/>
                <w:sz w:val="21"/>
                <w:szCs w:val="21"/>
                <w:color w:val="auto"/>
              </w:rPr>
              <w:t>Depreciation expense</w:t>
            </w:r>
          </w:p>
        </w:tc>
        <w:tc>
          <w:tcPr>
            <w:tcW w:w="24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103"/>
              <w:spacing w:after="0" w:line="236" w:lineRule="exact"/>
              <w:rPr>
                <w:sz w:val="20"/>
                <w:szCs w:val="20"/>
                <w:color w:val="auto"/>
              </w:rPr>
            </w:pPr>
            <w:r>
              <w:rPr>
                <w:rFonts w:ascii="Arial" w:cs="Arial" w:eastAsia="Arial" w:hAnsi="Arial"/>
                <w:sz w:val="21"/>
                <w:szCs w:val="21"/>
                <w:color w:val="auto"/>
              </w:rPr>
              <w:t>845</w:t>
            </w:r>
          </w:p>
        </w:tc>
        <w:tc>
          <w:tcPr>
            <w:tcW w:w="300" w:type="dxa"/>
            <w:vAlign w:val="bottom"/>
            <w:shd w:val="clear" w:color="auto" w:fill="E0E0E0"/>
          </w:tcPr>
          <w:p>
            <w:pPr>
              <w:spacing w:after="0"/>
              <w:rPr>
                <w:sz w:val="20"/>
                <w:szCs w:val="20"/>
                <w:color w:val="auto"/>
              </w:rPr>
            </w:pPr>
          </w:p>
        </w:tc>
        <w:tc>
          <w:tcPr>
            <w:tcW w:w="1100" w:type="dxa"/>
            <w:vAlign w:val="bottom"/>
            <w:gridSpan w:val="2"/>
            <w:shd w:val="clear" w:color="auto" w:fill="E0E0E0"/>
          </w:tcPr>
          <w:p>
            <w:pPr>
              <w:jc w:val="right"/>
              <w:spacing w:after="0" w:line="236" w:lineRule="exact"/>
              <w:rPr>
                <w:sz w:val="20"/>
                <w:szCs w:val="20"/>
                <w:color w:val="auto"/>
              </w:rPr>
            </w:pPr>
            <w:r>
              <w:rPr>
                <w:rFonts w:ascii="Arial" w:cs="Arial" w:eastAsia="Arial" w:hAnsi="Arial"/>
                <w:sz w:val="21"/>
                <w:szCs w:val="21"/>
                <w:color w:val="auto"/>
              </w:rPr>
              <w:t>479</w:t>
            </w:r>
          </w:p>
        </w:tc>
        <w:tc>
          <w:tcPr>
            <w:tcW w:w="0" w:type="dxa"/>
            <w:vAlign w:val="bottom"/>
          </w:tcPr>
          <w:p>
            <w:pPr>
              <w:spacing w:after="0"/>
              <w:rPr>
                <w:sz w:val="1"/>
                <w:szCs w:val="1"/>
                <w:color w:val="auto"/>
              </w:rPr>
            </w:pPr>
          </w:p>
        </w:tc>
      </w:tr>
      <w:tr>
        <w:trPr>
          <w:trHeight w:val="237"/>
        </w:trPr>
        <w:tc>
          <w:tcPr>
            <w:tcW w:w="6760" w:type="dxa"/>
            <w:vAlign w:val="bottom"/>
            <w:gridSpan w:val="2"/>
          </w:tcPr>
          <w:p>
            <w:pPr>
              <w:ind w:left="580"/>
              <w:spacing w:after="0" w:line="237" w:lineRule="exact"/>
              <w:rPr>
                <w:sz w:val="20"/>
                <w:szCs w:val="20"/>
                <w:color w:val="auto"/>
              </w:rPr>
            </w:pPr>
            <w:r>
              <w:rPr>
                <w:rFonts w:ascii="Arial" w:cs="Arial" w:eastAsia="Arial" w:hAnsi="Arial"/>
                <w:sz w:val="21"/>
                <w:szCs w:val="21"/>
                <w:color w:val="auto"/>
              </w:rPr>
              <w:t>Non-cash lease expense</w:t>
            </w:r>
          </w:p>
        </w:tc>
        <w:tc>
          <w:tcPr>
            <w:tcW w:w="240" w:type="dxa"/>
            <w:vAlign w:val="bottom"/>
          </w:tcPr>
          <w:p>
            <w:pPr>
              <w:spacing w:after="0"/>
              <w:rPr>
                <w:sz w:val="20"/>
                <w:szCs w:val="20"/>
                <w:color w:val="auto"/>
              </w:rPr>
            </w:pPr>
          </w:p>
        </w:tc>
        <w:tc>
          <w:tcPr>
            <w:tcW w:w="1240" w:type="dxa"/>
            <w:vAlign w:val="bottom"/>
            <w:gridSpan w:val="2"/>
          </w:tcPr>
          <w:p>
            <w:pPr>
              <w:jc w:val="right"/>
              <w:ind w:right="103"/>
              <w:spacing w:after="0" w:line="237" w:lineRule="exact"/>
              <w:rPr>
                <w:sz w:val="20"/>
                <w:szCs w:val="20"/>
                <w:color w:val="auto"/>
              </w:rPr>
            </w:pPr>
            <w:r>
              <w:rPr>
                <w:rFonts w:ascii="Arial" w:cs="Arial" w:eastAsia="Arial" w:hAnsi="Arial"/>
                <w:sz w:val="21"/>
                <w:szCs w:val="21"/>
                <w:color w:val="auto"/>
              </w:rPr>
              <w:t>203</w:t>
            </w:r>
          </w:p>
        </w:tc>
        <w:tc>
          <w:tcPr>
            <w:tcW w:w="300" w:type="dxa"/>
            <w:vAlign w:val="bottom"/>
          </w:tcPr>
          <w:p>
            <w:pPr>
              <w:spacing w:after="0"/>
              <w:rPr>
                <w:sz w:val="20"/>
                <w:szCs w:val="20"/>
                <w:color w:val="auto"/>
              </w:rPr>
            </w:pPr>
          </w:p>
        </w:tc>
        <w:tc>
          <w:tcPr>
            <w:tcW w:w="110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155</w:t>
            </w:r>
          </w:p>
        </w:tc>
        <w:tc>
          <w:tcPr>
            <w:tcW w:w="0" w:type="dxa"/>
            <w:vAlign w:val="bottom"/>
          </w:tcPr>
          <w:p>
            <w:pPr>
              <w:spacing w:after="0"/>
              <w:rPr>
                <w:sz w:val="1"/>
                <w:szCs w:val="1"/>
                <w:color w:val="auto"/>
              </w:rPr>
            </w:pPr>
          </w:p>
        </w:tc>
      </w:tr>
      <w:tr>
        <w:trPr>
          <w:trHeight w:val="237"/>
        </w:trPr>
        <w:tc>
          <w:tcPr>
            <w:tcW w:w="6760" w:type="dxa"/>
            <w:vAlign w:val="bottom"/>
            <w:gridSpan w:val="2"/>
            <w:shd w:val="clear" w:color="auto" w:fill="E0E0E0"/>
          </w:tcPr>
          <w:p>
            <w:pPr>
              <w:ind w:left="580"/>
              <w:spacing w:after="0" w:line="237" w:lineRule="exact"/>
              <w:rPr>
                <w:sz w:val="20"/>
                <w:szCs w:val="20"/>
                <w:color w:val="auto"/>
              </w:rPr>
            </w:pPr>
            <w:r>
              <w:rPr>
                <w:rFonts w:ascii="Arial" w:cs="Arial" w:eastAsia="Arial" w:hAnsi="Arial"/>
                <w:sz w:val="21"/>
                <w:szCs w:val="21"/>
                <w:color w:val="auto"/>
              </w:rPr>
              <w:t>Amortization of premiums and accretion of discounts on</w:t>
            </w:r>
          </w:p>
        </w:tc>
        <w:tc>
          <w:tcPr>
            <w:tcW w:w="240" w:type="dxa"/>
            <w:vAlign w:val="bottom"/>
            <w:shd w:val="clear" w:color="auto" w:fill="E0E0E0"/>
          </w:tcPr>
          <w:p>
            <w:pPr>
              <w:spacing w:after="0"/>
              <w:rPr>
                <w:sz w:val="20"/>
                <w:szCs w:val="20"/>
                <w:color w:val="auto"/>
              </w:rPr>
            </w:pPr>
          </w:p>
        </w:tc>
        <w:tc>
          <w:tcPr>
            <w:tcW w:w="1060" w:type="dxa"/>
            <w:vAlign w:val="bottom"/>
            <w:shd w:val="clear" w:color="auto" w:fill="E0E0E0"/>
          </w:tcPr>
          <w:p>
            <w:pPr>
              <w:spacing w:after="0"/>
              <w:rPr>
                <w:sz w:val="20"/>
                <w:szCs w:val="20"/>
                <w:color w:val="auto"/>
              </w:rPr>
            </w:pPr>
          </w:p>
        </w:tc>
        <w:tc>
          <w:tcPr>
            <w:tcW w:w="180" w:type="dxa"/>
            <w:vAlign w:val="bottom"/>
            <w:tcBorders>
              <w:right w:val="single" w:sz="8" w:color="E0E0E0"/>
            </w:tcBorders>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gridSpan w:val="2"/>
            <w:shd w:val="clear" w:color="auto" w:fill="E0E0E0"/>
          </w:tcPr>
          <w:p>
            <w:pPr>
              <w:ind w:left="740"/>
              <w:spacing w:after="0" w:line="236" w:lineRule="exact"/>
              <w:rPr>
                <w:sz w:val="20"/>
                <w:szCs w:val="20"/>
                <w:color w:val="auto"/>
              </w:rPr>
            </w:pPr>
            <w:r>
              <w:rPr>
                <w:rFonts w:ascii="Arial" w:cs="Arial" w:eastAsia="Arial" w:hAnsi="Arial"/>
                <w:sz w:val="21"/>
                <w:szCs w:val="21"/>
                <w:color w:val="auto"/>
              </w:rPr>
              <w:t>available-for-sale securities, net</w:t>
            </w:r>
          </w:p>
        </w:tc>
        <w:tc>
          <w:tcPr>
            <w:tcW w:w="240" w:type="dxa"/>
            <w:vAlign w:val="bottom"/>
            <w:shd w:val="clear" w:color="auto" w:fill="E0E0E0"/>
          </w:tcPr>
          <w:p>
            <w:pPr>
              <w:spacing w:after="0"/>
              <w:rPr>
                <w:sz w:val="20"/>
                <w:szCs w:val="20"/>
                <w:color w:val="auto"/>
              </w:rPr>
            </w:pPr>
          </w:p>
        </w:tc>
        <w:tc>
          <w:tcPr>
            <w:tcW w:w="1060" w:type="dxa"/>
            <w:vAlign w:val="bottom"/>
            <w:shd w:val="clear" w:color="auto" w:fill="E0E0E0"/>
          </w:tcPr>
          <w:p>
            <w:pPr>
              <w:jc w:val="right"/>
              <w:spacing w:after="0" w:line="236" w:lineRule="exact"/>
              <w:rPr>
                <w:sz w:val="20"/>
                <w:szCs w:val="20"/>
                <w:color w:val="auto"/>
              </w:rPr>
            </w:pPr>
            <w:r>
              <w:rPr>
                <w:rFonts w:ascii="Arial" w:cs="Arial" w:eastAsia="Arial" w:hAnsi="Arial"/>
                <w:sz w:val="21"/>
                <w:szCs w:val="21"/>
                <w:color w:val="auto"/>
              </w:rPr>
              <w:t>(422</w:t>
            </w:r>
          </w:p>
        </w:tc>
        <w:tc>
          <w:tcPr>
            <w:tcW w:w="180" w:type="dxa"/>
            <w:vAlign w:val="bottom"/>
            <w:tcBorders>
              <w:right w:val="single" w:sz="8" w:color="E0E0E0"/>
            </w:tcBorders>
            <w:shd w:val="clear" w:color="auto" w:fill="E0E0E0"/>
          </w:tcPr>
          <w:p>
            <w:pPr>
              <w:jc w:val="right"/>
              <w:ind w:right="43"/>
              <w:spacing w:after="0"/>
              <w:rPr>
                <w:sz w:val="20"/>
                <w:szCs w:val="20"/>
                <w:color w:val="auto"/>
              </w:rPr>
            </w:pPr>
            <w:r>
              <w:rPr>
                <w:rFonts w:ascii="Arial" w:cs="Arial" w:eastAsia="Arial" w:hAnsi="Arial"/>
                <w:sz w:val="15"/>
                <w:szCs w:val="15"/>
                <w:color w:val="auto"/>
                <w:w w:val="79"/>
              </w:rPr>
              <w:t>)</w:t>
            </w:r>
          </w:p>
        </w:tc>
        <w:tc>
          <w:tcPr>
            <w:tcW w:w="300" w:type="dxa"/>
            <w:vAlign w:val="bottom"/>
            <w:shd w:val="clear" w:color="auto" w:fill="E0E0E0"/>
          </w:tcPr>
          <w:p>
            <w:pPr>
              <w:spacing w:after="0"/>
              <w:rPr>
                <w:sz w:val="20"/>
                <w:szCs w:val="20"/>
                <w:color w:val="auto"/>
              </w:rPr>
            </w:pPr>
          </w:p>
        </w:tc>
        <w:tc>
          <w:tcPr>
            <w:tcW w:w="1100" w:type="dxa"/>
            <w:vAlign w:val="bottom"/>
            <w:gridSpan w:val="2"/>
            <w:shd w:val="clear" w:color="auto" w:fill="E0E0E0"/>
          </w:tcPr>
          <w:p>
            <w:pPr>
              <w:jc w:val="right"/>
              <w:spacing w:after="0" w:line="236" w:lineRule="exact"/>
              <w:rPr>
                <w:sz w:val="20"/>
                <w:szCs w:val="20"/>
                <w:color w:val="auto"/>
              </w:rPr>
            </w:pPr>
            <w:r>
              <w:rPr>
                <w:rFonts w:ascii="Arial" w:cs="Arial" w:eastAsia="Arial" w:hAnsi="Arial"/>
                <w:sz w:val="21"/>
                <w:szCs w:val="21"/>
                <w:color w:val="auto"/>
              </w:rPr>
              <w:t>493</w:t>
            </w:r>
          </w:p>
        </w:tc>
        <w:tc>
          <w:tcPr>
            <w:tcW w:w="0" w:type="dxa"/>
            <w:vAlign w:val="bottom"/>
          </w:tcPr>
          <w:p>
            <w:pPr>
              <w:spacing w:after="0"/>
              <w:rPr>
                <w:sz w:val="1"/>
                <w:szCs w:val="1"/>
                <w:color w:val="auto"/>
              </w:rPr>
            </w:pPr>
          </w:p>
        </w:tc>
      </w:tr>
      <w:tr>
        <w:trPr>
          <w:trHeight w:val="237"/>
        </w:trPr>
        <w:tc>
          <w:tcPr>
            <w:tcW w:w="6760" w:type="dxa"/>
            <w:vAlign w:val="bottom"/>
            <w:gridSpan w:val="2"/>
          </w:tcPr>
          <w:p>
            <w:pPr>
              <w:ind w:left="580"/>
              <w:spacing w:after="0" w:line="237" w:lineRule="exact"/>
              <w:rPr>
                <w:sz w:val="20"/>
                <w:szCs w:val="20"/>
                <w:color w:val="auto"/>
              </w:rPr>
            </w:pPr>
            <w:r>
              <w:rPr>
                <w:rFonts w:ascii="Arial" w:cs="Arial" w:eastAsia="Arial" w:hAnsi="Arial"/>
                <w:sz w:val="21"/>
                <w:szCs w:val="21"/>
                <w:color w:val="auto"/>
              </w:rPr>
              <w:t>Changes in operating assets and liabilities: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gridSpan w:val="2"/>
            <w:shd w:val="clear" w:color="auto" w:fill="E0E0E0"/>
          </w:tcPr>
          <w:p>
            <w:pPr>
              <w:ind w:left="860"/>
              <w:spacing w:after="0" w:line="237" w:lineRule="exact"/>
              <w:rPr>
                <w:sz w:val="20"/>
                <w:szCs w:val="20"/>
                <w:color w:val="auto"/>
              </w:rPr>
            </w:pPr>
            <w:r>
              <w:rPr>
                <w:rFonts w:ascii="Arial" w:cs="Arial" w:eastAsia="Arial" w:hAnsi="Arial"/>
                <w:sz w:val="21"/>
                <w:szCs w:val="21"/>
                <w:color w:val="auto"/>
              </w:rPr>
              <w:t>Unbilled grant receivable</w:t>
            </w:r>
          </w:p>
        </w:tc>
        <w:tc>
          <w:tcPr>
            <w:tcW w:w="24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103"/>
              <w:spacing w:after="0" w:line="237" w:lineRule="exact"/>
              <w:rPr>
                <w:sz w:val="20"/>
                <w:szCs w:val="20"/>
                <w:color w:val="auto"/>
              </w:rPr>
            </w:pPr>
            <w:r>
              <w:rPr>
                <w:rFonts w:ascii="Arial" w:cs="Arial" w:eastAsia="Arial" w:hAnsi="Arial"/>
                <w:sz w:val="21"/>
                <w:szCs w:val="21"/>
                <w:color w:val="auto"/>
              </w:rPr>
              <w:t>1,109</w:t>
            </w:r>
          </w:p>
        </w:tc>
        <w:tc>
          <w:tcPr>
            <w:tcW w:w="300" w:type="dxa"/>
            <w:vAlign w:val="bottom"/>
            <w:shd w:val="clear" w:color="auto" w:fill="E0E0E0"/>
          </w:tcPr>
          <w:p>
            <w:pPr>
              <w:spacing w:after="0"/>
              <w:rPr>
                <w:sz w:val="20"/>
                <w:szCs w:val="20"/>
                <w:color w:val="auto"/>
              </w:rPr>
            </w:pPr>
          </w:p>
        </w:tc>
        <w:tc>
          <w:tcPr>
            <w:tcW w:w="1100" w:type="dxa"/>
            <w:vAlign w:val="bottom"/>
            <w:gridSpan w:val="2"/>
            <w:shd w:val="clear" w:color="auto" w:fill="E0E0E0"/>
          </w:tcPr>
          <w:p>
            <w:pPr>
              <w:jc w:val="right"/>
              <w:spacing w:after="0" w:line="237" w:lineRule="exact"/>
              <w:rPr>
                <w:sz w:val="20"/>
                <w:szCs w:val="20"/>
                <w:color w:val="auto"/>
              </w:rPr>
            </w:pPr>
            <w:r>
              <w:rPr>
                <w:rFonts w:ascii="Arial" w:cs="Arial" w:eastAsia="Arial" w:hAnsi="Arial"/>
                <w:sz w:val="21"/>
                <w:szCs w:val="21"/>
                <w:color w:val="auto"/>
              </w:rPr>
              <w:t>(1,036)</w:t>
            </w:r>
          </w:p>
        </w:tc>
        <w:tc>
          <w:tcPr>
            <w:tcW w:w="0" w:type="dxa"/>
            <w:vAlign w:val="bottom"/>
          </w:tcPr>
          <w:p>
            <w:pPr>
              <w:spacing w:after="0"/>
              <w:rPr>
                <w:sz w:val="1"/>
                <w:szCs w:val="1"/>
                <w:color w:val="auto"/>
              </w:rPr>
            </w:pPr>
          </w:p>
        </w:tc>
      </w:tr>
      <w:tr>
        <w:trPr>
          <w:trHeight w:val="236"/>
        </w:trPr>
        <w:tc>
          <w:tcPr>
            <w:tcW w:w="6760" w:type="dxa"/>
            <w:vAlign w:val="bottom"/>
            <w:gridSpan w:val="2"/>
          </w:tcPr>
          <w:p>
            <w:pPr>
              <w:ind w:left="860"/>
              <w:spacing w:after="0" w:line="236" w:lineRule="exact"/>
              <w:rPr>
                <w:sz w:val="20"/>
                <w:szCs w:val="20"/>
                <w:color w:val="auto"/>
              </w:rPr>
            </w:pPr>
            <w:r>
              <w:rPr>
                <w:rFonts w:ascii="Arial" w:cs="Arial" w:eastAsia="Arial" w:hAnsi="Arial"/>
                <w:sz w:val="21"/>
                <w:szCs w:val="21"/>
                <w:color w:val="auto"/>
              </w:rPr>
              <w:t>Prepaid expenses and other current assets</w:t>
            </w:r>
          </w:p>
        </w:tc>
        <w:tc>
          <w:tcPr>
            <w:tcW w:w="240" w:type="dxa"/>
            <w:vAlign w:val="bottom"/>
          </w:tcPr>
          <w:p>
            <w:pPr>
              <w:spacing w:after="0"/>
              <w:rPr>
                <w:sz w:val="20"/>
                <w:szCs w:val="20"/>
                <w:color w:val="auto"/>
              </w:rPr>
            </w:pPr>
          </w:p>
        </w:tc>
        <w:tc>
          <w:tcPr>
            <w:tcW w:w="1240" w:type="dxa"/>
            <w:vAlign w:val="bottom"/>
            <w:gridSpan w:val="2"/>
          </w:tcPr>
          <w:p>
            <w:pPr>
              <w:jc w:val="right"/>
              <w:ind w:right="43"/>
              <w:spacing w:after="0" w:line="236" w:lineRule="exact"/>
              <w:rPr>
                <w:sz w:val="20"/>
                <w:szCs w:val="20"/>
                <w:color w:val="auto"/>
              </w:rPr>
            </w:pPr>
            <w:r>
              <w:rPr>
                <w:rFonts w:ascii="Arial" w:cs="Arial" w:eastAsia="Arial" w:hAnsi="Arial"/>
                <w:sz w:val="21"/>
                <w:szCs w:val="21"/>
                <w:color w:val="auto"/>
              </w:rPr>
              <w:t>(1,257)</w:t>
            </w:r>
          </w:p>
        </w:tc>
        <w:tc>
          <w:tcPr>
            <w:tcW w:w="300" w:type="dxa"/>
            <w:vAlign w:val="bottom"/>
          </w:tcPr>
          <w:p>
            <w:pPr>
              <w:spacing w:after="0"/>
              <w:rPr>
                <w:sz w:val="20"/>
                <w:szCs w:val="20"/>
                <w:color w:val="auto"/>
              </w:rPr>
            </w:pPr>
          </w:p>
        </w:tc>
        <w:tc>
          <w:tcPr>
            <w:tcW w:w="1100" w:type="dxa"/>
            <w:vAlign w:val="bottom"/>
            <w:gridSpan w:val="2"/>
          </w:tcPr>
          <w:p>
            <w:pPr>
              <w:jc w:val="right"/>
              <w:spacing w:after="0" w:line="236" w:lineRule="exact"/>
              <w:rPr>
                <w:sz w:val="20"/>
                <w:szCs w:val="20"/>
                <w:color w:val="auto"/>
              </w:rPr>
            </w:pPr>
            <w:r>
              <w:rPr>
                <w:rFonts w:ascii="Arial" w:cs="Arial" w:eastAsia="Arial" w:hAnsi="Arial"/>
                <w:sz w:val="21"/>
                <w:szCs w:val="21"/>
                <w:color w:val="auto"/>
              </w:rPr>
              <w:t>1,650</w:t>
            </w:r>
          </w:p>
        </w:tc>
        <w:tc>
          <w:tcPr>
            <w:tcW w:w="0" w:type="dxa"/>
            <w:vAlign w:val="bottom"/>
          </w:tcPr>
          <w:p>
            <w:pPr>
              <w:spacing w:after="0"/>
              <w:rPr>
                <w:sz w:val="1"/>
                <w:szCs w:val="1"/>
                <w:color w:val="auto"/>
              </w:rPr>
            </w:pPr>
          </w:p>
        </w:tc>
      </w:tr>
      <w:tr>
        <w:trPr>
          <w:trHeight w:val="237"/>
        </w:trPr>
        <w:tc>
          <w:tcPr>
            <w:tcW w:w="6760" w:type="dxa"/>
            <w:vAlign w:val="bottom"/>
            <w:gridSpan w:val="2"/>
            <w:shd w:val="clear" w:color="auto" w:fill="E0E0E0"/>
          </w:tcPr>
          <w:p>
            <w:pPr>
              <w:ind w:left="860"/>
              <w:spacing w:after="0" w:line="237" w:lineRule="exact"/>
              <w:rPr>
                <w:sz w:val="20"/>
                <w:szCs w:val="20"/>
                <w:color w:val="auto"/>
              </w:rPr>
            </w:pPr>
            <w:r>
              <w:rPr>
                <w:rFonts w:ascii="Arial" w:cs="Arial" w:eastAsia="Arial" w:hAnsi="Arial"/>
                <w:sz w:val="21"/>
                <w:szCs w:val="21"/>
                <w:color w:val="auto"/>
              </w:rPr>
              <w:t>Accounts payable and accrued liabilities</w:t>
            </w:r>
          </w:p>
        </w:tc>
        <w:tc>
          <w:tcPr>
            <w:tcW w:w="24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103"/>
              <w:spacing w:after="0" w:line="237" w:lineRule="exact"/>
              <w:rPr>
                <w:sz w:val="20"/>
                <w:szCs w:val="20"/>
                <w:color w:val="auto"/>
              </w:rPr>
            </w:pPr>
            <w:r>
              <w:rPr>
                <w:rFonts w:ascii="Arial" w:cs="Arial" w:eastAsia="Arial" w:hAnsi="Arial"/>
                <w:sz w:val="21"/>
                <w:szCs w:val="21"/>
                <w:color w:val="auto"/>
              </w:rPr>
              <w:t>2,101</w:t>
            </w:r>
          </w:p>
        </w:tc>
        <w:tc>
          <w:tcPr>
            <w:tcW w:w="300" w:type="dxa"/>
            <w:vAlign w:val="bottom"/>
            <w:shd w:val="clear" w:color="auto" w:fill="E0E0E0"/>
          </w:tcPr>
          <w:p>
            <w:pPr>
              <w:spacing w:after="0"/>
              <w:rPr>
                <w:sz w:val="20"/>
                <w:szCs w:val="20"/>
                <w:color w:val="auto"/>
              </w:rPr>
            </w:pPr>
          </w:p>
        </w:tc>
        <w:tc>
          <w:tcPr>
            <w:tcW w:w="1100" w:type="dxa"/>
            <w:vAlign w:val="bottom"/>
            <w:gridSpan w:val="2"/>
            <w:shd w:val="clear" w:color="auto" w:fill="E0E0E0"/>
          </w:tcPr>
          <w:p>
            <w:pPr>
              <w:jc w:val="right"/>
              <w:spacing w:after="0" w:line="237" w:lineRule="exact"/>
              <w:rPr>
                <w:sz w:val="20"/>
                <w:szCs w:val="20"/>
                <w:color w:val="auto"/>
              </w:rPr>
            </w:pPr>
            <w:r>
              <w:rPr>
                <w:rFonts w:ascii="Arial" w:cs="Arial" w:eastAsia="Arial" w:hAnsi="Arial"/>
                <w:sz w:val="21"/>
                <w:szCs w:val="21"/>
                <w:color w:val="auto"/>
              </w:rPr>
              <w:t>5,150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860"/>
              <w:spacing w:after="0" w:line="237" w:lineRule="exact"/>
              <w:rPr>
                <w:sz w:val="20"/>
                <w:szCs w:val="20"/>
                <w:color w:val="auto"/>
              </w:rPr>
            </w:pPr>
            <w:r>
              <w:rPr>
                <w:rFonts w:ascii="Arial" w:cs="Arial" w:eastAsia="Arial" w:hAnsi="Arial"/>
                <w:sz w:val="21"/>
                <w:szCs w:val="21"/>
                <w:color w:val="auto"/>
              </w:rPr>
              <w:t>Accrued legal settlement</w:t>
            </w:r>
          </w:p>
        </w:tc>
        <w:tc>
          <w:tcPr>
            <w:tcW w:w="240" w:type="dxa"/>
            <w:vAlign w:val="bottom"/>
          </w:tcPr>
          <w:p>
            <w:pPr>
              <w:spacing w:after="0"/>
              <w:rPr>
                <w:sz w:val="20"/>
                <w:szCs w:val="20"/>
                <w:color w:val="auto"/>
              </w:rPr>
            </w:pPr>
          </w:p>
        </w:tc>
        <w:tc>
          <w:tcPr>
            <w:tcW w:w="1240" w:type="dxa"/>
            <w:vAlign w:val="bottom"/>
            <w:gridSpan w:val="2"/>
          </w:tcPr>
          <w:p>
            <w:pPr>
              <w:jc w:val="right"/>
              <w:ind w:right="103"/>
              <w:spacing w:after="0" w:line="237" w:lineRule="exact"/>
              <w:rPr>
                <w:sz w:val="20"/>
                <w:szCs w:val="20"/>
                <w:color w:val="auto"/>
              </w:rPr>
            </w:pPr>
            <w:r>
              <w:rPr>
                <w:rFonts w:ascii="Arial" w:cs="Arial" w:eastAsia="Arial" w:hAnsi="Arial"/>
                <w:sz w:val="21"/>
                <w:szCs w:val="21"/>
                <w:color w:val="auto"/>
              </w:rPr>
              <w:t>10,000</w:t>
            </w:r>
          </w:p>
        </w:tc>
        <w:tc>
          <w:tcPr>
            <w:tcW w:w="300" w:type="dxa"/>
            <w:vAlign w:val="bottom"/>
          </w:tcPr>
          <w:p>
            <w:pPr>
              <w:spacing w:after="0"/>
              <w:rPr>
                <w:sz w:val="20"/>
                <w:szCs w:val="20"/>
                <w:color w:val="auto"/>
              </w:rPr>
            </w:pPr>
          </w:p>
        </w:tc>
        <w:tc>
          <w:tcPr>
            <w:tcW w:w="110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36"/>
        </w:trPr>
        <w:tc>
          <w:tcPr>
            <w:tcW w:w="6760" w:type="dxa"/>
            <w:vAlign w:val="bottom"/>
            <w:gridSpan w:val="2"/>
            <w:shd w:val="clear" w:color="auto" w:fill="E0E0E0"/>
          </w:tcPr>
          <w:p>
            <w:pPr>
              <w:ind w:left="860"/>
              <w:spacing w:after="0" w:line="236" w:lineRule="exact"/>
              <w:rPr>
                <w:sz w:val="20"/>
                <w:szCs w:val="20"/>
                <w:color w:val="auto"/>
              </w:rPr>
            </w:pPr>
            <w:r>
              <w:rPr>
                <w:rFonts w:ascii="Arial" w:cs="Arial" w:eastAsia="Arial" w:hAnsi="Arial"/>
                <w:sz w:val="21"/>
                <w:szCs w:val="21"/>
                <w:color w:val="auto"/>
              </w:rPr>
              <w:t>Operating lease liability</w:t>
            </w:r>
          </w:p>
        </w:tc>
        <w:tc>
          <w:tcPr>
            <w:tcW w:w="24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43"/>
              <w:spacing w:after="0" w:line="236" w:lineRule="exact"/>
              <w:rPr>
                <w:sz w:val="20"/>
                <w:szCs w:val="20"/>
                <w:color w:val="auto"/>
              </w:rPr>
            </w:pPr>
            <w:r>
              <w:rPr>
                <w:rFonts w:ascii="Arial" w:cs="Arial" w:eastAsia="Arial" w:hAnsi="Arial"/>
                <w:sz w:val="21"/>
                <w:szCs w:val="21"/>
                <w:color w:val="auto"/>
              </w:rPr>
              <w:t>(15)</w:t>
            </w:r>
          </w:p>
        </w:tc>
        <w:tc>
          <w:tcPr>
            <w:tcW w:w="300" w:type="dxa"/>
            <w:vAlign w:val="bottom"/>
            <w:shd w:val="clear" w:color="auto" w:fill="E0E0E0"/>
          </w:tcPr>
          <w:p>
            <w:pPr>
              <w:spacing w:after="0"/>
              <w:rPr>
                <w:sz w:val="20"/>
                <w:szCs w:val="20"/>
                <w:color w:val="auto"/>
              </w:rPr>
            </w:pPr>
          </w:p>
        </w:tc>
        <w:tc>
          <w:tcPr>
            <w:tcW w:w="1100" w:type="dxa"/>
            <w:vAlign w:val="bottom"/>
            <w:gridSpan w:val="2"/>
            <w:shd w:val="clear" w:color="auto" w:fill="E0E0E0"/>
          </w:tcPr>
          <w:p>
            <w:pPr>
              <w:jc w:val="right"/>
              <w:spacing w:after="0" w:line="236" w:lineRule="exact"/>
              <w:rPr>
                <w:sz w:val="20"/>
                <w:szCs w:val="20"/>
                <w:color w:val="auto"/>
              </w:rPr>
            </w:pPr>
            <w:r>
              <w:rPr>
                <w:rFonts w:ascii="Arial" w:cs="Arial" w:eastAsia="Arial" w:hAnsi="Arial"/>
                <w:sz w:val="21"/>
                <w:szCs w:val="21"/>
                <w:color w:val="auto"/>
              </w:rPr>
              <w:t>241</w:t>
            </w:r>
          </w:p>
        </w:tc>
        <w:tc>
          <w:tcPr>
            <w:tcW w:w="0" w:type="dxa"/>
            <w:vAlign w:val="bottom"/>
          </w:tcPr>
          <w:p>
            <w:pPr>
              <w:spacing w:after="0"/>
              <w:rPr>
                <w:sz w:val="1"/>
                <w:szCs w:val="1"/>
                <w:color w:val="auto"/>
              </w:rPr>
            </w:pPr>
          </w:p>
        </w:tc>
      </w:tr>
      <w:tr>
        <w:trPr>
          <w:trHeight w:val="227"/>
        </w:trPr>
        <w:tc>
          <w:tcPr>
            <w:tcW w:w="6760" w:type="dxa"/>
            <w:vAlign w:val="bottom"/>
            <w:tcBorders>
              <w:bottom w:val="single" w:sz="8" w:color="E0E0E0"/>
            </w:tcBorders>
            <w:gridSpan w:val="2"/>
          </w:tcPr>
          <w:p>
            <w:pPr>
              <w:ind w:left="1160"/>
              <w:spacing w:after="0" w:line="227" w:lineRule="exact"/>
              <w:rPr>
                <w:sz w:val="20"/>
                <w:szCs w:val="20"/>
                <w:color w:val="auto"/>
              </w:rPr>
            </w:pPr>
            <w:r>
              <w:rPr>
                <w:rFonts w:ascii="Arial" w:cs="Arial" w:eastAsia="Arial" w:hAnsi="Arial"/>
                <w:sz w:val="21"/>
                <w:szCs w:val="21"/>
                <w:color w:val="auto"/>
              </w:rPr>
              <w:t>Net cash used in operating activities</w:t>
            </w: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(72,469</w:t>
            </w:r>
          </w:p>
        </w:tc>
        <w:tc>
          <w:tcPr>
            <w:tcW w:w="180" w:type="dxa"/>
            <w:vAlign w:val="bottom"/>
            <w:tcBorders>
              <w:bottom w:val="single" w:sz="8" w:color="E0E0E0"/>
            </w:tcBorders>
          </w:tcPr>
          <w:p>
            <w:pPr>
              <w:jc w:val="right"/>
              <w:ind w:right="43"/>
              <w:spacing w:after="0"/>
              <w:rPr>
                <w:sz w:val="20"/>
                <w:szCs w:val="20"/>
                <w:color w:val="auto"/>
              </w:rPr>
            </w:pPr>
            <w:r>
              <w:rPr>
                <w:rFonts w:ascii="Arial" w:cs="Arial" w:eastAsia="Arial" w:hAnsi="Arial"/>
                <w:sz w:val="15"/>
                <w:szCs w:val="15"/>
                <w:color w:val="auto"/>
                <w:w w:val="79"/>
              </w:rPr>
              <w:t>)</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(43,098</w:t>
            </w:r>
          </w:p>
        </w:tc>
        <w:tc>
          <w:tcPr>
            <w:tcW w:w="100" w:type="dxa"/>
            <w:vAlign w:val="bottom"/>
            <w:tcBorders>
              <w:bottom w:val="single" w:sz="8" w:color="E0E0E0"/>
            </w:tcBorders>
          </w:tcPr>
          <w:p>
            <w:pPr>
              <w:jc w:val="right"/>
              <w:spacing w:after="0" w:line="227" w:lineRule="exact"/>
              <w:rPr>
                <w:sz w:val="20"/>
                <w:szCs w:val="20"/>
                <w:color w:val="auto"/>
              </w:rPr>
            </w:pPr>
            <w:r>
              <w:rPr>
                <w:rFonts w:ascii="Arial" w:cs="Arial" w:eastAsia="Arial" w:hAnsi="Arial"/>
                <w:sz w:val="21"/>
                <w:szCs w:val="21"/>
                <w:color w:val="auto"/>
                <w:w w:val="85"/>
              </w:rPr>
              <w:t>)</w:t>
            </w:r>
          </w:p>
        </w:tc>
        <w:tc>
          <w:tcPr>
            <w:tcW w:w="0" w:type="dxa"/>
            <w:vAlign w:val="bottom"/>
          </w:tcPr>
          <w:p>
            <w:pPr>
              <w:spacing w:after="0"/>
              <w:rPr>
                <w:sz w:val="1"/>
                <w:szCs w:val="1"/>
                <w:color w:val="auto"/>
              </w:rPr>
            </w:pPr>
          </w:p>
        </w:tc>
      </w:tr>
      <w:tr>
        <w:trPr>
          <w:trHeight w:val="227"/>
        </w:trPr>
        <w:tc>
          <w:tcPr>
            <w:tcW w:w="6760" w:type="dxa"/>
            <w:vAlign w:val="bottom"/>
            <w:gridSpan w:val="2"/>
            <w:shd w:val="clear" w:color="auto" w:fill="E0E0E0"/>
          </w:tcPr>
          <w:p>
            <w:pPr>
              <w:spacing w:after="0" w:line="227" w:lineRule="exact"/>
              <w:rPr>
                <w:sz w:val="20"/>
                <w:szCs w:val="20"/>
                <w:color w:val="auto"/>
              </w:rPr>
            </w:pPr>
            <w:r>
              <w:rPr>
                <w:rFonts w:ascii="Arial" w:cs="Arial" w:eastAsia="Arial" w:hAnsi="Arial"/>
                <w:sz w:val="21"/>
                <w:szCs w:val="21"/>
                <w:b w:val="1"/>
                <w:bCs w:val="1"/>
                <w:color w:val="auto"/>
              </w:rPr>
              <w:t>Investing activities</w:t>
            </w:r>
          </w:p>
        </w:tc>
        <w:tc>
          <w:tcPr>
            <w:tcW w:w="240" w:type="dxa"/>
            <w:vAlign w:val="bottom"/>
            <w:shd w:val="clear" w:color="auto" w:fill="E0E0E0"/>
          </w:tcPr>
          <w:p>
            <w:pPr>
              <w:spacing w:after="0"/>
              <w:rPr>
                <w:sz w:val="19"/>
                <w:szCs w:val="19"/>
                <w:color w:val="auto"/>
              </w:rPr>
            </w:pPr>
          </w:p>
        </w:tc>
        <w:tc>
          <w:tcPr>
            <w:tcW w:w="1060" w:type="dxa"/>
            <w:vAlign w:val="bottom"/>
            <w:shd w:val="clear" w:color="auto" w:fill="E0E0E0"/>
          </w:tcPr>
          <w:p>
            <w:pPr>
              <w:spacing w:after="0"/>
              <w:rPr>
                <w:sz w:val="19"/>
                <w:szCs w:val="19"/>
                <w:color w:val="auto"/>
              </w:rPr>
            </w:pPr>
          </w:p>
        </w:tc>
        <w:tc>
          <w:tcPr>
            <w:tcW w:w="180" w:type="dxa"/>
            <w:vAlign w:val="bottom"/>
            <w:tcBorders>
              <w:right w:val="single" w:sz="8" w:color="E0E0E0"/>
            </w:tcBorders>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60" w:type="dxa"/>
            <w:vAlign w:val="bottom"/>
            <w:gridSpan w:val="2"/>
          </w:tcPr>
          <w:p>
            <w:pPr>
              <w:ind w:left="280"/>
              <w:spacing w:after="0" w:line="237" w:lineRule="exact"/>
              <w:rPr>
                <w:sz w:val="20"/>
                <w:szCs w:val="20"/>
                <w:color w:val="auto"/>
              </w:rPr>
            </w:pPr>
            <w:r>
              <w:rPr>
                <w:rFonts w:ascii="Arial" w:cs="Arial" w:eastAsia="Arial" w:hAnsi="Arial"/>
                <w:sz w:val="21"/>
                <w:szCs w:val="21"/>
                <w:color w:val="auto"/>
              </w:rPr>
              <w:t>Purchases of available-for-sale securities</w:t>
            </w:r>
          </w:p>
        </w:tc>
        <w:tc>
          <w:tcPr>
            <w:tcW w:w="240" w:type="dxa"/>
            <w:vAlign w:val="bottom"/>
          </w:tcPr>
          <w:p>
            <w:pPr>
              <w:spacing w:after="0"/>
              <w:rPr>
                <w:sz w:val="20"/>
                <w:szCs w:val="20"/>
                <w:color w:val="auto"/>
              </w:rPr>
            </w:pPr>
          </w:p>
        </w:tc>
        <w:tc>
          <w:tcPr>
            <w:tcW w:w="1240" w:type="dxa"/>
            <w:vAlign w:val="bottom"/>
            <w:gridSpan w:val="2"/>
          </w:tcPr>
          <w:p>
            <w:pPr>
              <w:jc w:val="right"/>
              <w:ind w:right="43"/>
              <w:spacing w:after="0" w:line="237" w:lineRule="exact"/>
              <w:rPr>
                <w:sz w:val="20"/>
                <w:szCs w:val="20"/>
                <w:color w:val="auto"/>
              </w:rPr>
            </w:pPr>
            <w:r>
              <w:rPr>
                <w:rFonts w:ascii="Arial" w:cs="Arial" w:eastAsia="Arial" w:hAnsi="Arial"/>
                <w:sz w:val="21"/>
                <w:szCs w:val="21"/>
                <w:color w:val="auto"/>
              </w:rPr>
              <w:t>(95,288)</w:t>
            </w:r>
          </w:p>
        </w:tc>
        <w:tc>
          <w:tcPr>
            <w:tcW w:w="300" w:type="dxa"/>
            <w:vAlign w:val="bottom"/>
          </w:tcPr>
          <w:p>
            <w:pPr>
              <w:spacing w:after="0"/>
              <w:rPr>
                <w:sz w:val="20"/>
                <w:szCs w:val="20"/>
                <w:color w:val="auto"/>
              </w:rPr>
            </w:pPr>
          </w:p>
        </w:tc>
        <w:tc>
          <w:tcPr>
            <w:tcW w:w="110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(299,197)</w:t>
            </w:r>
          </w:p>
        </w:tc>
        <w:tc>
          <w:tcPr>
            <w:tcW w:w="0" w:type="dxa"/>
            <w:vAlign w:val="bottom"/>
          </w:tcPr>
          <w:p>
            <w:pPr>
              <w:spacing w:after="0"/>
              <w:rPr>
                <w:sz w:val="1"/>
                <w:szCs w:val="1"/>
                <w:color w:val="auto"/>
              </w:rPr>
            </w:pPr>
          </w:p>
        </w:tc>
      </w:tr>
      <w:tr>
        <w:trPr>
          <w:trHeight w:val="237"/>
        </w:trPr>
        <w:tc>
          <w:tcPr>
            <w:tcW w:w="6760" w:type="dxa"/>
            <w:vAlign w:val="bottom"/>
            <w:gridSpan w:val="2"/>
            <w:shd w:val="clear" w:color="auto" w:fill="E0E0E0"/>
          </w:tcPr>
          <w:p>
            <w:pPr>
              <w:ind w:left="280"/>
              <w:spacing w:after="0" w:line="237" w:lineRule="exact"/>
              <w:rPr>
                <w:sz w:val="20"/>
                <w:szCs w:val="20"/>
                <w:color w:val="auto"/>
              </w:rPr>
            </w:pPr>
            <w:r>
              <w:rPr>
                <w:rFonts w:ascii="Arial" w:cs="Arial" w:eastAsia="Arial" w:hAnsi="Arial"/>
                <w:sz w:val="21"/>
                <w:szCs w:val="21"/>
                <w:color w:val="auto"/>
              </w:rPr>
              <w:t>Maturities of available-for-sale securities</w:t>
            </w:r>
          </w:p>
        </w:tc>
        <w:tc>
          <w:tcPr>
            <w:tcW w:w="24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103"/>
              <w:spacing w:after="0" w:line="237" w:lineRule="exact"/>
              <w:rPr>
                <w:sz w:val="20"/>
                <w:szCs w:val="20"/>
                <w:color w:val="auto"/>
              </w:rPr>
            </w:pPr>
            <w:r>
              <w:rPr>
                <w:rFonts w:ascii="Arial" w:cs="Arial" w:eastAsia="Arial" w:hAnsi="Arial"/>
                <w:sz w:val="21"/>
                <w:szCs w:val="21"/>
                <w:color w:val="auto"/>
              </w:rPr>
              <w:t>154,093</w:t>
            </w:r>
          </w:p>
        </w:tc>
        <w:tc>
          <w:tcPr>
            <w:tcW w:w="300" w:type="dxa"/>
            <w:vAlign w:val="bottom"/>
            <w:shd w:val="clear" w:color="auto" w:fill="E0E0E0"/>
          </w:tcPr>
          <w:p>
            <w:pPr>
              <w:spacing w:after="0"/>
              <w:rPr>
                <w:sz w:val="20"/>
                <w:szCs w:val="20"/>
                <w:color w:val="auto"/>
              </w:rPr>
            </w:pPr>
          </w:p>
        </w:tc>
        <w:tc>
          <w:tcPr>
            <w:tcW w:w="1100" w:type="dxa"/>
            <w:vAlign w:val="bottom"/>
            <w:gridSpan w:val="2"/>
            <w:shd w:val="clear" w:color="auto" w:fill="E0E0E0"/>
          </w:tcPr>
          <w:p>
            <w:pPr>
              <w:jc w:val="right"/>
              <w:spacing w:after="0" w:line="237" w:lineRule="exact"/>
              <w:rPr>
                <w:sz w:val="20"/>
                <w:szCs w:val="20"/>
                <w:color w:val="auto"/>
              </w:rPr>
            </w:pPr>
            <w:r>
              <w:rPr>
                <w:rFonts w:ascii="Arial" w:cs="Arial" w:eastAsia="Arial" w:hAnsi="Arial"/>
                <w:sz w:val="21"/>
                <w:szCs w:val="21"/>
                <w:color w:val="auto"/>
              </w:rPr>
              <w:t>278,639</w:t>
            </w:r>
          </w:p>
        </w:tc>
        <w:tc>
          <w:tcPr>
            <w:tcW w:w="0" w:type="dxa"/>
            <w:vAlign w:val="bottom"/>
          </w:tcPr>
          <w:p>
            <w:pPr>
              <w:spacing w:after="0"/>
              <w:rPr>
                <w:sz w:val="1"/>
                <w:szCs w:val="1"/>
                <w:color w:val="auto"/>
              </w:rPr>
            </w:pPr>
          </w:p>
        </w:tc>
      </w:tr>
      <w:tr>
        <w:trPr>
          <w:trHeight w:val="236"/>
        </w:trPr>
        <w:tc>
          <w:tcPr>
            <w:tcW w:w="6760" w:type="dxa"/>
            <w:vAlign w:val="bottom"/>
            <w:gridSpan w:val="2"/>
          </w:tcPr>
          <w:p>
            <w:pPr>
              <w:ind w:left="280"/>
              <w:spacing w:after="0" w:line="236" w:lineRule="exact"/>
              <w:rPr>
                <w:sz w:val="20"/>
                <w:szCs w:val="20"/>
                <w:color w:val="auto"/>
              </w:rPr>
            </w:pPr>
            <w:r>
              <w:rPr>
                <w:rFonts w:ascii="Arial" w:cs="Arial" w:eastAsia="Arial" w:hAnsi="Arial"/>
                <w:sz w:val="21"/>
                <w:szCs w:val="21"/>
                <w:color w:val="auto"/>
              </w:rPr>
              <w:t>Proceeds from sales of available-for-sale securities</w:t>
            </w:r>
          </w:p>
        </w:tc>
        <w:tc>
          <w:tcPr>
            <w:tcW w:w="240" w:type="dxa"/>
            <w:vAlign w:val="bottom"/>
          </w:tcPr>
          <w:p>
            <w:pPr>
              <w:spacing w:after="0"/>
              <w:rPr>
                <w:sz w:val="20"/>
                <w:szCs w:val="20"/>
                <w:color w:val="auto"/>
              </w:rPr>
            </w:pPr>
          </w:p>
        </w:tc>
        <w:tc>
          <w:tcPr>
            <w:tcW w:w="1240" w:type="dxa"/>
            <w:vAlign w:val="bottom"/>
            <w:gridSpan w:val="2"/>
          </w:tcPr>
          <w:p>
            <w:pPr>
              <w:jc w:val="right"/>
              <w:ind w:right="103"/>
              <w:spacing w:after="0" w:line="236" w:lineRule="exact"/>
              <w:rPr>
                <w:sz w:val="20"/>
                <w:szCs w:val="20"/>
                <w:color w:val="auto"/>
              </w:rPr>
            </w:pPr>
            <w:r>
              <w:rPr>
                <w:rFonts w:ascii="Arial" w:cs="Arial" w:eastAsia="Arial" w:hAnsi="Arial"/>
                <w:sz w:val="21"/>
                <w:szCs w:val="21"/>
                <w:color w:val="auto"/>
              </w:rPr>
              <w:t>—</w:t>
            </w:r>
          </w:p>
        </w:tc>
        <w:tc>
          <w:tcPr>
            <w:tcW w:w="300" w:type="dxa"/>
            <w:vAlign w:val="bottom"/>
          </w:tcPr>
          <w:p>
            <w:pPr>
              <w:spacing w:after="0"/>
              <w:rPr>
                <w:sz w:val="20"/>
                <w:szCs w:val="20"/>
                <w:color w:val="auto"/>
              </w:rPr>
            </w:pPr>
          </w:p>
        </w:tc>
        <w:tc>
          <w:tcPr>
            <w:tcW w:w="1100" w:type="dxa"/>
            <w:vAlign w:val="bottom"/>
            <w:gridSpan w:val="2"/>
          </w:tcPr>
          <w:p>
            <w:pPr>
              <w:jc w:val="right"/>
              <w:spacing w:after="0" w:line="236" w:lineRule="exact"/>
              <w:rPr>
                <w:sz w:val="20"/>
                <w:szCs w:val="20"/>
                <w:color w:val="auto"/>
              </w:rPr>
            </w:pPr>
            <w:r>
              <w:rPr>
                <w:rFonts w:ascii="Arial" w:cs="Arial" w:eastAsia="Arial" w:hAnsi="Arial"/>
                <w:sz w:val="21"/>
                <w:szCs w:val="21"/>
                <w:color w:val="auto"/>
              </w:rPr>
              <w:t>18,052</w:t>
            </w:r>
          </w:p>
        </w:tc>
        <w:tc>
          <w:tcPr>
            <w:tcW w:w="0" w:type="dxa"/>
            <w:vAlign w:val="bottom"/>
          </w:tcPr>
          <w:p>
            <w:pPr>
              <w:spacing w:after="0"/>
              <w:rPr>
                <w:sz w:val="1"/>
                <w:szCs w:val="1"/>
                <w:color w:val="auto"/>
              </w:rPr>
            </w:pPr>
          </w:p>
        </w:tc>
      </w:tr>
      <w:tr>
        <w:trPr>
          <w:trHeight w:val="237"/>
        </w:trPr>
        <w:tc>
          <w:tcPr>
            <w:tcW w:w="6760" w:type="dxa"/>
            <w:vAlign w:val="bottom"/>
            <w:gridSpan w:val="2"/>
            <w:shd w:val="clear" w:color="auto" w:fill="E0E0E0"/>
          </w:tcPr>
          <w:p>
            <w:pPr>
              <w:ind w:left="280"/>
              <w:spacing w:after="0" w:line="237" w:lineRule="exact"/>
              <w:rPr>
                <w:sz w:val="20"/>
                <w:szCs w:val="20"/>
                <w:color w:val="auto"/>
              </w:rPr>
            </w:pPr>
            <w:r>
              <w:rPr>
                <w:rFonts w:ascii="Arial" w:cs="Arial" w:eastAsia="Arial" w:hAnsi="Arial"/>
                <w:sz w:val="21"/>
                <w:szCs w:val="21"/>
                <w:color w:val="auto"/>
              </w:rPr>
              <w:t>Purchases of property and equipment</w:t>
            </w:r>
          </w:p>
        </w:tc>
        <w:tc>
          <w:tcPr>
            <w:tcW w:w="24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43"/>
              <w:spacing w:after="0" w:line="237" w:lineRule="exact"/>
              <w:rPr>
                <w:sz w:val="20"/>
                <w:szCs w:val="20"/>
                <w:color w:val="auto"/>
              </w:rPr>
            </w:pPr>
            <w:r>
              <w:rPr>
                <w:rFonts w:ascii="Arial" w:cs="Arial" w:eastAsia="Arial" w:hAnsi="Arial"/>
                <w:sz w:val="21"/>
                <w:szCs w:val="21"/>
                <w:color w:val="auto"/>
              </w:rPr>
              <w:t>(1,141)</w:t>
            </w:r>
          </w:p>
        </w:tc>
        <w:tc>
          <w:tcPr>
            <w:tcW w:w="300" w:type="dxa"/>
            <w:vAlign w:val="bottom"/>
            <w:shd w:val="clear" w:color="auto" w:fill="E0E0E0"/>
          </w:tcPr>
          <w:p>
            <w:pPr>
              <w:spacing w:after="0"/>
              <w:rPr>
                <w:sz w:val="20"/>
                <w:szCs w:val="20"/>
                <w:color w:val="auto"/>
              </w:rPr>
            </w:pPr>
          </w:p>
        </w:tc>
        <w:tc>
          <w:tcPr>
            <w:tcW w:w="1100" w:type="dxa"/>
            <w:vAlign w:val="bottom"/>
            <w:gridSpan w:val="2"/>
            <w:shd w:val="clear" w:color="auto" w:fill="E0E0E0"/>
          </w:tcPr>
          <w:p>
            <w:pPr>
              <w:jc w:val="right"/>
              <w:spacing w:after="0" w:line="237" w:lineRule="exact"/>
              <w:rPr>
                <w:sz w:val="20"/>
                <w:szCs w:val="20"/>
                <w:color w:val="auto"/>
              </w:rPr>
            </w:pPr>
            <w:r>
              <w:rPr>
                <w:rFonts w:ascii="Arial" w:cs="Arial" w:eastAsia="Arial" w:hAnsi="Arial"/>
                <w:sz w:val="21"/>
                <w:szCs w:val="21"/>
                <w:color w:val="auto"/>
              </w:rPr>
              <w:t>(1,573)</w:t>
            </w:r>
          </w:p>
        </w:tc>
        <w:tc>
          <w:tcPr>
            <w:tcW w:w="0" w:type="dxa"/>
            <w:vAlign w:val="bottom"/>
          </w:tcPr>
          <w:p>
            <w:pPr>
              <w:spacing w:after="0"/>
              <w:rPr>
                <w:sz w:val="1"/>
                <w:szCs w:val="1"/>
                <w:color w:val="auto"/>
              </w:rPr>
            </w:pPr>
          </w:p>
        </w:tc>
      </w:tr>
      <w:tr>
        <w:trPr>
          <w:trHeight w:val="227"/>
        </w:trPr>
        <w:tc>
          <w:tcPr>
            <w:tcW w:w="6760" w:type="dxa"/>
            <w:vAlign w:val="bottom"/>
            <w:tcBorders>
              <w:bottom w:val="single" w:sz="8" w:color="E0E0E0"/>
            </w:tcBorders>
            <w:gridSpan w:val="2"/>
          </w:tcPr>
          <w:p>
            <w:pPr>
              <w:ind w:left="1160"/>
              <w:spacing w:after="0" w:line="227" w:lineRule="exact"/>
              <w:rPr>
                <w:sz w:val="20"/>
                <w:szCs w:val="20"/>
                <w:color w:val="auto"/>
              </w:rPr>
            </w:pPr>
            <w:r>
              <w:rPr>
                <w:rFonts w:ascii="Arial" w:cs="Arial" w:eastAsia="Arial" w:hAnsi="Arial"/>
                <w:sz w:val="21"/>
                <w:szCs w:val="21"/>
                <w:color w:val="auto"/>
              </w:rPr>
              <w:t>Net cash provided by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57,664</w:t>
            </w:r>
          </w:p>
        </w:tc>
        <w:tc>
          <w:tcPr>
            <w:tcW w:w="180" w:type="dxa"/>
            <w:vAlign w:val="bottom"/>
            <w:tcBorders>
              <w:bottom w:val="single" w:sz="8" w:color="E0E0E0"/>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(4,079</w:t>
            </w:r>
          </w:p>
        </w:tc>
        <w:tc>
          <w:tcPr>
            <w:tcW w:w="100" w:type="dxa"/>
            <w:vAlign w:val="bottom"/>
            <w:tcBorders>
              <w:bottom w:val="single" w:sz="8" w:color="E0E0E0"/>
            </w:tcBorders>
          </w:tcPr>
          <w:p>
            <w:pPr>
              <w:jc w:val="right"/>
              <w:spacing w:after="0" w:line="227" w:lineRule="exact"/>
              <w:rPr>
                <w:sz w:val="20"/>
                <w:szCs w:val="20"/>
                <w:color w:val="auto"/>
              </w:rPr>
            </w:pPr>
            <w:r>
              <w:rPr>
                <w:rFonts w:ascii="Arial" w:cs="Arial" w:eastAsia="Arial" w:hAnsi="Arial"/>
                <w:sz w:val="21"/>
                <w:szCs w:val="21"/>
                <w:color w:val="auto"/>
                <w:w w:val="85"/>
              </w:rPr>
              <w:t>)</w:t>
            </w:r>
          </w:p>
        </w:tc>
        <w:tc>
          <w:tcPr>
            <w:tcW w:w="0" w:type="dxa"/>
            <w:vAlign w:val="bottom"/>
          </w:tcPr>
          <w:p>
            <w:pPr>
              <w:spacing w:after="0"/>
              <w:rPr>
                <w:sz w:val="1"/>
                <w:szCs w:val="1"/>
                <w:color w:val="auto"/>
              </w:rPr>
            </w:pPr>
          </w:p>
        </w:tc>
      </w:tr>
      <w:tr>
        <w:trPr>
          <w:trHeight w:val="227"/>
        </w:trPr>
        <w:tc>
          <w:tcPr>
            <w:tcW w:w="6760" w:type="dxa"/>
            <w:vAlign w:val="bottom"/>
            <w:gridSpan w:val="2"/>
            <w:shd w:val="clear" w:color="auto" w:fill="E0E0E0"/>
          </w:tcPr>
          <w:p>
            <w:pPr>
              <w:spacing w:after="0" w:line="227" w:lineRule="exact"/>
              <w:rPr>
                <w:sz w:val="20"/>
                <w:szCs w:val="20"/>
                <w:color w:val="auto"/>
              </w:rPr>
            </w:pPr>
            <w:r>
              <w:rPr>
                <w:rFonts w:ascii="Arial" w:cs="Arial" w:eastAsia="Arial" w:hAnsi="Arial"/>
                <w:sz w:val="21"/>
                <w:szCs w:val="21"/>
                <w:b w:val="1"/>
                <w:bCs w:val="1"/>
                <w:color w:val="auto"/>
              </w:rPr>
              <w:t>Financing activities</w:t>
            </w:r>
          </w:p>
        </w:tc>
        <w:tc>
          <w:tcPr>
            <w:tcW w:w="240" w:type="dxa"/>
            <w:vAlign w:val="bottom"/>
            <w:shd w:val="clear" w:color="auto" w:fill="E0E0E0"/>
          </w:tcPr>
          <w:p>
            <w:pPr>
              <w:spacing w:after="0"/>
              <w:rPr>
                <w:sz w:val="19"/>
                <w:szCs w:val="19"/>
                <w:color w:val="auto"/>
              </w:rPr>
            </w:pPr>
          </w:p>
        </w:tc>
        <w:tc>
          <w:tcPr>
            <w:tcW w:w="1060" w:type="dxa"/>
            <w:vAlign w:val="bottom"/>
            <w:shd w:val="clear" w:color="auto" w:fill="E0E0E0"/>
          </w:tcPr>
          <w:p>
            <w:pPr>
              <w:spacing w:after="0"/>
              <w:rPr>
                <w:sz w:val="19"/>
                <w:szCs w:val="19"/>
                <w:color w:val="auto"/>
              </w:rPr>
            </w:pPr>
          </w:p>
        </w:tc>
        <w:tc>
          <w:tcPr>
            <w:tcW w:w="180" w:type="dxa"/>
            <w:vAlign w:val="bottom"/>
            <w:tcBorders>
              <w:right w:val="single" w:sz="8" w:color="E0E0E0"/>
            </w:tcBorders>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60" w:type="dxa"/>
            <w:vAlign w:val="bottom"/>
            <w:gridSpan w:val="2"/>
          </w:tcPr>
          <w:p>
            <w:pPr>
              <w:ind w:left="280"/>
              <w:spacing w:after="0" w:line="237" w:lineRule="exact"/>
              <w:rPr>
                <w:sz w:val="20"/>
                <w:szCs w:val="20"/>
                <w:color w:val="auto"/>
              </w:rPr>
            </w:pPr>
            <w:r>
              <w:rPr>
                <w:rFonts w:ascii="Arial" w:cs="Arial" w:eastAsia="Arial" w:hAnsi="Arial"/>
                <w:sz w:val="21"/>
                <w:szCs w:val="21"/>
                <w:color w:val="auto"/>
              </w:rPr>
              <w:t>Proceeds from exercise of common stock options</w:t>
            </w:r>
          </w:p>
        </w:tc>
        <w:tc>
          <w:tcPr>
            <w:tcW w:w="240" w:type="dxa"/>
            <w:vAlign w:val="bottom"/>
          </w:tcPr>
          <w:p>
            <w:pPr>
              <w:spacing w:after="0"/>
              <w:rPr>
                <w:sz w:val="20"/>
                <w:szCs w:val="20"/>
                <w:color w:val="auto"/>
              </w:rPr>
            </w:pPr>
          </w:p>
        </w:tc>
        <w:tc>
          <w:tcPr>
            <w:tcW w:w="1240" w:type="dxa"/>
            <w:vAlign w:val="bottom"/>
            <w:gridSpan w:val="2"/>
          </w:tcPr>
          <w:p>
            <w:pPr>
              <w:jc w:val="right"/>
              <w:ind w:right="103"/>
              <w:spacing w:after="0" w:line="237" w:lineRule="exact"/>
              <w:rPr>
                <w:sz w:val="20"/>
                <w:szCs w:val="20"/>
                <w:color w:val="auto"/>
              </w:rPr>
            </w:pPr>
            <w:r>
              <w:rPr>
                <w:rFonts w:ascii="Arial" w:cs="Arial" w:eastAsia="Arial" w:hAnsi="Arial"/>
                <w:sz w:val="21"/>
                <w:szCs w:val="21"/>
                <w:color w:val="auto"/>
              </w:rPr>
              <w:t>654</w:t>
            </w:r>
          </w:p>
        </w:tc>
        <w:tc>
          <w:tcPr>
            <w:tcW w:w="300" w:type="dxa"/>
            <w:vAlign w:val="bottom"/>
          </w:tcPr>
          <w:p>
            <w:pPr>
              <w:spacing w:after="0"/>
              <w:rPr>
                <w:sz w:val="20"/>
                <w:szCs w:val="20"/>
                <w:color w:val="auto"/>
              </w:rPr>
            </w:pPr>
          </w:p>
        </w:tc>
        <w:tc>
          <w:tcPr>
            <w:tcW w:w="110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327</w:t>
            </w:r>
          </w:p>
        </w:tc>
        <w:tc>
          <w:tcPr>
            <w:tcW w:w="0" w:type="dxa"/>
            <w:vAlign w:val="bottom"/>
          </w:tcPr>
          <w:p>
            <w:pPr>
              <w:spacing w:after="0"/>
              <w:rPr>
                <w:sz w:val="1"/>
                <w:szCs w:val="1"/>
                <w:color w:val="auto"/>
              </w:rPr>
            </w:pPr>
          </w:p>
        </w:tc>
      </w:tr>
      <w:tr>
        <w:trPr>
          <w:trHeight w:val="236"/>
        </w:trPr>
        <w:tc>
          <w:tcPr>
            <w:tcW w:w="6760" w:type="dxa"/>
            <w:vAlign w:val="bottom"/>
            <w:gridSpan w:val="2"/>
            <w:shd w:val="clear" w:color="auto" w:fill="E0E0E0"/>
          </w:tcPr>
          <w:p>
            <w:pPr>
              <w:ind w:left="280"/>
              <w:spacing w:after="0" w:line="236" w:lineRule="exact"/>
              <w:rPr>
                <w:sz w:val="20"/>
                <w:szCs w:val="20"/>
                <w:color w:val="auto"/>
              </w:rPr>
            </w:pPr>
            <w:r>
              <w:rPr>
                <w:rFonts w:ascii="Arial" w:cs="Arial" w:eastAsia="Arial" w:hAnsi="Arial"/>
                <w:sz w:val="21"/>
                <w:szCs w:val="21"/>
                <w:color w:val="auto"/>
              </w:rPr>
              <w:t>Proceeds from public offering, net of issuance costs</w:t>
            </w:r>
          </w:p>
        </w:tc>
        <w:tc>
          <w:tcPr>
            <w:tcW w:w="24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103"/>
              <w:spacing w:after="0" w:line="236" w:lineRule="exact"/>
              <w:rPr>
                <w:sz w:val="20"/>
                <w:szCs w:val="20"/>
                <w:color w:val="auto"/>
              </w:rPr>
            </w:pPr>
            <w:r>
              <w:rPr>
                <w:rFonts w:ascii="Arial" w:cs="Arial" w:eastAsia="Arial" w:hAnsi="Arial"/>
                <w:sz w:val="21"/>
                <w:szCs w:val="21"/>
                <w:color w:val="auto"/>
              </w:rPr>
              <w:t>—</w:t>
            </w:r>
          </w:p>
        </w:tc>
        <w:tc>
          <w:tcPr>
            <w:tcW w:w="300" w:type="dxa"/>
            <w:vAlign w:val="bottom"/>
            <w:shd w:val="clear" w:color="auto" w:fill="E0E0E0"/>
          </w:tcPr>
          <w:p>
            <w:pPr>
              <w:spacing w:after="0"/>
              <w:rPr>
                <w:sz w:val="20"/>
                <w:szCs w:val="20"/>
                <w:color w:val="auto"/>
              </w:rPr>
            </w:pPr>
          </w:p>
        </w:tc>
        <w:tc>
          <w:tcPr>
            <w:tcW w:w="1100" w:type="dxa"/>
            <w:vAlign w:val="bottom"/>
            <w:gridSpan w:val="2"/>
            <w:shd w:val="clear" w:color="auto" w:fill="E0E0E0"/>
          </w:tcPr>
          <w:p>
            <w:pPr>
              <w:jc w:val="right"/>
              <w:spacing w:after="0" w:line="236" w:lineRule="exact"/>
              <w:rPr>
                <w:sz w:val="20"/>
                <w:szCs w:val="20"/>
                <w:color w:val="auto"/>
              </w:rPr>
            </w:pPr>
            <w:r>
              <w:rPr>
                <w:rFonts w:ascii="Arial" w:cs="Arial" w:eastAsia="Arial" w:hAnsi="Arial"/>
                <w:sz w:val="21"/>
                <w:szCs w:val="21"/>
                <w:color w:val="auto"/>
              </w:rPr>
              <w:t>96,762</w:t>
            </w:r>
          </w:p>
        </w:tc>
        <w:tc>
          <w:tcPr>
            <w:tcW w:w="0" w:type="dxa"/>
            <w:vAlign w:val="bottom"/>
          </w:tcPr>
          <w:p>
            <w:pPr>
              <w:spacing w:after="0"/>
              <w:rPr>
                <w:sz w:val="1"/>
                <w:szCs w:val="1"/>
                <w:color w:val="auto"/>
              </w:rPr>
            </w:pPr>
          </w:p>
        </w:tc>
      </w:tr>
      <w:tr>
        <w:trPr>
          <w:trHeight w:val="227"/>
        </w:trPr>
        <w:tc>
          <w:tcPr>
            <w:tcW w:w="6760" w:type="dxa"/>
            <w:vAlign w:val="bottom"/>
            <w:tcBorders>
              <w:bottom w:val="single" w:sz="8" w:color="E0E0E0"/>
            </w:tcBorders>
            <w:gridSpan w:val="2"/>
          </w:tcPr>
          <w:p>
            <w:pPr>
              <w:ind w:left="1160"/>
              <w:spacing w:after="0" w:line="227" w:lineRule="exact"/>
              <w:rPr>
                <w:sz w:val="20"/>
                <w:szCs w:val="20"/>
                <w:color w:val="auto"/>
              </w:rPr>
            </w:pPr>
            <w:r>
              <w:rPr>
                <w:rFonts w:ascii="Arial" w:cs="Arial" w:eastAsia="Arial" w:hAnsi="Arial"/>
                <w:sz w:val="21"/>
                <w:szCs w:val="21"/>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654</w:t>
            </w:r>
          </w:p>
        </w:tc>
        <w:tc>
          <w:tcPr>
            <w:tcW w:w="180" w:type="dxa"/>
            <w:vAlign w:val="bottom"/>
            <w:tcBorders>
              <w:bottom w:val="single" w:sz="8" w:color="E0E0E0"/>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97,089</w:t>
            </w: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gridSpan w:val="2"/>
            <w:shd w:val="clear" w:color="auto" w:fill="E0E0E0"/>
          </w:tcPr>
          <w:p>
            <w:pPr>
              <w:spacing w:after="0" w:line="227" w:lineRule="exact"/>
              <w:rPr>
                <w:sz w:val="20"/>
                <w:szCs w:val="20"/>
                <w:color w:val="auto"/>
              </w:rPr>
            </w:pPr>
            <w:r>
              <w:rPr>
                <w:rFonts w:ascii="Arial" w:cs="Arial" w:eastAsia="Arial" w:hAnsi="Arial"/>
                <w:sz w:val="21"/>
                <w:szCs w:val="21"/>
                <w:color w:val="auto"/>
              </w:rPr>
              <w:t>Net (decrease) increase in cash, cash equivalents and restricted cash</w:t>
            </w:r>
          </w:p>
        </w:tc>
        <w:tc>
          <w:tcPr>
            <w:tcW w:w="240" w:type="dxa"/>
            <w:vAlign w:val="bottom"/>
            <w:shd w:val="clear" w:color="auto" w:fill="E0E0E0"/>
          </w:tcPr>
          <w:p>
            <w:pPr>
              <w:spacing w:after="0"/>
              <w:rPr>
                <w:sz w:val="19"/>
                <w:szCs w:val="19"/>
                <w:color w:val="auto"/>
              </w:rPr>
            </w:pPr>
          </w:p>
        </w:tc>
        <w:tc>
          <w:tcPr>
            <w:tcW w:w="1240" w:type="dxa"/>
            <w:vAlign w:val="bottom"/>
            <w:tcBorders>
              <w:right w:val="single" w:sz="8" w:color="E0E0E0"/>
            </w:tcBorders>
            <w:gridSpan w:val="2"/>
            <w:shd w:val="clear" w:color="auto" w:fill="E0E0E0"/>
          </w:tcPr>
          <w:p>
            <w:pPr>
              <w:jc w:val="right"/>
              <w:ind w:right="43"/>
              <w:spacing w:after="0" w:line="227" w:lineRule="exact"/>
              <w:rPr>
                <w:sz w:val="20"/>
                <w:szCs w:val="20"/>
                <w:color w:val="auto"/>
              </w:rPr>
            </w:pPr>
            <w:r>
              <w:rPr>
                <w:rFonts w:ascii="Arial" w:cs="Arial" w:eastAsia="Arial" w:hAnsi="Arial"/>
                <w:sz w:val="21"/>
                <w:szCs w:val="21"/>
                <w:color w:val="auto"/>
              </w:rPr>
              <w:t>(14,151)</w:t>
            </w:r>
          </w:p>
        </w:tc>
        <w:tc>
          <w:tcPr>
            <w:tcW w:w="300" w:type="dxa"/>
            <w:vAlign w:val="bottom"/>
            <w:shd w:val="clear" w:color="auto" w:fill="E0E0E0"/>
          </w:tcPr>
          <w:p>
            <w:pPr>
              <w:spacing w:after="0"/>
              <w:rPr>
                <w:sz w:val="19"/>
                <w:szCs w:val="19"/>
                <w:color w:val="auto"/>
              </w:rPr>
            </w:pPr>
          </w:p>
        </w:tc>
        <w:tc>
          <w:tcPr>
            <w:tcW w:w="1100" w:type="dxa"/>
            <w:vAlign w:val="bottom"/>
            <w:gridSpan w:val="2"/>
            <w:shd w:val="clear" w:color="auto" w:fill="E0E0E0"/>
          </w:tcPr>
          <w:p>
            <w:pPr>
              <w:jc w:val="right"/>
              <w:spacing w:after="0" w:line="227" w:lineRule="exact"/>
              <w:rPr>
                <w:sz w:val="20"/>
                <w:szCs w:val="20"/>
                <w:color w:val="auto"/>
              </w:rPr>
            </w:pPr>
            <w:r>
              <w:rPr>
                <w:rFonts w:ascii="Arial" w:cs="Arial" w:eastAsia="Arial" w:hAnsi="Arial"/>
                <w:sz w:val="21"/>
                <w:szCs w:val="21"/>
                <w:color w:val="auto"/>
              </w:rPr>
              <w:t>49,912</w:t>
            </w:r>
          </w:p>
        </w:tc>
        <w:tc>
          <w:tcPr>
            <w:tcW w:w="0" w:type="dxa"/>
            <w:vAlign w:val="bottom"/>
          </w:tcPr>
          <w:p>
            <w:pPr>
              <w:spacing w:after="0"/>
              <w:rPr>
                <w:sz w:val="1"/>
                <w:szCs w:val="1"/>
                <w:color w:val="auto"/>
              </w:rPr>
            </w:pPr>
          </w:p>
        </w:tc>
      </w:tr>
      <w:tr>
        <w:trPr>
          <w:trHeight w:val="237"/>
        </w:trPr>
        <w:tc>
          <w:tcPr>
            <w:tcW w:w="6760" w:type="dxa"/>
            <w:vAlign w:val="bottom"/>
            <w:gridSpan w:val="2"/>
          </w:tcPr>
          <w:p>
            <w:pPr>
              <w:spacing w:after="0" w:line="237" w:lineRule="exact"/>
              <w:rPr>
                <w:sz w:val="20"/>
                <w:szCs w:val="20"/>
                <w:color w:val="auto"/>
              </w:rPr>
            </w:pPr>
            <w:r>
              <w:rPr>
                <w:rFonts w:ascii="Arial" w:cs="Arial" w:eastAsia="Arial" w:hAnsi="Arial"/>
                <w:sz w:val="21"/>
                <w:szCs w:val="21"/>
                <w:color w:val="auto"/>
              </w:rPr>
              <w:t>Cash, cash equivalents and restricted cash, beginning of period</w:t>
            </w:r>
          </w:p>
        </w:tc>
        <w:tc>
          <w:tcPr>
            <w:tcW w:w="240" w:type="dxa"/>
            <w:vAlign w:val="bottom"/>
          </w:tcPr>
          <w:p>
            <w:pPr>
              <w:spacing w:after="0"/>
              <w:rPr>
                <w:sz w:val="20"/>
                <w:szCs w:val="20"/>
                <w:color w:val="auto"/>
              </w:rPr>
            </w:pPr>
          </w:p>
        </w:tc>
        <w:tc>
          <w:tcPr>
            <w:tcW w:w="1060" w:type="dxa"/>
            <w:vAlign w:val="bottom"/>
          </w:tcPr>
          <w:p>
            <w:pPr>
              <w:jc w:val="right"/>
              <w:spacing w:after="0" w:line="237" w:lineRule="exact"/>
              <w:rPr>
                <w:sz w:val="20"/>
                <w:szCs w:val="20"/>
                <w:color w:val="auto"/>
              </w:rPr>
            </w:pPr>
            <w:r>
              <w:rPr>
                <w:rFonts w:ascii="Arial" w:cs="Arial" w:eastAsia="Arial" w:hAnsi="Arial"/>
                <w:sz w:val="21"/>
                <w:szCs w:val="21"/>
                <w:color w:val="auto"/>
              </w:rPr>
              <w:t>110,537</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60,625</w:t>
            </w:r>
          </w:p>
        </w:tc>
        <w:tc>
          <w:tcPr>
            <w:tcW w:w="0" w:type="dxa"/>
            <w:vAlign w:val="bottom"/>
          </w:tcPr>
          <w:p>
            <w:pPr>
              <w:spacing w:after="0"/>
              <w:rPr>
                <w:sz w:val="1"/>
                <w:szCs w:val="1"/>
                <w:color w:val="auto"/>
              </w:rPr>
            </w:pPr>
          </w:p>
        </w:tc>
      </w:tr>
      <w:tr>
        <w:trPr>
          <w:trHeight w:val="20"/>
        </w:trPr>
        <w:tc>
          <w:tcPr>
            <w:tcW w:w="6760" w:type="dxa"/>
            <w:vAlign w:val="bottom"/>
            <w:gridSpan w:val="2"/>
            <w:vMerge w:val="restart"/>
            <w:shd w:val="clear" w:color="auto" w:fill="E0E0E0"/>
          </w:tcPr>
          <w:p>
            <w:pPr>
              <w:spacing w:after="0"/>
              <w:rPr>
                <w:sz w:val="20"/>
                <w:szCs w:val="20"/>
                <w:color w:val="auto"/>
              </w:rPr>
            </w:pPr>
            <w:r>
              <w:rPr>
                <w:rFonts w:ascii="Arial" w:cs="Arial" w:eastAsia="Arial" w:hAnsi="Arial"/>
                <w:sz w:val="21"/>
                <w:szCs w:val="21"/>
                <w:color w:val="auto"/>
              </w:rPr>
              <w:t>Cash, cash equivalents and restricted cash, end of period</w:t>
            </w: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760" w:type="dxa"/>
            <w:vAlign w:val="bottom"/>
            <w:gridSpan w:val="2"/>
            <w:vMerge w:val="continue"/>
            <w:shd w:val="clear" w:color="auto" w:fill="E0E0E0"/>
          </w:tcPr>
          <w:p>
            <w:pPr>
              <w:spacing w:after="0"/>
              <w:rPr>
                <w:sz w:val="19"/>
                <w:szCs w:val="19"/>
                <w:color w:val="auto"/>
              </w:rPr>
            </w:pPr>
          </w:p>
        </w:tc>
        <w:tc>
          <w:tcPr>
            <w:tcW w:w="240" w:type="dxa"/>
            <w:vAlign w:val="bottom"/>
            <w:shd w:val="clear" w:color="auto" w:fill="E0E0E0"/>
          </w:tcPr>
          <w:p>
            <w:pPr>
              <w:jc w:val="right"/>
              <w:ind w:right="42"/>
              <w:spacing w:after="0" w:line="228"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rPr>
              <w:t>96,386</w:t>
            </w:r>
          </w:p>
        </w:tc>
        <w:tc>
          <w:tcPr>
            <w:tcW w:w="180" w:type="dxa"/>
            <w:vAlign w:val="bottom"/>
            <w:tcBorders>
              <w:right w:val="single" w:sz="8" w:color="E0E0E0"/>
            </w:tcBorders>
            <w:shd w:val="clear" w:color="auto" w:fill="E0E0E0"/>
          </w:tcPr>
          <w:p>
            <w:pPr>
              <w:spacing w:after="0"/>
              <w:rPr>
                <w:sz w:val="19"/>
                <w:szCs w:val="19"/>
                <w:color w:val="auto"/>
              </w:rPr>
            </w:pPr>
          </w:p>
        </w:tc>
        <w:tc>
          <w:tcPr>
            <w:tcW w:w="300" w:type="dxa"/>
            <w:vAlign w:val="bottom"/>
            <w:shd w:val="clear" w:color="auto" w:fill="E0E0E0"/>
          </w:tcPr>
          <w:p>
            <w:pPr>
              <w:jc w:val="right"/>
              <w:ind w:right="77"/>
              <w:spacing w:after="0" w:line="227" w:lineRule="exact"/>
              <w:rPr>
                <w:sz w:val="20"/>
                <w:szCs w:val="20"/>
                <w:color w:val="auto"/>
              </w:rPr>
            </w:pPr>
            <w:r>
              <w:rPr>
                <w:rFonts w:ascii="Arial" w:cs="Arial" w:eastAsia="Arial" w:hAnsi="Arial"/>
                <w:sz w:val="21"/>
                <w:szCs w:val="21"/>
                <w:color w:val="auto"/>
                <w:w w:val="85"/>
              </w:rPr>
              <w:t>$</w:t>
            </w:r>
          </w:p>
        </w:tc>
        <w:tc>
          <w:tcPr>
            <w:tcW w:w="1100" w:type="dxa"/>
            <w:vAlign w:val="bottom"/>
            <w:gridSpan w:val="2"/>
            <w:shd w:val="clear" w:color="auto" w:fill="E0E0E0"/>
          </w:tcPr>
          <w:p>
            <w:pPr>
              <w:jc w:val="right"/>
              <w:spacing w:after="0" w:line="227" w:lineRule="exact"/>
              <w:rPr>
                <w:sz w:val="20"/>
                <w:szCs w:val="20"/>
                <w:color w:val="auto"/>
              </w:rPr>
            </w:pPr>
            <w:r>
              <w:rPr>
                <w:rFonts w:ascii="Arial" w:cs="Arial" w:eastAsia="Arial" w:hAnsi="Arial"/>
                <w:sz w:val="21"/>
                <w:szCs w:val="21"/>
                <w:color w:val="auto"/>
              </w:rPr>
              <w:t>110,537</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21"/>
                <w:szCs w:val="21"/>
                <w:b w:val="1"/>
                <w:bCs w:val="1"/>
                <w:color w:val="auto"/>
              </w:rPr>
              <w:t>Supplemental disclosures of cash flow information: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60" w:type="dxa"/>
            <w:vAlign w:val="bottom"/>
            <w:gridSpan w:val="2"/>
            <w:shd w:val="clear" w:color="auto" w:fill="E0E0E0"/>
          </w:tcPr>
          <w:p>
            <w:pPr>
              <w:ind w:left="280"/>
              <w:spacing w:after="0" w:line="237" w:lineRule="exact"/>
              <w:rPr>
                <w:sz w:val="20"/>
                <w:szCs w:val="20"/>
                <w:color w:val="auto"/>
              </w:rPr>
            </w:pPr>
            <w:r>
              <w:rPr>
                <w:rFonts w:ascii="Arial" w:cs="Arial" w:eastAsia="Arial" w:hAnsi="Arial"/>
                <w:sz w:val="21"/>
                <w:szCs w:val="21"/>
                <w:color w:val="auto"/>
              </w:rPr>
              <w:t>Right-of-use asset obtained in exchange for new operating lease</w:t>
            </w:r>
          </w:p>
        </w:tc>
        <w:tc>
          <w:tcPr>
            <w:tcW w:w="240" w:type="dxa"/>
            <w:vAlign w:val="bottom"/>
            <w:shd w:val="clear" w:color="auto" w:fill="E0E0E0"/>
          </w:tcPr>
          <w:p>
            <w:pPr>
              <w:spacing w:after="0"/>
              <w:rPr>
                <w:sz w:val="20"/>
                <w:szCs w:val="20"/>
                <w:color w:val="auto"/>
              </w:rPr>
            </w:pPr>
          </w:p>
        </w:tc>
        <w:tc>
          <w:tcPr>
            <w:tcW w:w="1060" w:type="dxa"/>
            <w:vAlign w:val="bottom"/>
            <w:shd w:val="clear" w:color="auto" w:fill="E0E0E0"/>
          </w:tcPr>
          <w:p>
            <w:pPr>
              <w:spacing w:after="0"/>
              <w:rPr>
                <w:sz w:val="20"/>
                <w:szCs w:val="20"/>
                <w:color w:val="auto"/>
              </w:rPr>
            </w:pPr>
          </w:p>
        </w:tc>
        <w:tc>
          <w:tcPr>
            <w:tcW w:w="180" w:type="dxa"/>
            <w:vAlign w:val="bottom"/>
            <w:tcBorders>
              <w:right w:val="single" w:sz="8" w:color="E0E0E0"/>
            </w:tcBorders>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gridSpan w:val="2"/>
            <w:shd w:val="clear" w:color="auto" w:fill="E0E0E0"/>
          </w:tcPr>
          <w:p>
            <w:pPr>
              <w:ind w:left="280"/>
              <w:spacing w:after="0" w:line="236" w:lineRule="exact"/>
              <w:rPr>
                <w:sz w:val="20"/>
                <w:szCs w:val="20"/>
                <w:color w:val="auto"/>
              </w:rPr>
            </w:pPr>
            <w:r>
              <w:rPr>
                <w:rFonts w:ascii="Arial" w:cs="Arial" w:eastAsia="Arial" w:hAnsi="Arial"/>
                <w:sz w:val="21"/>
                <w:szCs w:val="21"/>
                <w:color w:val="auto"/>
              </w:rPr>
              <w:t>liability</w:t>
            </w:r>
          </w:p>
        </w:tc>
        <w:tc>
          <w:tcPr>
            <w:tcW w:w="240" w:type="dxa"/>
            <w:vAlign w:val="bottom"/>
            <w:shd w:val="clear" w:color="auto" w:fill="E0E0E0"/>
          </w:tcPr>
          <w:p>
            <w:pPr>
              <w:jc w:val="right"/>
              <w:ind w:right="42"/>
              <w:spacing w:after="0"/>
              <w:rPr>
                <w:sz w:val="20"/>
                <w:szCs w:val="20"/>
                <w:color w:val="auto"/>
              </w:rPr>
            </w:pPr>
            <w:r>
              <w:rPr>
                <w:rFonts w:ascii="Arial" w:cs="Arial" w:eastAsia="Arial" w:hAnsi="Arial"/>
                <w:sz w:val="20"/>
                <w:szCs w:val="20"/>
                <w:color w:val="auto"/>
                <w:w w:val="71"/>
              </w:rPr>
              <w:t>$</w:t>
            </w:r>
          </w:p>
        </w:tc>
        <w:tc>
          <w:tcPr>
            <w:tcW w:w="1240" w:type="dxa"/>
            <w:vAlign w:val="bottom"/>
            <w:tcBorders>
              <w:right w:val="single" w:sz="8" w:color="E0E0E0"/>
            </w:tcBorders>
            <w:gridSpan w:val="2"/>
            <w:shd w:val="clear" w:color="auto" w:fill="E0E0E0"/>
          </w:tcPr>
          <w:p>
            <w:pPr>
              <w:jc w:val="right"/>
              <w:ind w:right="103"/>
              <w:spacing w:after="0" w:line="236" w:lineRule="exact"/>
              <w:rPr>
                <w:sz w:val="20"/>
                <w:szCs w:val="20"/>
                <w:color w:val="auto"/>
              </w:rPr>
            </w:pPr>
            <w:r>
              <w:rPr>
                <w:rFonts w:ascii="Arial" w:cs="Arial" w:eastAsia="Arial" w:hAnsi="Arial"/>
                <w:sz w:val="21"/>
                <w:szCs w:val="21"/>
                <w:color w:val="auto"/>
              </w:rPr>
              <w:t>—</w:t>
            </w:r>
          </w:p>
        </w:tc>
        <w:tc>
          <w:tcPr>
            <w:tcW w:w="300" w:type="dxa"/>
            <w:vAlign w:val="bottom"/>
            <w:shd w:val="clear" w:color="auto" w:fill="E0E0E0"/>
          </w:tcPr>
          <w:p>
            <w:pPr>
              <w:jc w:val="right"/>
              <w:ind w:right="77"/>
              <w:spacing w:after="0" w:line="236" w:lineRule="exact"/>
              <w:rPr>
                <w:sz w:val="20"/>
                <w:szCs w:val="20"/>
                <w:color w:val="auto"/>
              </w:rPr>
            </w:pPr>
            <w:r>
              <w:rPr>
                <w:rFonts w:ascii="Arial" w:cs="Arial" w:eastAsia="Arial" w:hAnsi="Arial"/>
                <w:sz w:val="21"/>
                <w:szCs w:val="21"/>
                <w:color w:val="auto"/>
                <w:w w:val="85"/>
              </w:rPr>
              <w:t>$</w:t>
            </w:r>
          </w:p>
        </w:tc>
        <w:tc>
          <w:tcPr>
            <w:tcW w:w="1100" w:type="dxa"/>
            <w:vAlign w:val="bottom"/>
            <w:gridSpan w:val="2"/>
            <w:shd w:val="clear" w:color="auto" w:fill="E0E0E0"/>
          </w:tcPr>
          <w:p>
            <w:pPr>
              <w:jc w:val="right"/>
              <w:spacing w:after="0" w:line="236" w:lineRule="exact"/>
              <w:rPr>
                <w:sz w:val="20"/>
                <w:szCs w:val="20"/>
                <w:color w:val="auto"/>
              </w:rPr>
            </w:pPr>
            <w:r>
              <w:rPr>
                <w:rFonts w:ascii="Arial" w:cs="Arial" w:eastAsia="Arial" w:hAnsi="Arial"/>
                <w:sz w:val="21"/>
                <w:szCs w:val="21"/>
                <w:color w:val="auto"/>
              </w:rPr>
              <w:t>680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4284980</wp:posOffset>
                </wp:positionH>
                <wp:positionV relativeFrom="paragraph">
                  <wp:posOffset>-480695</wp:posOffset>
                </wp:positionV>
                <wp:extent cx="82804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4pt,-37.8499pt" to="402.6pt,-37.84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5233035</wp:posOffset>
                </wp:positionH>
                <wp:positionV relativeFrom="paragraph">
                  <wp:posOffset>-480695</wp:posOffset>
                </wp:positionV>
                <wp:extent cx="82804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05pt,-37.8499pt" to="477.25pt,-37.8499pt" o:allowincell="f" strokecolor="#FFFFFF" strokeweight="0.1439pt"/>
            </w:pict>
          </mc:Fallback>
        </mc:AlternateConten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ATHIRA PHARMA, INC.</w:t>
      </w:r>
    </w:p>
    <w:p>
      <w:pPr>
        <w:jc w:val="cente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Description of Business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Organization</w:t>
      </w:r>
    </w:p>
    <w:p>
      <w:pPr>
        <w:spacing w:after="0" w:line="114" w:lineRule="exact"/>
        <w:rPr>
          <w:sz w:val="20"/>
          <w:szCs w:val="20"/>
          <w:color w:val="auto"/>
        </w:rPr>
      </w:pPr>
    </w:p>
    <w:p>
      <w:pPr>
        <w:jc w:val="both"/>
        <w:ind w:firstLine="504"/>
        <w:spacing w:after="0" w:line="260" w:lineRule="auto"/>
        <w:rPr>
          <w:sz w:val="20"/>
          <w:szCs w:val="20"/>
          <w:color w:val="auto"/>
        </w:rPr>
      </w:pPr>
      <w:r>
        <w:rPr>
          <w:rFonts w:ascii="Arial" w:cs="Arial" w:eastAsia="Arial" w:hAnsi="Arial"/>
          <w:sz w:val="20"/>
          <w:szCs w:val="20"/>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Bothell, Washington. The Company is a late clinical-stage biopharmaceutical company focused on developing small molecules to restore neuronal health and slow neurodegeneration.</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137</w:t>
      </w:r>
    </w:p>
    <w:p>
      <w:pPr>
        <w:sectPr>
          <w:pgSz w:w="12240" w:h="15840" w:orient="portrait"/>
          <w:cols w:equalWidth="0" w:num="1">
            <w:col w:w="9640"/>
          </w:cols>
          <w:pgMar w:left="1300" w:top="1222" w:right="1300" w:bottom="0" w:gutter="0" w:footer="0" w:header="0"/>
          <w:type w:val="continuous"/>
        </w:sectPr>
      </w:pPr>
    </w:p>
    <w:bookmarkStart w:id="143" w:name="page144"/>
    <w:bookmarkEnd w:id="143"/>
    <w:p>
      <w:pPr>
        <w:ind w:left="500"/>
        <w:spacing w:after="0"/>
        <w:rPr>
          <w:sz w:val="20"/>
          <w:szCs w:val="20"/>
          <w:color w:val="auto"/>
        </w:rPr>
      </w:pPr>
      <w:r>
        <w:rPr>
          <w:rFonts w:ascii="Arial" w:cs="Arial" w:eastAsia="Arial" w:hAnsi="Arial"/>
          <w:sz w:val="21"/>
          <w:szCs w:val="21"/>
          <w:b w:val="1"/>
          <w:bCs w:val="1"/>
          <w:i w:val="1"/>
          <w:iCs w:val="1"/>
          <w:color w:val="auto"/>
        </w:rPr>
        <w:t>Follow-on Public Offering</w:t>
      </w:r>
    </w:p>
    <w:p>
      <w:pPr>
        <w:spacing w:after="0" w:line="114"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0"/>
          <w:szCs w:val="20"/>
          <w:color w:val="auto"/>
        </w:rPr>
        <w:t>In January 2021, the Company completed a follow-on public offering of its common stock. As part of the follow-on offering, the Company issued and sold 4,000,000 shares of its common stock at a public offering price of $22.50 per share. The Company received net proceeds of approximately $84.1 million from the follow-on offering, after deducting underwriting discounts and commissions and offering costs. In February 2021, the Company sold an additional 600,000 shares of common stock to the underwriters of the follow-on public offering upon full exercise of the underwriters’ option to purchase additional shares at the follow-on public offering price of $22.50 per share, less underwriting discounts and commissions and offering costs resulting in additional net proceeds to the Company of approximately $12.7 million.</w:t>
      </w:r>
    </w:p>
    <w:p>
      <w:pPr>
        <w:spacing w:after="0" w:line="324"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At The Market Common Stock Offering</w:t>
      </w:r>
    </w:p>
    <w:p>
      <w:pPr>
        <w:spacing w:after="0" w:line="114"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In January 2023, the Company entered into a sales agreement with Cantor Fitzgerald and BTIG to sell shares of our common stock having aggregate sales proceeds of up to $75.0 million, from time to time, through an “at the market” (“ATM”) equity offering program under which Cantor and BTIG are acting as sales agents. The Company has not sold any securities pursuant to this ATM offering.</w:t>
      </w:r>
    </w:p>
    <w:p>
      <w:pPr>
        <w:spacing w:after="0" w:line="329"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Liquidity and Capital Resources</w:t>
      </w:r>
    </w:p>
    <w:p>
      <w:pPr>
        <w:spacing w:after="0" w:line="114"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December 31, 2022, it has raised aggregate net cash proceeds of $407.4 million primarily from the issuance of its common stock (excluding option exercises), convertible preferred stock, common stock warrants, and convertible notes. As of December 31, 2022, the Company had $245.2 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spacing w:after="0" w:line="198"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Based upon the Company’s current operating plan, it estimates that its $245.2 million of cash, cash equivalents, and investments at December 31, 2022 will be sufficient to fund its operating expenses and capital expenditure requirements through at least the next 12 months following the date of the Company’s Annual Report on Form 10-K.</w:t>
      </w: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Significant Accounting Policies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Basis of Presentation</w:t>
      </w:r>
    </w:p>
    <w:p>
      <w:pPr>
        <w:spacing w:after="0" w:line="114" w:lineRule="exact"/>
        <w:rPr>
          <w:sz w:val="20"/>
          <w:szCs w:val="20"/>
          <w:color w:val="auto"/>
        </w:rPr>
      </w:pPr>
    </w:p>
    <w:p>
      <w:pPr>
        <w:jc w:val="both"/>
        <w:ind w:firstLine="504"/>
        <w:spacing w:after="0" w:line="260" w:lineRule="auto"/>
        <w:rPr>
          <w:sz w:val="20"/>
          <w:szCs w:val="20"/>
          <w:color w:val="auto"/>
        </w:rPr>
      </w:pPr>
      <w:r>
        <w:rPr>
          <w:rFonts w:ascii="Arial" w:cs="Arial" w:eastAsia="Arial" w:hAnsi="Arial"/>
          <w:sz w:val="20"/>
          <w:szCs w:val="20"/>
          <w:color w:val="auto"/>
        </w:rPr>
        <w:t>The consolidated financial statements have been prepared in conformity with U.S. generally accepted accounting principles (“U.S. GAAP”). During the third quarter of 2020, the Company incorporated Athira Pharma Australia PTY LTD in Australia and since its creation, the Australian subsidiary’s financial position and results of operations are consolidated in the accompanying consolidated financial statements. Certain prior period amounts have been reclassified to conform to current period presentation.</w:t>
      </w:r>
    </w:p>
    <w:p>
      <w:pPr>
        <w:spacing w:after="0" w:line="315"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Use of Estimates</w:t>
      </w:r>
    </w:p>
    <w:p>
      <w:pPr>
        <w:spacing w:after="0" w:line="114"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20"/>
          <w:szCs w:val="20"/>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138</w:t>
      </w:r>
    </w:p>
    <w:p>
      <w:pPr>
        <w:sectPr>
          <w:pgSz w:w="12240" w:h="15840" w:orient="portrait"/>
          <w:cols w:equalWidth="0" w:num="1">
            <w:col w:w="9640"/>
          </w:cols>
          <w:pgMar w:left="1300" w:top="1230" w:right="1300" w:bottom="0" w:gutter="0" w:footer="0" w:header="0"/>
          <w:type w:val="continuous"/>
        </w:sectPr>
      </w:pPr>
    </w:p>
    <w:bookmarkStart w:id="144" w:name="page145"/>
    <w:bookmarkEnd w:id="144"/>
    <w:p>
      <w:pPr>
        <w:jc w:val="both"/>
        <w:spacing w:after="0" w:line="271" w:lineRule="auto"/>
        <w:rPr>
          <w:sz w:val="20"/>
          <w:szCs w:val="20"/>
          <w:color w:val="auto"/>
        </w:rPr>
      </w:pPr>
      <w:r>
        <w:rPr>
          <w:rFonts w:ascii="Arial" w:cs="Arial" w:eastAsia="Arial" w:hAnsi="Arial"/>
          <w:sz w:val="21"/>
          <w:szCs w:val="21"/>
          <w:color w:val="auto"/>
        </w:rPr>
        <w:t>factors and adjusts those estimates and assumptions when facts and circumstances dictate. Actual results could differ from those estimates.</w:t>
      </w:r>
    </w:p>
    <w:p>
      <w:pPr>
        <w:spacing w:after="0" w:line="303"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Cash and Cash Equivalents</w:t>
      </w:r>
    </w:p>
    <w:p>
      <w:pPr>
        <w:spacing w:after="0" w:line="115"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The Company considers highly liquid investments with original maturities of three months or less to be cash equivalents.</w:t>
      </w:r>
    </w:p>
    <w:p>
      <w:pPr>
        <w:spacing w:after="0" w:line="303"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Restricted Cash</w:t>
      </w:r>
    </w:p>
    <w:p>
      <w:pPr>
        <w:spacing w:after="0" w:line="115"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Restricted cash consists of collateral pledged in connection with the Company's corporate credit cards. The table below reconciles the balances of cash and cash equivalents and restricted cash reported on the condensed consolidated balance sheets to the balances of cash, cash equivalents and restricted cash reported on the condensed consolidated statements of cash flows.</w:t>
      </w:r>
    </w:p>
    <w:p>
      <w:pPr>
        <w:spacing w:after="0" w:line="78"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9"/>
        </w:trPr>
        <w:tc>
          <w:tcPr>
            <w:tcW w:w="538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45"/>
              <w:spacing w:after="0" w:line="179" w:lineRule="exact"/>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42"/>
              <w:spacing w:after="0" w:line="179" w:lineRule="exact"/>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400" w:type="dxa"/>
            <w:vAlign w:val="bottom"/>
            <w:gridSpan w:val="2"/>
            <w:shd w:val="clear" w:color="auto" w:fill="E0E0E0"/>
          </w:tcPr>
          <w:p>
            <w:pPr>
              <w:spacing w:after="0" w:line="227" w:lineRule="exact"/>
              <w:rPr>
                <w:sz w:val="20"/>
                <w:szCs w:val="20"/>
                <w:color w:val="auto"/>
              </w:rPr>
            </w:pPr>
            <w:r>
              <w:rPr>
                <w:rFonts w:ascii="Arial" w:cs="Arial" w:eastAsia="Arial" w:hAnsi="Arial"/>
                <w:sz w:val="21"/>
                <w:szCs w:val="21"/>
                <w:color w:val="auto"/>
              </w:rPr>
              <w:t>Cash and cash equivalents</w:t>
            </w:r>
          </w:p>
        </w:tc>
        <w:tc>
          <w:tcPr>
            <w:tcW w:w="220" w:type="dxa"/>
            <w:vAlign w:val="bottom"/>
            <w:shd w:val="clear" w:color="auto" w:fill="E0E0E0"/>
          </w:tcPr>
          <w:p>
            <w:pPr>
              <w:jc w:val="right"/>
              <w:ind w:right="22"/>
              <w:spacing w:after="0" w:line="228" w:lineRule="exact"/>
              <w:rPr>
                <w:sz w:val="20"/>
                <w:szCs w:val="20"/>
                <w:color w:val="auto"/>
              </w:rPr>
            </w:pPr>
            <w:r>
              <w:rPr>
                <w:rFonts w:ascii="Arial" w:cs="Arial" w:eastAsia="Arial" w:hAnsi="Arial"/>
                <w:sz w:val="20"/>
                <w:szCs w:val="20"/>
                <w:color w:val="auto"/>
                <w:w w:val="71"/>
              </w:rPr>
              <w:t>$</w:t>
            </w:r>
          </w:p>
        </w:tc>
        <w:tc>
          <w:tcPr>
            <w:tcW w:w="960" w:type="dxa"/>
            <w:vAlign w:val="bottom"/>
            <w:gridSpan w:val="2"/>
            <w:shd w:val="clear" w:color="auto" w:fill="E0E0E0"/>
          </w:tcPr>
          <w:p>
            <w:pPr>
              <w:jc w:val="right"/>
              <w:ind w:right="140"/>
              <w:spacing w:after="0" w:line="227" w:lineRule="exact"/>
              <w:rPr>
                <w:sz w:val="20"/>
                <w:szCs w:val="20"/>
                <w:color w:val="auto"/>
              </w:rPr>
            </w:pPr>
            <w:r>
              <w:rPr>
                <w:rFonts w:ascii="Arial" w:cs="Arial" w:eastAsia="Arial" w:hAnsi="Arial"/>
                <w:sz w:val="21"/>
                <w:szCs w:val="21"/>
                <w:color w:val="auto"/>
              </w:rPr>
              <w:t>95,966</w:t>
            </w:r>
          </w:p>
        </w:tc>
        <w:tc>
          <w:tcPr>
            <w:tcW w:w="22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w w:val="85"/>
              </w:rPr>
              <w:t>$</w:t>
            </w:r>
          </w:p>
        </w:tc>
        <w:tc>
          <w:tcPr>
            <w:tcW w:w="920" w:type="dxa"/>
            <w:vAlign w:val="bottom"/>
            <w:gridSpan w:val="2"/>
            <w:shd w:val="clear" w:color="auto" w:fill="E0E0E0"/>
          </w:tcPr>
          <w:p>
            <w:pPr>
              <w:jc w:val="right"/>
              <w:ind w:right="80"/>
              <w:spacing w:after="0" w:line="227" w:lineRule="exact"/>
              <w:rPr>
                <w:sz w:val="20"/>
                <w:szCs w:val="20"/>
                <w:color w:val="auto"/>
              </w:rPr>
            </w:pPr>
            <w:r>
              <w:rPr>
                <w:rFonts w:ascii="Arial" w:cs="Arial" w:eastAsia="Arial" w:hAnsi="Arial"/>
                <w:sz w:val="21"/>
                <w:szCs w:val="21"/>
                <w:color w:val="auto"/>
              </w:rPr>
              <w:t>110,537</w:t>
            </w:r>
          </w:p>
        </w:tc>
        <w:tc>
          <w:tcPr>
            <w:tcW w:w="0" w:type="dxa"/>
            <w:vAlign w:val="bottom"/>
          </w:tcPr>
          <w:p>
            <w:pPr>
              <w:spacing w:after="0"/>
              <w:rPr>
                <w:sz w:val="1"/>
                <w:szCs w:val="1"/>
                <w:color w:val="auto"/>
              </w:rPr>
            </w:pPr>
          </w:p>
        </w:tc>
      </w:tr>
      <w:tr>
        <w:trPr>
          <w:trHeight w:val="237"/>
        </w:trPr>
        <w:tc>
          <w:tcPr>
            <w:tcW w:w="5400" w:type="dxa"/>
            <w:vAlign w:val="bottom"/>
            <w:gridSpan w:val="2"/>
          </w:tcPr>
          <w:p>
            <w:pPr>
              <w:spacing w:after="0" w:line="237" w:lineRule="exact"/>
              <w:rPr>
                <w:sz w:val="20"/>
                <w:szCs w:val="20"/>
                <w:color w:val="auto"/>
              </w:rPr>
            </w:pPr>
            <w:r>
              <w:rPr>
                <w:rFonts w:ascii="Arial" w:cs="Arial" w:eastAsia="Arial" w:hAnsi="Arial"/>
                <w:sz w:val="21"/>
                <w:szCs w:val="21"/>
                <w:color w:val="auto"/>
              </w:rPr>
              <w:t>Restricted cash</w:t>
            </w:r>
          </w:p>
        </w:tc>
        <w:tc>
          <w:tcPr>
            <w:tcW w:w="220" w:type="dxa"/>
            <w:vAlign w:val="bottom"/>
          </w:tcPr>
          <w:p>
            <w:pPr>
              <w:spacing w:after="0"/>
              <w:rPr>
                <w:sz w:val="20"/>
                <w:szCs w:val="20"/>
                <w:color w:val="auto"/>
              </w:rPr>
            </w:pPr>
          </w:p>
        </w:tc>
        <w:tc>
          <w:tcPr>
            <w:tcW w:w="960" w:type="dxa"/>
            <w:vAlign w:val="bottom"/>
            <w:gridSpan w:val="2"/>
          </w:tcPr>
          <w:p>
            <w:pPr>
              <w:jc w:val="right"/>
              <w:ind w:right="140"/>
              <w:spacing w:after="0" w:line="237" w:lineRule="exact"/>
              <w:rPr>
                <w:sz w:val="20"/>
                <w:szCs w:val="20"/>
                <w:color w:val="auto"/>
              </w:rPr>
            </w:pPr>
            <w:r>
              <w:rPr>
                <w:rFonts w:ascii="Arial" w:cs="Arial" w:eastAsia="Arial" w:hAnsi="Arial"/>
                <w:sz w:val="21"/>
                <w:szCs w:val="21"/>
                <w:color w:val="auto"/>
              </w:rPr>
              <w:t>420</w:t>
            </w:r>
          </w:p>
        </w:tc>
        <w:tc>
          <w:tcPr>
            <w:tcW w:w="220" w:type="dxa"/>
            <w:vAlign w:val="bottom"/>
          </w:tcPr>
          <w:p>
            <w:pPr>
              <w:spacing w:after="0"/>
              <w:rPr>
                <w:sz w:val="20"/>
                <w:szCs w:val="20"/>
                <w:color w:val="auto"/>
              </w:rPr>
            </w:pPr>
          </w:p>
        </w:tc>
        <w:tc>
          <w:tcPr>
            <w:tcW w:w="920" w:type="dxa"/>
            <w:vAlign w:val="bottom"/>
            <w:gridSpan w:val="2"/>
          </w:tcPr>
          <w:p>
            <w:pPr>
              <w:jc w:val="right"/>
              <w:ind w:right="80"/>
              <w:spacing w:after="0" w:line="237"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
        </w:trPr>
        <w:tc>
          <w:tcPr>
            <w:tcW w:w="5400" w:type="dxa"/>
            <w:vAlign w:val="bottom"/>
            <w:gridSpan w:val="2"/>
            <w:vMerge w:val="restart"/>
            <w:shd w:val="clear" w:color="auto" w:fill="E0E0E0"/>
          </w:tcPr>
          <w:p>
            <w:pPr>
              <w:spacing w:after="0"/>
              <w:rPr>
                <w:sz w:val="20"/>
                <w:szCs w:val="20"/>
                <w:color w:val="auto"/>
              </w:rPr>
            </w:pPr>
            <w:r>
              <w:rPr>
                <w:rFonts w:ascii="Arial" w:cs="Arial" w:eastAsia="Arial" w:hAnsi="Arial"/>
                <w:sz w:val="21"/>
                <w:szCs w:val="21"/>
                <w:color w:val="auto"/>
              </w:rPr>
              <w:t>Cash, cash equivalents and restricted cash</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00" w:type="dxa"/>
            <w:vAlign w:val="bottom"/>
            <w:gridSpan w:val="2"/>
            <w:vMerge w:val="continue"/>
            <w:shd w:val="clear" w:color="auto" w:fill="E0E0E0"/>
          </w:tcPr>
          <w:p>
            <w:pPr>
              <w:spacing w:after="0"/>
              <w:rPr>
                <w:sz w:val="19"/>
                <w:szCs w:val="19"/>
                <w:color w:val="auto"/>
              </w:rPr>
            </w:pPr>
          </w:p>
        </w:tc>
        <w:tc>
          <w:tcPr>
            <w:tcW w:w="220" w:type="dxa"/>
            <w:vAlign w:val="bottom"/>
            <w:shd w:val="clear" w:color="auto" w:fill="E0E0E0"/>
          </w:tcPr>
          <w:p>
            <w:pPr>
              <w:jc w:val="right"/>
              <w:ind w:right="22"/>
              <w:spacing w:after="0" w:line="229" w:lineRule="exact"/>
              <w:rPr>
                <w:sz w:val="20"/>
                <w:szCs w:val="20"/>
                <w:color w:val="auto"/>
              </w:rPr>
            </w:pPr>
            <w:r>
              <w:rPr>
                <w:rFonts w:ascii="Arial" w:cs="Arial" w:eastAsia="Arial" w:hAnsi="Arial"/>
                <w:sz w:val="20"/>
                <w:szCs w:val="20"/>
                <w:color w:val="auto"/>
                <w:w w:val="71"/>
              </w:rPr>
              <w:t>$</w:t>
            </w:r>
          </w:p>
        </w:tc>
        <w:tc>
          <w:tcPr>
            <w:tcW w:w="960" w:type="dxa"/>
            <w:vAlign w:val="bottom"/>
            <w:gridSpan w:val="2"/>
            <w:shd w:val="clear" w:color="auto" w:fill="E0E0E0"/>
          </w:tcPr>
          <w:p>
            <w:pPr>
              <w:jc w:val="right"/>
              <w:ind w:right="140"/>
              <w:spacing w:after="0" w:line="229" w:lineRule="exact"/>
              <w:rPr>
                <w:sz w:val="20"/>
                <w:szCs w:val="20"/>
                <w:color w:val="auto"/>
              </w:rPr>
            </w:pPr>
            <w:r>
              <w:rPr>
                <w:rFonts w:ascii="Arial" w:cs="Arial" w:eastAsia="Arial" w:hAnsi="Arial"/>
                <w:sz w:val="21"/>
                <w:szCs w:val="21"/>
                <w:color w:val="auto"/>
              </w:rPr>
              <w:t>96,386</w:t>
            </w:r>
          </w:p>
        </w:tc>
        <w:tc>
          <w:tcPr>
            <w:tcW w:w="220" w:type="dxa"/>
            <w:vAlign w:val="bottom"/>
            <w:shd w:val="clear" w:color="auto" w:fill="E0E0E0"/>
          </w:tcPr>
          <w:p>
            <w:pPr>
              <w:jc w:val="right"/>
              <w:spacing w:after="0" w:line="229" w:lineRule="exact"/>
              <w:rPr>
                <w:sz w:val="20"/>
                <w:szCs w:val="20"/>
                <w:color w:val="auto"/>
              </w:rPr>
            </w:pPr>
            <w:r>
              <w:rPr>
                <w:rFonts w:ascii="Arial" w:cs="Arial" w:eastAsia="Arial" w:hAnsi="Arial"/>
                <w:sz w:val="21"/>
                <w:szCs w:val="21"/>
                <w:color w:val="auto"/>
                <w:w w:val="85"/>
              </w:rPr>
              <w:t>$</w:t>
            </w:r>
          </w:p>
        </w:tc>
        <w:tc>
          <w:tcPr>
            <w:tcW w:w="920" w:type="dxa"/>
            <w:vAlign w:val="bottom"/>
            <w:gridSpan w:val="2"/>
            <w:shd w:val="clear" w:color="auto" w:fill="E0E0E0"/>
          </w:tcPr>
          <w:p>
            <w:pPr>
              <w:jc w:val="right"/>
              <w:ind w:right="80"/>
              <w:spacing w:after="0" w:line="229" w:lineRule="exact"/>
              <w:rPr>
                <w:sz w:val="20"/>
                <w:szCs w:val="20"/>
                <w:color w:val="auto"/>
              </w:rPr>
            </w:pPr>
            <w:r>
              <w:rPr>
                <w:rFonts w:ascii="Arial" w:cs="Arial" w:eastAsia="Arial" w:hAnsi="Arial"/>
                <w:sz w:val="21"/>
                <w:szCs w:val="21"/>
                <w:color w:val="auto"/>
              </w:rPr>
              <w:t>110,537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Short-term and Long-term Investments</w:t>
      </w:r>
    </w:p>
    <w:p>
      <w:pPr>
        <w:spacing w:after="0" w:line="115"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20"/>
          <w:szCs w:val="20"/>
          <w:color w:val="auto"/>
        </w:rPr>
        <w:t>The Company generally invests its excess cash in investment grade short- to intermediate-term fixed income securities. Such investments are included in cash and cash equivalents, short-term investments, and long-term investments on the consolidated balance sheets, classified as available-for-sale, and reported at fair value with unrealized gains and losses included in accumulated other comprehensive income or loss. Realized gains and losses on the sale of these securities are recognized in net loss.</w:t>
      </w:r>
    </w:p>
    <w:p>
      <w:pPr>
        <w:spacing w:after="0" w:line="191"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0"/>
          <w:szCs w:val="20"/>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investment until a forecasted recovery occurs. Additionally, the Company assesses whether it has plans to sell the security or it is more likely than not it will be required to sell any investment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investments, duration and severity of the decline in value, and our strategy and intentions for holding the investment.</w:t>
      </w:r>
    </w:p>
    <w:p>
      <w:pPr>
        <w:spacing w:after="0" w:line="325"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Concentration of Credit Risk</w:t>
      </w:r>
    </w:p>
    <w:p>
      <w:pPr>
        <w:spacing w:after="0" w:line="115"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322"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Property and Equipment</w:t>
      </w:r>
    </w:p>
    <w:p>
      <w:pPr>
        <w:spacing w:after="0" w:line="114" w:lineRule="exact"/>
        <w:rPr>
          <w:sz w:val="20"/>
          <w:szCs w:val="20"/>
          <w:color w:val="auto"/>
        </w:rPr>
      </w:pPr>
    </w:p>
    <w:p>
      <w:pPr>
        <w:jc w:val="both"/>
        <w:ind w:firstLine="504"/>
        <w:spacing w:after="0" w:line="243" w:lineRule="auto"/>
        <w:rPr>
          <w:sz w:val="20"/>
          <w:szCs w:val="20"/>
          <w:color w:val="auto"/>
        </w:rPr>
      </w:pPr>
      <w:r>
        <w:rPr>
          <w:rFonts w:ascii="Arial" w:cs="Arial" w:eastAsia="Arial" w:hAnsi="Arial"/>
          <w:sz w:val="21"/>
          <w:szCs w:val="21"/>
          <w:color w:val="auto"/>
        </w:rPr>
        <w:t>Property and equipment consist of computer equipment, computer software, laboratory equipment, leasehold improvements and furniture and office equipment. Property and equipment are recorded at cost and depreciation is recognized using the straight-line method based on estimated useful life, generally three to five years. Leasehold improvements are amortized over the shorter of their useful life or the remaining lease term. Maintenance and repairs are charged to expense as incurred, and costs of improvements are capitalized.</w:t>
      </w:r>
    </w:p>
    <w:p>
      <w:pPr>
        <w:spacing w:after="0" w:line="202" w:lineRule="exact"/>
        <w:rPr>
          <w:sz w:val="20"/>
          <w:szCs w:val="20"/>
          <w:color w:val="auto"/>
        </w:rPr>
      </w:pPr>
    </w:p>
    <w:p>
      <w:pPr>
        <w:jc w:val="both"/>
        <w:ind w:firstLine="504"/>
        <w:spacing w:after="0" w:line="298" w:lineRule="auto"/>
        <w:rPr>
          <w:sz w:val="20"/>
          <w:szCs w:val="20"/>
          <w:color w:val="auto"/>
        </w:rPr>
      </w:pPr>
      <w:r>
        <w:rPr>
          <w:rFonts w:ascii="Arial" w:cs="Arial" w:eastAsia="Arial" w:hAnsi="Arial"/>
          <w:sz w:val="20"/>
          <w:szCs w:val="20"/>
          <w:color w:val="auto"/>
        </w:rPr>
        <w:t>The Company reviews long-lived assets for impairment whenever events or circumstances indicate the carrying amount of an asset group may not be recoverable. Should an impairment exist, the impairment</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139</w:t>
      </w:r>
    </w:p>
    <w:p>
      <w:pPr>
        <w:sectPr>
          <w:pgSz w:w="12240" w:h="15840" w:orient="portrait"/>
          <w:cols w:equalWidth="0" w:num="1">
            <w:col w:w="9640"/>
          </w:cols>
          <w:pgMar w:left="1300" w:top="1226" w:right="1300" w:bottom="0" w:gutter="0" w:footer="0" w:header="0"/>
          <w:type w:val="continuous"/>
        </w:sectPr>
      </w:pPr>
    </w:p>
    <w:bookmarkStart w:id="145" w:name="page146"/>
    <w:bookmarkEnd w:id="145"/>
    <w:p>
      <w:pPr>
        <w:jc w:val="both"/>
        <w:spacing w:after="0" w:line="244" w:lineRule="auto"/>
        <w:rPr>
          <w:sz w:val="20"/>
          <w:szCs w:val="20"/>
          <w:color w:val="auto"/>
        </w:rPr>
      </w:pPr>
      <w:r>
        <w:rPr>
          <w:rFonts w:ascii="Arial" w:cs="Arial" w:eastAsia="Arial" w:hAnsi="Arial"/>
          <w:sz w:val="21"/>
          <w:szCs w:val="21"/>
          <w:color w:val="auto"/>
        </w:rPr>
        <w:t>loss would be measured based on the excess of the asset's carrying amount over its fair value. Gains and losses from asset disposals and impairment losses are classified within the consolidated statements of operations and comprehensive loss in accordance with the use of the asset. There were no impairment losses in the years ended December 31, 2022 and 2021 as there have been no events warranting an impairment analysis.</w:t>
      </w:r>
    </w:p>
    <w:p>
      <w:pPr>
        <w:spacing w:after="0" w:line="332"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Fair Value Measurements</w:t>
      </w:r>
    </w:p>
    <w:p>
      <w:pPr>
        <w:spacing w:after="0" w:line="115"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The carrying amounts of certain financial instruments, including cash, cash equivalents, restricted cash, investments, accounts payable and accrued expenses approximate their fair values due to the short-term nature of those amounts.</w:t>
      </w:r>
    </w:p>
    <w:p>
      <w:pPr>
        <w:spacing w:after="0" w:line="322"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Grant Income</w:t>
      </w:r>
    </w:p>
    <w:p>
      <w:pPr>
        <w:spacing w:after="0" w:line="114"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In December 2020, the Company accepted a grant from the National Institute on Aging (“NIA”) of the National Institutes of Health (“NIH”) to support its ACT-AD Phase 2 clinical trial for fosgonimeton (then-named ATH-1017), the Company’s lead therapeutic candidate being developed for the treatment of individuals with mild-to-moderate Alzheimer’s disease. Under the terms of the agreement and approval received from the NIH, the Company may receive up to an aggregate of $15.2 million. The Company recognizes income related to the NIH grant in the accompanying consolidated statements of operations and comprehensive loss as qualifying expenses under the grant agreement are incurred.</w:t>
      </w:r>
    </w:p>
    <w:p>
      <w:pPr>
        <w:spacing w:after="0" w:line="209"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During the years ended December 31, 2022 and 2021, the Company recognized grant income of $5.2 million and $8.8 million, respectively, in connection with the NIH grant. As of December 31, 2022 and December 31, 2021, the Company incurred qualifying expenses in excess of cash received of $1.2 million and $2.3 million, respectively, which is included in unbilled grant receivable on the consolidated balance sheets. The Company received cash of $6.3 million related to the NIH grant during the year ended December 31, 2022, compared to $7.6 million during the year ended December 31, 2021. As of December 31, 2022, we recognized aggregate grant income of $15.1 million of the total $15.2 million approved in connection with the NIH grant.</w:t>
      </w:r>
    </w:p>
    <w:p>
      <w:pPr>
        <w:spacing w:after="0" w:line="338"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Research and Development Expenses</w:t>
      </w:r>
    </w:p>
    <w:p>
      <w:pPr>
        <w:spacing w:after="0" w:line="115"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05"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0"/>
          <w:szCs w:val="20"/>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140</w:t>
      </w:r>
    </w:p>
    <w:p>
      <w:pPr>
        <w:sectPr>
          <w:pgSz w:w="12240" w:h="15840" w:orient="portrait"/>
          <w:cols w:equalWidth="0" w:num="1">
            <w:col w:w="9640"/>
          </w:cols>
          <w:pgMar w:left="1300" w:top="1226" w:right="1300" w:bottom="0" w:gutter="0" w:footer="0" w:header="0"/>
          <w:type w:val="continuous"/>
        </w:sectPr>
      </w:pPr>
    </w:p>
    <w:bookmarkStart w:id="146" w:name="page147"/>
    <w:bookmarkEnd w:id="146"/>
    <w:p>
      <w:pPr>
        <w:ind w:left="500"/>
        <w:spacing w:after="0"/>
        <w:rPr>
          <w:sz w:val="20"/>
          <w:szCs w:val="20"/>
          <w:color w:val="auto"/>
        </w:rPr>
      </w:pPr>
      <w:r>
        <w:rPr>
          <w:rFonts w:ascii="Arial" w:cs="Arial" w:eastAsia="Arial" w:hAnsi="Arial"/>
          <w:sz w:val="21"/>
          <w:szCs w:val="21"/>
          <w:b w:val="1"/>
          <w:bCs w:val="1"/>
          <w:i w:val="1"/>
          <w:iCs w:val="1"/>
          <w:color w:val="auto"/>
        </w:rPr>
        <w:t>General and Administrative Expenses</w:t>
      </w:r>
    </w:p>
    <w:p>
      <w:pPr>
        <w:spacing w:after="0" w:line="114"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20"/>
          <w:szCs w:val="20"/>
          <w:color w:val="auto"/>
        </w:rPr>
        <w:t>General and administrative expenses consist primarily of personnel-related costs, consisting of employee salaries, related benefits, and stock -based compensation expense for employees in the executive, legal, finance and accounting, human resources, and other administrative functions. General and administrative expenses also include third -party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Leases</w:t>
      </w:r>
    </w:p>
    <w:p>
      <w:pPr>
        <w:spacing w:after="0" w:line="115" w:lineRule="exact"/>
        <w:rPr>
          <w:sz w:val="20"/>
          <w:szCs w:val="20"/>
          <w:color w:val="auto"/>
        </w:rPr>
      </w:pPr>
    </w:p>
    <w:p>
      <w:pPr>
        <w:jc w:val="both"/>
        <w:ind w:firstLine="504"/>
        <w:spacing w:after="0" w:line="251" w:lineRule="auto"/>
        <w:rPr>
          <w:sz w:val="20"/>
          <w:szCs w:val="20"/>
          <w:color w:val="auto"/>
        </w:rPr>
      </w:pPr>
      <w:r>
        <w:rPr>
          <w:rFonts w:ascii="Arial" w:cs="Arial" w:eastAsia="Arial" w:hAnsi="Arial"/>
          <w:sz w:val="20"/>
          <w:szCs w:val="20"/>
          <w:color w:val="auto"/>
        </w:rPr>
        <w:t xml:space="preserve">The Company adopted Accounting Standards Codification (“ASC”) </w:t>
      </w:r>
      <w:r>
        <w:rPr>
          <w:rFonts w:ascii="Arial" w:cs="Arial" w:eastAsia="Arial" w:hAnsi="Arial"/>
          <w:sz w:val="20"/>
          <w:szCs w:val="20"/>
          <w:i w:val="1"/>
          <w:iCs w:val="1"/>
          <w:color w:val="auto"/>
        </w:rPr>
        <w:t>Topic 842 - Leases</w:t>
      </w:r>
      <w:r>
        <w:rPr>
          <w:rFonts w:ascii="Arial" w:cs="Arial" w:eastAsia="Arial" w:hAnsi="Arial"/>
          <w:sz w:val="20"/>
          <w:szCs w:val="20"/>
          <w:color w:val="auto"/>
        </w:rPr>
        <w:t xml:space="preserve"> 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spacing w:after="0" w:line="200"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1"/>
          <w:szCs w:val="21"/>
          <w:color w:val="auto"/>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spacing w:after="0" w:line="191"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 -area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196"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322"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Stock-based Compensation</w:t>
      </w:r>
    </w:p>
    <w:p>
      <w:pPr>
        <w:spacing w:after="0" w:line="114"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spacing w:after="0" w:line="209"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141</w:t>
      </w:r>
    </w:p>
    <w:p>
      <w:pPr>
        <w:sectPr>
          <w:pgSz w:w="12240" w:h="15840" w:orient="portrait"/>
          <w:cols w:equalWidth="0" w:num="1">
            <w:col w:w="9640"/>
          </w:cols>
          <w:pgMar w:left="1300" w:top="1230" w:right="1300" w:bottom="0" w:gutter="0" w:footer="0" w:header="0"/>
          <w:type w:val="continuous"/>
        </w:sectPr>
      </w:pPr>
    </w:p>
    <w:bookmarkStart w:id="147" w:name="page148"/>
    <w:bookmarkEnd w:id="147"/>
    <w:p>
      <w:pPr>
        <w:ind w:left="500"/>
        <w:spacing w:after="0"/>
        <w:rPr>
          <w:sz w:val="20"/>
          <w:szCs w:val="20"/>
          <w:color w:val="auto"/>
        </w:rPr>
      </w:pPr>
      <w:r>
        <w:rPr>
          <w:rFonts w:ascii="Arial" w:cs="Arial" w:eastAsia="Arial" w:hAnsi="Arial"/>
          <w:sz w:val="21"/>
          <w:szCs w:val="21"/>
          <w:b w:val="1"/>
          <w:bCs w:val="1"/>
          <w:i w:val="1"/>
          <w:iCs w:val="1"/>
          <w:color w:val="auto"/>
        </w:rPr>
        <w:t>Income Taxes</w:t>
      </w:r>
    </w:p>
    <w:p>
      <w:pPr>
        <w:spacing w:after="0" w:line="114"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9"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208"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332"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Comprehensive Loss Attributable to Common Stockholders</w:t>
      </w:r>
    </w:p>
    <w:p>
      <w:pPr>
        <w:spacing w:after="0" w:line="115"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Comprehensive loss attributable to common stockholders consists of net loss and other gains and losses affecting stockholders’ equity that, under U.S. GAAP, are excluded from net loss. The Company’s comprehensive loss attributable to common stockholders is comprised of net loss and unrealized gains and losses on available-for-sale securities.</w:t>
      </w:r>
    </w:p>
    <w:p>
      <w:pPr>
        <w:spacing w:after="0" w:line="328"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Net Loss Per Share Attributable to Common Stockholders</w:t>
      </w:r>
    </w:p>
    <w:p>
      <w:pPr>
        <w:spacing w:after="0" w:line="115"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335"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Foreign Currency Transaction Remeasurement Adjustments</w:t>
      </w:r>
    </w:p>
    <w:p>
      <w:pPr>
        <w:spacing w:after="0" w:line="114" w:lineRule="exact"/>
        <w:rPr>
          <w:sz w:val="20"/>
          <w:szCs w:val="20"/>
          <w:color w:val="auto"/>
        </w:rPr>
      </w:pPr>
    </w:p>
    <w:p>
      <w:pPr>
        <w:jc w:val="both"/>
        <w:ind w:firstLine="504"/>
        <w:spacing w:after="0" w:line="243" w:lineRule="auto"/>
        <w:rPr>
          <w:sz w:val="20"/>
          <w:szCs w:val="20"/>
          <w:color w:val="auto"/>
        </w:rPr>
      </w:pPr>
      <w:r>
        <w:rPr>
          <w:rFonts w:ascii="Arial" w:cs="Arial" w:eastAsia="Arial" w:hAnsi="Arial"/>
          <w:sz w:val="21"/>
          <w:szCs w:val="21"/>
          <w:color w:val="auto"/>
        </w:rPr>
        <w:t>Monetary assets and liabilities denominated in foreign currencies were translated into U.S. dollars, the reporting currency, at the exchange rate prevailing at the balance sheet date. Income and expenses denominated in foreign currencies were translated into U.S. dollars at the average exchange rate for the period and the transaction remeasurement adjustments are reported within other income, net in the consolidated statement of operations and comprehensive loss. The functional currency of the Company’s Australian subsidiary is the U.S. dollar.</w:t>
      </w:r>
    </w:p>
    <w:p>
      <w:pPr>
        <w:spacing w:after="0" w:line="329"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Segments</w:t>
      </w:r>
    </w:p>
    <w:p>
      <w:pPr>
        <w:spacing w:after="0" w:line="115"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142</w:t>
      </w:r>
    </w:p>
    <w:p>
      <w:pPr>
        <w:sectPr>
          <w:pgSz w:w="12240" w:h="15840" w:orient="portrait"/>
          <w:cols w:equalWidth="0" w:num="1">
            <w:col w:w="9640"/>
          </w:cols>
          <w:pgMar w:left="1300" w:top="1230" w:right="1300" w:bottom="0" w:gutter="0" w:footer="0" w:header="0"/>
          <w:type w:val="continuous"/>
        </w:sectPr>
      </w:pPr>
    </w:p>
    <w:bookmarkStart w:id="148" w:name="page149"/>
    <w:bookmarkEnd w:id="148"/>
    <w:p>
      <w:pPr>
        <w:ind w:left="500"/>
        <w:spacing w:after="0"/>
        <w:rPr>
          <w:sz w:val="20"/>
          <w:szCs w:val="20"/>
          <w:color w:val="auto"/>
        </w:rPr>
      </w:pPr>
      <w:r>
        <w:rPr>
          <w:rFonts w:ascii="Arial" w:cs="Arial" w:eastAsia="Arial" w:hAnsi="Arial"/>
          <w:sz w:val="21"/>
          <w:szCs w:val="21"/>
          <w:b w:val="1"/>
          <w:bCs w:val="1"/>
          <w:i w:val="1"/>
          <w:iCs w:val="1"/>
          <w:color w:val="auto"/>
        </w:rPr>
        <w:t>Emerging Growth Company Status</w:t>
      </w:r>
    </w:p>
    <w:p>
      <w:pPr>
        <w:spacing w:after="0" w:line="114"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0"/>
          <w:szCs w:val="20"/>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spacing w:after="0" w:line="325"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Recent Accounting Pronouncements Not Yet Adopted</w:t>
      </w:r>
    </w:p>
    <w:p>
      <w:pPr>
        <w:spacing w:after="0" w:line="115"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In June 2016, the Financial Accounting Standards Board (FASB) issued Accounting Standards Update (ASU) 2016-13, Financial Instruments: Credit Losses (Topic 326) as clarified in ASU 2019-04, ASU 2019-05, and ASU 2020-02.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adoption of ASU 2016-13 will not have a material impact on the Company’s financial condition, results of operations, cash flows or financial statement disclosures.</w:t>
      </w:r>
    </w:p>
    <w:p>
      <w:pPr>
        <w:spacing w:after="0" w:line="194"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1"/>
          <w:szCs w:val="21"/>
          <w:color w:val="auto"/>
        </w:rPr>
        <w:t>Although there were several other new accounting pronouncements issued or proposed by the FASB, the Company does not believe any of these have had or will have material impact on its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Fair Value</w:t>
      </w:r>
    </w:p>
    <w:p>
      <w:pPr>
        <w:spacing w:after="0" w:line="123"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71"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i w:val="1"/>
          <w:iCs w:val="1"/>
          <w:color w:val="auto"/>
        </w:rPr>
        <w:t>Level 1</w:t>
      </w:r>
      <w:r>
        <w:rPr>
          <w:rFonts w:ascii="Arial" w:cs="Arial" w:eastAsia="Arial" w:hAnsi="Arial"/>
          <w:sz w:val="21"/>
          <w:szCs w:val="21"/>
          <w:color w:val="auto"/>
        </w:rPr>
        <w:t>—Unadjusted quoted prices in active markets that are accessible at the measurement date for</w:t>
      </w:r>
      <w:r>
        <w:rPr>
          <w:rFonts w:ascii="Arial" w:cs="Arial" w:eastAsia="Arial" w:hAnsi="Arial"/>
          <w:sz w:val="21"/>
          <w:szCs w:val="21"/>
          <w:i w:val="1"/>
          <w:iCs w:val="1"/>
          <w:color w:val="auto"/>
        </w:rPr>
        <w:t xml:space="preserve"> </w:t>
      </w:r>
      <w:r>
        <w:rPr>
          <w:rFonts w:ascii="Arial" w:cs="Arial" w:eastAsia="Arial" w:hAnsi="Arial"/>
          <w:sz w:val="21"/>
          <w:szCs w:val="21"/>
          <w:color w:val="auto"/>
        </w:rPr>
        <w:t>identical, unrestricted assets or liabilities.</w:t>
      </w:r>
    </w:p>
    <w:p>
      <w:pPr>
        <w:spacing w:after="0" w:line="48"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i w:val="1"/>
          <w:iCs w:val="1"/>
          <w:color w:val="auto"/>
        </w:rPr>
        <w:t>Level 2</w:t>
      </w:r>
      <w:r>
        <w:rPr>
          <w:rFonts w:ascii="Arial" w:cs="Arial" w:eastAsia="Arial" w:hAnsi="Arial"/>
          <w:sz w:val="21"/>
          <w:szCs w:val="21"/>
          <w:color w:val="auto"/>
        </w:rPr>
        <w:t>—Quoted prices in markets that are not active or financial instruments for which all significant</w:t>
      </w:r>
      <w:r>
        <w:rPr>
          <w:rFonts w:ascii="Arial" w:cs="Arial" w:eastAsia="Arial" w:hAnsi="Arial"/>
          <w:sz w:val="21"/>
          <w:szCs w:val="21"/>
          <w:i w:val="1"/>
          <w:iCs w:val="1"/>
          <w:color w:val="auto"/>
        </w:rPr>
        <w:t xml:space="preserve"> </w:t>
      </w:r>
      <w:r>
        <w:rPr>
          <w:rFonts w:ascii="Arial" w:cs="Arial" w:eastAsia="Arial" w:hAnsi="Arial"/>
          <w:sz w:val="21"/>
          <w:szCs w:val="21"/>
          <w:color w:val="auto"/>
        </w:rPr>
        <w:t>inputs are observable, either directly or indirectly.</w:t>
      </w:r>
    </w:p>
    <w:p>
      <w:pPr>
        <w:spacing w:after="0" w:line="49"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i w:val="1"/>
          <w:iCs w:val="1"/>
          <w:color w:val="auto"/>
        </w:rPr>
        <w:t>Level 3</w:t>
      </w:r>
      <w:r>
        <w:rPr>
          <w:rFonts w:ascii="Arial" w:cs="Arial" w:eastAsia="Arial" w:hAnsi="Arial"/>
          <w:sz w:val="21"/>
          <w:szCs w:val="21"/>
          <w:color w:val="auto"/>
        </w:rPr>
        <w:t>—Inputs are generally unobservable and reflect management’s estimates of assumptions that</w:t>
      </w:r>
      <w:r>
        <w:rPr>
          <w:rFonts w:ascii="Arial" w:cs="Arial" w:eastAsia="Arial" w:hAnsi="Arial"/>
          <w:sz w:val="21"/>
          <w:szCs w:val="21"/>
          <w:i w:val="1"/>
          <w:iCs w:val="1"/>
          <w:color w:val="auto"/>
        </w:rPr>
        <w:t xml:space="preserve"> </w:t>
      </w:r>
      <w:r>
        <w:rPr>
          <w:rFonts w:ascii="Arial" w:cs="Arial" w:eastAsia="Arial" w:hAnsi="Arial"/>
          <w:sz w:val="21"/>
          <w:szCs w:val="21"/>
          <w:color w:val="auto"/>
        </w:rPr>
        <w:t>market participants would use in pricing the asset or liability. The fair values are determined using model-based techniques, including probability-based simulation methodologies.</w:t>
      </w:r>
    </w:p>
    <w:p>
      <w:pPr>
        <w:spacing w:after="0" w:line="193"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ectPr>
          <w:pgSz w:w="12240" w:h="15840" w:orient="portrait"/>
          <w:cols w:equalWidth="0" w:num="1">
            <w:col w:w="9640"/>
          </w:cols>
          <w:pgMar w:left="1300" w:top="123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143</w:t>
      </w:r>
    </w:p>
    <w:p>
      <w:pPr>
        <w:sectPr>
          <w:pgSz w:w="12240" w:h="15840" w:orient="portrait"/>
          <w:cols w:equalWidth="0" w:num="1">
            <w:col w:w="9640"/>
          </w:cols>
          <w:pgMar w:left="1300" w:top="1230" w:right="1300" w:bottom="0" w:gutter="0" w:footer="0" w:header="0"/>
          <w:type w:val="continuous"/>
        </w:sectPr>
      </w:pPr>
    </w:p>
    <w:bookmarkStart w:id="149" w:name="page150"/>
    <w:bookmarkEnd w:id="149"/>
    <w:p>
      <w:pPr>
        <w:jc w:val="both"/>
        <w:ind w:firstLine="504"/>
        <w:spacing w:after="0" w:line="271" w:lineRule="auto"/>
        <w:rPr>
          <w:sz w:val="20"/>
          <w:szCs w:val="20"/>
          <w:color w:val="auto"/>
        </w:rPr>
      </w:pPr>
      <w:r>
        <w:rPr>
          <w:rFonts w:ascii="Arial" w:cs="Arial" w:eastAsia="Arial" w:hAnsi="Arial"/>
          <w:sz w:val="21"/>
          <w:szCs w:val="21"/>
          <w:color w:val="auto"/>
        </w:rPr>
        <w:t>The following tables reflect the Company’s financial asset balances measured on a recurring basis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jc w:val="center"/>
              <w:ind w:right="217"/>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Amortized</w:t>
            </w:r>
          </w:p>
        </w:tc>
        <w:tc>
          <w:tcPr>
            <w:tcW w:w="180" w:type="dxa"/>
            <w:vAlign w:val="bottom"/>
          </w:tcPr>
          <w:p>
            <w:pPr>
              <w:spacing w:after="0"/>
              <w:rPr>
                <w:sz w:val="14"/>
                <w:szCs w:val="14"/>
                <w:color w:val="auto"/>
              </w:rPr>
            </w:pPr>
          </w:p>
        </w:tc>
        <w:tc>
          <w:tcPr>
            <w:tcW w:w="84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Unrealized</w:t>
            </w:r>
          </w:p>
        </w:tc>
        <w:tc>
          <w:tcPr>
            <w:tcW w:w="180" w:type="dxa"/>
            <w:vAlign w:val="bottom"/>
          </w:tcPr>
          <w:p>
            <w:pPr>
              <w:spacing w:after="0"/>
              <w:rPr>
                <w:sz w:val="14"/>
                <w:szCs w:val="14"/>
                <w:color w:val="auto"/>
              </w:rPr>
            </w:pPr>
          </w:p>
        </w:tc>
        <w:tc>
          <w:tcPr>
            <w:tcW w:w="1040" w:type="dxa"/>
            <w:vAlign w:val="bottom"/>
            <w:gridSpan w:val="3"/>
          </w:tcPr>
          <w:p>
            <w:pPr>
              <w:spacing w:after="0" w:line="162"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740" w:type="dxa"/>
            <w:vAlign w:val="bottom"/>
          </w:tcPr>
          <w:p>
            <w:pPr>
              <w:jc w:val="center"/>
              <w:ind w:right="20"/>
              <w:spacing w:after="0" w:line="162" w:lineRule="exact"/>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Level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62"/>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center"/>
              <w:ind w:right="59"/>
              <w:spacing w:after="0"/>
              <w:rPr>
                <w:sz w:val="20"/>
                <w:szCs w:val="20"/>
                <w:color w:val="auto"/>
              </w:rPr>
            </w:pPr>
            <w:r>
              <w:rPr>
                <w:rFonts w:ascii="Arial" w:cs="Arial" w:eastAsia="Arial" w:hAnsi="Arial"/>
                <w:sz w:val="16"/>
                <w:szCs w:val="16"/>
                <w:b w:val="1"/>
                <w:bCs w:val="1"/>
                <w:color w:val="auto"/>
              </w:rPr>
              <w:t>Gains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37"/>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00" w:type="dxa"/>
            <w:vAlign w:val="bottom"/>
            <w:tcBorders>
              <w:top w:val="single" w:sz="8" w:color="E0E0E0"/>
              <w:bottom w:val="single" w:sz="8" w:color="auto"/>
            </w:tcBorders>
            <w:shd w:val="clear" w:color="auto" w:fill="E0E0E0"/>
          </w:tcPr>
          <w:p>
            <w:pPr>
              <w:spacing w:after="0" w:line="227" w:lineRule="exact"/>
              <w:rPr>
                <w:sz w:val="20"/>
                <w:szCs w:val="20"/>
                <w:color w:val="auto"/>
              </w:rPr>
            </w:pPr>
            <w:r>
              <w:rPr>
                <w:rFonts w:ascii="Arial" w:cs="Arial" w:eastAsia="Arial" w:hAnsi="Arial"/>
                <w:sz w:val="21"/>
                <w:szCs w:val="21"/>
                <w:color w:val="auto"/>
              </w:rPr>
              <w:t>Cash equivalents:</w:t>
            </w:r>
          </w:p>
        </w:tc>
        <w:tc>
          <w:tcPr>
            <w:tcW w:w="100" w:type="dxa"/>
            <w:vAlign w:val="bottom"/>
            <w:tcBorders>
              <w:top w:val="single" w:sz="8" w:color="E0E0E0"/>
            </w:tcBorders>
            <w:shd w:val="clear" w:color="auto" w:fill="E0E0E0"/>
          </w:tcPr>
          <w:p>
            <w:pPr>
              <w:spacing w:after="0"/>
              <w:rPr>
                <w:sz w:val="19"/>
                <w:szCs w:val="19"/>
                <w:color w:val="auto"/>
              </w:rPr>
            </w:pPr>
          </w:p>
        </w:tc>
        <w:tc>
          <w:tcPr>
            <w:tcW w:w="90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right w:val="single" w:sz="8" w:color="E0E0E0"/>
            </w:tcBorders>
            <w:shd w:val="clear" w:color="auto" w:fill="E0E0E0"/>
          </w:tcPr>
          <w:p>
            <w:pPr>
              <w:spacing w:after="0"/>
              <w:rPr>
                <w:sz w:val="19"/>
                <w:szCs w:val="19"/>
                <w:color w:val="auto"/>
              </w:rPr>
            </w:pPr>
          </w:p>
        </w:tc>
        <w:tc>
          <w:tcPr>
            <w:tcW w:w="160" w:type="dxa"/>
            <w:vAlign w:val="bottom"/>
            <w:tcBorders>
              <w:top w:val="single" w:sz="8" w:color="auto"/>
            </w:tcBorders>
            <w:shd w:val="clear" w:color="auto" w:fill="E0E0E0"/>
          </w:tcPr>
          <w:p>
            <w:pPr>
              <w:spacing w:after="0"/>
              <w:rPr>
                <w:sz w:val="19"/>
                <w:szCs w:val="19"/>
                <w:color w:val="auto"/>
              </w:rPr>
            </w:pPr>
          </w:p>
        </w:tc>
        <w:tc>
          <w:tcPr>
            <w:tcW w:w="700" w:type="dxa"/>
            <w:vAlign w:val="bottom"/>
            <w:tcBorders>
              <w:top w:val="single" w:sz="8" w:color="auto"/>
            </w:tcBorders>
            <w:shd w:val="clear" w:color="auto" w:fill="E0E0E0"/>
          </w:tcPr>
          <w:p>
            <w:pPr>
              <w:spacing w:after="0"/>
              <w:rPr>
                <w:sz w:val="19"/>
                <w:szCs w:val="19"/>
                <w:color w:val="auto"/>
              </w:rPr>
            </w:pPr>
          </w:p>
        </w:tc>
        <w:tc>
          <w:tcPr>
            <w:tcW w:w="180" w:type="dxa"/>
            <w:vAlign w:val="bottom"/>
            <w:tcBorders>
              <w:top w:val="single" w:sz="8" w:color="E0E0E0"/>
              <w:right w:val="single" w:sz="8" w:color="E0E0E0"/>
            </w:tcBorders>
            <w:shd w:val="clear" w:color="auto" w:fill="E0E0E0"/>
          </w:tcPr>
          <w:p>
            <w:pPr>
              <w:spacing w:after="0"/>
              <w:rPr>
                <w:sz w:val="19"/>
                <w:szCs w:val="19"/>
                <w:color w:val="auto"/>
              </w:rPr>
            </w:pPr>
          </w:p>
        </w:tc>
        <w:tc>
          <w:tcPr>
            <w:tcW w:w="140" w:type="dxa"/>
            <w:vAlign w:val="bottom"/>
            <w:tcBorders>
              <w:top w:val="single" w:sz="8" w:color="auto"/>
            </w:tcBorders>
            <w:shd w:val="clear" w:color="auto" w:fill="E0E0E0"/>
          </w:tcPr>
          <w:p>
            <w:pPr>
              <w:spacing w:after="0"/>
              <w:rPr>
                <w:sz w:val="19"/>
                <w:szCs w:val="19"/>
                <w:color w:val="auto"/>
              </w:rPr>
            </w:pPr>
          </w:p>
        </w:tc>
        <w:tc>
          <w:tcPr>
            <w:tcW w:w="700" w:type="dxa"/>
            <w:vAlign w:val="bottom"/>
            <w:tcBorders>
              <w:top w:val="single" w:sz="8" w:color="auto"/>
            </w:tcBorders>
            <w:shd w:val="clear" w:color="auto" w:fill="E0E0E0"/>
          </w:tcPr>
          <w:p>
            <w:pPr>
              <w:spacing w:after="0"/>
              <w:rPr>
                <w:sz w:val="19"/>
                <w:szCs w:val="19"/>
                <w:color w:val="auto"/>
              </w:rPr>
            </w:pPr>
          </w:p>
        </w:tc>
        <w:tc>
          <w:tcPr>
            <w:tcW w:w="180" w:type="dxa"/>
            <w:vAlign w:val="bottom"/>
            <w:tcBorders>
              <w:top w:val="single" w:sz="8" w:color="E0E0E0"/>
              <w:right w:val="single" w:sz="8" w:color="E0E0E0"/>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spacing w:after="0"/>
              <w:rPr>
                <w:sz w:val="19"/>
                <w:szCs w:val="19"/>
                <w:color w:val="auto"/>
              </w:rPr>
            </w:pPr>
          </w:p>
        </w:tc>
        <w:tc>
          <w:tcPr>
            <w:tcW w:w="720" w:type="dxa"/>
            <w:vAlign w:val="bottom"/>
            <w:tcBorders>
              <w:top w:val="single" w:sz="8" w:color="auto"/>
            </w:tcBorders>
            <w:shd w:val="clear" w:color="auto" w:fill="E0E0E0"/>
          </w:tcPr>
          <w:p>
            <w:pPr>
              <w:spacing w:after="0"/>
              <w:rPr>
                <w:sz w:val="19"/>
                <w:szCs w:val="19"/>
                <w:color w:val="auto"/>
              </w:rPr>
            </w:pPr>
          </w:p>
        </w:tc>
        <w:tc>
          <w:tcPr>
            <w:tcW w:w="200" w:type="dxa"/>
            <w:vAlign w:val="bottom"/>
            <w:tcBorders>
              <w:top w:val="single" w:sz="8" w:color="E0E0E0"/>
              <w:right w:val="single" w:sz="8" w:color="E0E0E0"/>
            </w:tcBorders>
            <w:shd w:val="clear" w:color="auto" w:fill="E0E0E0"/>
          </w:tcPr>
          <w:p>
            <w:pPr>
              <w:spacing w:after="0"/>
              <w:rPr>
                <w:sz w:val="19"/>
                <w:szCs w:val="19"/>
                <w:color w:val="auto"/>
              </w:rPr>
            </w:pPr>
          </w:p>
        </w:tc>
        <w:tc>
          <w:tcPr>
            <w:tcW w:w="100" w:type="dxa"/>
            <w:vAlign w:val="bottom"/>
            <w:tcBorders>
              <w:top w:val="single" w:sz="8" w:color="auto"/>
            </w:tcBorders>
            <w:shd w:val="clear" w:color="auto" w:fill="E0E0E0"/>
          </w:tcPr>
          <w:p>
            <w:pPr>
              <w:spacing w:after="0"/>
              <w:rPr>
                <w:sz w:val="19"/>
                <w:szCs w:val="19"/>
                <w:color w:val="auto"/>
              </w:rPr>
            </w:pPr>
          </w:p>
        </w:tc>
        <w:tc>
          <w:tcPr>
            <w:tcW w:w="74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Pr>
          <w:p>
            <w:pPr>
              <w:ind w:left="280"/>
              <w:spacing w:after="0" w:line="227" w:lineRule="exact"/>
              <w:rPr>
                <w:sz w:val="20"/>
                <w:szCs w:val="20"/>
                <w:color w:val="auto"/>
              </w:rPr>
            </w:pPr>
            <w:r>
              <w:rPr>
                <w:rFonts w:ascii="Arial" w:cs="Arial" w:eastAsia="Arial" w:hAnsi="Arial"/>
                <w:sz w:val="21"/>
                <w:szCs w:val="21"/>
                <w:color w:val="auto"/>
              </w:rPr>
              <w:t>Money market fund</w:t>
            </w:r>
          </w:p>
        </w:tc>
        <w:tc>
          <w:tcPr>
            <w:tcW w:w="100" w:type="dxa"/>
            <w:vAlign w:val="bottom"/>
          </w:tcPr>
          <w:p>
            <w:pPr>
              <w:spacing w:after="0"/>
              <w:rPr>
                <w:sz w:val="19"/>
                <w:szCs w:val="19"/>
                <w:color w:val="auto"/>
              </w:rPr>
            </w:pPr>
          </w:p>
        </w:tc>
        <w:tc>
          <w:tcPr>
            <w:tcW w:w="900" w:type="dxa"/>
            <w:vAlign w:val="bottom"/>
          </w:tcPr>
          <w:p>
            <w:pPr>
              <w:jc w:val="center"/>
              <w:spacing w:after="0" w:line="227" w:lineRule="exact"/>
              <w:rPr>
                <w:sz w:val="20"/>
                <w:szCs w:val="20"/>
                <w:color w:val="auto"/>
              </w:rPr>
            </w:pPr>
            <w:r>
              <w:rPr>
                <w:rFonts w:ascii="Arial" w:cs="Arial" w:eastAsia="Arial" w:hAnsi="Arial"/>
                <w:sz w:val="21"/>
                <w:szCs w:val="21"/>
                <w:color w:val="auto"/>
              </w:rPr>
              <w:t>1</w:t>
            </w:r>
          </w:p>
        </w:tc>
        <w:tc>
          <w:tcPr>
            <w:tcW w:w="260" w:type="dxa"/>
            <w:vAlign w:val="bottom"/>
            <w:gridSpan w:val="2"/>
          </w:tcPr>
          <w:p>
            <w:pPr>
              <w:ind w:left="100"/>
              <w:spacing w:after="0" w:line="227" w:lineRule="exact"/>
              <w:rPr>
                <w:sz w:val="20"/>
                <w:szCs w:val="20"/>
                <w:color w:val="auto"/>
              </w:rPr>
            </w:pPr>
            <w:r>
              <w:rPr>
                <w:rFonts w:ascii="Arial" w:cs="Arial" w:eastAsia="Arial" w:hAnsi="Arial"/>
                <w:sz w:val="21"/>
                <w:szCs w:val="21"/>
                <w:color w:val="auto"/>
              </w:rPr>
              <w:t>$</w:t>
            </w:r>
          </w:p>
        </w:tc>
        <w:tc>
          <w:tcPr>
            <w:tcW w:w="700" w:type="dxa"/>
            <w:vAlign w:val="bottom"/>
          </w:tcPr>
          <w:p>
            <w:pPr>
              <w:jc w:val="right"/>
              <w:spacing w:after="0" w:line="227" w:lineRule="exact"/>
              <w:rPr>
                <w:sz w:val="20"/>
                <w:szCs w:val="20"/>
                <w:color w:val="auto"/>
              </w:rPr>
            </w:pPr>
            <w:r>
              <w:rPr>
                <w:rFonts w:ascii="Arial" w:cs="Arial" w:eastAsia="Arial" w:hAnsi="Arial"/>
                <w:sz w:val="21"/>
                <w:szCs w:val="21"/>
                <w:color w:val="auto"/>
              </w:rPr>
              <w:t>7</w:t>
            </w:r>
          </w:p>
        </w:tc>
        <w:tc>
          <w:tcPr>
            <w:tcW w:w="320" w:type="dxa"/>
            <w:vAlign w:val="bottom"/>
            <w:gridSpan w:val="2"/>
          </w:tcPr>
          <w:p>
            <w:pPr>
              <w:ind w:left="180"/>
              <w:spacing w:after="0" w:line="227" w:lineRule="exact"/>
              <w:rPr>
                <w:sz w:val="20"/>
                <w:szCs w:val="20"/>
                <w:color w:val="auto"/>
              </w:rPr>
            </w:pPr>
            <w:r>
              <w:rPr>
                <w:rFonts w:ascii="Arial" w:cs="Arial" w:eastAsia="Arial" w:hAnsi="Arial"/>
                <w:sz w:val="21"/>
                <w:szCs w:val="21"/>
                <w:color w:val="auto"/>
              </w:rPr>
              <w:t>$</w:t>
            </w:r>
          </w:p>
        </w:tc>
        <w:tc>
          <w:tcPr>
            <w:tcW w:w="700" w:type="dxa"/>
            <w:vAlign w:val="bottom"/>
          </w:tcPr>
          <w:p>
            <w:pPr>
              <w:jc w:val="right"/>
              <w:spacing w:after="0" w:line="227" w:lineRule="exact"/>
              <w:rPr>
                <w:sz w:val="20"/>
                <w:szCs w:val="20"/>
                <w:color w:val="auto"/>
              </w:rPr>
            </w:pPr>
            <w:r>
              <w:rPr>
                <w:rFonts w:ascii="Arial" w:cs="Arial" w:eastAsia="Arial" w:hAnsi="Arial"/>
                <w:sz w:val="21"/>
                <w:szCs w:val="21"/>
                <w:color w:val="auto"/>
              </w:rPr>
              <w:t>—</w:t>
            </w:r>
          </w:p>
        </w:tc>
        <w:tc>
          <w:tcPr>
            <w:tcW w:w="300" w:type="dxa"/>
            <w:vAlign w:val="bottom"/>
            <w:gridSpan w:val="2"/>
          </w:tcPr>
          <w:p>
            <w:pPr>
              <w:ind w:left="180"/>
              <w:spacing w:after="0" w:line="227" w:lineRule="exact"/>
              <w:rPr>
                <w:sz w:val="20"/>
                <w:szCs w:val="20"/>
                <w:color w:val="auto"/>
              </w:rPr>
            </w:pPr>
            <w:r>
              <w:rPr>
                <w:rFonts w:ascii="Arial" w:cs="Arial" w:eastAsia="Arial" w:hAnsi="Arial"/>
                <w:sz w:val="21"/>
                <w:szCs w:val="21"/>
                <w:color w:val="auto"/>
                <w:w w:val="85"/>
              </w:rPr>
              <w:t>$</w:t>
            </w:r>
          </w:p>
        </w:tc>
        <w:tc>
          <w:tcPr>
            <w:tcW w:w="920" w:type="dxa"/>
            <w:vAlign w:val="bottom"/>
            <w:gridSpan w:val="2"/>
          </w:tcPr>
          <w:p>
            <w:pPr>
              <w:jc w:val="right"/>
              <w:ind w:right="97"/>
              <w:spacing w:after="0" w:line="227" w:lineRule="exact"/>
              <w:rPr>
                <w:sz w:val="20"/>
                <w:szCs w:val="20"/>
                <w:color w:val="auto"/>
              </w:rPr>
            </w:pPr>
            <w:r>
              <w:rPr>
                <w:rFonts w:ascii="Arial" w:cs="Arial" w:eastAsia="Arial" w:hAnsi="Arial"/>
                <w:sz w:val="21"/>
                <w:szCs w:val="21"/>
                <w:color w:val="auto"/>
              </w:rPr>
              <w:t>—</w:t>
            </w:r>
          </w:p>
        </w:tc>
        <w:tc>
          <w:tcPr>
            <w:tcW w:w="100" w:type="dxa"/>
            <w:vAlign w:val="bottom"/>
          </w:tcPr>
          <w:p>
            <w:pPr>
              <w:jc w:val="right"/>
              <w:spacing w:after="0" w:line="228" w:lineRule="exact"/>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line="227" w:lineRule="exact"/>
              <w:rPr>
                <w:sz w:val="20"/>
                <w:szCs w:val="20"/>
                <w:color w:val="auto"/>
              </w:rPr>
            </w:pPr>
            <w:r>
              <w:rPr>
                <w:rFonts w:ascii="Arial" w:cs="Arial" w:eastAsia="Arial" w:hAnsi="Arial"/>
                <w:sz w:val="21"/>
                <w:szCs w:val="21"/>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E0E0E0"/>
          </w:tcPr>
          <w:p>
            <w:pPr>
              <w:ind w:left="280"/>
              <w:spacing w:after="0" w:line="237" w:lineRule="exact"/>
              <w:rPr>
                <w:sz w:val="20"/>
                <w:szCs w:val="20"/>
                <w:color w:val="auto"/>
              </w:rPr>
            </w:pPr>
            <w:r>
              <w:rPr>
                <w:rFonts w:ascii="Arial" w:cs="Arial" w:eastAsia="Arial" w:hAnsi="Arial"/>
                <w:sz w:val="21"/>
                <w:szCs w:val="21"/>
                <w:color w:val="auto"/>
              </w:rPr>
              <w:t>Commercial paper</w:t>
            </w:r>
          </w:p>
        </w:tc>
        <w:tc>
          <w:tcPr>
            <w:tcW w:w="100" w:type="dxa"/>
            <w:vAlign w:val="bottom"/>
            <w:shd w:val="clear" w:color="auto" w:fill="E0E0E0"/>
          </w:tcPr>
          <w:p>
            <w:pPr>
              <w:spacing w:after="0"/>
              <w:rPr>
                <w:sz w:val="20"/>
                <w:szCs w:val="20"/>
                <w:color w:val="auto"/>
              </w:rPr>
            </w:pPr>
          </w:p>
        </w:tc>
        <w:tc>
          <w:tcPr>
            <w:tcW w:w="900" w:type="dxa"/>
            <w:vAlign w:val="bottom"/>
            <w:shd w:val="clear" w:color="auto" w:fill="E0E0E0"/>
          </w:tcPr>
          <w:p>
            <w:pPr>
              <w:jc w:val="center"/>
              <w:spacing w:after="0" w:line="237" w:lineRule="exact"/>
              <w:rPr>
                <w:sz w:val="20"/>
                <w:szCs w:val="20"/>
                <w:color w:val="auto"/>
              </w:rPr>
            </w:pPr>
            <w:r>
              <w:rPr>
                <w:rFonts w:ascii="Arial" w:cs="Arial" w:eastAsia="Arial" w:hAnsi="Arial"/>
                <w:sz w:val="21"/>
                <w:szCs w:val="21"/>
                <w:color w:val="auto"/>
              </w:rPr>
              <w:t>2</w:t>
            </w:r>
          </w:p>
        </w:tc>
        <w:tc>
          <w:tcPr>
            <w:tcW w:w="10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0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rPr>
              <w:t>78,028</w:t>
            </w:r>
          </w:p>
        </w:tc>
        <w:tc>
          <w:tcPr>
            <w:tcW w:w="180" w:type="dxa"/>
            <w:vAlign w:val="bottom"/>
            <w:tcBorders>
              <w:right w:val="single" w:sz="8" w:color="E0E0E0"/>
            </w:tcBorders>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70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rPr>
              <w:t>—</w:t>
            </w:r>
          </w:p>
        </w:tc>
        <w:tc>
          <w:tcPr>
            <w:tcW w:w="180" w:type="dxa"/>
            <w:vAlign w:val="bottom"/>
            <w:tcBorders>
              <w:right w:val="single" w:sz="8" w:color="E0E0E0"/>
            </w:tcBorders>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920" w:type="dxa"/>
            <w:vAlign w:val="bottom"/>
            <w:tcBorders>
              <w:right w:val="single" w:sz="8" w:color="E0E0E0"/>
            </w:tcBorders>
            <w:gridSpan w:val="2"/>
            <w:shd w:val="clear" w:color="auto" w:fill="E0E0E0"/>
          </w:tcPr>
          <w:p>
            <w:pPr>
              <w:jc w:val="right"/>
              <w:ind w:right="17"/>
              <w:spacing w:after="0" w:line="237" w:lineRule="exact"/>
              <w:rPr>
                <w:sz w:val="20"/>
                <w:szCs w:val="20"/>
                <w:color w:val="auto"/>
              </w:rPr>
            </w:pPr>
            <w:r>
              <w:rPr>
                <w:rFonts w:ascii="Arial" w:cs="Arial" w:eastAsia="Arial" w:hAnsi="Arial"/>
                <w:sz w:val="21"/>
                <w:szCs w:val="21"/>
                <w:color w:val="auto"/>
              </w:rPr>
              <w:t>(26)</w:t>
            </w:r>
          </w:p>
        </w:tc>
        <w:tc>
          <w:tcPr>
            <w:tcW w:w="100" w:type="dxa"/>
            <w:vAlign w:val="bottom"/>
            <w:shd w:val="clear" w:color="auto" w:fill="E0E0E0"/>
          </w:tcPr>
          <w:p>
            <w:pPr>
              <w:spacing w:after="0"/>
              <w:rPr>
                <w:sz w:val="20"/>
                <w:szCs w:val="20"/>
                <w:color w:val="auto"/>
              </w:rPr>
            </w:pPr>
          </w:p>
        </w:tc>
        <w:tc>
          <w:tcPr>
            <w:tcW w:w="74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rPr>
              <w:t>78,002</w:t>
            </w: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4500" w:type="dxa"/>
            <w:vAlign w:val="bottom"/>
            <w:tcBorders>
              <w:bottom w:val="single" w:sz="8" w:color="E0E0E0"/>
            </w:tcBorders>
          </w:tcPr>
          <w:p>
            <w:pPr>
              <w:ind w:left="280"/>
              <w:spacing w:after="0" w:line="227" w:lineRule="exact"/>
              <w:rPr>
                <w:sz w:val="20"/>
                <w:szCs w:val="20"/>
                <w:color w:val="auto"/>
              </w:rPr>
            </w:pPr>
            <w:r>
              <w:rPr>
                <w:rFonts w:ascii="Arial" w:cs="Arial" w:eastAsia="Arial" w:hAnsi="Arial"/>
                <w:sz w:val="21"/>
                <w:szCs w:val="21"/>
                <w:color w:val="auto"/>
              </w:rPr>
              <w:t>Total cash equivalents</w:t>
            </w:r>
          </w:p>
        </w:tc>
        <w:tc>
          <w:tcPr>
            <w:tcW w:w="100" w:type="dxa"/>
            <w:vAlign w:val="bottom"/>
            <w:tcBorders>
              <w:bottom w:val="single" w:sz="8" w:color="E0E0E0"/>
            </w:tcBorders>
          </w:tcPr>
          <w:p>
            <w:pPr>
              <w:spacing w:after="0"/>
              <w:rPr>
                <w:sz w:val="23"/>
                <w:szCs w:val="23"/>
                <w:color w:val="auto"/>
              </w:rPr>
            </w:pPr>
          </w:p>
        </w:tc>
        <w:tc>
          <w:tcPr>
            <w:tcW w:w="900" w:type="dxa"/>
            <w:vAlign w:val="bottom"/>
            <w:tcBorders>
              <w:bottom w:val="single" w:sz="8" w:color="E0E0E0"/>
            </w:tcBorders>
          </w:tcPr>
          <w:p>
            <w:pPr>
              <w:spacing w:after="0"/>
              <w:rPr>
                <w:sz w:val="23"/>
                <w:szCs w:val="23"/>
                <w:color w:val="auto"/>
              </w:rPr>
            </w:pPr>
          </w:p>
        </w:tc>
        <w:tc>
          <w:tcPr>
            <w:tcW w:w="100" w:type="dxa"/>
            <w:vAlign w:val="bottom"/>
            <w:tcBorders>
              <w:bottom w:val="single" w:sz="8" w:color="E0E0E0"/>
            </w:tcBorders>
          </w:tcPr>
          <w:p>
            <w:pPr>
              <w:spacing w:after="0"/>
              <w:rPr>
                <w:sz w:val="23"/>
                <w:szCs w:val="23"/>
                <w:color w:val="auto"/>
              </w:rPr>
            </w:pPr>
          </w:p>
        </w:tc>
        <w:tc>
          <w:tcPr>
            <w:tcW w:w="860" w:type="dxa"/>
            <w:vAlign w:val="bottom"/>
            <w:tcBorders>
              <w:top w:val="single" w:sz="8" w:color="auto"/>
              <w:bottom w:val="single" w:sz="8" w:color="auto"/>
            </w:tcBorders>
            <w:gridSpan w:val="2"/>
          </w:tcPr>
          <w:p>
            <w:pPr>
              <w:jc w:val="right"/>
              <w:spacing w:after="0" w:line="227" w:lineRule="exact"/>
              <w:rPr>
                <w:sz w:val="20"/>
                <w:szCs w:val="20"/>
                <w:color w:val="auto"/>
              </w:rPr>
            </w:pPr>
            <w:r>
              <w:rPr>
                <w:rFonts w:ascii="Arial" w:cs="Arial" w:eastAsia="Arial" w:hAnsi="Arial"/>
                <w:sz w:val="21"/>
                <w:szCs w:val="21"/>
                <w:color w:val="auto"/>
              </w:rPr>
              <w:t>$ 78,035</w:t>
            </w:r>
          </w:p>
        </w:tc>
        <w:tc>
          <w:tcPr>
            <w:tcW w:w="180" w:type="dxa"/>
            <w:vAlign w:val="bottom"/>
            <w:tcBorders>
              <w:bottom w:val="single" w:sz="8" w:color="E0E0E0"/>
            </w:tcBorders>
          </w:tcPr>
          <w:p>
            <w:pPr>
              <w:spacing w:after="0"/>
              <w:rPr>
                <w:sz w:val="23"/>
                <w:szCs w:val="23"/>
                <w:color w:val="auto"/>
              </w:rPr>
            </w:pPr>
          </w:p>
        </w:tc>
        <w:tc>
          <w:tcPr>
            <w:tcW w:w="140" w:type="dxa"/>
            <w:vAlign w:val="bottom"/>
            <w:tcBorders>
              <w:top w:val="single" w:sz="8" w:color="auto"/>
              <w:bottom w:val="single" w:sz="8" w:color="auto"/>
            </w:tcBorders>
          </w:tcPr>
          <w:p>
            <w:pPr>
              <w:spacing w:after="0" w:line="227" w:lineRule="exact"/>
              <w:rPr>
                <w:sz w:val="20"/>
                <w:szCs w:val="20"/>
                <w:color w:val="auto"/>
              </w:rPr>
            </w:pPr>
            <w:r>
              <w:rPr>
                <w:rFonts w:ascii="Arial" w:cs="Arial" w:eastAsia="Arial" w:hAnsi="Arial"/>
                <w:sz w:val="21"/>
                <w:szCs w:val="21"/>
                <w:color w:val="auto"/>
              </w:rPr>
              <w:t>$</w:t>
            </w:r>
          </w:p>
        </w:tc>
        <w:tc>
          <w:tcPr>
            <w:tcW w:w="70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w:t>
            </w:r>
          </w:p>
        </w:tc>
        <w:tc>
          <w:tcPr>
            <w:tcW w:w="180" w:type="dxa"/>
            <w:vAlign w:val="bottom"/>
            <w:tcBorders>
              <w:bottom w:val="single" w:sz="8" w:color="E0E0E0"/>
            </w:tcBorders>
          </w:tcPr>
          <w:p>
            <w:pPr>
              <w:spacing w:after="0"/>
              <w:rPr>
                <w:sz w:val="23"/>
                <w:szCs w:val="23"/>
                <w:color w:val="auto"/>
              </w:rPr>
            </w:pPr>
          </w:p>
        </w:tc>
        <w:tc>
          <w:tcPr>
            <w:tcW w:w="120" w:type="dxa"/>
            <w:vAlign w:val="bottom"/>
            <w:tcBorders>
              <w:top w:val="single" w:sz="8" w:color="auto"/>
              <w:bottom w:val="single" w:sz="8" w:color="auto"/>
            </w:tcBorders>
          </w:tcPr>
          <w:p>
            <w:pPr>
              <w:spacing w:after="0" w:line="227" w:lineRule="exact"/>
              <w:rPr>
                <w:sz w:val="20"/>
                <w:szCs w:val="20"/>
                <w:color w:val="auto"/>
              </w:rPr>
            </w:pPr>
            <w:r>
              <w:rPr>
                <w:rFonts w:ascii="Arial" w:cs="Arial" w:eastAsia="Arial" w:hAnsi="Arial"/>
                <w:sz w:val="21"/>
                <w:szCs w:val="21"/>
                <w:color w:val="auto"/>
                <w:w w:val="85"/>
              </w:rPr>
              <w:t>$</w:t>
            </w:r>
          </w:p>
        </w:tc>
        <w:tc>
          <w:tcPr>
            <w:tcW w:w="72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(26</w:t>
            </w:r>
          </w:p>
        </w:tc>
        <w:tc>
          <w:tcPr>
            <w:tcW w:w="200" w:type="dxa"/>
            <w:vAlign w:val="bottom"/>
            <w:tcBorders>
              <w:bottom w:val="single" w:sz="8" w:color="E0E0E0"/>
            </w:tcBorders>
          </w:tcPr>
          <w:p>
            <w:pPr>
              <w:jc w:val="right"/>
              <w:ind w:right="17"/>
              <w:spacing w:after="0" w:line="227" w:lineRule="exact"/>
              <w:rPr>
                <w:sz w:val="20"/>
                <w:szCs w:val="20"/>
                <w:color w:val="auto"/>
              </w:rPr>
            </w:pPr>
            <w:r>
              <w:rPr>
                <w:rFonts w:ascii="Arial" w:cs="Arial" w:eastAsia="Arial" w:hAnsi="Arial"/>
                <w:sz w:val="21"/>
                <w:szCs w:val="21"/>
                <w:color w:val="auto"/>
                <w:w w:val="85"/>
              </w:rPr>
              <w:t>)</w:t>
            </w:r>
          </w:p>
        </w:tc>
        <w:tc>
          <w:tcPr>
            <w:tcW w:w="100" w:type="dxa"/>
            <w:vAlign w:val="bottom"/>
            <w:tcBorders>
              <w:top w:val="single" w:sz="8" w:color="auto"/>
              <w:bottom w:val="single" w:sz="8" w:color="auto"/>
            </w:tcBorders>
          </w:tcPr>
          <w:p>
            <w:pPr>
              <w:jc w:val="right"/>
              <w:spacing w:after="0" w:line="228" w:lineRule="exact"/>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78,009</w:t>
            </w:r>
          </w:p>
        </w:tc>
        <w:tc>
          <w:tcPr>
            <w:tcW w:w="100" w:type="dxa"/>
            <w:vAlign w:val="bottom"/>
            <w:tcBorders>
              <w:bottom w:val="single" w:sz="8" w:color="E0E0E0"/>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E0E0E0"/>
          </w:tcPr>
          <w:p>
            <w:pPr>
              <w:spacing w:after="0" w:line="223" w:lineRule="exact"/>
              <w:rPr>
                <w:sz w:val="20"/>
                <w:szCs w:val="20"/>
                <w:color w:val="auto"/>
              </w:rPr>
            </w:pPr>
            <w:r>
              <w:rPr>
                <w:rFonts w:ascii="Arial" w:cs="Arial" w:eastAsia="Arial" w:hAnsi="Arial"/>
                <w:sz w:val="21"/>
                <w:szCs w:val="21"/>
                <w:color w:val="auto"/>
              </w:rPr>
              <w:t>Short-term investments:</w:t>
            </w: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100" w:type="dxa"/>
            <w:vAlign w:val="bottom"/>
            <w:tcBorders>
              <w:right w:val="single" w:sz="8" w:color="E0E0E0"/>
            </w:tcBorders>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00" w:type="dxa"/>
            <w:vAlign w:val="bottom"/>
            <w:shd w:val="clear" w:color="auto" w:fill="E0E0E0"/>
          </w:tcPr>
          <w:p>
            <w:pPr>
              <w:spacing w:after="0"/>
              <w:rPr>
                <w:sz w:val="19"/>
                <w:szCs w:val="19"/>
                <w:color w:val="auto"/>
              </w:rPr>
            </w:pPr>
          </w:p>
        </w:tc>
        <w:tc>
          <w:tcPr>
            <w:tcW w:w="180" w:type="dxa"/>
            <w:vAlign w:val="bottom"/>
            <w:tcBorders>
              <w:right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700" w:type="dxa"/>
            <w:vAlign w:val="bottom"/>
            <w:shd w:val="clear" w:color="auto" w:fill="E0E0E0"/>
          </w:tcPr>
          <w:p>
            <w:pPr>
              <w:spacing w:after="0"/>
              <w:rPr>
                <w:sz w:val="19"/>
                <w:szCs w:val="19"/>
                <w:color w:val="auto"/>
              </w:rPr>
            </w:pPr>
          </w:p>
        </w:tc>
        <w:tc>
          <w:tcPr>
            <w:tcW w:w="180" w:type="dxa"/>
            <w:vAlign w:val="bottom"/>
            <w:tcBorders>
              <w:right w:val="single" w:sz="8" w:color="E0E0E0"/>
            </w:tcBorders>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20" w:type="dxa"/>
            <w:vAlign w:val="bottom"/>
            <w:shd w:val="clear" w:color="auto" w:fill="E0E0E0"/>
          </w:tcPr>
          <w:p>
            <w:pPr>
              <w:spacing w:after="0"/>
              <w:rPr>
                <w:sz w:val="19"/>
                <w:szCs w:val="19"/>
                <w:color w:val="auto"/>
              </w:rPr>
            </w:pPr>
          </w:p>
        </w:tc>
        <w:tc>
          <w:tcPr>
            <w:tcW w:w="20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Pr>
          <w:p>
            <w:pPr>
              <w:ind w:left="280"/>
              <w:spacing w:after="0" w:line="227" w:lineRule="exact"/>
              <w:rPr>
                <w:sz w:val="20"/>
                <w:szCs w:val="20"/>
                <w:color w:val="auto"/>
              </w:rPr>
            </w:pPr>
            <w:r>
              <w:rPr>
                <w:rFonts w:ascii="Arial" w:cs="Arial" w:eastAsia="Arial" w:hAnsi="Arial"/>
                <w:sz w:val="21"/>
                <w:szCs w:val="21"/>
                <w:color w:val="auto"/>
              </w:rPr>
              <w:t>Commercial paper</w:t>
            </w:r>
          </w:p>
        </w:tc>
        <w:tc>
          <w:tcPr>
            <w:tcW w:w="100" w:type="dxa"/>
            <w:vAlign w:val="bottom"/>
          </w:tcPr>
          <w:p>
            <w:pPr>
              <w:spacing w:after="0"/>
              <w:rPr>
                <w:sz w:val="19"/>
                <w:szCs w:val="19"/>
                <w:color w:val="auto"/>
              </w:rPr>
            </w:pPr>
          </w:p>
        </w:tc>
        <w:tc>
          <w:tcPr>
            <w:tcW w:w="900" w:type="dxa"/>
            <w:vAlign w:val="bottom"/>
          </w:tcPr>
          <w:p>
            <w:pPr>
              <w:jc w:val="center"/>
              <w:spacing w:after="0" w:line="227" w:lineRule="exact"/>
              <w:rPr>
                <w:sz w:val="20"/>
                <w:szCs w:val="20"/>
                <w:color w:val="auto"/>
              </w:rPr>
            </w:pPr>
            <w:r>
              <w:rPr>
                <w:rFonts w:ascii="Arial" w:cs="Arial" w:eastAsia="Arial" w:hAnsi="Arial"/>
                <w:sz w:val="21"/>
                <w:szCs w:val="21"/>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line="227" w:lineRule="exact"/>
              <w:rPr>
                <w:sz w:val="20"/>
                <w:szCs w:val="20"/>
                <w:color w:val="auto"/>
              </w:rPr>
            </w:pPr>
            <w:r>
              <w:rPr>
                <w:rFonts w:ascii="Arial" w:cs="Arial" w:eastAsia="Arial" w:hAnsi="Arial"/>
                <w:sz w:val="21"/>
                <w:szCs w:val="21"/>
                <w:color w:val="auto"/>
              </w:rPr>
              <w:t>36,933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line="227" w:lineRule="exact"/>
              <w:rPr>
                <w:sz w:val="20"/>
                <w:szCs w:val="20"/>
                <w:color w:val="auto"/>
              </w:rPr>
            </w:pPr>
            <w:r>
              <w:rPr>
                <w:rFonts w:ascii="Arial" w:cs="Arial" w:eastAsia="Arial" w:hAnsi="Arial"/>
                <w:sz w:val="21"/>
                <w:szCs w:val="2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7"/>
              <w:spacing w:after="0" w:line="227" w:lineRule="exact"/>
              <w:rPr>
                <w:sz w:val="20"/>
                <w:szCs w:val="20"/>
                <w:color w:val="auto"/>
              </w:rPr>
            </w:pPr>
            <w:r>
              <w:rPr>
                <w:rFonts w:ascii="Arial" w:cs="Arial" w:eastAsia="Arial" w:hAnsi="Arial"/>
                <w:sz w:val="21"/>
                <w:szCs w:val="21"/>
                <w:color w:val="auto"/>
              </w:rPr>
              <w:t>(168)</w:t>
            </w:r>
          </w:p>
        </w:tc>
        <w:tc>
          <w:tcPr>
            <w:tcW w:w="100" w:type="dxa"/>
            <w:vAlign w:val="bottom"/>
          </w:tcPr>
          <w:p>
            <w:pPr>
              <w:spacing w:after="0"/>
              <w:rPr>
                <w:sz w:val="19"/>
                <w:szCs w:val="19"/>
                <w:color w:val="auto"/>
              </w:rPr>
            </w:pPr>
          </w:p>
        </w:tc>
        <w:tc>
          <w:tcPr>
            <w:tcW w:w="740" w:type="dxa"/>
            <w:vAlign w:val="bottom"/>
          </w:tcPr>
          <w:p>
            <w:pPr>
              <w:jc w:val="right"/>
              <w:spacing w:after="0" w:line="227" w:lineRule="exact"/>
              <w:rPr>
                <w:sz w:val="20"/>
                <w:szCs w:val="20"/>
                <w:color w:val="auto"/>
              </w:rPr>
            </w:pPr>
            <w:r>
              <w:rPr>
                <w:rFonts w:ascii="Arial" w:cs="Arial" w:eastAsia="Arial" w:hAnsi="Arial"/>
                <w:sz w:val="21"/>
                <w:szCs w:val="21"/>
                <w:color w:val="auto"/>
              </w:rPr>
              <w:t>36,765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E0E0E0"/>
          </w:tcPr>
          <w:p>
            <w:pPr>
              <w:ind w:left="280"/>
              <w:spacing w:after="0" w:line="237" w:lineRule="exact"/>
              <w:rPr>
                <w:sz w:val="20"/>
                <w:szCs w:val="20"/>
                <w:color w:val="auto"/>
              </w:rPr>
            </w:pPr>
            <w:r>
              <w:rPr>
                <w:rFonts w:ascii="Arial" w:cs="Arial" w:eastAsia="Arial" w:hAnsi="Arial"/>
                <w:sz w:val="21"/>
                <w:szCs w:val="21"/>
                <w:color w:val="auto"/>
              </w:rPr>
              <w:t>U.S. government debt and agency</w:t>
            </w:r>
          </w:p>
        </w:tc>
        <w:tc>
          <w:tcPr>
            <w:tcW w:w="100" w:type="dxa"/>
            <w:vAlign w:val="bottom"/>
            <w:shd w:val="clear" w:color="auto" w:fill="E0E0E0"/>
          </w:tcPr>
          <w:p>
            <w:pPr>
              <w:spacing w:after="0"/>
              <w:rPr>
                <w:sz w:val="20"/>
                <w:szCs w:val="20"/>
                <w:color w:val="auto"/>
              </w:rPr>
            </w:pPr>
          </w:p>
        </w:tc>
        <w:tc>
          <w:tcPr>
            <w:tcW w:w="900" w:type="dxa"/>
            <w:vAlign w:val="bottom"/>
            <w:shd w:val="clear" w:color="auto" w:fill="E0E0E0"/>
          </w:tcPr>
          <w:p>
            <w:pPr>
              <w:spacing w:after="0"/>
              <w:rPr>
                <w:sz w:val="20"/>
                <w:szCs w:val="20"/>
                <w:color w:val="auto"/>
              </w:rPr>
            </w:pPr>
          </w:p>
        </w:tc>
        <w:tc>
          <w:tcPr>
            <w:tcW w:w="10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180" w:type="dxa"/>
            <w:vAlign w:val="bottom"/>
            <w:tcBorders>
              <w:right w:val="single" w:sz="8" w:color="E0E0E0"/>
            </w:tcBorders>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700" w:type="dxa"/>
            <w:vAlign w:val="bottom"/>
            <w:vMerge w:val="restart"/>
            <w:shd w:val="clear" w:color="auto" w:fill="E0E0E0"/>
          </w:tcPr>
          <w:p>
            <w:pPr>
              <w:jc w:val="right"/>
              <w:spacing w:after="0"/>
              <w:rPr>
                <w:sz w:val="20"/>
                <w:szCs w:val="20"/>
                <w:color w:val="auto"/>
              </w:rPr>
            </w:pPr>
            <w:r>
              <w:rPr>
                <w:rFonts w:ascii="Arial" w:cs="Arial" w:eastAsia="Arial" w:hAnsi="Arial"/>
                <w:sz w:val="21"/>
                <w:szCs w:val="21"/>
                <w:color w:val="auto"/>
              </w:rPr>
              <w:t>—</w:t>
            </w:r>
          </w:p>
        </w:tc>
        <w:tc>
          <w:tcPr>
            <w:tcW w:w="180" w:type="dxa"/>
            <w:vAlign w:val="bottom"/>
            <w:tcBorders>
              <w:right w:val="single" w:sz="8" w:color="E0E0E0"/>
            </w:tcBorders>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720" w:type="dxa"/>
            <w:vAlign w:val="bottom"/>
            <w:vMerge w:val="restart"/>
            <w:shd w:val="clear" w:color="auto" w:fill="E0E0E0"/>
          </w:tcPr>
          <w:p>
            <w:pPr>
              <w:jc w:val="right"/>
              <w:spacing w:after="0"/>
              <w:rPr>
                <w:sz w:val="20"/>
                <w:szCs w:val="20"/>
                <w:color w:val="auto"/>
              </w:rPr>
            </w:pPr>
            <w:r>
              <w:rPr>
                <w:rFonts w:ascii="Arial" w:cs="Arial" w:eastAsia="Arial" w:hAnsi="Arial"/>
                <w:sz w:val="21"/>
                <w:szCs w:val="21"/>
                <w:color w:val="auto"/>
              </w:rPr>
              <w:t>(784</w:t>
            </w:r>
          </w:p>
        </w:tc>
        <w:tc>
          <w:tcPr>
            <w:tcW w:w="200" w:type="dxa"/>
            <w:vAlign w:val="bottom"/>
            <w:tcBorders>
              <w:right w:val="single" w:sz="8" w:color="E0E0E0"/>
            </w:tcBorders>
            <w:vMerge w:val="restart"/>
            <w:shd w:val="clear" w:color="auto" w:fill="E0E0E0"/>
          </w:tcPr>
          <w:p>
            <w:pPr>
              <w:jc w:val="right"/>
              <w:ind w:right="17"/>
              <w:spacing w:after="0"/>
              <w:rPr>
                <w:sz w:val="20"/>
                <w:szCs w:val="20"/>
                <w:color w:val="auto"/>
              </w:rPr>
            </w:pPr>
            <w:r>
              <w:rPr>
                <w:rFonts w:ascii="Arial" w:cs="Arial" w:eastAsia="Arial" w:hAnsi="Arial"/>
                <w:sz w:val="21"/>
                <w:szCs w:val="21"/>
                <w:color w:val="auto"/>
                <w:w w:val="85"/>
              </w:rPr>
              <w:t>)</w:t>
            </w:r>
          </w:p>
        </w:tc>
        <w:tc>
          <w:tcPr>
            <w:tcW w:w="10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00" w:type="dxa"/>
            <w:vAlign w:val="bottom"/>
            <w:shd w:val="clear" w:color="auto" w:fill="E0E0E0"/>
          </w:tcPr>
          <w:p>
            <w:pPr>
              <w:ind w:left="460"/>
              <w:spacing w:after="0" w:line="236" w:lineRule="exact"/>
              <w:rPr>
                <w:sz w:val="20"/>
                <w:szCs w:val="20"/>
                <w:color w:val="auto"/>
              </w:rPr>
            </w:pPr>
            <w:r>
              <w:rPr>
                <w:rFonts w:ascii="Arial" w:cs="Arial" w:eastAsia="Arial" w:hAnsi="Arial"/>
                <w:sz w:val="21"/>
                <w:szCs w:val="21"/>
                <w:color w:val="auto"/>
              </w:rPr>
              <w:t>securities</w:t>
            </w:r>
          </w:p>
        </w:tc>
        <w:tc>
          <w:tcPr>
            <w:tcW w:w="100" w:type="dxa"/>
            <w:vAlign w:val="bottom"/>
            <w:shd w:val="clear" w:color="auto" w:fill="E0E0E0"/>
          </w:tcPr>
          <w:p>
            <w:pPr>
              <w:spacing w:after="0"/>
              <w:rPr>
                <w:sz w:val="20"/>
                <w:szCs w:val="20"/>
                <w:color w:val="auto"/>
              </w:rPr>
            </w:pPr>
          </w:p>
        </w:tc>
        <w:tc>
          <w:tcPr>
            <w:tcW w:w="900" w:type="dxa"/>
            <w:vAlign w:val="bottom"/>
            <w:shd w:val="clear" w:color="auto" w:fill="E0E0E0"/>
          </w:tcPr>
          <w:p>
            <w:pPr>
              <w:jc w:val="center"/>
              <w:spacing w:after="0" w:line="236" w:lineRule="exact"/>
              <w:rPr>
                <w:sz w:val="20"/>
                <w:szCs w:val="20"/>
                <w:color w:val="auto"/>
              </w:rPr>
            </w:pPr>
            <w:r>
              <w:rPr>
                <w:rFonts w:ascii="Arial" w:cs="Arial" w:eastAsia="Arial" w:hAnsi="Arial"/>
                <w:sz w:val="21"/>
                <w:szCs w:val="21"/>
                <w:color w:val="auto"/>
              </w:rPr>
              <w:t>2</w:t>
            </w:r>
          </w:p>
        </w:tc>
        <w:tc>
          <w:tcPr>
            <w:tcW w:w="10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00" w:type="dxa"/>
            <w:vAlign w:val="bottom"/>
            <w:shd w:val="clear" w:color="auto" w:fill="E0E0E0"/>
          </w:tcPr>
          <w:p>
            <w:pPr>
              <w:jc w:val="right"/>
              <w:spacing w:after="0" w:line="236" w:lineRule="exact"/>
              <w:rPr>
                <w:sz w:val="20"/>
                <w:szCs w:val="20"/>
                <w:color w:val="auto"/>
              </w:rPr>
            </w:pPr>
            <w:r>
              <w:rPr>
                <w:rFonts w:ascii="Arial" w:cs="Arial" w:eastAsia="Arial" w:hAnsi="Arial"/>
                <w:sz w:val="21"/>
                <w:szCs w:val="21"/>
                <w:color w:val="auto"/>
              </w:rPr>
              <w:t>65,157</w:t>
            </w:r>
          </w:p>
        </w:tc>
        <w:tc>
          <w:tcPr>
            <w:tcW w:w="180" w:type="dxa"/>
            <w:vAlign w:val="bottom"/>
            <w:tcBorders>
              <w:right w:val="single" w:sz="8" w:color="E0E0E0"/>
            </w:tcBorders>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700" w:type="dxa"/>
            <w:vAlign w:val="bottom"/>
            <w:vMerge w:val="continue"/>
            <w:shd w:val="clear" w:color="auto" w:fill="E0E0E0"/>
          </w:tcPr>
          <w:p>
            <w:pPr>
              <w:spacing w:after="0"/>
              <w:rPr>
                <w:sz w:val="20"/>
                <w:szCs w:val="20"/>
                <w:color w:val="auto"/>
              </w:rPr>
            </w:pPr>
          </w:p>
        </w:tc>
        <w:tc>
          <w:tcPr>
            <w:tcW w:w="180" w:type="dxa"/>
            <w:vAlign w:val="bottom"/>
            <w:tcBorders>
              <w:right w:val="single" w:sz="8" w:color="E0E0E0"/>
            </w:tcBorders>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720" w:type="dxa"/>
            <w:vAlign w:val="bottom"/>
            <w:vMerge w:val="continue"/>
            <w:shd w:val="clear" w:color="auto" w:fill="E0E0E0"/>
          </w:tcPr>
          <w:p>
            <w:pPr>
              <w:spacing w:after="0"/>
              <w:rPr>
                <w:sz w:val="20"/>
                <w:szCs w:val="20"/>
                <w:color w:val="auto"/>
              </w:rPr>
            </w:pPr>
          </w:p>
        </w:tc>
        <w:tc>
          <w:tcPr>
            <w:tcW w:w="200" w:type="dxa"/>
            <w:vAlign w:val="bottom"/>
            <w:tcBorders>
              <w:right w:val="single" w:sz="8" w:color="E0E0E0"/>
            </w:tcBorders>
            <w:vMerge w:val="continue"/>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740" w:type="dxa"/>
            <w:vAlign w:val="bottom"/>
            <w:shd w:val="clear" w:color="auto" w:fill="E0E0E0"/>
          </w:tcPr>
          <w:p>
            <w:pPr>
              <w:jc w:val="right"/>
              <w:spacing w:after="0" w:line="236" w:lineRule="exact"/>
              <w:rPr>
                <w:sz w:val="20"/>
                <w:szCs w:val="20"/>
                <w:color w:val="auto"/>
              </w:rPr>
            </w:pPr>
            <w:r>
              <w:rPr>
                <w:rFonts w:ascii="Arial" w:cs="Arial" w:eastAsia="Arial" w:hAnsi="Arial"/>
                <w:sz w:val="21"/>
                <w:szCs w:val="21"/>
                <w:color w:val="auto"/>
              </w:rPr>
              <w:t>64,373</w:t>
            </w: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80"/>
              <w:spacing w:after="0" w:line="237" w:lineRule="exact"/>
              <w:rPr>
                <w:sz w:val="20"/>
                <w:szCs w:val="20"/>
                <w:color w:val="auto"/>
              </w:rPr>
            </w:pPr>
            <w:r>
              <w:rPr>
                <w:rFonts w:ascii="Arial" w:cs="Arial" w:eastAsia="Arial" w:hAnsi="Arial"/>
                <w:sz w:val="21"/>
                <w:szCs w:val="21"/>
                <w:color w:val="auto"/>
              </w:rPr>
              <w:t>Corporate bonds</w:t>
            </w:r>
          </w:p>
        </w:tc>
        <w:tc>
          <w:tcPr>
            <w:tcW w:w="100" w:type="dxa"/>
            <w:vAlign w:val="bottom"/>
          </w:tcPr>
          <w:p>
            <w:pPr>
              <w:spacing w:after="0"/>
              <w:rPr>
                <w:sz w:val="20"/>
                <w:szCs w:val="20"/>
                <w:color w:val="auto"/>
              </w:rPr>
            </w:pPr>
          </w:p>
        </w:tc>
        <w:tc>
          <w:tcPr>
            <w:tcW w:w="900" w:type="dxa"/>
            <w:vAlign w:val="bottom"/>
          </w:tcPr>
          <w:p>
            <w:pPr>
              <w:jc w:val="center"/>
              <w:spacing w:after="0" w:line="237" w:lineRule="exact"/>
              <w:rPr>
                <w:sz w:val="20"/>
                <w:szCs w:val="20"/>
                <w:color w:val="auto"/>
              </w:rPr>
            </w:pPr>
            <w:r>
              <w:rPr>
                <w:rFonts w:ascii="Arial" w:cs="Arial" w:eastAsia="Arial" w:hAnsi="Arial"/>
                <w:sz w:val="21"/>
                <w:szCs w:val="21"/>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line="237" w:lineRule="exact"/>
              <w:rPr>
                <w:sz w:val="20"/>
                <w:szCs w:val="20"/>
                <w:color w:val="auto"/>
              </w:rPr>
            </w:pPr>
            <w:r>
              <w:rPr>
                <w:rFonts w:ascii="Arial" w:cs="Arial" w:eastAsia="Arial" w:hAnsi="Arial"/>
                <w:sz w:val="21"/>
                <w:szCs w:val="21"/>
                <w:color w:val="auto"/>
              </w:rPr>
              <w:t>3,302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line="237" w:lineRule="exact"/>
              <w:rPr>
                <w:sz w:val="20"/>
                <w:szCs w:val="20"/>
                <w:color w:val="auto"/>
              </w:rPr>
            </w:pPr>
            <w:r>
              <w:rPr>
                <w:rFonts w:ascii="Arial" w:cs="Arial" w:eastAsia="Arial" w:hAnsi="Arial"/>
                <w:sz w:val="21"/>
                <w:szCs w:val="21"/>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7"/>
              <w:spacing w:after="0" w:line="237" w:lineRule="exact"/>
              <w:rPr>
                <w:sz w:val="20"/>
                <w:szCs w:val="20"/>
                <w:color w:val="auto"/>
              </w:rPr>
            </w:pPr>
            <w:r>
              <w:rPr>
                <w:rFonts w:ascii="Arial" w:cs="Arial" w:eastAsia="Arial" w:hAnsi="Arial"/>
                <w:sz w:val="21"/>
                <w:szCs w:val="21"/>
                <w:color w:val="auto"/>
              </w:rPr>
              <w:t>(62)</w:t>
            </w:r>
          </w:p>
        </w:tc>
        <w:tc>
          <w:tcPr>
            <w:tcW w:w="100" w:type="dxa"/>
            <w:vAlign w:val="bottom"/>
          </w:tcPr>
          <w:p>
            <w:pPr>
              <w:spacing w:after="0"/>
              <w:rPr>
                <w:sz w:val="20"/>
                <w:szCs w:val="20"/>
                <w:color w:val="auto"/>
              </w:rPr>
            </w:pPr>
          </w:p>
        </w:tc>
        <w:tc>
          <w:tcPr>
            <w:tcW w:w="740" w:type="dxa"/>
            <w:vAlign w:val="bottom"/>
          </w:tcPr>
          <w:p>
            <w:pPr>
              <w:jc w:val="right"/>
              <w:spacing w:after="0" w:line="237" w:lineRule="exact"/>
              <w:rPr>
                <w:sz w:val="20"/>
                <w:szCs w:val="20"/>
                <w:color w:val="auto"/>
              </w:rPr>
            </w:pPr>
            <w:r>
              <w:rPr>
                <w:rFonts w:ascii="Arial" w:cs="Arial" w:eastAsia="Arial" w:hAnsi="Arial"/>
                <w:sz w:val="21"/>
                <w:szCs w:val="21"/>
                <w:color w:val="auto"/>
              </w:rPr>
              <w:t>3,240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E0E0E0"/>
          </w:tcPr>
          <w:p>
            <w:pPr>
              <w:spacing w:after="0"/>
              <w:rPr>
                <w:sz w:val="20"/>
                <w:szCs w:val="20"/>
                <w:color w:val="auto"/>
              </w:rPr>
            </w:pPr>
            <w:r>
              <w:rPr>
                <w:rFonts w:ascii="Arial" w:cs="Arial" w:eastAsia="Arial" w:hAnsi="Arial"/>
                <w:sz w:val="21"/>
                <w:szCs w:val="21"/>
                <w:color w:val="auto"/>
              </w:rPr>
              <w:t>Total short-term investments</w:t>
            </w:r>
          </w:p>
        </w:tc>
        <w:tc>
          <w:tcPr>
            <w:tcW w:w="100" w:type="dxa"/>
            <w:vAlign w:val="bottom"/>
            <w:shd w:val="clear" w:color="auto" w:fill="E0E0E0"/>
          </w:tcPr>
          <w:p>
            <w:pPr>
              <w:spacing w:after="0" w:line="20" w:lineRule="exact"/>
              <w:rPr>
                <w:sz w:val="1"/>
                <w:szCs w:val="1"/>
                <w:color w:val="auto"/>
              </w:rPr>
            </w:pPr>
          </w:p>
        </w:tc>
        <w:tc>
          <w:tcPr>
            <w:tcW w:w="900" w:type="dxa"/>
            <w:vAlign w:val="bottom"/>
            <w:shd w:val="clear" w:color="auto" w:fill="E0E0E0"/>
          </w:tcPr>
          <w:p>
            <w:pPr>
              <w:spacing w:after="0" w:line="20" w:lineRule="exact"/>
              <w:rPr>
                <w:sz w:val="1"/>
                <w:szCs w:val="1"/>
                <w:color w:val="auto"/>
              </w:rPr>
            </w:pP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500" w:type="dxa"/>
            <w:vAlign w:val="bottom"/>
            <w:vMerge w:val="continue"/>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960" w:type="dxa"/>
            <w:vAlign w:val="bottom"/>
            <w:gridSpan w:val="3"/>
            <w:shd w:val="clear" w:color="auto" w:fill="E0E0E0"/>
          </w:tcPr>
          <w:p>
            <w:pPr>
              <w:jc w:val="right"/>
              <w:spacing w:after="0" w:line="227" w:lineRule="exact"/>
              <w:rPr>
                <w:sz w:val="20"/>
                <w:szCs w:val="20"/>
                <w:color w:val="auto"/>
              </w:rPr>
            </w:pPr>
            <w:r>
              <w:rPr>
                <w:rFonts w:ascii="Arial" w:cs="Arial" w:eastAsia="Arial" w:hAnsi="Arial"/>
                <w:sz w:val="21"/>
                <w:szCs w:val="21"/>
                <w:u w:val="single" w:color="auto"/>
                <w:color w:val="auto"/>
              </w:rPr>
              <w:t>$</w:t>
            </w:r>
            <w:r>
              <w:rPr>
                <w:rFonts w:ascii="Arial" w:cs="Arial" w:eastAsia="Arial" w:hAnsi="Arial"/>
                <w:sz w:val="21"/>
                <w:szCs w:val="21"/>
                <w:color w:val="auto"/>
              </w:rPr>
              <w:t>105,392</w:t>
            </w:r>
          </w:p>
        </w:tc>
        <w:tc>
          <w:tcPr>
            <w:tcW w:w="320" w:type="dxa"/>
            <w:vAlign w:val="bottom"/>
            <w:gridSpan w:val="2"/>
            <w:shd w:val="clear" w:color="auto" w:fill="E0E0E0"/>
          </w:tcPr>
          <w:p>
            <w:pPr>
              <w:ind w:left="180"/>
              <w:spacing w:after="0" w:line="227" w:lineRule="exact"/>
              <w:rPr>
                <w:sz w:val="20"/>
                <w:szCs w:val="20"/>
                <w:color w:val="auto"/>
              </w:rPr>
            </w:pPr>
            <w:r>
              <w:rPr>
                <w:rFonts w:ascii="Arial" w:cs="Arial" w:eastAsia="Arial" w:hAnsi="Arial"/>
                <w:sz w:val="21"/>
                <w:szCs w:val="21"/>
                <w:color w:val="auto"/>
              </w:rPr>
              <w:t>$</w:t>
            </w:r>
          </w:p>
        </w:tc>
        <w:tc>
          <w:tcPr>
            <w:tcW w:w="70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rPr>
              <w:t>—</w:t>
            </w:r>
          </w:p>
        </w:tc>
        <w:tc>
          <w:tcPr>
            <w:tcW w:w="300" w:type="dxa"/>
            <w:vAlign w:val="bottom"/>
            <w:gridSpan w:val="2"/>
            <w:shd w:val="clear" w:color="auto" w:fill="E0E0E0"/>
          </w:tcPr>
          <w:p>
            <w:pPr>
              <w:ind w:left="180"/>
              <w:spacing w:after="0" w:line="227" w:lineRule="exact"/>
              <w:rPr>
                <w:sz w:val="20"/>
                <w:szCs w:val="20"/>
                <w:color w:val="auto"/>
              </w:rPr>
            </w:pPr>
            <w:r>
              <w:rPr>
                <w:rFonts w:ascii="Arial" w:cs="Arial" w:eastAsia="Arial" w:hAnsi="Arial"/>
                <w:sz w:val="21"/>
                <w:szCs w:val="21"/>
                <w:color w:val="auto"/>
                <w:w w:val="85"/>
              </w:rPr>
              <w:t>$</w:t>
            </w:r>
          </w:p>
        </w:tc>
        <w:tc>
          <w:tcPr>
            <w:tcW w:w="1020" w:type="dxa"/>
            <w:vAlign w:val="bottom"/>
            <w:gridSpan w:val="3"/>
            <w:shd w:val="clear" w:color="auto" w:fill="E0E0E0"/>
          </w:tcPr>
          <w:p>
            <w:pPr>
              <w:jc w:val="right"/>
              <w:spacing w:after="0" w:line="227" w:lineRule="exact"/>
              <w:rPr>
                <w:sz w:val="20"/>
                <w:szCs w:val="20"/>
                <w:color w:val="auto"/>
              </w:rPr>
            </w:pPr>
            <w:r>
              <w:rPr>
                <w:rFonts w:ascii="Arial" w:cs="Arial" w:eastAsia="Arial" w:hAnsi="Arial"/>
                <w:sz w:val="21"/>
                <w:szCs w:val="21"/>
                <w:color w:val="auto"/>
              </w:rPr>
              <w:t xml:space="preserve">(1,014) </w:t>
            </w:r>
            <w:r>
              <w:rPr>
                <w:rFonts w:ascii="Arial" w:cs="Arial" w:eastAsia="Arial" w:hAnsi="Arial"/>
                <w:sz w:val="21"/>
                <w:szCs w:val="21"/>
                <w:u w:val="single" w:color="auto"/>
                <w:color w:val="auto"/>
              </w:rPr>
              <w:t>$</w:t>
            </w:r>
          </w:p>
        </w:tc>
        <w:tc>
          <w:tcPr>
            <w:tcW w:w="74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w w:val="94"/>
              </w:rPr>
              <w:t>104,378</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21"/>
                <w:szCs w:val="21"/>
                <w:color w:val="auto"/>
              </w:rPr>
              <w:t>Long-term investments:</w:t>
            </w: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Borders>
              <w:top w:val="single" w:sz="8" w:color="auto"/>
            </w:tcBorders>
            <w:shd w:val="clear" w:color="auto" w:fill="E0E0E0"/>
          </w:tcPr>
          <w:p>
            <w:pPr>
              <w:ind w:left="280"/>
              <w:spacing w:after="0" w:line="227" w:lineRule="exact"/>
              <w:rPr>
                <w:sz w:val="20"/>
                <w:szCs w:val="20"/>
                <w:color w:val="auto"/>
              </w:rPr>
            </w:pPr>
            <w:r>
              <w:rPr>
                <w:rFonts w:ascii="Arial" w:cs="Arial" w:eastAsia="Arial" w:hAnsi="Arial"/>
                <w:sz w:val="21"/>
                <w:szCs w:val="21"/>
                <w:color w:val="auto"/>
              </w:rPr>
              <w:t>U.S. government debt and agency</w:t>
            </w:r>
          </w:p>
        </w:tc>
        <w:tc>
          <w:tcPr>
            <w:tcW w:w="100" w:type="dxa"/>
            <w:vAlign w:val="bottom"/>
            <w:tcBorders>
              <w:top w:val="single" w:sz="8" w:color="E0E0E0"/>
            </w:tcBorders>
            <w:shd w:val="clear" w:color="auto" w:fill="E0E0E0"/>
          </w:tcPr>
          <w:p>
            <w:pPr>
              <w:spacing w:after="0"/>
              <w:rPr>
                <w:sz w:val="19"/>
                <w:szCs w:val="19"/>
                <w:color w:val="auto"/>
              </w:rPr>
            </w:pPr>
          </w:p>
        </w:tc>
        <w:tc>
          <w:tcPr>
            <w:tcW w:w="90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right w:val="single" w:sz="8" w:color="E0E0E0"/>
            </w:tcBorders>
            <w:shd w:val="clear" w:color="auto" w:fill="E0E0E0"/>
          </w:tcPr>
          <w:p>
            <w:pPr>
              <w:spacing w:after="0"/>
              <w:rPr>
                <w:sz w:val="19"/>
                <w:szCs w:val="19"/>
                <w:color w:val="auto"/>
              </w:rPr>
            </w:pPr>
          </w:p>
        </w:tc>
        <w:tc>
          <w:tcPr>
            <w:tcW w:w="160" w:type="dxa"/>
            <w:vAlign w:val="bottom"/>
            <w:tcBorders>
              <w:top w:val="single" w:sz="8" w:color="E0E0E0"/>
            </w:tcBorders>
            <w:shd w:val="clear" w:color="auto" w:fill="E0E0E0"/>
          </w:tcPr>
          <w:p>
            <w:pPr>
              <w:spacing w:after="0"/>
              <w:rPr>
                <w:sz w:val="19"/>
                <w:szCs w:val="19"/>
                <w:color w:val="auto"/>
              </w:rPr>
            </w:pPr>
          </w:p>
        </w:tc>
        <w:tc>
          <w:tcPr>
            <w:tcW w:w="700" w:type="dxa"/>
            <w:vAlign w:val="bottom"/>
            <w:tcBorders>
              <w:top w:val="single" w:sz="8" w:color="E0E0E0"/>
            </w:tcBorders>
            <w:shd w:val="clear" w:color="auto" w:fill="E0E0E0"/>
          </w:tcPr>
          <w:p>
            <w:pPr>
              <w:spacing w:after="0"/>
              <w:rPr>
                <w:sz w:val="19"/>
                <w:szCs w:val="19"/>
                <w:color w:val="auto"/>
              </w:rPr>
            </w:pPr>
          </w:p>
        </w:tc>
        <w:tc>
          <w:tcPr>
            <w:tcW w:w="180" w:type="dxa"/>
            <w:vAlign w:val="bottom"/>
            <w:tcBorders>
              <w:top w:val="single" w:sz="8" w:color="E0E0E0"/>
              <w:right w:val="single" w:sz="8" w:color="E0E0E0"/>
            </w:tcBorders>
            <w:shd w:val="clear" w:color="auto" w:fill="E0E0E0"/>
          </w:tcPr>
          <w:p>
            <w:pPr>
              <w:spacing w:after="0"/>
              <w:rPr>
                <w:sz w:val="19"/>
                <w:szCs w:val="19"/>
                <w:color w:val="auto"/>
              </w:rPr>
            </w:pPr>
          </w:p>
        </w:tc>
        <w:tc>
          <w:tcPr>
            <w:tcW w:w="140" w:type="dxa"/>
            <w:vAlign w:val="bottom"/>
            <w:tcBorders>
              <w:top w:val="single" w:sz="8" w:color="E0E0E0"/>
            </w:tcBorders>
            <w:shd w:val="clear" w:color="auto" w:fill="E0E0E0"/>
          </w:tcPr>
          <w:p>
            <w:pPr>
              <w:spacing w:after="0"/>
              <w:rPr>
                <w:sz w:val="19"/>
                <w:szCs w:val="19"/>
                <w:color w:val="auto"/>
              </w:rPr>
            </w:pPr>
          </w:p>
        </w:tc>
        <w:tc>
          <w:tcPr>
            <w:tcW w:w="700" w:type="dxa"/>
            <w:vAlign w:val="bottom"/>
            <w:tcBorders>
              <w:top w:val="single" w:sz="8" w:color="E0E0E0"/>
            </w:tcBorders>
            <w:vMerge w:val="restart"/>
            <w:shd w:val="clear" w:color="auto" w:fill="E0E0E0"/>
          </w:tcPr>
          <w:p>
            <w:pPr>
              <w:jc w:val="right"/>
              <w:spacing w:after="0"/>
              <w:rPr>
                <w:sz w:val="20"/>
                <w:szCs w:val="20"/>
                <w:color w:val="auto"/>
              </w:rPr>
            </w:pPr>
            <w:r>
              <w:rPr>
                <w:rFonts w:ascii="Arial" w:cs="Arial" w:eastAsia="Arial" w:hAnsi="Arial"/>
                <w:sz w:val="21"/>
                <w:szCs w:val="21"/>
                <w:color w:val="auto"/>
              </w:rPr>
              <w:t>—</w:t>
            </w:r>
          </w:p>
        </w:tc>
        <w:tc>
          <w:tcPr>
            <w:tcW w:w="180" w:type="dxa"/>
            <w:vAlign w:val="bottom"/>
            <w:tcBorders>
              <w:top w:val="single" w:sz="8" w:color="E0E0E0"/>
              <w:right w:val="single" w:sz="8" w:color="E0E0E0"/>
            </w:tcBorders>
            <w:shd w:val="clear" w:color="auto" w:fill="E0E0E0"/>
          </w:tcPr>
          <w:p>
            <w:pPr>
              <w:spacing w:after="0"/>
              <w:rPr>
                <w:sz w:val="19"/>
                <w:szCs w:val="19"/>
                <w:color w:val="auto"/>
              </w:rPr>
            </w:pPr>
          </w:p>
        </w:tc>
        <w:tc>
          <w:tcPr>
            <w:tcW w:w="120" w:type="dxa"/>
            <w:vAlign w:val="bottom"/>
            <w:tcBorders>
              <w:top w:val="single" w:sz="8" w:color="E0E0E0"/>
            </w:tcBorders>
            <w:shd w:val="clear" w:color="auto" w:fill="E0E0E0"/>
          </w:tcPr>
          <w:p>
            <w:pPr>
              <w:spacing w:after="0"/>
              <w:rPr>
                <w:sz w:val="19"/>
                <w:szCs w:val="19"/>
                <w:color w:val="auto"/>
              </w:rPr>
            </w:pPr>
          </w:p>
        </w:tc>
        <w:tc>
          <w:tcPr>
            <w:tcW w:w="720" w:type="dxa"/>
            <w:vAlign w:val="bottom"/>
            <w:tcBorders>
              <w:top w:val="single" w:sz="8" w:color="E0E0E0"/>
            </w:tcBorders>
            <w:vMerge w:val="restart"/>
            <w:shd w:val="clear" w:color="auto" w:fill="E0E0E0"/>
          </w:tcPr>
          <w:p>
            <w:pPr>
              <w:jc w:val="right"/>
              <w:spacing w:after="0"/>
              <w:rPr>
                <w:sz w:val="20"/>
                <w:szCs w:val="20"/>
                <w:color w:val="auto"/>
              </w:rPr>
            </w:pPr>
            <w:r>
              <w:rPr>
                <w:rFonts w:ascii="Arial" w:cs="Arial" w:eastAsia="Arial" w:hAnsi="Arial"/>
                <w:sz w:val="21"/>
                <w:szCs w:val="21"/>
                <w:color w:val="auto"/>
              </w:rPr>
              <w:t>(916</w:t>
            </w:r>
          </w:p>
        </w:tc>
        <w:tc>
          <w:tcPr>
            <w:tcW w:w="200" w:type="dxa"/>
            <w:vAlign w:val="bottom"/>
            <w:tcBorders>
              <w:top w:val="single" w:sz="8" w:color="E0E0E0"/>
              <w:right w:val="single" w:sz="8" w:color="E0E0E0"/>
            </w:tcBorders>
            <w:vMerge w:val="restart"/>
            <w:shd w:val="clear" w:color="auto" w:fill="E0E0E0"/>
          </w:tcPr>
          <w:p>
            <w:pPr>
              <w:jc w:val="right"/>
              <w:ind w:right="17"/>
              <w:spacing w:after="0"/>
              <w:rPr>
                <w:sz w:val="20"/>
                <w:szCs w:val="20"/>
                <w:color w:val="auto"/>
              </w:rPr>
            </w:pPr>
            <w:r>
              <w:rPr>
                <w:rFonts w:ascii="Arial" w:cs="Arial" w:eastAsia="Arial" w:hAnsi="Arial"/>
                <w:sz w:val="21"/>
                <w:szCs w:val="21"/>
                <w:color w:val="auto"/>
                <w:w w:val="85"/>
              </w:rPr>
              <w:t>)</w:t>
            </w:r>
          </w:p>
        </w:tc>
        <w:tc>
          <w:tcPr>
            <w:tcW w:w="100" w:type="dxa"/>
            <w:vAlign w:val="bottom"/>
            <w:tcBorders>
              <w:top w:val="single" w:sz="8" w:color="E0E0E0"/>
            </w:tcBorders>
            <w:shd w:val="clear" w:color="auto" w:fill="E0E0E0"/>
          </w:tcPr>
          <w:p>
            <w:pPr>
              <w:spacing w:after="0"/>
              <w:rPr>
                <w:sz w:val="19"/>
                <w:szCs w:val="19"/>
                <w:color w:val="auto"/>
              </w:rPr>
            </w:pPr>
          </w:p>
        </w:tc>
        <w:tc>
          <w:tcPr>
            <w:tcW w:w="74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E0E0E0"/>
          </w:tcPr>
          <w:p>
            <w:pPr>
              <w:ind w:left="460"/>
              <w:spacing w:after="0" w:line="237" w:lineRule="exact"/>
              <w:rPr>
                <w:sz w:val="20"/>
                <w:szCs w:val="20"/>
                <w:color w:val="auto"/>
              </w:rPr>
            </w:pPr>
            <w:r>
              <w:rPr>
                <w:rFonts w:ascii="Arial" w:cs="Arial" w:eastAsia="Arial" w:hAnsi="Arial"/>
                <w:sz w:val="21"/>
                <w:szCs w:val="21"/>
                <w:color w:val="auto"/>
              </w:rPr>
              <w:t>securities</w:t>
            </w:r>
          </w:p>
        </w:tc>
        <w:tc>
          <w:tcPr>
            <w:tcW w:w="100" w:type="dxa"/>
            <w:vAlign w:val="bottom"/>
            <w:shd w:val="clear" w:color="auto" w:fill="E0E0E0"/>
          </w:tcPr>
          <w:p>
            <w:pPr>
              <w:spacing w:after="0"/>
              <w:rPr>
                <w:sz w:val="20"/>
                <w:szCs w:val="20"/>
                <w:color w:val="auto"/>
              </w:rPr>
            </w:pPr>
          </w:p>
        </w:tc>
        <w:tc>
          <w:tcPr>
            <w:tcW w:w="900" w:type="dxa"/>
            <w:vAlign w:val="bottom"/>
            <w:shd w:val="clear" w:color="auto" w:fill="E0E0E0"/>
          </w:tcPr>
          <w:p>
            <w:pPr>
              <w:jc w:val="center"/>
              <w:spacing w:after="0" w:line="237" w:lineRule="exact"/>
              <w:rPr>
                <w:sz w:val="20"/>
                <w:szCs w:val="20"/>
                <w:color w:val="auto"/>
              </w:rPr>
            </w:pPr>
            <w:r>
              <w:rPr>
                <w:rFonts w:ascii="Arial" w:cs="Arial" w:eastAsia="Arial" w:hAnsi="Arial"/>
                <w:sz w:val="21"/>
                <w:szCs w:val="21"/>
                <w:color w:val="auto"/>
              </w:rPr>
              <w:t>2</w:t>
            </w:r>
          </w:p>
        </w:tc>
        <w:tc>
          <w:tcPr>
            <w:tcW w:w="100" w:type="dxa"/>
            <w:vAlign w:val="bottom"/>
            <w:tcBorders>
              <w:right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700" w:type="dxa"/>
            <w:vAlign w:val="bottom"/>
            <w:tcBorders>
              <w:bottom w:val="single" w:sz="8" w:color="auto"/>
            </w:tcBorders>
            <w:shd w:val="clear" w:color="auto" w:fill="E0E0E0"/>
          </w:tcPr>
          <w:p>
            <w:pPr>
              <w:jc w:val="right"/>
              <w:spacing w:after="0" w:line="237" w:lineRule="exact"/>
              <w:rPr>
                <w:sz w:val="20"/>
                <w:szCs w:val="20"/>
                <w:color w:val="auto"/>
              </w:rPr>
            </w:pPr>
            <w:r>
              <w:rPr>
                <w:rFonts w:ascii="Arial" w:cs="Arial" w:eastAsia="Arial" w:hAnsi="Arial"/>
                <w:sz w:val="21"/>
                <w:szCs w:val="21"/>
                <w:color w:val="auto"/>
              </w:rPr>
              <w:t>45,745</w:t>
            </w:r>
          </w:p>
        </w:tc>
        <w:tc>
          <w:tcPr>
            <w:tcW w:w="180" w:type="dxa"/>
            <w:vAlign w:val="bottom"/>
            <w:tcBorders>
              <w:right w:val="single" w:sz="8" w:color="E0E0E0"/>
            </w:tcBorders>
            <w:shd w:val="clear" w:color="auto" w:fill="E0E0E0"/>
          </w:tcPr>
          <w:p>
            <w:pPr>
              <w:spacing w:after="0"/>
              <w:rPr>
                <w:sz w:val="20"/>
                <w:szCs w:val="20"/>
                <w:color w:val="auto"/>
              </w:rPr>
            </w:pPr>
          </w:p>
        </w:tc>
        <w:tc>
          <w:tcPr>
            <w:tcW w:w="140" w:type="dxa"/>
            <w:vAlign w:val="bottom"/>
            <w:tcBorders>
              <w:bottom w:val="single" w:sz="8" w:color="auto"/>
            </w:tcBorders>
            <w:shd w:val="clear" w:color="auto" w:fill="E0E0E0"/>
          </w:tcPr>
          <w:p>
            <w:pPr>
              <w:spacing w:after="0"/>
              <w:rPr>
                <w:sz w:val="20"/>
                <w:szCs w:val="20"/>
                <w:color w:val="auto"/>
              </w:rPr>
            </w:pPr>
          </w:p>
        </w:tc>
        <w:tc>
          <w:tcPr>
            <w:tcW w:w="700" w:type="dxa"/>
            <w:vAlign w:val="bottom"/>
            <w:tcBorders>
              <w:bottom w:val="single" w:sz="8" w:color="auto"/>
            </w:tcBorders>
            <w:vMerge w:val="continue"/>
            <w:shd w:val="clear" w:color="auto" w:fill="E0E0E0"/>
          </w:tcPr>
          <w:p>
            <w:pPr>
              <w:spacing w:after="0"/>
              <w:rPr>
                <w:sz w:val="20"/>
                <w:szCs w:val="20"/>
                <w:color w:val="auto"/>
              </w:rPr>
            </w:pPr>
          </w:p>
        </w:tc>
        <w:tc>
          <w:tcPr>
            <w:tcW w:w="180" w:type="dxa"/>
            <w:vAlign w:val="bottom"/>
            <w:tcBorders>
              <w:right w:val="single" w:sz="8" w:color="E0E0E0"/>
            </w:tcBorders>
            <w:shd w:val="clear" w:color="auto" w:fill="E0E0E0"/>
          </w:tcPr>
          <w:p>
            <w:pPr>
              <w:spacing w:after="0"/>
              <w:rPr>
                <w:sz w:val="20"/>
                <w:szCs w:val="20"/>
                <w:color w:val="auto"/>
              </w:rPr>
            </w:pPr>
          </w:p>
        </w:tc>
        <w:tc>
          <w:tcPr>
            <w:tcW w:w="120" w:type="dxa"/>
            <w:vAlign w:val="bottom"/>
            <w:tcBorders>
              <w:bottom w:val="single" w:sz="8" w:color="auto"/>
            </w:tcBorders>
            <w:shd w:val="clear" w:color="auto" w:fill="E0E0E0"/>
          </w:tcPr>
          <w:p>
            <w:pPr>
              <w:spacing w:after="0"/>
              <w:rPr>
                <w:sz w:val="20"/>
                <w:szCs w:val="20"/>
                <w:color w:val="auto"/>
              </w:rPr>
            </w:pPr>
          </w:p>
        </w:tc>
        <w:tc>
          <w:tcPr>
            <w:tcW w:w="720" w:type="dxa"/>
            <w:vAlign w:val="bottom"/>
            <w:tcBorders>
              <w:bottom w:val="single" w:sz="8" w:color="auto"/>
            </w:tcBorders>
            <w:vMerge w:val="continue"/>
            <w:shd w:val="clear" w:color="auto" w:fill="E0E0E0"/>
          </w:tcPr>
          <w:p>
            <w:pPr>
              <w:spacing w:after="0"/>
              <w:rPr>
                <w:sz w:val="20"/>
                <w:szCs w:val="20"/>
                <w:color w:val="auto"/>
              </w:rPr>
            </w:pPr>
          </w:p>
        </w:tc>
        <w:tc>
          <w:tcPr>
            <w:tcW w:w="200" w:type="dxa"/>
            <w:vAlign w:val="bottom"/>
            <w:tcBorders>
              <w:right w:val="single" w:sz="8" w:color="E0E0E0"/>
            </w:tcBorders>
            <w:vMerge w:val="continue"/>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p>
        </w:tc>
        <w:tc>
          <w:tcPr>
            <w:tcW w:w="740" w:type="dxa"/>
            <w:vAlign w:val="bottom"/>
            <w:tcBorders>
              <w:bottom w:val="single" w:sz="8" w:color="auto"/>
            </w:tcBorders>
            <w:shd w:val="clear" w:color="auto" w:fill="E0E0E0"/>
          </w:tcPr>
          <w:p>
            <w:pPr>
              <w:jc w:val="right"/>
              <w:spacing w:after="0" w:line="237" w:lineRule="exact"/>
              <w:rPr>
                <w:sz w:val="20"/>
                <w:szCs w:val="20"/>
                <w:color w:val="auto"/>
              </w:rPr>
            </w:pPr>
            <w:r>
              <w:rPr>
                <w:rFonts w:ascii="Arial" w:cs="Arial" w:eastAsia="Arial" w:hAnsi="Arial"/>
                <w:sz w:val="21"/>
                <w:szCs w:val="21"/>
                <w:color w:val="auto"/>
              </w:rPr>
              <w:t>44,829</w:t>
            </w: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line="229" w:lineRule="exact"/>
              <w:rPr>
                <w:sz w:val="20"/>
                <w:szCs w:val="20"/>
                <w:color w:val="auto"/>
              </w:rPr>
            </w:pPr>
            <w:r>
              <w:rPr>
                <w:rFonts w:ascii="Arial" w:cs="Arial" w:eastAsia="Arial" w:hAnsi="Arial"/>
                <w:sz w:val="21"/>
                <w:szCs w:val="21"/>
                <w:color w:val="auto"/>
              </w:rPr>
              <w:t>Total long-term investments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line="229" w:lineRule="exact"/>
              <w:rPr>
                <w:sz w:val="20"/>
                <w:szCs w:val="20"/>
                <w:color w:val="auto"/>
              </w:rPr>
            </w:pPr>
            <w:r>
              <w:rPr>
                <w:rFonts w:ascii="Arial" w:cs="Arial" w:eastAsia="Arial" w:hAnsi="Arial"/>
                <w:sz w:val="21"/>
                <w:szCs w:val="21"/>
                <w:color w:val="auto"/>
              </w:rPr>
              <w:t>$ 45,745</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line="229" w:lineRule="exact"/>
              <w:rPr>
                <w:sz w:val="20"/>
                <w:szCs w:val="20"/>
                <w:color w:val="auto"/>
              </w:rPr>
            </w:pPr>
            <w:r>
              <w:rPr>
                <w:rFonts w:ascii="Arial" w:cs="Arial" w:eastAsia="Arial" w:hAnsi="Arial"/>
                <w:sz w:val="21"/>
                <w:szCs w:val="21"/>
                <w:color w:val="auto"/>
              </w:rPr>
              <w:t>$</w:t>
            </w:r>
          </w:p>
        </w:tc>
        <w:tc>
          <w:tcPr>
            <w:tcW w:w="7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1"/>
                <w:szCs w:val="21"/>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line="229" w:lineRule="exact"/>
              <w:rPr>
                <w:sz w:val="20"/>
                <w:szCs w:val="20"/>
                <w:color w:val="auto"/>
              </w:rPr>
            </w:pPr>
            <w:r>
              <w:rPr>
                <w:rFonts w:ascii="Arial" w:cs="Arial" w:eastAsia="Arial" w:hAnsi="Arial"/>
                <w:sz w:val="21"/>
                <w:szCs w:val="21"/>
                <w:color w:val="auto"/>
                <w:w w:val="85"/>
              </w:rPr>
              <w:t>$</w:t>
            </w:r>
          </w:p>
        </w:tc>
        <w:tc>
          <w:tcPr>
            <w:tcW w:w="7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1"/>
                <w:szCs w:val="21"/>
                <w:color w:val="auto"/>
              </w:rPr>
              <w:t>(916</w:t>
            </w:r>
          </w:p>
        </w:tc>
        <w:tc>
          <w:tcPr>
            <w:tcW w:w="200" w:type="dxa"/>
            <w:vAlign w:val="bottom"/>
          </w:tcPr>
          <w:p>
            <w:pPr>
              <w:jc w:val="right"/>
              <w:ind w:right="17"/>
              <w:spacing w:after="0" w:line="229" w:lineRule="exact"/>
              <w:rPr>
                <w:sz w:val="20"/>
                <w:szCs w:val="20"/>
                <w:color w:val="auto"/>
              </w:rPr>
            </w:pPr>
            <w:r>
              <w:rPr>
                <w:rFonts w:ascii="Arial" w:cs="Arial" w:eastAsia="Arial" w:hAnsi="Arial"/>
                <w:sz w:val="21"/>
                <w:szCs w:val="21"/>
                <w:color w:val="auto"/>
                <w:w w:val="85"/>
              </w:rPr>
              <w:t>)</w:t>
            </w:r>
          </w:p>
        </w:tc>
        <w:tc>
          <w:tcPr>
            <w:tcW w:w="1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1"/>
                <w:szCs w:val="21"/>
                <w:color w:val="auto"/>
              </w:rPr>
              <w:t>44,829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8"/>
          </w:tcPr>
          <w:p>
            <w:pPr>
              <w:jc w:val="center"/>
              <w:ind w:right="217"/>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Amortized</w:t>
            </w:r>
          </w:p>
        </w:tc>
        <w:tc>
          <w:tcPr>
            <w:tcW w:w="180" w:type="dxa"/>
            <w:vAlign w:val="bottom"/>
          </w:tcPr>
          <w:p>
            <w:pPr>
              <w:spacing w:after="0"/>
              <w:rPr>
                <w:sz w:val="14"/>
                <w:szCs w:val="14"/>
                <w:color w:val="auto"/>
              </w:rPr>
            </w:pPr>
          </w:p>
        </w:tc>
        <w:tc>
          <w:tcPr>
            <w:tcW w:w="84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Unrealized</w:t>
            </w:r>
          </w:p>
        </w:tc>
        <w:tc>
          <w:tcPr>
            <w:tcW w:w="180" w:type="dxa"/>
            <w:vAlign w:val="bottom"/>
          </w:tcPr>
          <w:p>
            <w:pPr>
              <w:spacing w:after="0"/>
              <w:rPr>
                <w:sz w:val="14"/>
                <w:szCs w:val="14"/>
                <w:color w:val="auto"/>
              </w:rPr>
            </w:pPr>
          </w:p>
        </w:tc>
        <w:tc>
          <w:tcPr>
            <w:tcW w:w="1040" w:type="dxa"/>
            <w:vAlign w:val="bottom"/>
            <w:gridSpan w:val="3"/>
          </w:tcPr>
          <w:p>
            <w:pPr>
              <w:spacing w:after="0" w:line="162"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740" w:type="dxa"/>
            <w:vAlign w:val="bottom"/>
          </w:tcPr>
          <w:p>
            <w:pPr>
              <w:jc w:val="center"/>
              <w:ind w:right="20"/>
              <w:spacing w:after="0" w:line="162" w:lineRule="exact"/>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Level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62"/>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center"/>
              <w:ind w:right="59"/>
              <w:spacing w:after="0"/>
              <w:rPr>
                <w:sz w:val="20"/>
                <w:szCs w:val="20"/>
                <w:color w:val="auto"/>
              </w:rPr>
            </w:pPr>
            <w:r>
              <w:rPr>
                <w:rFonts w:ascii="Arial" w:cs="Arial" w:eastAsia="Arial" w:hAnsi="Arial"/>
                <w:sz w:val="16"/>
                <w:szCs w:val="16"/>
                <w:b w:val="1"/>
                <w:bCs w:val="1"/>
                <w:color w:val="auto"/>
              </w:rPr>
              <w:t>Gains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37"/>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00" w:type="dxa"/>
            <w:vAlign w:val="bottom"/>
            <w:tcBorders>
              <w:top w:val="single" w:sz="8" w:color="E0E0E0"/>
              <w:bottom w:val="single" w:sz="8" w:color="auto"/>
            </w:tcBorders>
            <w:shd w:val="clear" w:color="auto" w:fill="E0E0E0"/>
          </w:tcPr>
          <w:p>
            <w:pPr>
              <w:spacing w:after="0" w:line="227" w:lineRule="exact"/>
              <w:rPr>
                <w:sz w:val="20"/>
                <w:szCs w:val="20"/>
                <w:color w:val="auto"/>
              </w:rPr>
            </w:pPr>
            <w:r>
              <w:rPr>
                <w:rFonts w:ascii="Arial" w:cs="Arial" w:eastAsia="Arial" w:hAnsi="Arial"/>
                <w:sz w:val="21"/>
                <w:szCs w:val="21"/>
                <w:color w:val="auto"/>
              </w:rPr>
              <w:t>Cash equivalents:</w:t>
            </w:r>
          </w:p>
        </w:tc>
        <w:tc>
          <w:tcPr>
            <w:tcW w:w="100" w:type="dxa"/>
            <w:vAlign w:val="bottom"/>
            <w:tcBorders>
              <w:top w:val="single" w:sz="8" w:color="E0E0E0"/>
            </w:tcBorders>
            <w:shd w:val="clear" w:color="auto" w:fill="E0E0E0"/>
          </w:tcPr>
          <w:p>
            <w:pPr>
              <w:spacing w:after="0"/>
              <w:rPr>
                <w:sz w:val="19"/>
                <w:szCs w:val="19"/>
                <w:color w:val="auto"/>
              </w:rPr>
            </w:pPr>
          </w:p>
        </w:tc>
        <w:tc>
          <w:tcPr>
            <w:tcW w:w="90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right w:val="single" w:sz="8" w:color="E0E0E0"/>
            </w:tcBorders>
            <w:shd w:val="clear" w:color="auto" w:fill="E0E0E0"/>
          </w:tcPr>
          <w:p>
            <w:pPr>
              <w:spacing w:after="0"/>
              <w:rPr>
                <w:sz w:val="19"/>
                <w:szCs w:val="19"/>
                <w:color w:val="auto"/>
              </w:rPr>
            </w:pPr>
          </w:p>
        </w:tc>
        <w:tc>
          <w:tcPr>
            <w:tcW w:w="160" w:type="dxa"/>
            <w:vAlign w:val="bottom"/>
            <w:tcBorders>
              <w:top w:val="single" w:sz="8" w:color="auto"/>
            </w:tcBorders>
            <w:shd w:val="clear" w:color="auto" w:fill="E0E0E0"/>
          </w:tcPr>
          <w:p>
            <w:pPr>
              <w:spacing w:after="0"/>
              <w:rPr>
                <w:sz w:val="19"/>
                <w:szCs w:val="19"/>
                <w:color w:val="auto"/>
              </w:rPr>
            </w:pPr>
          </w:p>
        </w:tc>
        <w:tc>
          <w:tcPr>
            <w:tcW w:w="700" w:type="dxa"/>
            <w:vAlign w:val="bottom"/>
            <w:tcBorders>
              <w:top w:val="single" w:sz="8" w:color="auto"/>
            </w:tcBorders>
            <w:shd w:val="clear" w:color="auto" w:fill="E0E0E0"/>
          </w:tcPr>
          <w:p>
            <w:pPr>
              <w:spacing w:after="0"/>
              <w:rPr>
                <w:sz w:val="19"/>
                <w:szCs w:val="19"/>
                <w:color w:val="auto"/>
              </w:rPr>
            </w:pPr>
          </w:p>
        </w:tc>
        <w:tc>
          <w:tcPr>
            <w:tcW w:w="180" w:type="dxa"/>
            <w:vAlign w:val="bottom"/>
            <w:tcBorders>
              <w:top w:val="single" w:sz="8" w:color="E0E0E0"/>
              <w:right w:val="single" w:sz="8" w:color="E0E0E0"/>
            </w:tcBorders>
            <w:shd w:val="clear" w:color="auto" w:fill="E0E0E0"/>
          </w:tcPr>
          <w:p>
            <w:pPr>
              <w:spacing w:after="0"/>
              <w:rPr>
                <w:sz w:val="19"/>
                <w:szCs w:val="19"/>
                <w:color w:val="auto"/>
              </w:rPr>
            </w:pPr>
          </w:p>
        </w:tc>
        <w:tc>
          <w:tcPr>
            <w:tcW w:w="140" w:type="dxa"/>
            <w:vAlign w:val="bottom"/>
            <w:tcBorders>
              <w:top w:val="single" w:sz="8" w:color="auto"/>
            </w:tcBorders>
            <w:shd w:val="clear" w:color="auto" w:fill="E0E0E0"/>
          </w:tcPr>
          <w:p>
            <w:pPr>
              <w:spacing w:after="0"/>
              <w:rPr>
                <w:sz w:val="19"/>
                <w:szCs w:val="19"/>
                <w:color w:val="auto"/>
              </w:rPr>
            </w:pPr>
          </w:p>
        </w:tc>
        <w:tc>
          <w:tcPr>
            <w:tcW w:w="700" w:type="dxa"/>
            <w:vAlign w:val="bottom"/>
            <w:tcBorders>
              <w:top w:val="single" w:sz="8" w:color="auto"/>
            </w:tcBorders>
            <w:shd w:val="clear" w:color="auto" w:fill="E0E0E0"/>
          </w:tcPr>
          <w:p>
            <w:pPr>
              <w:spacing w:after="0"/>
              <w:rPr>
                <w:sz w:val="19"/>
                <w:szCs w:val="19"/>
                <w:color w:val="auto"/>
              </w:rPr>
            </w:pPr>
          </w:p>
        </w:tc>
        <w:tc>
          <w:tcPr>
            <w:tcW w:w="180" w:type="dxa"/>
            <w:vAlign w:val="bottom"/>
            <w:tcBorders>
              <w:top w:val="single" w:sz="8" w:color="E0E0E0"/>
              <w:right w:val="single" w:sz="8" w:color="E0E0E0"/>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spacing w:after="0"/>
              <w:rPr>
                <w:sz w:val="19"/>
                <w:szCs w:val="19"/>
                <w:color w:val="auto"/>
              </w:rPr>
            </w:pPr>
          </w:p>
        </w:tc>
        <w:tc>
          <w:tcPr>
            <w:tcW w:w="720" w:type="dxa"/>
            <w:vAlign w:val="bottom"/>
            <w:tcBorders>
              <w:top w:val="single" w:sz="8" w:color="auto"/>
            </w:tcBorders>
            <w:shd w:val="clear" w:color="auto" w:fill="E0E0E0"/>
          </w:tcPr>
          <w:p>
            <w:pPr>
              <w:spacing w:after="0"/>
              <w:rPr>
                <w:sz w:val="19"/>
                <w:szCs w:val="19"/>
                <w:color w:val="auto"/>
              </w:rPr>
            </w:pPr>
          </w:p>
        </w:tc>
        <w:tc>
          <w:tcPr>
            <w:tcW w:w="200" w:type="dxa"/>
            <w:vAlign w:val="bottom"/>
            <w:tcBorders>
              <w:top w:val="single" w:sz="8" w:color="E0E0E0"/>
              <w:right w:val="single" w:sz="8" w:color="E0E0E0"/>
            </w:tcBorders>
            <w:shd w:val="clear" w:color="auto" w:fill="E0E0E0"/>
          </w:tcPr>
          <w:p>
            <w:pPr>
              <w:spacing w:after="0"/>
              <w:rPr>
                <w:sz w:val="19"/>
                <w:szCs w:val="19"/>
                <w:color w:val="auto"/>
              </w:rPr>
            </w:pPr>
          </w:p>
        </w:tc>
        <w:tc>
          <w:tcPr>
            <w:tcW w:w="100" w:type="dxa"/>
            <w:vAlign w:val="bottom"/>
            <w:tcBorders>
              <w:top w:val="single" w:sz="8" w:color="auto"/>
            </w:tcBorders>
            <w:shd w:val="clear" w:color="auto" w:fill="E0E0E0"/>
          </w:tcPr>
          <w:p>
            <w:pPr>
              <w:spacing w:after="0"/>
              <w:rPr>
                <w:sz w:val="19"/>
                <w:szCs w:val="19"/>
                <w:color w:val="auto"/>
              </w:rPr>
            </w:pPr>
          </w:p>
        </w:tc>
        <w:tc>
          <w:tcPr>
            <w:tcW w:w="74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Pr>
          <w:p>
            <w:pPr>
              <w:ind w:left="280"/>
              <w:spacing w:after="0" w:line="227" w:lineRule="exact"/>
              <w:rPr>
                <w:sz w:val="20"/>
                <w:szCs w:val="20"/>
                <w:color w:val="auto"/>
              </w:rPr>
            </w:pPr>
            <w:r>
              <w:rPr>
                <w:rFonts w:ascii="Arial" w:cs="Arial" w:eastAsia="Arial" w:hAnsi="Arial"/>
                <w:sz w:val="21"/>
                <w:szCs w:val="21"/>
                <w:color w:val="auto"/>
              </w:rPr>
              <w:t>Money market fund</w:t>
            </w:r>
          </w:p>
        </w:tc>
        <w:tc>
          <w:tcPr>
            <w:tcW w:w="100" w:type="dxa"/>
            <w:vAlign w:val="bottom"/>
          </w:tcPr>
          <w:p>
            <w:pPr>
              <w:spacing w:after="0"/>
              <w:rPr>
                <w:sz w:val="19"/>
                <w:szCs w:val="19"/>
                <w:color w:val="auto"/>
              </w:rPr>
            </w:pPr>
          </w:p>
        </w:tc>
        <w:tc>
          <w:tcPr>
            <w:tcW w:w="900" w:type="dxa"/>
            <w:vAlign w:val="bottom"/>
          </w:tcPr>
          <w:p>
            <w:pPr>
              <w:jc w:val="center"/>
              <w:spacing w:after="0" w:line="227" w:lineRule="exact"/>
              <w:rPr>
                <w:sz w:val="20"/>
                <w:szCs w:val="20"/>
                <w:color w:val="auto"/>
              </w:rPr>
            </w:pPr>
            <w:r>
              <w:rPr>
                <w:rFonts w:ascii="Arial" w:cs="Arial" w:eastAsia="Arial" w:hAnsi="Arial"/>
                <w:sz w:val="21"/>
                <w:szCs w:val="21"/>
                <w:color w:val="auto"/>
              </w:rPr>
              <w:t>1</w:t>
            </w:r>
          </w:p>
        </w:tc>
        <w:tc>
          <w:tcPr>
            <w:tcW w:w="260" w:type="dxa"/>
            <w:vAlign w:val="bottom"/>
            <w:gridSpan w:val="2"/>
          </w:tcPr>
          <w:p>
            <w:pPr>
              <w:ind w:left="100"/>
              <w:spacing w:after="0" w:line="227" w:lineRule="exact"/>
              <w:rPr>
                <w:sz w:val="20"/>
                <w:szCs w:val="20"/>
                <w:color w:val="auto"/>
              </w:rPr>
            </w:pPr>
            <w:r>
              <w:rPr>
                <w:rFonts w:ascii="Arial" w:cs="Arial" w:eastAsia="Arial" w:hAnsi="Arial"/>
                <w:sz w:val="21"/>
                <w:szCs w:val="21"/>
                <w:color w:val="auto"/>
              </w:rPr>
              <w:t>$</w:t>
            </w:r>
          </w:p>
        </w:tc>
        <w:tc>
          <w:tcPr>
            <w:tcW w:w="700" w:type="dxa"/>
            <w:vAlign w:val="bottom"/>
          </w:tcPr>
          <w:p>
            <w:pPr>
              <w:jc w:val="right"/>
              <w:spacing w:after="0" w:line="227" w:lineRule="exact"/>
              <w:rPr>
                <w:sz w:val="20"/>
                <w:szCs w:val="20"/>
                <w:color w:val="auto"/>
              </w:rPr>
            </w:pPr>
            <w:r>
              <w:rPr>
                <w:rFonts w:ascii="Arial" w:cs="Arial" w:eastAsia="Arial" w:hAnsi="Arial"/>
                <w:sz w:val="21"/>
                <w:szCs w:val="21"/>
                <w:color w:val="auto"/>
              </w:rPr>
              <w:t>57</w:t>
            </w:r>
          </w:p>
        </w:tc>
        <w:tc>
          <w:tcPr>
            <w:tcW w:w="320" w:type="dxa"/>
            <w:vAlign w:val="bottom"/>
            <w:gridSpan w:val="2"/>
          </w:tcPr>
          <w:p>
            <w:pPr>
              <w:ind w:left="180"/>
              <w:spacing w:after="0" w:line="227" w:lineRule="exact"/>
              <w:rPr>
                <w:sz w:val="20"/>
                <w:szCs w:val="20"/>
                <w:color w:val="auto"/>
              </w:rPr>
            </w:pPr>
            <w:r>
              <w:rPr>
                <w:rFonts w:ascii="Arial" w:cs="Arial" w:eastAsia="Arial" w:hAnsi="Arial"/>
                <w:sz w:val="21"/>
                <w:szCs w:val="21"/>
                <w:color w:val="auto"/>
              </w:rPr>
              <w:t>$</w:t>
            </w:r>
          </w:p>
        </w:tc>
        <w:tc>
          <w:tcPr>
            <w:tcW w:w="700" w:type="dxa"/>
            <w:vAlign w:val="bottom"/>
          </w:tcPr>
          <w:p>
            <w:pPr>
              <w:jc w:val="right"/>
              <w:spacing w:after="0" w:line="227" w:lineRule="exact"/>
              <w:rPr>
                <w:sz w:val="20"/>
                <w:szCs w:val="20"/>
                <w:color w:val="auto"/>
              </w:rPr>
            </w:pPr>
            <w:r>
              <w:rPr>
                <w:rFonts w:ascii="Arial" w:cs="Arial" w:eastAsia="Arial" w:hAnsi="Arial"/>
                <w:sz w:val="21"/>
                <w:szCs w:val="21"/>
                <w:color w:val="auto"/>
              </w:rPr>
              <w:t>—</w:t>
            </w:r>
          </w:p>
        </w:tc>
        <w:tc>
          <w:tcPr>
            <w:tcW w:w="300" w:type="dxa"/>
            <w:vAlign w:val="bottom"/>
            <w:gridSpan w:val="2"/>
          </w:tcPr>
          <w:p>
            <w:pPr>
              <w:ind w:left="180"/>
              <w:spacing w:after="0" w:line="227" w:lineRule="exact"/>
              <w:rPr>
                <w:sz w:val="20"/>
                <w:szCs w:val="20"/>
                <w:color w:val="auto"/>
              </w:rPr>
            </w:pPr>
            <w:r>
              <w:rPr>
                <w:rFonts w:ascii="Arial" w:cs="Arial" w:eastAsia="Arial" w:hAnsi="Arial"/>
                <w:sz w:val="21"/>
                <w:szCs w:val="21"/>
                <w:color w:val="auto"/>
                <w:w w:val="85"/>
              </w:rPr>
              <w:t>$</w:t>
            </w:r>
          </w:p>
        </w:tc>
        <w:tc>
          <w:tcPr>
            <w:tcW w:w="920" w:type="dxa"/>
            <w:vAlign w:val="bottom"/>
            <w:gridSpan w:val="2"/>
          </w:tcPr>
          <w:p>
            <w:pPr>
              <w:jc w:val="right"/>
              <w:ind w:right="97"/>
              <w:spacing w:after="0" w:line="227" w:lineRule="exact"/>
              <w:rPr>
                <w:sz w:val="20"/>
                <w:szCs w:val="20"/>
                <w:color w:val="auto"/>
              </w:rPr>
            </w:pPr>
            <w:r>
              <w:rPr>
                <w:rFonts w:ascii="Arial" w:cs="Arial" w:eastAsia="Arial" w:hAnsi="Arial"/>
                <w:sz w:val="21"/>
                <w:szCs w:val="21"/>
                <w:color w:val="auto"/>
              </w:rPr>
              <w:t>—</w:t>
            </w:r>
          </w:p>
        </w:tc>
        <w:tc>
          <w:tcPr>
            <w:tcW w:w="100" w:type="dxa"/>
            <w:vAlign w:val="bottom"/>
          </w:tcPr>
          <w:p>
            <w:pPr>
              <w:jc w:val="right"/>
              <w:spacing w:after="0" w:line="228" w:lineRule="exact"/>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line="227" w:lineRule="exact"/>
              <w:rPr>
                <w:sz w:val="20"/>
                <w:szCs w:val="20"/>
                <w:color w:val="auto"/>
              </w:rPr>
            </w:pPr>
            <w:r>
              <w:rPr>
                <w:rFonts w:ascii="Arial" w:cs="Arial" w:eastAsia="Arial" w:hAnsi="Arial"/>
                <w:sz w:val="21"/>
                <w:szCs w:val="21"/>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E0E0E0"/>
          </w:tcPr>
          <w:p>
            <w:pPr>
              <w:ind w:left="280"/>
              <w:spacing w:after="0" w:line="237" w:lineRule="exact"/>
              <w:rPr>
                <w:sz w:val="20"/>
                <w:szCs w:val="20"/>
                <w:color w:val="auto"/>
              </w:rPr>
            </w:pPr>
            <w:r>
              <w:rPr>
                <w:rFonts w:ascii="Arial" w:cs="Arial" w:eastAsia="Arial" w:hAnsi="Arial"/>
                <w:sz w:val="21"/>
                <w:szCs w:val="21"/>
                <w:color w:val="auto"/>
              </w:rPr>
              <w:t>Commercial paper</w:t>
            </w:r>
          </w:p>
        </w:tc>
        <w:tc>
          <w:tcPr>
            <w:tcW w:w="100" w:type="dxa"/>
            <w:vAlign w:val="bottom"/>
            <w:shd w:val="clear" w:color="auto" w:fill="E0E0E0"/>
          </w:tcPr>
          <w:p>
            <w:pPr>
              <w:spacing w:after="0"/>
              <w:rPr>
                <w:sz w:val="20"/>
                <w:szCs w:val="20"/>
                <w:color w:val="auto"/>
              </w:rPr>
            </w:pPr>
          </w:p>
        </w:tc>
        <w:tc>
          <w:tcPr>
            <w:tcW w:w="900" w:type="dxa"/>
            <w:vAlign w:val="bottom"/>
            <w:shd w:val="clear" w:color="auto" w:fill="E0E0E0"/>
          </w:tcPr>
          <w:p>
            <w:pPr>
              <w:jc w:val="center"/>
              <w:spacing w:after="0" w:line="237" w:lineRule="exact"/>
              <w:rPr>
                <w:sz w:val="20"/>
                <w:szCs w:val="20"/>
                <w:color w:val="auto"/>
              </w:rPr>
            </w:pPr>
            <w:r>
              <w:rPr>
                <w:rFonts w:ascii="Arial" w:cs="Arial" w:eastAsia="Arial" w:hAnsi="Arial"/>
                <w:sz w:val="21"/>
                <w:szCs w:val="21"/>
                <w:color w:val="auto"/>
              </w:rPr>
              <w:t>2</w:t>
            </w:r>
          </w:p>
        </w:tc>
        <w:tc>
          <w:tcPr>
            <w:tcW w:w="10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0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rPr>
              <w:t>96,120</w:t>
            </w:r>
          </w:p>
        </w:tc>
        <w:tc>
          <w:tcPr>
            <w:tcW w:w="180" w:type="dxa"/>
            <w:vAlign w:val="bottom"/>
            <w:tcBorders>
              <w:right w:val="single" w:sz="8" w:color="E0E0E0"/>
            </w:tcBorders>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70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rPr>
              <w:t>—</w:t>
            </w:r>
          </w:p>
        </w:tc>
        <w:tc>
          <w:tcPr>
            <w:tcW w:w="180" w:type="dxa"/>
            <w:vAlign w:val="bottom"/>
            <w:tcBorders>
              <w:right w:val="single" w:sz="8" w:color="E0E0E0"/>
            </w:tcBorders>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920" w:type="dxa"/>
            <w:vAlign w:val="bottom"/>
            <w:tcBorders>
              <w:right w:val="single" w:sz="8" w:color="E0E0E0"/>
            </w:tcBorders>
            <w:gridSpan w:val="2"/>
            <w:shd w:val="clear" w:color="auto" w:fill="E0E0E0"/>
          </w:tcPr>
          <w:p>
            <w:pPr>
              <w:jc w:val="right"/>
              <w:ind w:right="17"/>
              <w:spacing w:after="0" w:line="237" w:lineRule="exact"/>
              <w:rPr>
                <w:sz w:val="20"/>
                <w:szCs w:val="20"/>
                <w:color w:val="auto"/>
              </w:rPr>
            </w:pPr>
            <w:r>
              <w:rPr>
                <w:rFonts w:ascii="Arial" w:cs="Arial" w:eastAsia="Arial" w:hAnsi="Arial"/>
                <w:sz w:val="21"/>
                <w:szCs w:val="21"/>
                <w:color w:val="auto"/>
              </w:rPr>
              <w:t>(5)</w:t>
            </w:r>
          </w:p>
        </w:tc>
        <w:tc>
          <w:tcPr>
            <w:tcW w:w="100" w:type="dxa"/>
            <w:vAlign w:val="bottom"/>
            <w:shd w:val="clear" w:color="auto" w:fill="E0E0E0"/>
          </w:tcPr>
          <w:p>
            <w:pPr>
              <w:spacing w:after="0"/>
              <w:rPr>
                <w:sz w:val="20"/>
                <w:szCs w:val="20"/>
                <w:color w:val="auto"/>
              </w:rPr>
            </w:pPr>
          </w:p>
        </w:tc>
        <w:tc>
          <w:tcPr>
            <w:tcW w:w="74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rPr>
              <w:t>96,115</w:t>
            </w: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4500" w:type="dxa"/>
            <w:vAlign w:val="bottom"/>
            <w:tcBorders>
              <w:bottom w:val="single" w:sz="8" w:color="E0E0E0"/>
            </w:tcBorders>
          </w:tcPr>
          <w:p>
            <w:pPr>
              <w:ind w:left="280"/>
              <w:spacing w:after="0" w:line="227" w:lineRule="exact"/>
              <w:rPr>
                <w:sz w:val="20"/>
                <w:szCs w:val="20"/>
                <w:color w:val="auto"/>
              </w:rPr>
            </w:pPr>
            <w:r>
              <w:rPr>
                <w:rFonts w:ascii="Arial" w:cs="Arial" w:eastAsia="Arial" w:hAnsi="Arial"/>
                <w:sz w:val="21"/>
                <w:szCs w:val="21"/>
                <w:color w:val="auto"/>
              </w:rPr>
              <w:t>Total cash equivalents</w:t>
            </w:r>
          </w:p>
        </w:tc>
        <w:tc>
          <w:tcPr>
            <w:tcW w:w="100" w:type="dxa"/>
            <w:vAlign w:val="bottom"/>
            <w:tcBorders>
              <w:bottom w:val="single" w:sz="8" w:color="E0E0E0"/>
            </w:tcBorders>
          </w:tcPr>
          <w:p>
            <w:pPr>
              <w:spacing w:after="0"/>
              <w:rPr>
                <w:sz w:val="23"/>
                <w:szCs w:val="23"/>
                <w:color w:val="auto"/>
              </w:rPr>
            </w:pPr>
          </w:p>
        </w:tc>
        <w:tc>
          <w:tcPr>
            <w:tcW w:w="900" w:type="dxa"/>
            <w:vAlign w:val="bottom"/>
            <w:tcBorders>
              <w:bottom w:val="single" w:sz="8" w:color="E0E0E0"/>
            </w:tcBorders>
          </w:tcPr>
          <w:p>
            <w:pPr>
              <w:spacing w:after="0"/>
              <w:rPr>
                <w:sz w:val="23"/>
                <w:szCs w:val="23"/>
                <w:color w:val="auto"/>
              </w:rPr>
            </w:pPr>
          </w:p>
        </w:tc>
        <w:tc>
          <w:tcPr>
            <w:tcW w:w="100" w:type="dxa"/>
            <w:vAlign w:val="bottom"/>
            <w:tcBorders>
              <w:bottom w:val="single" w:sz="8" w:color="E0E0E0"/>
            </w:tcBorders>
          </w:tcPr>
          <w:p>
            <w:pPr>
              <w:spacing w:after="0"/>
              <w:rPr>
                <w:sz w:val="23"/>
                <w:szCs w:val="23"/>
                <w:color w:val="auto"/>
              </w:rPr>
            </w:pPr>
          </w:p>
        </w:tc>
        <w:tc>
          <w:tcPr>
            <w:tcW w:w="860" w:type="dxa"/>
            <w:vAlign w:val="bottom"/>
            <w:tcBorders>
              <w:top w:val="single" w:sz="8" w:color="auto"/>
              <w:bottom w:val="single" w:sz="8" w:color="auto"/>
            </w:tcBorders>
            <w:gridSpan w:val="2"/>
          </w:tcPr>
          <w:p>
            <w:pPr>
              <w:jc w:val="right"/>
              <w:spacing w:after="0" w:line="227" w:lineRule="exact"/>
              <w:rPr>
                <w:sz w:val="20"/>
                <w:szCs w:val="20"/>
                <w:color w:val="auto"/>
              </w:rPr>
            </w:pPr>
            <w:r>
              <w:rPr>
                <w:rFonts w:ascii="Arial" w:cs="Arial" w:eastAsia="Arial" w:hAnsi="Arial"/>
                <w:sz w:val="21"/>
                <w:szCs w:val="21"/>
                <w:color w:val="auto"/>
              </w:rPr>
              <w:t>$ 96,177</w:t>
            </w:r>
          </w:p>
        </w:tc>
        <w:tc>
          <w:tcPr>
            <w:tcW w:w="180" w:type="dxa"/>
            <w:vAlign w:val="bottom"/>
            <w:tcBorders>
              <w:bottom w:val="single" w:sz="8" w:color="E0E0E0"/>
            </w:tcBorders>
          </w:tcPr>
          <w:p>
            <w:pPr>
              <w:spacing w:after="0"/>
              <w:rPr>
                <w:sz w:val="23"/>
                <w:szCs w:val="23"/>
                <w:color w:val="auto"/>
              </w:rPr>
            </w:pPr>
          </w:p>
        </w:tc>
        <w:tc>
          <w:tcPr>
            <w:tcW w:w="140" w:type="dxa"/>
            <w:vAlign w:val="bottom"/>
            <w:tcBorders>
              <w:top w:val="single" w:sz="8" w:color="auto"/>
              <w:bottom w:val="single" w:sz="8" w:color="auto"/>
            </w:tcBorders>
          </w:tcPr>
          <w:p>
            <w:pPr>
              <w:spacing w:after="0" w:line="227" w:lineRule="exact"/>
              <w:rPr>
                <w:sz w:val="20"/>
                <w:szCs w:val="20"/>
                <w:color w:val="auto"/>
              </w:rPr>
            </w:pPr>
            <w:r>
              <w:rPr>
                <w:rFonts w:ascii="Arial" w:cs="Arial" w:eastAsia="Arial" w:hAnsi="Arial"/>
                <w:sz w:val="21"/>
                <w:szCs w:val="21"/>
                <w:color w:val="auto"/>
              </w:rPr>
              <w:t>$</w:t>
            </w:r>
          </w:p>
        </w:tc>
        <w:tc>
          <w:tcPr>
            <w:tcW w:w="70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w:t>
            </w:r>
          </w:p>
        </w:tc>
        <w:tc>
          <w:tcPr>
            <w:tcW w:w="180" w:type="dxa"/>
            <w:vAlign w:val="bottom"/>
            <w:tcBorders>
              <w:bottom w:val="single" w:sz="8" w:color="E0E0E0"/>
            </w:tcBorders>
          </w:tcPr>
          <w:p>
            <w:pPr>
              <w:spacing w:after="0"/>
              <w:rPr>
                <w:sz w:val="23"/>
                <w:szCs w:val="23"/>
                <w:color w:val="auto"/>
              </w:rPr>
            </w:pPr>
          </w:p>
        </w:tc>
        <w:tc>
          <w:tcPr>
            <w:tcW w:w="120" w:type="dxa"/>
            <w:vAlign w:val="bottom"/>
            <w:tcBorders>
              <w:top w:val="single" w:sz="8" w:color="auto"/>
              <w:bottom w:val="single" w:sz="8" w:color="auto"/>
            </w:tcBorders>
          </w:tcPr>
          <w:p>
            <w:pPr>
              <w:spacing w:after="0" w:line="227" w:lineRule="exact"/>
              <w:rPr>
                <w:sz w:val="20"/>
                <w:szCs w:val="20"/>
                <w:color w:val="auto"/>
              </w:rPr>
            </w:pPr>
            <w:r>
              <w:rPr>
                <w:rFonts w:ascii="Arial" w:cs="Arial" w:eastAsia="Arial" w:hAnsi="Arial"/>
                <w:sz w:val="21"/>
                <w:szCs w:val="21"/>
                <w:color w:val="auto"/>
                <w:w w:val="85"/>
              </w:rPr>
              <w:t>$</w:t>
            </w:r>
          </w:p>
        </w:tc>
        <w:tc>
          <w:tcPr>
            <w:tcW w:w="72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(5</w:t>
            </w:r>
          </w:p>
        </w:tc>
        <w:tc>
          <w:tcPr>
            <w:tcW w:w="200" w:type="dxa"/>
            <w:vAlign w:val="bottom"/>
            <w:tcBorders>
              <w:bottom w:val="single" w:sz="8" w:color="E0E0E0"/>
            </w:tcBorders>
          </w:tcPr>
          <w:p>
            <w:pPr>
              <w:jc w:val="right"/>
              <w:ind w:right="17"/>
              <w:spacing w:after="0" w:line="227" w:lineRule="exact"/>
              <w:rPr>
                <w:sz w:val="20"/>
                <w:szCs w:val="20"/>
                <w:color w:val="auto"/>
              </w:rPr>
            </w:pPr>
            <w:r>
              <w:rPr>
                <w:rFonts w:ascii="Arial" w:cs="Arial" w:eastAsia="Arial" w:hAnsi="Arial"/>
                <w:sz w:val="21"/>
                <w:szCs w:val="21"/>
                <w:color w:val="auto"/>
                <w:w w:val="85"/>
              </w:rPr>
              <w:t>)</w:t>
            </w:r>
          </w:p>
        </w:tc>
        <w:tc>
          <w:tcPr>
            <w:tcW w:w="100" w:type="dxa"/>
            <w:vAlign w:val="bottom"/>
            <w:tcBorders>
              <w:top w:val="single" w:sz="8" w:color="auto"/>
              <w:bottom w:val="single" w:sz="8" w:color="auto"/>
            </w:tcBorders>
          </w:tcPr>
          <w:p>
            <w:pPr>
              <w:jc w:val="right"/>
              <w:spacing w:after="0" w:line="228" w:lineRule="exact"/>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96,172</w:t>
            </w:r>
          </w:p>
        </w:tc>
        <w:tc>
          <w:tcPr>
            <w:tcW w:w="100" w:type="dxa"/>
            <w:vAlign w:val="bottom"/>
            <w:tcBorders>
              <w:bottom w:val="single" w:sz="8" w:color="E0E0E0"/>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E0E0E0"/>
          </w:tcPr>
          <w:p>
            <w:pPr>
              <w:spacing w:after="0" w:line="223" w:lineRule="exact"/>
              <w:rPr>
                <w:sz w:val="20"/>
                <w:szCs w:val="20"/>
                <w:color w:val="auto"/>
              </w:rPr>
            </w:pPr>
            <w:r>
              <w:rPr>
                <w:rFonts w:ascii="Arial" w:cs="Arial" w:eastAsia="Arial" w:hAnsi="Arial"/>
                <w:sz w:val="21"/>
                <w:szCs w:val="21"/>
                <w:color w:val="auto"/>
              </w:rPr>
              <w:t>Short-term investments:</w:t>
            </w: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100" w:type="dxa"/>
            <w:vAlign w:val="bottom"/>
            <w:tcBorders>
              <w:right w:val="single" w:sz="8" w:color="E0E0E0"/>
            </w:tcBorders>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00" w:type="dxa"/>
            <w:vAlign w:val="bottom"/>
            <w:shd w:val="clear" w:color="auto" w:fill="E0E0E0"/>
          </w:tcPr>
          <w:p>
            <w:pPr>
              <w:spacing w:after="0"/>
              <w:rPr>
                <w:sz w:val="19"/>
                <w:szCs w:val="19"/>
                <w:color w:val="auto"/>
              </w:rPr>
            </w:pPr>
          </w:p>
        </w:tc>
        <w:tc>
          <w:tcPr>
            <w:tcW w:w="180" w:type="dxa"/>
            <w:vAlign w:val="bottom"/>
            <w:tcBorders>
              <w:right w:val="single" w:sz="8" w:color="E0E0E0"/>
            </w:tcBorders>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700" w:type="dxa"/>
            <w:vAlign w:val="bottom"/>
            <w:shd w:val="clear" w:color="auto" w:fill="E0E0E0"/>
          </w:tcPr>
          <w:p>
            <w:pPr>
              <w:spacing w:after="0"/>
              <w:rPr>
                <w:sz w:val="19"/>
                <w:szCs w:val="19"/>
                <w:color w:val="auto"/>
              </w:rPr>
            </w:pPr>
          </w:p>
        </w:tc>
        <w:tc>
          <w:tcPr>
            <w:tcW w:w="180" w:type="dxa"/>
            <w:vAlign w:val="bottom"/>
            <w:tcBorders>
              <w:right w:val="single" w:sz="8" w:color="E0E0E0"/>
            </w:tcBorders>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20" w:type="dxa"/>
            <w:vAlign w:val="bottom"/>
            <w:shd w:val="clear" w:color="auto" w:fill="E0E0E0"/>
          </w:tcPr>
          <w:p>
            <w:pPr>
              <w:spacing w:after="0"/>
              <w:rPr>
                <w:sz w:val="19"/>
                <w:szCs w:val="19"/>
                <w:color w:val="auto"/>
              </w:rPr>
            </w:pPr>
          </w:p>
        </w:tc>
        <w:tc>
          <w:tcPr>
            <w:tcW w:w="20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Pr>
          <w:p>
            <w:pPr>
              <w:ind w:left="280"/>
              <w:spacing w:after="0" w:line="227" w:lineRule="exact"/>
              <w:rPr>
                <w:sz w:val="20"/>
                <w:szCs w:val="20"/>
                <w:color w:val="auto"/>
              </w:rPr>
            </w:pPr>
            <w:r>
              <w:rPr>
                <w:rFonts w:ascii="Arial" w:cs="Arial" w:eastAsia="Arial" w:hAnsi="Arial"/>
                <w:sz w:val="21"/>
                <w:szCs w:val="21"/>
                <w:color w:val="auto"/>
              </w:rPr>
              <w:t>Commercial paper</w:t>
            </w:r>
          </w:p>
        </w:tc>
        <w:tc>
          <w:tcPr>
            <w:tcW w:w="100" w:type="dxa"/>
            <w:vAlign w:val="bottom"/>
          </w:tcPr>
          <w:p>
            <w:pPr>
              <w:spacing w:after="0"/>
              <w:rPr>
                <w:sz w:val="19"/>
                <w:szCs w:val="19"/>
                <w:color w:val="auto"/>
              </w:rPr>
            </w:pPr>
          </w:p>
        </w:tc>
        <w:tc>
          <w:tcPr>
            <w:tcW w:w="900" w:type="dxa"/>
            <w:vAlign w:val="bottom"/>
          </w:tcPr>
          <w:p>
            <w:pPr>
              <w:jc w:val="center"/>
              <w:spacing w:after="0" w:line="227" w:lineRule="exact"/>
              <w:rPr>
                <w:sz w:val="20"/>
                <w:szCs w:val="20"/>
                <w:color w:val="auto"/>
              </w:rPr>
            </w:pPr>
            <w:r>
              <w:rPr>
                <w:rFonts w:ascii="Arial" w:cs="Arial" w:eastAsia="Arial" w:hAnsi="Arial"/>
                <w:sz w:val="21"/>
                <w:szCs w:val="21"/>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line="227" w:lineRule="exact"/>
              <w:rPr>
                <w:sz w:val="20"/>
                <w:szCs w:val="20"/>
                <w:color w:val="auto"/>
              </w:rPr>
            </w:pPr>
            <w:r>
              <w:rPr>
                <w:rFonts w:ascii="Arial" w:cs="Arial" w:eastAsia="Arial" w:hAnsi="Arial"/>
                <w:sz w:val="21"/>
                <w:szCs w:val="21"/>
                <w:color w:val="auto"/>
              </w:rPr>
              <w:t>74,170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line="227" w:lineRule="exact"/>
              <w:rPr>
                <w:sz w:val="20"/>
                <w:szCs w:val="20"/>
                <w:color w:val="auto"/>
              </w:rPr>
            </w:pPr>
            <w:r>
              <w:rPr>
                <w:rFonts w:ascii="Arial" w:cs="Arial" w:eastAsia="Arial" w:hAnsi="Arial"/>
                <w:sz w:val="21"/>
                <w:szCs w:val="2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7"/>
              <w:spacing w:after="0" w:line="227" w:lineRule="exact"/>
              <w:rPr>
                <w:sz w:val="20"/>
                <w:szCs w:val="20"/>
                <w:color w:val="auto"/>
              </w:rPr>
            </w:pPr>
            <w:r>
              <w:rPr>
                <w:rFonts w:ascii="Arial" w:cs="Arial" w:eastAsia="Arial" w:hAnsi="Arial"/>
                <w:sz w:val="21"/>
                <w:szCs w:val="21"/>
                <w:color w:val="auto"/>
              </w:rPr>
              <w:t>(35)</w:t>
            </w:r>
          </w:p>
        </w:tc>
        <w:tc>
          <w:tcPr>
            <w:tcW w:w="100" w:type="dxa"/>
            <w:vAlign w:val="bottom"/>
          </w:tcPr>
          <w:p>
            <w:pPr>
              <w:spacing w:after="0"/>
              <w:rPr>
                <w:sz w:val="19"/>
                <w:szCs w:val="19"/>
                <w:color w:val="auto"/>
              </w:rPr>
            </w:pPr>
          </w:p>
        </w:tc>
        <w:tc>
          <w:tcPr>
            <w:tcW w:w="740" w:type="dxa"/>
            <w:vAlign w:val="bottom"/>
          </w:tcPr>
          <w:p>
            <w:pPr>
              <w:jc w:val="right"/>
              <w:spacing w:after="0" w:line="227" w:lineRule="exact"/>
              <w:rPr>
                <w:sz w:val="20"/>
                <w:szCs w:val="20"/>
                <w:color w:val="auto"/>
              </w:rPr>
            </w:pPr>
            <w:r>
              <w:rPr>
                <w:rFonts w:ascii="Arial" w:cs="Arial" w:eastAsia="Arial" w:hAnsi="Arial"/>
                <w:sz w:val="21"/>
                <w:szCs w:val="21"/>
                <w:color w:val="auto"/>
              </w:rPr>
              <w:t>74,135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E0E0E0"/>
          </w:tcPr>
          <w:p>
            <w:pPr>
              <w:ind w:left="280"/>
              <w:spacing w:after="0" w:line="237" w:lineRule="exact"/>
              <w:rPr>
                <w:sz w:val="20"/>
                <w:szCs w:val="20"/>
                <w:color w:val="auto"/>
              </w:rPr>
            </w:pPr>
            <w:r>
              <w:rPr>
                <w:rFonts w:ascii="Arial" w:cs="Arial" w:eastAsia="Arial" w:hAnsi="Arial"/>
                <w:sz w:val="21"/>
                <w:szCs w:val="21"/>
                <w:color w:val="auto"/>
              </w:rPr>
              <w:t>U.S. government debt, municipal</w:t>
            </w:r>
          </w:p>
        </w:tc>
        <w:tc>
          <w:tcPr>
            <w:tcW w:w="100" w:type="dxa"/>
            <w:vAlign w:val="bottom"/>
            <w:shd w:val="clear" w:color="auto" w:fill="E0E0E0"/>
          </w:tcPr>
          <w:p>
            <w:pPr>
              <w:spacing w:after="0"/>
              <w:rPr>
                <w:sz w:val="20"/>
                <w:szCs w:val="20"/>
                <w:color w:val="auto"/>
              </w:rPr>
            </w:pPr>
          </w:p>
        </w:tc>
        <w:tc>
          <w:tcPr>
            <w:tcW w:w="900" w:type="dxa"/>
            <w:vAlign w:val="bottom"/>
            <w:shd w:val="clear" w:color="auto" w:fill="E0E0E0"/>
          </w:tcPr>
          <w:p>
            <w:pPr>
              <w:spacing w:after="0"/>
              <w:rPr>
                <w:sz w:val="20"/>
                <w:szCs w:val="20"/>
                <w:color w:val="auto"/>
              </w:rPr>
            </w:pPr>
          </w:p>
        </w:tc>
        <w:tc>
          <w:tcPr>
            <w:tcW w:w="10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180" w:type="dxa"/>
            <w:vAlign w:val="bottom"/>
            <w:tcBorders>
              <w:right w:val="single" w:sz="8" w:color="E0E0E0"/>
            </w:tcBorders>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180" w:type="dxa"/>
            <w:vAlign w:val="bottom"/>
            <w:tcBorders>
              <w:right w:val="single" w:sz="8" w:color="E0E0E0"/>
            </w:tcBorders>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720" w:type="dxa"/>
            <w:vAlign w:val="bottom"/>
            <w:shd w:val="clear" w:color="auto" w:fill="E0E0E0"/>
          </w:tcPr>
          <w:p>
            <w:pPr>
              <w:spacing w:after="0"/>
              <w:rPr>
                <w:sz w:val="20"/>
                <w:szCs w:val="20"/>
                <w:color w:val="auto"/>
              </w:rPr>
            </w:pPr>
          </w:p>
        </w:tc>
        <w:tc>
          <w:tcPr>
            <w:tcW w:w="20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00" w:type="dxa"/>
            <w:vAlign w:val="bottom"/>
            <w:shd w:val="clear" w:color="auto" w:fill="E0E0E0"/>
          </w:tcPr>
          <w:p>
            <w:pPr>
              <w:ind w:left="460"/>
              <w:spacing w:after="0" w:line="236" w:lineRule="exact"/>
              <w:rPr>
                <w:sz w:val="20"/>
                <w:szCs w:val="20"/>
                <w:color w:val="auto"/>
              </w:rPr>
            </w:pPr>
            <w:r>
              <w:rPr>
                <w:rFonts w:ascii="Arial" w:cs="Arial" w:eastAsia="Arial" w:hAnsi="Arial"/>
                <w:sz w:val="21"/>
                <w:szCs w:val="21"/>
                <w:color w:val="auto"/>
              </w:rPr>
              <w:t>bonds, and agency securities</w:t>
            </w:r>
          </w:p>
        </w:tc>
        <w:tc>
          <w:tcPr>
            <w:tcW w:w="100" w:type="dxa"/>
            <w:vAlign w:val="bottom"/>
            <w:shd w:val="clear" w:color="auto" w:fill="E0E0E0"/>
          </w:tcPr>
          <w:p>
            <w:pPr>
              <w:spacing w:after="0"/>
              <w:rPr>
                <w:sz w:val="20"/>
                <w:szCs w:val="20"/>
                <w:color w:val="auto"/>
              </w:rPr>
            </w:pPr>
          </w:p>
        </w:tc>
        <w:tc>
          <w:tcPr>
            <w:tcW w:w="900" w:type="dxa"/>
            <w:vAlign w:val="bottom"/>
            <w:shd w:val="clear" w:color="auto" w:fill="E0E0E0"/>
          </w:tcPr>
          <w:p>
            <w:pPr>
              <w:jc w:val="center"/>
              <w:spacing w:after="0" w:line="236" w:lineRule="exact"/>
              <w:rPr>
                <w:sz w:val="20"/>
                <w:szCs w:val="20"/>
                <w:color w:val="auto"/>
              </w:rPr>
            </w:pPr>
            <w:r>
              <w:rPr>
                <w:rFonts w:ascii="Arial" w:cs="Arial" w:eastAsia="Arial" w:hAnsi="Arial"/>
                <w:sz w:val="21"/>
                <w:szCs w:val="21"/>
                <w:color w:val="auto"/>
              </w:rPr>
              <w:t>2</w:t>
            </w:r>
          </w:p>
        </w:tc>
        <w:tc>
          <w:tcPr>
            <w:tcW w:w="10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00" w:type="dxa"/>
            <w:vAlign w:val="bottom"/>
            <w:shd w:val="clear" w:color="auto" w:fill="E0E0E0"/>
          </w:tcPr>
          <w:p>
            <w:pPr>
              <w:jc w:val="right"/>
              <w:spacing w:after="0" w:line="236" w:lineRule="exact"/>
              <w:rPr>
                <w:sz w:val="20"/>
                <w:szCs w:val="20"/>
                <w:color w:val="auto"/>
              </w:rPr>
            </w:pPr>
            <w:r>
              <w:rPr>
                <w:rFonts w:ascii="Arial" w:cs="Arial" w:eastAsia="Arial" w:hAnsi="Arial"/>
                <w:sz w:val="21"/>
                <w:szCs w:val="21"/>
                <w:color w:val="auto"/>
              </w:rPr>
              <w:t>62,149</w:t>
            </w:r>
          </w:p>
        </w:tc>
        <w:tc>
          <w:tcPr>
            <w:tcW w:w="180" w:type="dxa"/>
            <w:vAlign w:val="bottom"/>
            <w:tcBorders>
              <w:right w:val="single" w:sz="8" w:color="E0E0E0"/>
            </w:tcBorders>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700" w:type="dxa"/>
            <w:vAlign w:val="bottom"/>
            <w:shd w:val="clear" w:color="auto" w:fill="E0E0E0"/>
          </w:tcPr>
          <w:p>
            <w:pPr>
              <w:jc w:val="right"/>
              <w:spacing w:after="0" w:line="236" w:lineRule="exact"/>
              <w:rPr>
                <w:sz w:val="20"/>
                <w:szCs w:val="20"/>
                <w:color w:val="auto"/>
              </w:rPr>
            </w:pPr>
            <w:r>
              <w:rPr>
                <w:rFonts w:ascii="Arial" w:cs="Arial" w:eastAsia="Arial" w:hAnsi="Arial"/>
                <w:sz w:val="21"/>
                <w:szCs w:val="21"/>
                <w:color w:val="auto"/>
              </w:rPr>
              <w:t>2</w:t>
            </w:r>
          </w:p>
        </w:tc>
        <w:tc>
          <w:tcPr>
            <w:tcW w:w="180" w:type="dxa"/>
            <w:vAlign w:val="bottom"/>
            <w:tcBorders>
              <w:right w:val="single" w:sz="8" w:color="E0E0E0"/>
            </w:tcBorders>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720" w:type="dxa"/>
            <w:vAlign w:val="bottom"/>
            <w:shd w:val="clear" w:color="auto" w:fill="E0E0E0"/>
          </w:tcPr>
          <w:p>
            <w:pPr>
              <w:jc w:val="right"/>
              <w:spacing w:after="0" w:line="236" w:lineRule="exact"/>
              <w:rPr>
                <w:sz w:val="20"/>
                <w:szCs w:val="20"/>
                <w:color w:val="auto"/>
              </w:rPr>
            </w:pPr>
            <w:r>
              <w:rPr>
                <w:rFonts w:ascii="Arial" w:cs="Arial" w:eastAsia="Arial" w:hAnsi="Arial"/>
                <w:sz w:val="21"/>
                <w:szCs w:val="21"/>
                <w:color w:val="auto"/>
              </w:rPr>
              <w:t>(59</w:t>
            </w:r>
          </w:p>
        </w:tc>
        <w:tc>
          <w:tcPr>
            <w:tcW w:w="200" w:type="dxa"/>
            <w:vAlign w:val="bottom"/>
            <w:tcBorders>
              <w:right w:val="single" w:sz="8" w:color="E0E0E0"/>
            </w:tcBorders>
            <w:shd w:val="clear" w:color="auto" w:fill="E0E0E0"/>
          </w:tcPr>
          <w:p>
            <w:pPr>
              <w:jc w:val="right"/>
              <w:ind w:right="17"/>
              <w:spacing w:after="0" w:line="236" w:lineRule="exact"/>
              <w:rPr>
                <w:sz w:val="20"/>
                <w:szCs w:val="20"/>
                <w:color w:val="auto"/>
              </w:rPr>
            </w:pPr>
            <w:r>
              <w:rPr>
                <w:rFonts w:ascii="Arial" w:cs="Arial" w:eastAsia="Arial" w:hAnsi="Arial"/>
                <w:sz w:val="21"/>
                <w:szCs w:val="21"/>
                <w:color w:val="auto"/>
                <w:w w:val="85"/>
              </w:rPr>
              <w:t>)</w:t>
            </w:r>
          </w:p>
        </w:tc>
        <w:tc>
          <w:tcPr>
            <w:tcW w:w="100" w:type="dxa"/>
            <w:vAlign w:val="bottom"/>
            <w:shd w:val="clear" w:color="auto" w:fill="E0E0E0"/>
          </w:tcPr>
          <w:p>
            <w:pPr>
              <w:spacing w:after="0"/>
              <w:rPr>
                <w:sz w:val="20"/>
                <w:szCs w:val="20"/>
                <w:color w:val="auto"/>
              </w:rPr>
            </w:pPr>
          </w:p>
        </w:tc>
        <w:tc>
          <w:tcPr>
            <w:tcW w:w="740" w:type="dxa"/>
            <w:vAlign w:val="bottom"/>
            <w:shd w:val="clear" w:color="auto" w:fill="E0E0E0"/>
          </w:tcPr>
          <w:p>
            <w:pPr>
              <w:jc w:val="right"/>
              <w:spacing w:after="0" w:line="236" w:lineRule="exact"/>
              <w:rPr>
                <w:sz w:val="20"/>
                <w:szCs w:val="20"/>
                <w:color w:val="auto"/>
              </w:rPr>
            </w:pPr>
            <w:r>
              <w:rPr>
                <w:rFonts w:ascii="Arial" w:cs="Arial" w:eastAsia="Arial" w:hAnsi="Arial"/>
                <w:sz w:val="21"/>
                <w:szCs w:val="21"/>
                <w:color w:val="auto"/>
              </w:rPr>
              <w:t>62,092</w:t>
            </w: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280"/>
              <w:spacing w:after="0" w:line="237" w:lineRule="exact"/>
              <w:rPr>
                <w:sz w:val="20"/>
                <w:szCs w:val="20"/>
                <w:color w:val="auto"/>
              </w:rPr>
            </w:pPr>
            <w:r>
              <w:rPr>
                <w:rFonts w:ascii="Arial" w:cs="Arial" w:eastAsia="Arial" w:hAnsi="Arial"/>
                <w:sz w:val="21"/>
                <w:szCs w:val="21"/>
                <w:color w:val="auto"/>
              </w:rPr>
              <w:t>Corporate bonds</w:t>
            </w:r>
          </w:p>
        </w:tc>
        <w:tc>
          <w:tcPr>
            <w:tcW w:w="100" w:type="dxa"/>
            <w:vAlign w:val="bottom"/>
          </w:tcPr>
          <w:p>
            <w:pPr>
              <w:spacing w:after="0"/>
              <w:rPr>
                <w:sz w:val="20"/>
                <w:szCs w:val="20"/>
                <w:color w:val="auto"/>
              </w:rPr>
            </w:pPr>
          </w:p>
        </w:tc>
        <w:tc>
          <w:tcPr>
            <w:tcW w:w="900" w:type="dxa"/>
            <w:vAlign w:val="bottom"/>
          </w:tcPr>
          <w:p>
            <w:pPr>
              <w:jc w:val="center"/>
              <w:spacing w:after="0" w:line="237" w:lineRule="exact"/>
              <w:rPr>
                <w:sz w:val="20"/>
                <w:szCs w:val="20"/>
                <w:color w:val="auto"/>
              </w:rPr>
            </w:pPr>
            <w:r>
              <w:rPr>
                <w:rFonts w:ascii="Arial" w:cs="Arial" w:eastAsia="Arial" w:hAnsi="Arial"/>
                <w:sz w:val="21"/>
                <w:szCs w:val="21"/>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line="237" w:lineRule="exact"/>
              <w:rPr>
                <w:sz w:val="20"/>
                <w:szCs w:val="20"/>
                <w:color w:val="auto"/>
              </w:rPr>
            </w:pPr>
            <w:r>
              <w:rPr>
                <w:rFonts w:ascii="Arial" w:cs="Arial" w:eastAsia="Arial" w:hAnsi="Arial"/>
                <w:sz w:val="21"/>
                <w:szCs w:val="21"/>
                <w:color w:val="auto"/>
              </w:rPr>
              <w:t>7,004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line="237" w:lineRule="exact"/>
              <w:rPr>
                <w:sz w:val="20"/>
                <w:szCs w:val="20"/>
                <w:color w:val="auto"/>
              </w:rPr>
            </w:pPr>
            <w:r>
              <w:rPr>
                <w:rFonts w:ascii="Arial" w:cs="Arial" w:eastAsia="Arial" w:hAnsi="Arial"/>
                <w:sz w:val="21"/>
                <w:szCs w:val="21"/>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7"/>
              <w:spacing w:after="0" w:line="237" w:lineRule="exact"/>
              <w:rPr>
                <w:sz w:val="20"/>
                <w:szCs w:val="20"/>
                <w:color w:val="auto"/>
              </w:rPr>
            </w:pPr>
            <w:r>
              <w:rPr>
                <w:rFonts w:ascii="Arial" w:cs="Arial" w:eastAsia="Arial" w:hAnsi="Arial"/>
                <w:sz w:val="21"/>
                <w:szCs w:val="21"/>
                <w:color w:val="auto"/>
              </w:rPr>
              <w:t>(9)</w:t>
            </w:r>
          </w:p>
        </w:tc>
        <w:tc>
          <w:tcPr>
            <w:tcW w:w="100" w:type="dxa"/>
            <w:vAlign w:val="bottom"/>
          </w:tcPr>
          <w:p>
            <w:pPr>
              <w:spacing w:after="0"/>
              <w:rPr>
                <w:sz w:val="20"/>
                <w:szCs w:val="20"/>
                <w:color w:val="auto"/>
              </w:rPr>
            </w:pPr>
          </w:p>
        </w:tc>
        <w:tc>
          <w:tcPr>
            <w:tcW w:w="740" w:type="dxa"/>
            <w:vAlign w:val="bottom"/>
          </w:tcPr>
          <w:p>
            <w:pPr>
              <w:jc w:val="right"/>
              <w:spacing w:after="0" w:line="237" w:lineRule="exact"/>
              <w:rPr>
                <w:sz w:val="20"/>
                <w:szCs w:val="20"/>
                <w:color w:val="auto"/>
              </w:rPr>
            </w:pPr>
            <w:r>
              <w:rPr>
                <w:rFonts w:ascii="Arial" w:cs="Arial" w:eastAsia="Arial" w:hAnsi="Arial"/>
                <w:sz w:val="21"/>
                <w:szCs w:val="21"/>
                <w:color w:val="auto"/>
              </w:rPr>
              <w:t>6,995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E0E0E0"/>
          </w:tcPr>
          <w:p>
            <w:pPr>
              <w:spacing w:after="0"/>
              <w:rPr>
                <w:sz w:val="20"/>
                <w:szCs w:val="20"/>
                <w:color w:val="auto"/>
              </w:rPr>
            </w:pPr>
            <w:r>
              <w:rPr>
                <w:rFonts w:ascii="Arial" w:cs="Arial" w:eastAsia="Arial" w:hAnsi="Arial"/>
                <w:sz w:val="21"/>
                <w:szCs w:val="21"/>
                <w:color w:val="auto"/>
              </w:rPr>
              <w:t>Total short-term investments</w:t>
            </w:r>
          </w:p>
        </w:tc>
        <w:tc>
          <w:tcPr>
            <w:tcW w:w="100" w:type="dxa"/>
            <w:vAlign w:val="bottom"/>
            <w:shd w:val="clear" w:color="auto" w:fill="E0E0E0"/>
          </w:tcPr>
          <w:p>
            <w:pPr>
              <w:spacing w:after="0" w:line="20" w:lineRule="exact"/>
              <w:rPr>
                <w:sz w:val="1"/>
                <w:szCs w:val="1"/>
                <w:color w:val="auto"/>
              </w:rPr>
            </w:pPr>
          </w:p>
        </w:tc>
        <w:tc>
          <w:tcPr>
            <w:tcW w:w="900" w:type="dxa"/>
            <w:vAlign w:val="bottom"/>
            <w:shd w:val="clear" w:color="auto" w:fill="E0E0E0"/>
          </w:tcPr>
          <w:p>
            <w:pPr>
              <w:spacing w:after="0" w:line="20" w:lineRule="exact"/>
              <w:rPr>
                <w:sz w:val="1"/>
                <w:szCs w:val="1"/>
                <w:color w:val="auto"/>
              </w:rPr>
            </w:pP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500" w:type="dxa"/>
            <w:vAlign w:val="bottom"/>
            <w:vMerge w:val="continue"/>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960" w:type="dxa"/>
            <w:vAlign w:val="bottom"/>
            <w:gridSpan w:val="3"/>
            <w:shd w:val="clear" w:color="auto" w:fill="E0E0E0"/>
          </w:tcPr>
          <w:p>
            <w:pPr>
              <w:jc w:val="right"/>
              <w:spacing w:after="0" w:line="227" w:lineRule="exact"/>
              <w:rPr>
                <w:sz w:val="20"/>
                <w:szCs w:val="20"/>
                <w:color w:val="auto"/>
              </w:rPr>
            </w:pPr>
            <w:r>
              <w:rPr>
                <w:rFonts w:ascii="Arial" w:cs="Arial" w:eastAsia="Arial" w:hAnsi="Arial"/>
                <w:sz w:val="21"/>
                <w:szCs w:val="21"/>
                <w:u w:val="single" w:color="auto"/>
                <w:color w:val="auto"/>
              </w:rPr>
              <w:t>$</w:t>
            </w:r>
            <w:r>
              <w:rPr>
                <w:rFonts w:ascii="Arial" w:cs="Arial" w:eastAsia="Arial" w:hAnsi="Arial"/>
                <w:sz w:val="21"/>
                <w:szCs w:val="21"/>
                <w:color w:val="auto"/>
              </w:rPr>
              <w:t>143,323</w:t>
            </w:r>
          </w:p>
        </w:tc>
        <w:tc>
          <w:tcPr>
            <w:tcW w:w="320" w:type="dxa"/>
            <w:vAlign w:val="bottom"/>
            <w:gridSpan w:val="2"/>
            <w:shd w:val="clear" w:color="auto" w:fill="E0E0E0"/>
          </w:tcPr>
          <w:p>
            <w:pPr>
              <w:ind w:left="180"/>
              <w:spacing w:after="0" w:line="227" w:lineRule="exact"/>
              <w:rPr>
                <w:sz w:val="20"/>
                <w:szCs w:val="20"/>
                <w:color w:val="auto"/>
              </w:rPr>
            </w:pPr>
            <w:r>
              <w:rPr>
                <w:rFonts w:ascii="Arial" w:cs="Arial" w:eastAsia="Arial" w:hAnsi="Arial"/>
                <w:sz w:val="21"/>
                <w:szCs w:val="21"/>
                <w:color w:val="auto"/>
              </w:rPr>
              <w:t>$</w:t>
            </w:r>
          </w:p>
        </w:tc>
        <w:tc>
          <w:tcPr>
            <w:tcW w:w="70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rPr>
              <w:t>2</w:t>
            </w:r>
          </w:p>
        </w:tc>
        <w:tc>
          <w:tcPr>
            <w:tcW w:w="300" w:type="dxa"/>
            <w:vAlign w:val="bottom"/>
            <w:gridSpan w:val="2"/>
            <w:shd w:val="clear" w:color="auto" w:fill="E0E0E0"/>
          </w:tcPr>
          <w:p>
            <w:pPr>
              <w:ind w:left="180"/>
              <w:spacing w:after="0" w:line="227" w:lineRule="exact"/>
              <w:rPr>
                <w:sz w:val="20"/>
                <w:szCs w:val="20"/>
                <w:color w:val="auto"/>
              </w:rPr>
            </w:pPr>
            <w:r>
              <w:rPr>
                <w:rFonts w:ascii="Arial" w:cs="Arial" w:eastAsia="Arial" w:hAnsi="Arial"/>
                <w:sz w:val="21"/>
                <w:szCs w:val="21"/>
                <w:color w:val="auto"/>
                <w:w w:val="85"/>
              </w:rPr>
              <w:t>$</w:t>
            </w:r>
          </w:p>
        </w:tc>
        <w:tc>
          <w:tcPr>
            <w:tcW w:w="920" w:type="dxa"/>
            <w:vAlign w:val="bottom"/>
            <w:tcBorders>
              <w:right w:val="single" w:sz="8" w:color="E0E0E0"/>
            </w:tcBorders>
            <w:gridSpan w:val="2"/>
            <w:shd w:val="clear" w:color="auto" w:fill="E0E0E0"/>
          </w:tcPr>
          <w:p>
            <w:pPr>
              <w:jc w:val="right"/>
              <w:ind w:right="17"/>
              <w:spacing w:after="0" w:line="227" w:lineRule="exact"/>
              <w:rPr>
                <w:sz w:val="20"/>
                <w:szCs w:val="20"/>
                <w:color w:val="auto"/>
              </w:rPr>
            </w:pPr>
            <w:r>
              <w:rPr>
                <w:rFonts w:ascii="Arial" w:cs="Arial" w:eastAsia="Arial" w:hAnsi="Arial"/>
                <w:sz w:val="21"/>
                <w:szCs w:val="21"/>
                <w:color w:val="auto"/>
              </w:rPr>
              <w:t>(103)</w:t>
            </w:r>
          </w:p>
        </w:tc>
        <w:tc>
          <w:tcPr>
            <w:tcW w:w="100" w:type="dxa"/>
            <w:vAlign w:val="bottom"/>
            <w:shd w:val="clear" w:color="auto" w:fill="E0E0E0"/>
          </w:tcPr>
          <w:p>
            <w:pPr>
              <w:jc w:val="right"/>
              <w:spacing w:after="0" w:line="228" w:lineRule="exact"/>
              <w:rPr>
                <w:sz w:val="20"/>
                <w:szCs w:val="20"/>
                <w:color w:val="auto"/>
              </w:rPr>
            </w:pPr>
            <w:r>
              <w:rPr>
                <w:rFonts w:ascii="Arial" w:cs="Arial" w:eastAsia="Arial" w:hAnsi="Arial"/>
                <w:sz w:val="20"/>
                <w:szCs w:val="20"/>
                <w:u w:val="single" w:color="auto"/>
                <w:color w:val="auto"/>
                <w:w w:val="71"/>
              </w:rPr>
              <w:t>$</w:t>
            </w:r>
          </w:p>
        </w:tc>
        <w:tc>
          <w:tcPr>
            <w:tcW w:w="74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w w:val="94"/>
              </w:rPr>
              <w:t>143,222</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21"/>
                <w:szCs w:val="21"/>
                <w:color w:val="auto"/>
              </w:rPr>
              <w:t>Long-term investments:</w:t>
            </w: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Borders>
              <w:top w:val="single" w:sz="8" w:color="auto"/>
            </w:tcBorders>
            <w:shd w:val="clear" w:color="auto" w:fill="E0E0E0"/>
          </w:tcPr>
          <w:p>
            <w:pPr>
              <w:ind w:left="280"/>
              <w:spacing w:after="0" w:line="227" w:lineRule="exact"/>
              <w:rPr>
                <w:sz w:val="20"/>
                <w:szCs w:val="20"/>
                <w:color w:val="auto"/>
              </w:rPr>
            </w:pPr>
            <w:r>
              <w:rPr>
                <w:rFonts w:ascii="Arial" w:cs="Arial" w:eastAsia="Arial" w:hAnsi="Arial"/>
                <w:sz w:val="21"/>
                <w:szCs w:val="21"/>
                <w:color w:val="auto"/>
              </w:rPr>
              <w:t>Corporate bonds</w:t>
            </w:r>
          </w:p>
        </w:tc>
        <w:tc>
          <w:tcPr>
            <w:tcW w:w="100" w:type="dxa"/>
            <w:vAlign w:val="bottom"/>
            <w:tcBorders>
              <w:top w:val="single" w:sz="8" w:color="E0E0E0"/>
            </w:tcBorders>
            <w:shd w:val="clear" w:color="auto" w:fill="E0E0E0"/>
          </w:tcPr>
          <w:p>
            <w:pPr>
              <w:spacing w:after="0"/>
              <w:rPr>
                <w:sz w:val="19"/>
                <w:szCs w:val="19"/>
                <w:color w:val="auto"/>
              </w:rPr>
            </w:pPr>
          </w:p>
        </w:tc>
        <w:tc>
          <w:tcPr>
            <w:tcW w:w="900" w:type="dxa"/>
            <w:vAlign w:val="bottom"/>
            <w:tcBorders>
              <w:top w:val="single" w:sz="8" w:color="E0E0E0"/>
            </w:tcBorders>
            <w:shd w:val="clear" w:color="auto" w:fill="E0E0E0"/>
          </w:tcPr>
          <w:p>
            <w:pPr>
              <w:jc w:val="center"/>
              <w:spacing w:after="0" w:line="227" w:lineRule="exact"/>
              <w:rPr>
                <w:sz w:val="20"/>
                <w:szCs w:val="20"/>
                <w:color w:val="auto"/>
              </w:rPr>
            </w:pPr>
            <w:r>
              <w:rPr>
                <w:rFonts w:ascii="Arial" w:cs="Arial" w:eastAsia="Arial" w:hAnsi="Arial"/>
                <w:sz w:val="21"/>
                <w:szCs w:val="21"/>
                <w:color w:val="auto"/>
              </w:rPr>
              <w:t>2</w:t>
            </w:r>
          </w:p>
        </w:tc>
        <w:tc>
          <w:tcPr>
            <w:tcW w:w="100" w:type="dxa"/>
            <w:vAlign w:val="bottom"/>
            <w:tcBorders>
              <w:top w:val="single" w:sz="8" w:color="E0E0E0"/>
              <w:right w:val="single" w:sz="8" w:color="E0E0E0"/>
            </w:tcBorders>
            <w:shd w:val="clear" w:color="auto" w:fill="E0E0E0"/>
          </w:tcPr>
          <w:p>
            <w:pPr>
              <w:spacing w:after="0"/>
              <w:rPr>
                <w:sz w:val="19"/>
                <w:szCs w:val="19"/>
                <w:color w:val="auto"/>
              </w:rPr>
            </w:pPr>
          </w:p>
        </w:tc>
        <w:tc>
          <w:tcPr>
            <w:tcW w:w="160" w:type="dxa"/>
            <w:vAlign w:val="bottom"/>
            <w:tcBorders>
              <w:top w:val="single" w:sz="8" w:color="E0E0E0"/>
            </w:tcBorders>
            <w:shd w:val="clear" w:color="auto" w:fill="E0E0E0"/>
          </w:tcPr>
          <w:p>
            <w:pPr>
              <w:spacing w:after="0"/>
              <w:rPr>
                <w:sz w:val="19"/>
                <w:szCs w:val="19"/>
                <w:color w:val="auto"/>
              </w:rPr>
            </w:pPr>
          </w:p>
        </w:tc>
        <w:tc>
          <w:tcPr>
            <w:tcW w:w="700" w:type="dxa"/>
            <w:vAlign w:val="bottom"/>
            <w:tcBorders>
              <w:top w:val="single" w:sz="8" w:color="E0E0E0"/>
            </w:tcBorders>
            <w:shd w:val="clear" w:color="auto" w:fill="E0E0E0"/>
          </w:tcPr>
          <w:p>
            <w:pPr>
              <w:jc w:val="right"/>
              <w:spacing w:after="0" w:line="227" w:lineRule="exact"/>
              <w:rPr>
                <w:sz w:val="20"/>
                <w:szCs w:val="20"/>
                <w:color w:val="auto"/>
              </w:rPr>
            </w:pPr>
            <w:r>
              <w:rPr>
                <w:rFonts w:ascii="Arial" w:cs="Arial" w:eastAsia="Arial" w:hAnsi="Arial"/>
                <w:sz w:val="21"/>
                <w:szCs w:val="21"/>
                <w:color w:val="auto"/>
              </w:rPr>
              <w:t>3,307</w:t>
            </w:r>
          </w:p>
        </w:tc>
        <w:tc>
          <w:tcPr>
            <w:tcW w:w="180" w:type="dxa"/>
            <w:vAlign w:val="bottom"/>
            <w:tcBorders>
              <w:top w:val="single" w:sz="8" w:color="E0E0E0"/>
              <w:right w:val="single" w:sz="8" w:color="E0E0E0"/>
            </w:tcBorders>
            <w:shd w:val="clear" w:color="auto" w:fill="E0E0E0"/>
          </w:tcPr>
          <w:p>
            <w:pPr>
              <w:spacing w:after="0"/>
              <w:rPr>
                <w:sz w:val="19"/>
                <w:szCs w:val="19"/>
                <w:color w:val="auto"/>
              </w:rPr>
            </w:pPr>
          </w:p>
        </w:tc>
        <w:tc>
          <w:tcPr>
            <w:tcW w:w="140" w:type="dxa"/>
            <w:vAlign w:val="bottom"/>
            <w:tcBorders>
              <w:top w:val="single" w:sz="8" w:color="E0E0E0"/>
            </w:tcBorders>
            <w:shd w:val="clear" w:color="auto" w:fill="E0E0E0"/>
          </w:tcPr>
          <w:p>
            <w:pPr>
              <w:spacing w:after="0"/>
              <w:rPr>
                <w:sz w:val="19"/>
                <w:szCs w:val="19"/>
                <w:color w:val="auto"/>
              </w:rPr>
            </w:pPr>
          </w:p>
        </w:tc>
        <w:tc>
          <w:tcPr>
            <w:tcW w:w="700" w:type="dxa"/>
            <w:vAlign w:val="bottom"/>
            <w:tcBorders>
              <w:top w:val="single" w:sz="8" w:color="E0E0E0"/>
            </w:tcBorders>
            <w:shd w:val="clear" w:color="auto" w:fill="E0E0E0"/>
          </w:tcPr>
          <w:p>
            <w:pPr>
              <w:jc w:val="right"/>
              <w:spacing w:after="0" w:line="227" w:lineRule="exact"/>
              <w:rPr>
                <w:sz w:val="20"/>
                <w:szCs w:val="20"/>
                <w:color w:val="auto"/>
              </w:rPr>
            </w:pPr>
            <w:r>
              <w:rPr>
                <w:rFonts w:ascii="Arial" w:cs="Arial" w:eastAsia="Arial" w:hAnsi="Arial"/>
                <w:sz w:val="21"/>
                <w:szCs w:val="21"/>
                <w:color w:val="auto"/>
              </w:rPr>
              <w:t>—</w:t>
            </w:r>
          </w:p>
        </w:tc>
        <w:tc>
          <w:tcPr>
            <w:tcW w:w="180" w:type="dxa"/>
            <w:vAlign w:val="bottom"/>
            <w:tcBorders>
              <w:top w:val="single" w:sz="8" w:color="E0E0E0"/>
              <w:right w:val="single" w:sz="8" w:color="E0E0E0"/>
            </w:tcBorders>
            <w:shd w:val="clear" w:color="auto" w:fill="E0E0E0"/>
          </w:tcPr>
          <w:p>
            <w:pPr>
              <w:spacing w:after="0"/>
              <w:rPr>
                <w:sz w:val="19"/>
                <w:szCs w:val="19"/>
                <w:color w:val="auto"/>
              </w:rPr>
            </w:pPr>
          </w:p>
        </w:tc>
        <w:tc>
          <w:tcPr>
            <w:tcW w:w="120" w:type="dxa"/>
            <w:vAlign w:val="bottom"/>
            <w:tcBorders>
              <w:top w:val="single" w:sz="8" w:color="E0E0E0"/>
            </w:tcBorders>
            <w:shd w:val="clear" w:color="auto" w:fill="E0E0E0"/>
          </w:tcPr>
          <w:p>
            <w:pPr>
              <w:spacing w:after="0"/>
              <w:rPr>
                <w:sz w:val="19"/>
                <w:szCs w:val="19"/>
                <w:color w:val="auto"/>
              </w:rPr>
            </w:pPr>
          </w:p>
        </w:tc>
        <w:tc>
          <w:tcPr>
            <w:tcW w:w="920" w:type="dxa"/>
            <w:vAlign w:val="bottom"/>
            <w:tcBorders>
              <w:top w:val="single" w:sz="8" w:color="E0E0E0"/>
              <w:right w:val="single" w:sz="8" w:color="E0E0E0"/>
            </w:tcBorders>
            <w:gridSpan w:val="2"/>
            <w:shd w:val="clear" w:color="auto" w:fill="E0E0E0"/>
          </w:tcPr>
          <w:p>
            <w:pPr>
              <w:jc w:val="right"/>
              <w:ind w:right="17"/>
              <w:spacing w:after="0" w:line="227" w:lineRule="exact"/>
              <w:rPr>
                <w:sz w:val="20"/>
                <w:szCs w:val="20"/>
                <w:color w:val="auto"/>
              </w:rPr>
            </w:pPr>
            <w:r>
              <w:rPr>
                <w:rFonts w:ascii="Arial" w:cs="Arial" w:eastAsia="Arial" w:hAnsi="Arial"/>
                <w:sz w:val="21"/>
                <w:szCs w:val="21"/>
                <w:color w:val="auto"/>
              </w:rPr>
              <w:t>(20)</w:t>
            </w:r>
          </w:p>
        </w:tc>
        <w:tc>
          <w:tcPr>
            <w:tcW w:w="100" w:type="dxa"/>
            <w:vAlign w:val="bottom"/>
            <w:tcBorders>
              <w:top w:val="single" w:sz="8" w:color="E0E0E0"/>
            </w:tcBorders>
            <w:shd w:val="clear" w:color="auto" w:fill="E0E0E0"/>
          </w:tcPr>
          <w:p>
            <w:pPr>
              <w:spacing w:after="0"/>
              <w:rPr>
                <w:sz w:val="19"/>
                <w:szCs w:val="19"/>
                <w:color w:val="auto"/>
              </w:rPr>
            </w:pPr>
          </w:p>
        </w:tc>
        <w:tc>
          <w:tcPr>
            <w:tcW w:w="740" w:type="dxa"/>
            <w:vAlign w:val="bottom"/>
            <w:tcBorders>
              <w:top w:val="single" w:sz="8" w:color="E0E0E0"/>
            </w:tcBorders>
            <w:shd w:val="clear" w:color="auto" w:fill="E0E0E0"/>
          </w:tcPr>
          <w:p>
            <w:pPr>
              <w:jc w:val="right"/>
              <w:spacing w:after="0" w:line="227" w:lineRule="exact"/>
              <w:rPr>
                <w:sz w:val="20"/>
                <w:szCs w:val="20"/>
                <w:color w:val="auto"/>
              </w:rPr>
            </w:pPr>
            <w:r>
              <w:rPr>
                <w:rFonts w:ascii="Arial" w:cs="Arial" w:eastAsia="Arial" w:hAnsi="Arial"/>
                <w:sz w:val="21"/>
                <w:szCs w:val="21"/>
                <w:color w:val="auto"/>
              </w:rPr>
              <w:t>3,287</w:t>
            </w: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00" w:type="dxa"/>
            <w:vAlign w:val="bottom"/>
          </w:tcPr>
          <w:p>
            <w:pPr>
              <w:ind w:left="280"/>
              <w:spacing w:after="0" w:line="217" w:lineRule="exact"/>
              <w:rPr>
                <w:sz w:val="20"/>
                <w:szCs w:val="20"/>
                <w:color w:val="auto"/>
              </w:rPr>
            </w:pPr>
            <w:r>
              <w:rPr>
                <w:rFonts w:ascii="Arial" w:cs="Arial" w:eastAsia="Arial" w:hAnsi="Arial"/>
                <w:sz w:val="21"/>
                <w:szCs w:val="21"/>
                <w:color w:val="auto"/>
              </w:rPr>
              <w:t>U.S. government debt and agency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21"/>
                <w:szCs w:val="2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21"/>
                <w:szCs w:val="21"/>
                <w:color w:val="auto"/>
              </w:rPr>
              <w:t>(262)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00" w:type="dxa"/>
            <w:vAlign w:val="bottom"/>
            <w:gridSpan w:val="2"/>
          </w:tcPr>
          <w:p>
            <w:pPr>
              <w:ind w:left="460"/>
              <w:spacing w:after="0"/>
              <w:rPr>
                <w:sz w:val="20"/>
                <w:szCs w:val="20"/>
                <w:color w:val="auto"/>
              </w:rPr>
            </w:pPr>
            <w:r>
              <w:rPr>
                <w:rFonts w:ascii="Arial" w:cs="Arial" w:eastAsia="Arial" w:hAnsi="Arial"/>
                <w:sz w:val="21"/>
                <w:szCs w:val="21"/>
                <w:color w:val="auto"/>
              </w:rPr>
              <w:t>securities</w:t>
            </w:r>
          </w:p>
        </w:tc>
        <w:tc>
          <w:tcPr>
            <w:tcW w:w="900" w:type="dxa"/>
            <w:vAlign w:val="bottom"/>
          </w:tcPr>
          <w:p>
            <w:pPr>
              <w:jc w:val="center"/>
              <w:spacing w:after="0"/>
              <w:rPr>
                <w:sz w:val="20"/>
                <w:szCs w:val="20"/>
                <w:color w:val="auto"/>
              </w:rPr>
            </w:pPr>
            <w:r>
              <w:rPr>
                <w:rFonts w:ascii="Arial" w:cs="Arial" w:eastAsia="Arial" w:hAnsi="Arial"/>
                <w:sz w:val="21"/>
                <w:szCs w:val="21"/>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1"/>
                <w:szCs w:val="21"/>
                <w:color w:val="auto"/>
              </w:rPr>
              <w:t>62,911</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62,649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00" w:type="dxa"/>
            <w:vAlign w:val="bottom"/>
            <w:shd w:val="clear" w:color="auto" w:fill="E0E0E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900" w:type="dxa"/>
            <w:vAlign w:val="bottom"/>
            <w:shd w:val="clear" w:color="auto" w:fill="E0E0E0"/>
          </w:tcPr>
          <w:p>
            <w:pPr>
              <w:spacing w:after="0" w:line="20" w:lineRule="exact"/>
              <w:rPr>
                <w:sz w:val="1"/>
                <w:szCs w:val="1"/>
                <w:color w:val="auto"/>
              </w:rPr>
            </w:pP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00" w:type="dxa"/>
            <w:vAlign w:val="bottom"/>
            <w:shd w:val="clear" w:color="auto" w:fill="E0E0E0"/>
          </w:tcPr>
          <w:p>
            <w:pPr>
              <w:spacing w:after="0" w:line="229" w:lineRule="exact"/>
              <w:rPr>
                <w:sz w:val="20"/>
                <w:szCs w:val="20"/>
                <w:color w:val="auto"/>
              </w:rPr>
            </w:pPr>
            <w:r>
              <w:rPr>
                <w:rFonts w:ascii="Arial" w:cs="Arial" w:eastAsia="Arial" w:hAnsi="Arial"/>
                <w:sz w:val="21"/>
                <w:szCs w:val="21"/>
                <w:color w:val="auto"/>
              </w:rPr>
              <w:t>Total long-term investments</w:t>
            </w:r>
          </w:p>
        </w:tc>
        <w:tc>
          <w:tcPr>
            <w:tcW w:w="10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960" w:type="dxa"/>
            <w:vAlign w:val="bottom"/>
            <w:gridSpan w:val="3"/>
            <w:shd w:val="clear" w:color="auto" w:fill="E0E0E0"/>
          </w:tcPr>
          <w:p>
            <w:pPr>
              <w:jc w:val="right"/>
              <w:spacing w:after="0" w:line="229" w:lineRule="exact"/>
              <w:rPr>
                <w:sz w:val="20"/>
                <w:szCs w:val="20"/>
                <w:color w:val="auto"/>
              </w:rPr>
            </w:pPr>
            <w:r>
              <w:rPr>
                <w:rFonts w:ascii="Arial" w:cs="Arial" w:eastAsia="Arial" w:hAnsi="Arial"/>
                <w:sz w:val="21"/>
                <w:szCs w:val="21"/>
                <w:color w:val="auto"/>
              </w:rPr>
              <w:t>$ 66,218</w:t>
            </w:r>
          </w:p>
        </w:tc>
        <w:tc>
          <w:tcPr>
            <w:tcW w:w="320" w:type="dxa"/>
            <w:vAlign w:val="bottom"/>
            <w:gridSpan w:val="2"/>
            <w:shd w:val="clear" w:color="auto" w:fill="E0E0E0"/>
          </w:tcPr>
          <w:p>
            <w:pPr>
              <w:ind w:left="180"/>
              <w:spacing w:after="0" w:line="229" w:lineRule="exact"/>
              <w:rPr>
                <w:sz w:val="20"/>
                <w:szCs w:val="20"/>
                <w:color w:val="auto"/>
              </w:rPr>
            </w:pPr>
            <w:r>
              <w:rPr>
                <w:rFonts w:ascii="Arial" w:cs="Arial" w:eastAsia="Arial" w:hAnsi="Arial"/>
                <w:sz w:val="21"/>
                <w:szCs w:val="21"/>
                <w:color w:val="auto"/>
              </w:rPr>
              <w:t>$</w:t>
            </w:r>
          </w:p>
        </w:tc>
        <w:tc>
          <w:tcPr>
            <w:tcW w:w="700" w:type="dxa"/>
            <w:vAlign w:val="bottom"/>
            <w:shd w:val="clear" w:color="auto" w:fill="E0E0E0"/>
          </w:tcPr>
          <w:p>
            <w:pPr>
              <w:jc w:val="right"/>
              <w:spacing w:after="0" w:line="229" w:lineRule="exact"/>
              <w:rPr>
                <w:sz w:val="20"/>
                <w:szCs w:val="20"/>
                <w:color w:val="auto"/>
              </w:rPr>
            </w:pPr>
            <w:r>
              <w:rPr>
                <w:rFonts w:ascii="Arial" w:cs="Arial" w:eastAsia="Arial" w:hAnsi="Arial"/>
                <w:sz w:val="21"/>
                <w:szCs w:val="21"/>
                <w:color w:val="auto"/>
              </w:rPr>
              <w:t>—</w:t>
            </w:r>
          </w:p>
        </w:tc>
        <w:tc>
          <w:tcPr>
            <w:tcW w:w="300" w:type="dxa"/>
            <w:vAlign w:val="bottom"/>
            <w:gridSpan w:val="2"/>
            <w:shd w:val="clear" w:color="auto" w:fill="E0E0E0"/>
          </w:tcPr>
          <w:p>
            <w:pPr>
              <w:ind w:left="180"/>
              <w:spacing w:after="0" w:line="229" w:lineRule="exact"/>
              <w:rPr>
                <w:sz w:val="20"/>
                <w:szCs w:val="20"/>
                <w:color w:val="auto"/>
              </w:rPr>
            </w:pPr>
            <w:r>
              <w:rPr>
                <w:rFonts w:ascii="Arial" w:cs="Arial" w:eastAsia="Arial" w:hAnsi="Arial"/>
                <w:sz w:val="21"/>
                <w:szCs w:val="21"/>
                <w:color w:val="auto"/>
                <w:w w:val="85"/>
              </w:rPr>
              <w:t>$</w:t>
            </w:r>
          </w:p>
        </w:tc>
        <w:tc>
          <w:tcPr>
            <w:tcW w:w="920" w:type="dxa"/>
            <w:vAlign w:val="bottom"/>
            <w:tcBorders>
              <w:right w:val="single" w:sz="8" w:color="E0E0E0"/>
            </w:tcBorders>
            <w:gridSpan w:val="2"/>
            <w:shd w:val="clear" w:color="auto" w:fill="E0E0E0"/>
          </w:tcPr>
          <w:p>
            <w:pPr>
              <w:jc w:val="right"/>
              <w:ind w:right="17"/>
              <w:spacing w:after="0" w:line="229" w:lineRule="exact"/>
              <w:rPr>
                <w:sz w:val="20"/>
                <w:szCs w:val="20"/>
                <w:color w:val="auto"/>
              </w:rPr>
            </w:pPr>
            <w:r>
              <w:rPr>
                <w:rFonts w:ascii="Arial" w:cs="Arial" w:eastAsia="Arial" w:hAnsi="Arial"/>
                <w:sz w:val="21"/>
                <w:szCs w:val="21"/>
                <w:color w:val="auto"/>
              </w:rPr>
              <w:t>(282)</w:t>
            </w:r>
          </w:p>
        </w:tc>
        <w:tc>
          <w:tcPr>
            <w:tcW w:w="100" w:type="dxa"/>
            <w:vAlign w:val="bottom"/>
            <w:shd w:val="clear" w:color="auto" w:fill="E0E0E0"/>
          </w:tcPr>
          <w:p>
            <w:pPr>
              <w:jc w:val="right"/>
              <w:spacing w:after="0" w:line="229" w:lineRule="exact"/>
              <w:rPr>
                <w:sz w:val="20"/>
                <w:szCs w:val="20"/>
                <w:color w:val="auto"/>
              </w:rPr>
            </w:pPr>
            <w:r>
              <w:rPr>
                <w:rFonts w:ascii="Arial" w:cs="Arial" w:eastAsia="Arial" w:hAnsi="Arial"/>
                <w:sz w:val="20"/>
                <w:szCs w:val="20"/>
                <w:color w:val="auto"/>
                <w:w w:val="71"/>
              </w:rPr>
              <w:t>$</w:t>
            </w:r>
          </w:p>
        </w:tc>
        <w:tc>
          <w:tcPr>
            <w:tcW w:w="740" w:type="dxa"/>
            <w:vAlign w:val="bottom"/>
            <w:shd w:val="clear" w:color="auto" w:fill="E0E0E0"/>
          </w:tcPr>
          <w:p>
            <w:pPr>
              <w:jc w:val="right"/>
              <w:spacing w:after="0" w:line="229" w:lineRule="exact"/>
              <w:rPr>
                <w:sz w:val="20"/>
                <w:szCs w:val="20"/>
                <w:color w:val="auto"/>
              </w:rPr>
            </w:pPr>
            <w:r>
              <w:rPr>
                <w:rFonts w:ascii="Arial" w:cs="Arial" w:eastAsia="Arial" w:hAnsi="Arial"/>
                <w:sz w:val="21"/>
                <w:szCs w:val="21"/>
                <w:color w:val="auto"/>
              </w:rPr>
              <w:t>65,936</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3551555</wp:posOffset>
                </wp:positionH>
                <wp:positionV relativeFrom="paragraph">
                  <wp:posOffset>-3552825</wp:posOffset>
                </wp:positionV>
                <wp:extent cx="54673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735"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65pt,-279.7499pt" to="322.7pt,-279.74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4212590</wp:posOffset>
                </wp:positionH>
                <wp:positionV relativeFrom="paragraph">
                  <wp:posOffset>-3552825</wp:posOffset>
                </wp:positionV>
                <wp:extent cx="53784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845"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7pt,-279.7499pt" to="374.05pt,-279.74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4864735</wp:posOffset>
                </wp:positionH>
                <wp:positionV relativeFrom="paragraph">
                  <wp:posOffset>-3552825</wp:posOffset>
                </wp:positionV>
                <wp:extent cx="53721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05pt,-279.7499pt" to="425.35pt,-279.74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5516880</wp:posOffset>
                </wp:positionH>
                <wp:positionV relativeFrom="paragraph">
                  <wp:posOffset>-3552825</wp:posOffset>
                </wp:positionV>
                <wp:extent cx="5461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10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4pt,-279.7499pt" to="477.4pt,-279.74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3551555</wp:posOffset>
                </wp:positionH>
                <wp:positionV relativeFrom="paragraph">
                  <wp:posOffset>-795020</wp:posOffset>
                </wp:positionV>
                <wp:extent cx="54673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735"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65pt,-62.5999pt" to="322.7pt,-62.59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4212590</wp:posOffset>
                </wp:positionH>
                <wp:positionV relativeFrom="paragraph">
                  <wp:posOffset>-795020</wp:posOffset>
                </wp:positionV>
                <wp:extent cx="53784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845"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7pt,-62.5999pt" to="374.05pt,-62.59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4864735</wp:posOffset>
                </wp:positionH>
                <wp:positionV relativeFrom="paragraph">
                  <wp:posOffset>-795020</wp:posOffset>
                </wp:positionV>
                <wp:extent cx="53721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05pt,-62.5999pt" to="425.35pt,-62.59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5516880</wp:posOffset>
                </wp:positionH>
                <wp:positionV relativeFrom="paragraph">
                  <wp:posOffset>-795020</wp:posOffset>
                </wp:positionV>
                <wp:extent cx="5461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10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4pt,-62.5999pt" to="477.4pt,-62.5999pt" o:allowincell="f" strokecolor="#FFFFFF" strokeweight="0.1439pt"/>
            </w:pict>
          </mc:Fallback>
        </mc:AlternateContent>
      </w:r>
    </w:p>
    <w:p>
      <w:pPr>
        <w:spacing w:after="0" w:line="238"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All the commercial paper, U.S. government debt, municipal bonds and agency securities, U.S. treasury bills, and corporate bonds designated as short-term investments have an effective maturity date that is equal to or less than one year from the respective balance sheet date. Those that are designated as long-term investments have an effective maturity date that is more than one year, but less than two years, from the respective balance sheet date.</w:t>
      </w:r>
    </w:p>
    <w:p>
      <w:pPr>
        <w:spacing w:after="0" w:line="205" w:lineRule="exact"/>
        <w:rPr>
          <w:sz w:val="20"/>
          <w:szCs w:val="20"/>
          <w:color w:val="auto"/>
        </w:rPr>
      </w:pPr>
    </w:p>
    <w:p>
      <w:pPr>
        <w:jc w:val="both"/>
        <w:ind w:firstLine="504"/>
        <w:spacing w:after="0" w:line="264" w:lineRule="auto"/>
        <w:rPr>
          <w:sz w:val="20"/>
          <w:szCs w:val="20"/>
          <w:color w:val="auto"/>
        </w:rPr>
      </w:pPr>
      <w:r>
        <w:rPr>
          <w:rFonts w:ascii="Arial" w:cs="Arial" w:eastAsia="Arial" w:hAnsi="Arial"/>
          <w:sz w:val="20"/>
          <w:szCs w:val="20"/>
          <w:color w:val="auto"/>
        </w:rPr>
        <w:t>The Company evaluated its investments for other-than-temporary impairment and considers the decline in market value for the securities to be primarily attributable to current economic and market conditions. For the investments, it is not more-likely-than-not that the Company will be required to sell the investments, and the Company does not intend to do so prior to the recovery of the amortized cost basis.</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144</w:t>
      </w:r>
    </w:p>
    <w:p>
      <w:pPr>
        <w:sectPr>
          <w:pgSz w:w="12240" w:h="15840" w:orient="portrait"/>
          <w:cols w:equalWidth="0" w:num="1">
            <w:col w:w="9640"/>
          </w:cols>
          <w:pgMar w:left="1300" w:top="1226" w:right="1300" w:bottom="0" w:gutter="0" w:footer="0" w:header="0"/>
          <w:type w:val="continuous"/>
        </w:sectPr>
      </w:pPr>
    </w:p>
    <w:bookmarkStart w:id="150" w:name="page151"/>
    <w:bookmarkEnd w:id="150"/>
    <w:p>
      <w:pPr>
        <w:spacing w:after="0"/>
        <w:rPr>
          <w:sz w:val="20"/>
          <w:szCs w:val="20"/>
          <w:color w:val="auto"/>
        </w:rPr>
      </w:pPr>
      <w:r>
        <w:rPr>
          <w:rFonts w:ascii="Arial" w:cs="Arial" w:eastAsia="Arial" w:hAnsi="Arial"/>
          <w:sz w:val="21"/>
          <w:szCs w:val="21"/>
          <w:b w:val="1"/>
          <w:bCs w:val="1"/>
          <w:color w:val="auto"/>
        </w:rPr>
        <w:t>4. Property and Equipment, Net</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21"/>
          <w:szCs w:val="21"/>
          <w:color w:val="auto"/>
        </w:rPr>
        <w:t>Property and equipment consisted of the following (in thousands):</w:t>
      </w:r>
    </w:p>
    <w:p>
      <w:pPr>
        <w:spacing w:after="0" w:line="281" w:lineRule="exact"/>
        <w:rPr>
          <w:sz w:val="20"/>
          <w:szCs w:val="20"/>
          <w:color w:val="auto"/>
        </w:rPr>
      </w:pPr>
    </w:p>
    <w:tbl>
      <w:tblPr>
        <w:tblLayout w:type="fixed"/>
        <w:tblInd w:w="96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9"/>
        </w:trPr>
        <w:tc>
          <w:tcPr>
            <w:tcW w:w="5400" w:type="dxa"/>
            <w:vAlign w:val="bottom"/>
            <w:tcBorders>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E0E0E0"/>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39"/>
              <w:spacing w:after="0" w:line="179" w:lineRule="exact"/>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400" w:type="dxa"/>
            <w:vAlign w:val="bottom"/>
            <w:tcBorders>
              <w:right w:val="single" w:sz="8" w:color="E0E0E0"/>
            </w:tcBorders>
            <w:shd w:val="clear" w:color="auto" w:fill="E0E0E0"/>
          </w:tcPr>
          <w:p>
            <w:pPr>
              <w:spacing w:after="0" w:line="227" w:lineRule="exact"/>
              <w:rPr>
                <w:sz w:val="20"/>
                <w:szCs w:val="20"/>
                <w:color w:val="auto"/>
              </w:rPr>
            </w:pPr>
            <w:r>
              <w:rPr>
                <w:rFonts w:ascii="Arial" w:cs="Arial" w:eastAsia="Arial" w:hAnsi="Arial"/>
                <w:sz w:val="21"/>
                <w:szCs w:val="21"/>
                <w:color w:val="auto"/>
              </w:rPr>
              <w:t>Lab equipment</w:t>
            </w:r>
          </w:p>
        </w:tc>
        <w:tc>
          <w:tcPr>
            <w:tcW w:w="220" w:type="dxa"/>
            <w:vAlign w:val="bottom"/>
            <w:shd w:val="clear" w:color="auto" w:fill="E0E0E0"/>
          </w:tcPr>
          <w:p>
            <w:pPr>
              <w:jc w:val="right"/>
              <w:ind w:right="22"/>
              <w:spacing w:after="0" w:line="228" w:lineRule="exact"/>
              <w:rPr>
                <w:sz w:val="20"/>
                <w:szCs w:val="20"/>
                <w:color w:val="auto"/>
              </w:rPr>
            </w:pPr>
            <w:r>
              <w:rPr>
                <w:rFonts w:ascii="Arial" w:cs="Arial" w:eastAsia="Arial" w:hAnsi="Arial"/>
                <w:sz w:val="20"/>
                <w:szCs w:val="20"/>
                <w:color w:val="auto"/>
                <w:w w:val="71"/>
              </w:rPr>
              <w:t>$</w:t>
            </w:r>
          </w:p>
        </w:tc>
        <w:tc>
          <w:tcPr>
            <w:tcW w:w="960" w:type="dxa"/>
            <w:vAlign w:val="bottom"/>
            <w:gridSpan w:val="2"/>
            <w:shd w:val="clear" w:color="auto" w:fill="E0E0E0"/>
          </w:tcPr>
          <w:p>
            <w:pPr>
              <w:jc w:val="right"/>
              <w:ind w:right="140"/>
              <w:spacing w:after="0" w:line="227" w:lineRule="exact"/>
              <w:rPr>
                <w:sz w:val="20"/>
                <w:szCs w:val="20"/>
                <w:color w:val="auto"/>
              </w:rPr>
            </w:pPr>
            <w:r>
              <w:rPr>
                <w:rFonts w:ascii="Arial" w:cs="Arial" w:eastAsia="Arial" w:hAnsi="Arial"/>
                <w:sz w:val="21"/>
                <w:szCs w:val="21"/>
                <w:color w:val="auto"/>
              </w:rPr>
              <w:t>433</w:t>
            </w:r>
          </w:p>
        </w:tc>
        <w:tc>
          <w:tcPr>
            <w:tcW w:w="240" w:type="dxa"/>
            <w:vAlign w:val="bottom"/>
            <w:shd w:val="clear" w:color="auto" w:fill="E0E0E0"/>
          </w:tcPr>
          <w:p>
            <w:pPr>
              <w:jc w:val="right"/>
              <w:ind w:right="17"/>
              <w:spacing w:after="0" w:line="227" w:lineRule="exact"/>
              <w:rPr>
                <w:sz w:val="20"/>
                <w:szCs w:val="20"/>
                <w:color w:val="auto"/>
              </w:rPr>
            </w:pPr>
            <w:r>
              <w:rPr>
                <w:rFonts w:ascii="Arial" w:cs="Arial" w:eastAsia="Arial" w:hAnsi="Arial"/>
                <w:sz w:val="21"/>
                <w:szCs w:val="21"/>
                <w:color w:val="auto"/>
                <w:w w:val="85"/>
              </w:rPr>
              <w:t>$</w:t>
            </w:r>
          </w:p>
        </w:tc>
        <w:tc>
          <w:tcPr>
            <w:tcW w:w="900" w:type="dxa"/>
            <w:vAlign w:val="bottom"/>
            <w:gridSpan w:val="2"/>
            <w:shd w:val="clear" w:color="auto" w:fill="E0E0E0"/>
          </w:tcPr>
          <w:p>
            <w:pPr>
              <w:jc w:val="right"/>
              <w:ind w:right="80"/>
              <w:spacing w:after="0" w:line="227" w:lineRule="exact"/>
              <w:rPr>
                <w:sz w:val="20"/>
                <w:szCs w:val="20"/>
                <w:color w:val="auto"/>
              </w:rPr>
            </w:pPr>
            <w:r>
              <w:rPr>
                <w:rFonts w:ascii="Arial" w:cs="Arial" w:eastAsia="Arial" w:hAnsi="Arial"/>
                <w:sz w:val="21"/>
                <w:szCs w:val="21"/>
                <w:color w:val="auto"/>
              </w:rPr>
              <w:t>268</w:t>
            </w:r>
          </w:p>
        </w:tc>
        <w:tc>
          <w:tcPr>
            <w:tcW w:w="0" w:type="dxa"/>
            <w:vAlign w:val="bottom"/>
          </w:tcPr>
          <w:p>
            <w:pPr>
              <w:spacing w:after="0"/>
              <w:rPr>
                <w:sz w:val="1"/>
                <w:szCs w:val="1"/>
                <w:color w:val="auto"/>
              </w:rPr>
            </w:pPr>
          </w:p>
        </w:tc>
      </w:tr>
      <w:tr>
        <w:trPr>
          <w:trHeight w:val="219"/>
        </w:trPr>
        <w:tc>
          <w:tcPr>
            <w:tcW w:w="5400" w:type="dxa"/>
            <w:vAlign w:val="bottom"/>
          </w:tcPr>
          <w:p>
            <w:pPr>
              <w:spacing w:after="0" w:line="219" w:lineRule="exact"/>
              <w:rPr>
                <w:sz w:val="20"/>
                <w:szCs w:val="20"/>
                <w:color w:val="auto"/>
              </w:rPr>
            </w:pPr>
            <w:r>
              <w:rPr>
                <w:rFonts w:ascii="Arial" w:cs="Arial" w:eastAsia="Arial" w:hAnsi="Arial"/>
                <w:sz w:val="21"/>
                <w:szCs w:val="21"/>
                <w:color w:val="auto"/>
              </w:rPr>
              <w:t>Office furniture, fixtures, and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400" w:type="dxa"/>
            <w:vAlign w:val="bottom"/>
          </w:tcPr>
          <w:p>
            <w:pPr>
              <w:ind w:left="180"/>
              <w:spacing w:after="0"/>
              <w:rPr>
                <w:sz w:val="20"/>
                <w:szCs w:val="20"/>
                <w:color w:val="auto"/>
              </w:rPr>
            </w:pPr>
            <w:r>
              <w:rPr>
                <w:rFonts w:ascii="Arial" w:cs="Arial" w:eastAsia="Arial" w:hAnsi="Arial"/>
                <w:sz w:val="21"/>
                <w:szCs w:val="21"/>
                <w:color w:val="auto"/>
              </w:rPr>
              <w:t>computer equipment</w:t>
            </w:r>
          </w:p>
        </w:tc>
        <w:tc>
          <w:tcPr>
            <w:tcW w:w="2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21"/>
                <w:szCs w:val="21"/>
                <w:color w:val="auto"/>
              </w:rPr>
              <w:t>692</w:t>
            </w: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21"/>
                <w:szCs w:val="21"/>
                <w:color w:val="auto"/>
              </w:rPr>
              <w:t>325</w:t>
            </w:r>
          </w:p>
        </w:tc>
        <w:tc>
          <w:tcPr>
            <w:tcW w:w="0" w:type="dxa"/>
            <w:vAlign w:val="bottom"/>
          </w:tcPr>
          <w:p>
            <w:pPr>
              <w:spacing w:after="0"/>
              <w:rPr>
                <w:sz w:val="1"/>
                <w:szCs w:val="1"/>
                <w:color w:val="auto"/>
              </w:rPr>
            </w:pPr>
          </w:p>
        </w:tc>
      </w:tr>
      <w:tr>
        <w:trPr>
          <w:trHeight w:val="236"/>
        </w:trPr>
        <w:tc>
          <w:tcPr>
            <w:tcW w:w="5400" w:type="dxa"/>
            <w:vAlign w:val="bottom"/>
            <w:tcBorders>
              <w:right w:val="single" w:sz="8" w:color="E0E0E0"/>
            </w:tcBorders>
            <w:shd w:val="clear" w:color="auto" w:fill="E0E0E0"/>
          </w:tcPr>
          <w:p>
            <w:pPr>
              <w:spacing w:after="0" w:line="236" w:lineRule="exact"/>
              <w:rPr>
                <w:sz w:val="20"/>
                <w:szCs w:val="20"/>
                <w:color w:val="auto"/>
              </w:rPr>
            </w:pPr>
            <w:r>
              <w:rPr>
                <w:rFonts w:ascii="Arial" w:cs="Arial" w:eastAsia="Arial" w:hAnsi="Arial"/>
                <w:sz w:val="21"/>
                <w:szCs w:val="21"/>
                <w:color w:val="auto"/>
              </w:rPr>
              <w:t>Leasehold improvement</w:t>
            </w:r>
          </w:p>
        </w:tc>
        <w:tc>
          <w:tcPr>
            <w:tcW w:w="220" w:type="dxa"/>
            <w:vAlign w:val="bottom"/>
            <w:shd w:val="clear" w:color="auto" w:fill="E0E0E0"/>
          </w:tcPr>
          <w:p>
            <w:pPr>
              <w:spacing w:after="0"/>
              <w:rPr>
                <w:sz w:val="20"/>
                <w:szCs w:val="20"/>
                <w:color w:val="auto"/>
              </w:rPr>
            </w:pPr>
          </w:p>
        </w:tc>
        <w:tc>
          <w:tcPr>
            <w:tcW w:w="960" w:type="dxa"/>
            <w:vAlign w:val="bottom"/>
            <w:gridSpan w:val="2"/>
            <w:shd w:val="clear" w:color="auto" w:fill="E0E0E0"/>
          </w:tcPr>
          <w:p>
            <w:pPr>
              <w:jc w:val="right"/>
              <w:ind w:right="140"/>
              <w:spacing w:after="0" w:line="236" w:lineRule="exact"/>
              <w:rPr>
                <w:sz w:val="20"/>
                <w:szCs w:val="20"/>
                <w:color w:val="auto"/>
              </w:rPr>
            </w:pPr>
            <w:r>
              <w:rPr>
                <w:rFonts w:ascii="Arial" w:cs="Arial" w:eastAsia="Arial" w:hAnsi="Arial"/>
                <w:sz w:val="21"/>
                <w:szCs w:val="21"/>
                <w:color w:val="auto"/>
              </w:rPr>
              <w:t>4,296</w:t>
            </w:r>
          </w:p>
        </w:tc>
        <w:tc>
          <w:tcPr>
            <w:tcW w:w="240" w:type="dxa"/>
            <w:vAlign w:val="bottom"/>
            <w:shd w:val="clear" w:color="auto" w:fill="E0E0E0"/>
          </w:tcPr>
          <w:p>
            <w:pPr>
              <w:spacing w:after="0"/>
              <w:rPr>
                <w:sz w:val="20"/>
                <w:szCs w:val="20"/>
                <w:color w:val="auto"/>
              </w:rPr>
            </w:pPr>
          </w:p>
        </w:tc>
        <w:tc>
          <w:tcPr>
            <w:tcW w:w="900" w:type="dxa"/>
            <w:vAlign w:val="bottom"/>
            <w:gridSpan w:val="2"/>
            <w:shd w:val="clear" w:color="auto" w:fill="E0E0E0"/>
          </w:tcPr>
          <w:p>
            <w:pPr>
              <w:jc w:val="right"/>
              <w:ind w:right="80"/>
              <w:spacing w:after="0" w:line="236" w:lineRule="exact"/>
              <w:rPr>
                <w:sz w:val="20"/>
                <w:szCs w:val="20"/>
                <w:color w:val="auto"/>
              </w:rPr>
            </w:pPr>
            <w:r>
              <w:rPr>
                <w:rFonts w:ascii="Arial" w:cs="Arial" w:eastAsia="Arial" w:hAnsi="Arial"/>
                <w:sz w:val="21"/>
                <w:szCs w:val="21"/>
                <w:color w:val="auto"/>
              </w:rPr>
              <w:t>2,563</w:t>
            </w:r>
          </w:p>
        </w:tc>
        <w:tc>
          <w:tcPr>
            <w:tcW w:w="0" w:type="dxa"/>
            <w:vAlign w:val="bottom"/>
          </w:tcPr>
          <w:p>
            <w:pPr>
              <w:spacing w:after="0"/>
              <w:rPr>
                <w:sz w:val="1"/>
                <w:szCs w:val="1"/>
                <w:color w:val="auto"/>
              </w:rPr>
            </w:pPr>
          </w:p>
        </w:tc>
      </w:tr>
      <w:tr>
        <w:trPr>
          <w:trHeight w:val="237"/>
        </w:trPr>
        <w:tc>
          <w:tcPr>
            <w:tcW w:w="5400" w:type="dxa"/>
            <w:vAlign w:val="bottom"/>
          </w:tcPr>
          <w:p>
            <w:pPr>
              <w:spacing w:after="0" w:line="237" w:lineRule="exact"/>
              <w:rPr>
                <w:sz w:val="20"/>
                <w:szCs w:val="20"/>
                <w:color w:val="auto"/>
              </w:rPr>
            </w:pPr>
            <w:r>
              <w:rPr>
                <w:rFonts w:ascii="Arial" w:cs="Arial" w:eastAsia="Arial" w:hAnsi="Arial"/>
                <w:sz w:val="21"/>
                <w:szCs w:val="21"/>
                <w:color w:val="auto"/>
              </w:rPr>
              <w:t>Construction in progress</w:t>
            </w:r>
          </w:p>
        </w:tc>
        <w:tc>
          <w:tcPr>
            <w:tcW w:w="220" w:type="dxa"/>
            <w:vAlign w:val="bottom"/>
          </w:tcPr>
          <w:p>
            <w:pPr>
              <w:spacing w:after="0"/>
              <w:rPr>
                <w:sz w:val="20"/>
                <w:szCs w:val="20"/>
                <w:color w:val="auto"/>
              </w:rPr>
            </w:pPr>
          </w:p>
        </w:tc>
        <w:tc>
          <w:tcPr>
            <w:tcW w:w="960" w:type="dxa"/>
            <w:vAlign w:val="bottom"/>
            <w:gridSpan w:val="2"/>
          </w:tcPr>
          <w:p>
            <w:pPr>
              <w:jc w:val="right"/>
              <w:ind w:right="140"/>
              <w:spacing w:after="0" w:line="237" w:lineRule="exact"/>
              <w:rPr>
                <w:sz w:val="20"/>
                <w:szCs w:val="20"/>
                <w:color w:val="auto"/>
              </w:rPr>
            </w:pPr>
            <w:r>
              <w:rPr>
                <w:rFonts w:ascii="Arial" w:cs="Arial" w:eastAsia="Arial" w:hAnsi="Arial"/>
                <w:sz w:val="21"/>
                <w:szCs w:val="21"/>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80"/>
              <w:spacing w:after="0" w:line="237" w:lineRule="exact"/>
              <w:rPr>
                <w:sz w:val="20"/>
                <w:szCs w:val="20"/>
                <w:color w:val="auto"/>
              </w:rPr>
            </w:pPr>
            <w:r>
              <w:rPr>
                <w:rFonts w:ascii="Arial" w:cs="Arial" w:eastAsia="Arial" w:hAnsi="Arial"/>
                <w:sz w:val="21"/>
                <w:szCs w:val="21"/>
                <w:color w:val="auto"/>
              </w:rPr>
              <w:t>1,124</w:t>
            </w:r>
          </w:p>
        </w:tc>
        <w:tc>
          <w:tcPr>
            <w:tcW w:w="0" w:type="dxa"/>
            <w:vAlign w:val="bottom"/>
          </w:tcPr>
          <w:p>
            <w:pPr>
              <w:spacing w:after="0"/>
              <w:rPr>
                <w:sz w:val="1"/>
                <w:szCs w:val="1"/>
                <w:color w:val="auto"/>
              </w:rPr>
            </w:pPr>
          </w:p>
        </w:tc>
      </w:tr>
      <w:tr>
        <w:trPr>
          <w:trHeight w:val="20"/>
        </w:trPr>
        <w:tc>
          <w:tcPr>
            <w:tcW w:w="5400" w:type="dxa"/>
            <w:vAlign w:val="bottom"/>
            <w:tcBorders>
              <w:right w:val="single" w:sz="8" w:color="E0E0E0"/>
            </w:tcBorders>
            <w:vMerge w:val="restart"/>
            <w:shd w:val="clear" w:color="auto" w:fill="E0E0E0"/>
          </w:tcPr>
          <w:p>
            <w:pPr>
              <w:spacing w:after="0"/>
              <w:rPr>
                <w:sz w:val="20"/>
                <w:szCs w:val="20"/>
                <w:color w:val="auto"/>
              </w:rPr>
            </w:pPr>
            <w:r>
              <w:rPr>
                <w:rFonts w:ascii="Arial" w:cs="Arial" w:eastAsia="Arial" w:hAnsi="Arial"/>
                <w:sz w:val="21"/>
                <w:szCs w:val="21"/>
                <w:color w:val="auto"/>
              </w:rPr>
              <w:t>Property and equipment, at cost</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E0E0E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400" w:type="dxa"/>
            <w:vAlign w:val="bottom"/>
            <w:tcBorders>
              <w:right w:val="single" w:sz="8" w:color="E0E0E0"/>
            </w:tcBorders>
            <w:vMerge w:val="continue"/>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960" w:type="dxa"/>
            <w:vAlign w:val="bottom"/>
            <w:gridSpan w:val="2"/>
            <w:shd w:val="clear" w:color="auto" w:fill="E0E0E0"/>
          </w:tcPr>
          <w:p>
            <w:pPr>
              <w:jc w:val="right"/>
              <w:ind w:right="140"/>
              <w:spacing w:after="0" w:line="227" w:lineRule="exact"/>
              <w:rPr>
                <w:sz w:val="20"/>
                <w:szCs w:val="20"/>
                <w:color w:val="auto"/>
              </w:rPr>
            </w:pPr>
            <w:r>
              <w:rPr>
                <w:rFonts w:ascii="Arial" w:cs="Arial" w:eastAsia="Arial" w:hAnsi="Arial"/>
                <w:sz w:val="21"/>
                <w:szCs w:val="21"/>
                <w:color w:val="auto"/>
              </w:rPr>
              <w:t>5,421</w:t>
            </w:r>
          </w:p>
        </w:tc>
        <w:tc>
          <w:tcPr>
            <w:tcW w:w="240" w:type="dxa"/>
            <w:vAlign w:val="bottom"/>
            <w:shd w:val="clear" w:color="auto" w:fill="E0E0E0"/>
          </w:tcPr>
          <w:p>
            <w:pPr>
              <w:spacing w:after="0"/>
              <w:rPr>
                <w:sz w:val="19"/>
                <w:szCs w:val="19"/>
                <w:color w:val="auto"/>
              </w:rPr>
            </w:pPr>
          </w:p>
        </w:tc>
        <w:tc>
          <w:tcPr>
            <w:tcW w:w="900" w:type="dxa"/>
            <w:vAlign w:val="bottom"/>
            <w:gridSpan w:val="2"/>
            <w:shd w:val="clear" w:color="auto" w:fill="E0E0E0"/>
          </w:tcPr>
          <w:p>
            <w:pPr>
              <w:jc w:val="right"/>
              <w:ind w:right="80"/>
              <w:spacing w:after="0" w:line="227" w:lineRule="exact"/>
              <w:rPr>
                <w:sz w:val="20"/>
                <w:szCs w:val="20"/>
                <w:color w:val="auto"/>
              </w:rPr>
            </w:pPr>
            <w:r>
              <w:rPr>
                <w:rFonts w:ascii="Arial" w:cs="Arial" w:eastAsia="Arial" w:hAnsi="Arial"/>
                <w:sz w:val="21"/>
                <w:szCs w:val="21"/>
                <w:color w:val="auto"/>
              </w:rPr>
              <w:t>4,280</w:t>
            </w:r>
          </w:p>
        </w:tc>
        <w:tc>
          <w:tcPr>
            <w:tcW w:w="0" w:type="dxa"/>
            <w:vAlign w:val="bottom"/>
          </w:tcPr>
          <w:p>
            <w:pPr>
              <w:spacing w:after="0"/>
              <w:rPr>
                <w:sz w:val="1"/>
                <w:szCs w:val="1"/>
                <w:color w:val="auto"/>
              </w:rPr>
            </w:pPr>
          </w:p>
        </w:tc>
      </w:tr>
      <w:tr>
        <w:trPr>
          <w:trHeight w:val="236"/>
        </w:trPr>
        <w:tc>
          <w:tcPr>
            <w:tcW w:w="5400" w:type="dxa"/>
            <w:vAlign w:val="bottom"/>
          </w:tcPr>
          <w:p>
            <w:pPr>
              <w:spacing w:after="0" w:line="236" w:lineRule="exact"/>
              <w:rPr>
                <w:sz w:val="20"/>
                <w:szCs w:val="20"/>
                <w:color w:val="auto"/>
              </w:rPr>
            </w:pPr>
            <w:r>
              <w:rPr>
                <w:rFonts w:ascii="Arial" w:cs="Arial" w:eastAsia="Arial" w:hAnsi="Arial"/>
                <w:sz w:val="21"/>
                <w:szCs w:val="21"/>
                <w:color w:val="auto"/>
              </w:rPr>
              <w:t>Less: accumulated depreciation</w:t>
            </w:r>
          </w:p>
        </w:tc>
        <w:tc>
          <w:tcPr>
            <w:tcW w:w="220" w:type="dxa"/>
            <w:vAlign w:val="bottom"/>
          </w:tcPr>
          <w:p>
            <w:pPr>
              <w:spacing w:after="0"/>
              <w:rPr>
                <w:sz w:val="20"/>
                <w:szCs w:val="20"/>
                <w:color w:val="auto"/>
              </w:rPr>
            </w:pPr>
          </w:p>
        </w:tc>
        <w:tc>
          <w:tcPr>
            <w:tcW w:w="960" w:type="dxa"/>
            <w:vAlign w:val="bottom"/>
            <w:gridSpan w:val="2"/>
          </w:tcPr>
          <w:p>
            <w:pPr>
              <w:jc w:val="right"/>
              <w:ind w:right="60"/>
              <w:spacing w:after="0" w:line="236" w:lineRule="exact"/>
              <w:rPr>
                <w:sz w:val="20"/>
                <w:szCs w:val="20"/>
                <w:color w:val="auto"/>
              </w:rPr>
            </w:pPr>
            <w:r>
              <w:rPr>
                <w:rFonts w:ascii="Arial" w:cs="Arial" w:eastAsia="Arial" w:hAnsi="Arial"/>
                <w:sz w:val="21"/>
                <w:szCs w:val="21"/>
                <w:color w:val="auto"/>
              </w:rPr>
              <w:t>(1,368)</w:t>
            </w:r>
          </w:p>
        </w:tc>
        <w:tc>
          <w:tcPr>
            <w:tcW w:w="240" w:type="dxa"/>
            <w:vAlign w:val="bottom"/>
          </w:tcPr>
          <w:p>
            <w:pPr>
              <w:spacing w:after="0"/>
              <w:rPr>
                <w:sz w:val="20"/>
                <w:szCs w:val="20"/>
                <w:color w:val="auto"/>
              </w:rPr>
            </w:pPr>
          </w:p>
        </w:tc>
        <w:tc>
          <w:tcPr>
            <w:tcW w:w="900" w:type="dxa"/>
            <w:vAlign w:val="bottom"/>
            <w:gridSpan w:val="2"/>
          </w:tcPr>
          <w:p>
            <w:pPr>
              <w:jc w:val="right"/>
              <w:spacing w:after="0" w:line="236" w:lineRule="exact"/>
              <w:rPr>
                <w:sz w:val="20"/>
                <w:szCs w:val="20"/>
                <w:color w:val="auto"/>
              </w:rPr>
            </w:pPr>
            <w:r>
              <w:rPr>
                <w:rFonts w:ascii="Arial" w:cs="Arial" w:eastAsia="Arial" w:hAnsi="Arial"/>
                <w:sz w:val="21"/>
                <w:szCs w:val="21"/>
                <w:color w:val="auto"/>
              </w:rPr>
              <w:t>(523)</w:t>
            </w:r>
          </w:p>
        </w:tc>
        <w:tc>
          <w:tcPr>
            <w:tcW w:w="0" w:type="dxa"/>
            <w:vAlign w:val="bottom"/>
          </w:tcPr>
          <w:p>
            <w:pPr>
              <w:spacing w:after="0"/>
              <w:rPr>
                <w:sz w:val="1"/>
                <w:szCs w:val="1"/>
                <w:color w:val="auto"/>
              </w:rPr>
            </w:pPr>
          </w:p>
        </w:tc>
      </w:tr>
      <w:tr>
        <w:trPr>
          <w:trHeight w:val="20"/>
        </w:trPr>
        <w:tc>
          <w:tcPr>
            <w:tcW w:w="540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E0E0E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00" w:type="dxa"/>
            <w:vAlign w:val="bottom"/>
            <w:tcBorders>
              <w:right w:val="single" w:sz="8" w:color="E0E0E0"/>
            </w:tcBorders>
            <w:shd w:val="clear" w:color="auto" w:fill="E0E0E0"/>
          </w:tcPr>
          <w:p>
            <w:pPr>
              <w:ind w:left="300"/>
              <w:spacing w:after="0" w:line="229" w:lineRule="exact"/>
              <w:rPr>
                <w:sz w:val="20"/>
                <w:szCs w:val="20"/>
                <w:color w:val="auto"/>
              </w:rPr>
            </w:pPr>
            <w:r>
              <w:rPr>
                <w:rFonts w:ascii="Arial" w:cs="Arial" w:eastAsia="Arial" w:hAnsi="Arial"/>
                <w:sz w:val="21"/>
                <w:szCs w:val="21"/>
                <w:color w:val="auto"/>
              </w:rPr>
              <w:t>Property and equipment, net</w:t>
            </w:r>
          </w:p>
        </w:tc>
        <w:tc>
          <w:tcPr>
            <w:tcW w:w="220" w:type="dxa"/>
            <w:vAlign w:val="bottom"/>
            <w:shd w:val="clear" w:color="auto" w:fill="E0E0E0"/>
          </w:tcPr>
          <w:p>
            <w:pPr>
              <w:jc w:val="right"/>
              <w:ind w:right="22"/>
              <w:spacing w:after="0" w:line="229" w:lineRule="exact"/>
              <w:rPr>
                <w:sz w:val="20"/>
                <w:szCs w:val="20"/>
                <w:color w:val="auto"/>
              </w:rPr>
            </w:pPr>
            <w:r>
              <w:rPr>
                <w:rFonts w:ascii="Arial" w:cs="Arial" w:eastAsia="Arial" w:hAnsi="Arial"/>
                <w:sz w:val="20"/>
                <w:szCs w:val="20"/>
                <w:color w:val="auto"/>
                <w:w w:val="71"/>
              </w:rPr>
              <w:t>$</w:t>
            </w:r>
          </w:p>
        </w:tc>
        <w:tc>
          <w:tcPr>
            <w:tcW w:w="960" w:type="dxa"/>
            <w:vAlign w:val="bottom"/>
            <w:gridSpan w:val="2"/>
            <w:shd w:val="clear" w:color="auto" w:fill="E0E0E0"/>
          </w:tcPr>
          <w:p>
            <w:pPr>
              <w:jc w:val="right"/>
              <w:ind w:right="140"/>
              <w:spacing w:after="0" w:line="229" w:lineRule="exact"/>
              <w:rPr>
                <w:sz w:val="20"/>
                <w:szCs w:val="20"/>
                <w:color w:val="auto"/>
              </w:rPr>
            </w:pPr>
            <w:r>
              <w:rPr>
                <w:rFonts w:ascii="Arial" w:cs="Arial" w:eastAsia="Arial" w:hAnsi="Arial"/>
                <w:sz w:val="21"/>
                <w:szCs w:val="21"/>
                <w:color w:val="auto"/>
              </w:rPr>
              <w:t>4,053</w:t>
            </w:r>
          </w:p>
        </w:tc>
        <w:tc>
          <w:tcPr>
            <w:tcW w:w="240" w:type="dxa"/>
            <w:vAlign w:val="bottom"/>
            <w:shd w:val="clear" w:color="auto" w:fill="E0E0E0"/>
          </w:tcPr>
          <w:p>
            <w:pPr>
              <w:jc w:val="right"/>
              <w:ind w:right="17"/>
              <w:spacing w:after="0" w:line="229" w:lineRule="exact"/>
              <w:rPr>
                <w:sz w:val="20"/>
                <w:szCs w:val="20"/>
                <w:color w:val="auto"/>
              </w:rPr>
            </w:pPr>
            <w:r>
              <w:rPr>
                <w:rFonts w:ascii="Arial" w:cs="Arial" w:eastAsia="Arial" w:hAnsi="Arial"/>
                <w:sz w:val="21"/>
                <w:szCs w:val="21"/>
                <w:color w:val="auto"/>
                <w:w w:val="85"/>
              </w:rPr>
              <w:t>$</w:t>
            </w:r>
          </w:p>
        </w:tc>
        <w:tc>
          <w:tcPr>
            <w:tcW w:w="900" w:type="dxa"/>
            <w:vAlign w:val="bottom"/>
            <w:gridSpan w:val="2"/>
            <w:shd w:val="clear" w:color="auto" w:fill="E0E0E0"/>
          </w:tcPr>
          <w:p>
            <w:pPr>
              <w:jc w:val="right"/>
              <w:ind w:right="80"/>
              <w:spacing w:after="0" w:line="229" w:lineRule="exact"/>
              <w:rPr>
                <w:sz w:val="20"/>
                <w:szCs w:val="20"/>
                <w:color w:val="auto"/>
              </w:rPr>
            </w:pPr>
            <w:r>
              <w:rPr>
                <w:rFonts w:ascii="Arial" w:cs="Arial" w:eastAsia="Arial" w:hAnsi="Arial"/>
                <w:sz w:val="21"/>
                <w:szCs w:val="21"/>
                <w:color w:val="auto"/>
              </w:rPr>
              <w:t>3,757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Depreciation expense was $845,000 and $479,000 for the years ended December 31, 2022 and 2021,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Accrued Liabilities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1"/>
          <w:szCs w:val="21"/>
          <w:color w:val="auto"/>
        </w:rPr>
        <w:t>Accrued liabilities consisted of the following (in thousands):</w:t>
      </w:r>
    </w:p>
    <w:p>
      <w:pPr>
        <w:spacing w:after="0" w:line="281"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6"/>
          </w:tcPr>
          <w:p>
            <w:pPr>
              <w:ind w:left="360"/>
              <w:spacing w:after="0"/>
              <w:rPr>
                <w:sz w:val="20"/>
                <w:szCs w:val="20"/>
                <w:color w:val="auto"/>
              </w:rPr>
            </w:pPr>
            <w:r>
              <w:rPr>
                <w:rFonts w:ascii="Arial" w:cs="Arial" w:eastAsia="Arial" w:hAnsi="Arial"/>
                <w:sz w:val="16"/>
                <w:szCs w:val="16"/>
                <w:b w:val="1"/>
                <w:bCs w:val="1"/>
                <w:color w:val="auto"/>
              </w:rPr>
              <w:t>December 31,</w:t>
            </w:r>
          </w:p>
        </w:tc>
      </w:tr>
      <w:tr>
        <w:trPr>
          <w:trHeight w:val="179"/>
        </w:trPr>
        <w:tc>
          <w:tcPr>
            <w:tcW w:w="538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ind w:left="120"/>
              <w:spacing w:after="0" w:line="179" w:lineRule="exact"/>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E0E0E0"/>
            </w:tcBorders>
          </w:tcPr>
          <w:p>
            <w:pPr>
              <w:spacing w:after="0"/>
              <w:rPr>
                <w:sz w:val="15"/>
                <w:szCs w:val="15"/>
                <w:color w:val="auto"/>
              </w:rPr>
            </w:pPr>
          </w:p>
        </w:tc>
        <w:tc>
          <w:tcPr>
            <w:tcW w:w="20" w:type="dxa"/>
            <w:vAlign w:val="bottom"/>
            <w:tcBorders>
              <w:top w:val="single" w:sz="8" w:color="auto"/>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E0E0E0"/>
            </w:tcBorders>
          </w:tcPr>
          <w:p>
            <w:pPr>
              <w:spacing w:after="0"/>
              <w:rPr>
                <w:sz w:val="15"/>
                <w:szCs w:val="15"/>
                <w:color w:val="auto"/>
              </w:rPr>
            </w:pPr>
          </w:p>
        </w:tc>
      </w:tr>
      <w:tr>
        <w:trPr>
          <w:trHeight w:val="227"/>
        </w:trPr>
        <w:tc>
          <w:tcPr>
            <w:tcW w:w="5400" w:type="dxa"/>
            <w:vAlign w:val="bottom"/>
            <w:gridSpan w:val="2"/>
            <w:shd w:val="clear" w:color="auto" w:fill="E0E0E0"/>
          </w:tcPr>
          <w:p>
            <w:pPr>
              <w:spacing w:after="0" w:line="227" w:lineRule="exact"/>
              <w:rPr>
                <w:sz w:val="20"/>
                <w:szCs w:val="20"/>
                <w:color w:val="auto"/>
              </w:rPr>
            </w:pPr>
            <w:r>
              <w:rPr>
                <w:rFonts w:ascii="Arial" w:cs="Arial" w:eastAsia="Arial" w:hAnsi="Arial"/>
                <w:sz w:val="21"/>
                <w:szCs w:val="21"/>
                <w:color w:val="auto"/>
              </w:rPr>
              <w:t>Research and development expenses</w:t>
            </w:r>
          </w:p>
        </w:tc>
        <w:tc>
          <w:tcPr>
            <w:tcW w:w="220" w:type="dxa"/>
            <w:vAlign w:val="bottom"/>
            <w:shd w:val="clear" w:color="auto" w:fill="E0E0E0"/>
          </w:tcPr>
          <w:p>
            <w:pPr>
              <w:jc w:val="right"/>
              <w:ind w:right="22"/>
              <w:spacing w:after="0" w:line="228" w:lineRule="exact"/>
              <w:rPr>
                <w:sz w:val="20"/>
                <w:szCs w:val="20"/>
                <w:color w:val="auto"/>
              </w:rPr>
            </w:pPr>
            <w:r>
              <w:rPr>
                <w:rFonts w:ascii="Arial" w:cs="Arial" w:eastAsia="Arial" w:hAnsi="Arial"/>
                <w:sz w:val="20"/>
                <w:szCs w:val="20"/>
                <w:color w:val="auto"/>
                <w:w w:val="71"/>
              </w:rPr>
              <w:t>$</w:t>
            </w:r>
          </w:p>
        </w:tc>
        <w:tc>
          <w:tcPr>
            <w:tcW w:w="960" w:type="dxa"/>
            <w:vAlign w:val="bottom"/>
            <w:gridSpan w:val="2"/>
            <w:shd w:val="clear" w:color="auto" w:fill="E0E0E0"/>
          </w:tcPr>
          <w:p>
            <w:pPr>
              <w:ind w:left="320"/>
              <w:spacing w:after="0" w:line="227" w:lineRule="exact"/>
              <w:rPr>
                <w:sz w:val="20"/>
                <w:szCs w:val="20"/>
                <w:color w:val="auto"/>
              </w:rPr>
            </w:pPr>
            <w:r>
              <w:rPr>
                <w:rFonts w:ascii="Arial" w:cs="Arial" w:eastAsia="Arial" w:hAnsi="Arial"/>
                <w:sz w:val="21"/>
                <w:szCs w:val="21"/>
                <w:color w:val="auto"/>
              </w:rPr>
              <w:t>3,843</w:t>
            </w:r>
          </w:p>
        </w:tc>
        <w:tc>
          <w:tcPr>
            <w:tcW w:w="240" w:type="dxa"/>
            <w:vAlign w:val="bottom"/>
            <w:gridSpan w:val="2"/>
            <w:shd w:val="clear" w:color="auto" w:fill="E0E0E0"/>
          </w:tcPr>
          <w:p>
            <w:pPr>
              <w:jc w:val="right"/>
              <w:ind w:right="22"/>
              <w:spacing w:after="0" w:line="227" w:lineRule="exact"/>
              <w:rPr>
                <w:sz w:val="20"/>
                <w:szCs w:val="20"/>
                <w:color w:val="auto"/>
              </w:rPr>
            </w:pPr>
            <w:r>
              <w:rPr>
                <w:rFonts w:ascii="Arial" w:cs="Arial" w:eastAsia="Arial" w:hAnsi="Arial"/>
                <w:sz w:val="21"/>
                <w:szCs w:val="21"/>
                <w:color w:val="auto"/>
                <w:w w:val="85"/>
              </w:rPr>
              <w:t>$</w:t>
            </w:r>
          </w:p>
        </w:tc>
        <w:tc>
          <w:tcPr>
            <w:tcW w:w="900" w:type="dxa"/>
            <w:vAlign w:val="bottom"/>
            <w:gridSpan w:val="2"/>
            <w:shd w:val="clear" w:color="auto" w:fill="E0E0E0"/>
          </w:tcPr>
          <w:p>
            <w:pPr>
              <w:jc w:val="right"/>
              <w:ind w:right="80"/>
              <w:spacing w:after="0" w:line="227" w:lineRule="exact"/>
              <w:rPr>
                <w:sz w:val="20"/>
                <w:szCs w:val="20"/>
                <w:color w:val="auto"/>
              </w:rPr>
            </w:pPr>
            <w:r>
              <w:rPr>
                <w:rFonts w:ascii="Arial" w:cs="Arial" w:eastAsia="Arial" w:hAnsi="Arial"/>
                <w:sz w:val="21"/>
                <w:szCs w:val="21"/>
                <w:color w:val="auto"/>
              </w:rPr>
              <w:t>5,723</w:t>
            </w:r>
          </w:p>
        </w:tc>
      </w:tr>
      <w:tr>
        <w:trPr>
          <w:trHeight w:val="237"/>
        </w:trPr>
        <w:tc>
          <w:tcPr>
            <w:tcW w:w="5400" w:type="dxa"/>
            <w:vAlign w:val="bottom"/>
            <w:gridSpan w:val="2"/>
          </w:tcPr>
          <w:p>
            <w:pPr>
              <w:spacing w:after="0" w:line="237" w:lineRule="exact"/>
              <w:rPr>
                <w:sz w:val="20"/>
                <w:szCs w:val="20"/>
                <w:color w:val="auto"/>
              </w:rPr>
            </w:pPr>
            <w:r>
              <w:rPr>
                <w:rFonts w:ascii="Arial" w:cs="Arial" w:eastAsia="Arial" w:hAnsi="Arial"/>
                <w:sz w:val="21"/>
                <w:szCs w:val="21"/>
                <w:color w:val="auto"/>
              </w:rPr>
              <w:t>Employee compensation and benefits</w:t>
            </w:r>
          </w:p>
        </w:tc>
        <w:tc>
          <w:tcPr>
            <w:tcW w:w="220" w:type="dxa"/>
            <w:vAlign w:val="bottom"/>
          </w:tcPr>
          <w:p>
            <w:pPr>
              <w:spacing w:after="0"/>
              <w:rPr>
                <w:sz w:val="20"/>
                <w:szCs w:val="20"/>
                <w:color w:val="auto"/>
              </w:rPr>
            </w:pPr>
          </w:p>
        </w:tc>
        <w:tc>
          <w:tcPr>
            <w:tcW w:w="960" w:type="dxa"/>
            <w:vAlign w:val="bottom"/>
            <w:gridSpan w:val="2"/>
          </w:tcPr>
          <w:p>
            <w:pPr>
              <w:ind w:left="320"/>
              <w:spacing w:after="0" w:line="237" w:lineRule="exact"/>
              <w:rPr>
                <w:sz w:val="20"/>
                <w:szCs w:val="20"/>
                <w:color w:val="auto"/>
              </w:rPr>
            </w:pPr>
            <w:r>
              <w:rPr>
                <w:rFonts w:ascii="Arial" w:cs="Arial" w:eastAsia="Arial" w:hAnsi="Arial"/>
                <w:sz w:val="21"/>
                <w:szCs w:val="21"/>
                <w:color w:val="auto"/>
              </w:rPr>
              <w:t>3,415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80"/>
              <w:spacing w:after="0" w:line="237" w:lineRule="exact"/>
              <w:rPr>
                <w:sz w:val="20"/>
                <w:szCs w:val="20"/>
                <w:color w:val="auto"/>
              </w:rPr>
            </w:pPr>
            <w:r>
              <w:rPr>
                <w:rFonts w:ascii="Arial" w:cs="Arial" w:eastAsia="Arial" w:hAnsi="Arial"/>
                <w:sz w:val="21"/>
                <w:szCs w:val="21"/>
                <w:color w:val="auto"/>
              </w:rPr>
              <w:t>1,907</w:t>
            </w:r>
          </w:p>
        </w:tc>
      </w:tr>
      <w:tr>
        <w:trPr>
          <w:trHeight w:val="257"/>
        </w:trPr>
        <w:tc>
          <w:tcPr>
            <w:tcW w:w="5400" w:type="dxa"/>
            <w:vAlign w:val="bottom"/>
            <w:gridSpan w:val="2"/>
            <w:shd w:val="clear" w:color="auto" w:fill="E0E0E0"/>
          </w:tcPr>
          <w:p>
            <w:pPr>
              <w:spacing w:after="0" w:line="237" w:lineRule="exact"/>
              <w:rPr>
                <w:sz w:val="20"/>
                <w:szCs w:val="20"/>
                <w:color w:val="auto"/>
              </w:rPr>
            </w:pPr>
            <w:r>
              <w:rPr>
                <w:rFonts w:ascii="Arial" w:cs="Arial" w:eastAsia="Arial" w:hAnsi="Arial"/>
                <w:sz w:val="21"/>
                <w:szCs w:val="21"/>
                <w:color w:val="auto"/>
              </w:rPr>
              <w:t>Professional services and other</w:t>
            </w:r>
          </w:p>
        </w:tc>
        <w:tc>
          <w:tcPr>
            <w:tcW w:w="220" w:type="dxa"/>
            <w:vAlign w:val="bottom"/>
            <w:shd w:val="clear" w:color="auto" w:fill="E0E0E0"/>
          </w:tcPr>
          <w:p>
            <w:pPr>
              <w:spacing w:after="0"/>
              <w:rPr>
                <w:sz w:val="22"/>
                <w:szCs w:val="22"/>
                <w:color w:val="auto"/>
              </w:rPr>
            </w:pPr>
          </w:p>
        </w:tc>
        <w:tc>
          <w:tcPr>
            <w:tcW w:w="960" w:type="dxa"/>
            <w:vAlign w:val="bottom"/>
            <w:gridSpan w:val="2"/>
            <w:shd w:val="clear" w:color="auto" w:fill="E0E0E0"/>
          </w:tcPr>
          <w:p>
            <w:pPr>
              <w:ind w:left="320"/>
              <w:spacing w:after="0" w:line="237" w:lineRule="exact"/>
              <w:rPr>
                <w:sz w:val="20"/>
                <w:szCs w:val="20"/>
                <w:color w:val="auto"/>
              </w:rPr>
            </w:pPr>
            <w:r>
              <w:rPr>
                <w:rFonts w:ascii="Arial" w:cs="Arial" w:eastAsia="Arial" w:hAnsi="Arial"/>
                <w:sz w:val="21"/>
                <w:szCs w:val="21"/>
                <w:color w:val="auto"/>
              </w:rPr>
              <w:t>1,346</w:t>
            </w:r>
          </w:p>
        </w:tc>
        <w:tc>
          <w:tcPr>
            <w:tcW w:w="20" w:type="dxa"/>
            <w:vAlign w:val="bottom"/>
            <w:shd w:val="clear" w:color="auto" w:fill="E0E0E0"/>
          </w:tcPr>
          <w:p>
            <w:pPr>
              <w:spacing w:after="0"/>
              <w:rPr>
                <w:sz w:val="22"/>
                <w:szCs w:val="22"/>
                <w:color w:val="auto"/>
              </w:rPr>
            </w:pPr>
          </w:p>
        </w:tc>
        <w:tc>
          <w:tcPr>
            <w:tcW w:w="220" w:type="dxa"/>
            <w:vAlign w:val="bottom"/>
            <w:shd w:val="clear" w:color="auto" w:fill="E0E0E0"/>
          </w:tcPr>
          <w:p>
            <w:pPr>
              <w:spacing w:after="0"/>
              <w:rPr>
                <w:sz w:val="22"/>
                <w:szCs w:val="22"/>
                <w:color w:val="auto"/>
              </w:rPr>
            </w:pPr>
          </w:p>
        </w:tc>
        <w:tc>
          <w:tcPr>
            <w:tcW w:w="900" w:type="dxa"/>
            <w:vAlign w:val="bottom"/>
            <w:gridSpan w:val="2"/>
            <w:shd w:val="clear" w:color="auto" w:fill="E0E0E0"/>
          </w:tcPr>
          <w:p>
            <w:pPr>
              <w:jc w:val="right"/>
              <w:ind w:right="80"/>
              <w:spacing w:after="0" w:line="237" w:lineRule="exact"/>
              <w:rPr>
                <w:sz w:val="20"/>
                <w:szCs w:val="20"/>
                <w:color w:val="auto"/>
              </w:rPr>
            </w:pPr>
            <w:r>
              <w:rPr>
                <w:rFonts w:ascii="Arial" w:cs="Arial" w:eastAsia="Arial" w:hAnsi="Arial"/>
                <w:sz w:val="21"/>
                <w:szCs w:val="21"/>
                <w:color w:val="auto"/>
              </w:rPr>
              <w:t>807</w:t>
            </w:r>
          </w:p>
        </w:tc>
      </w:tr>
      <w:tr>
        <w:trPr>
          <w:trHeight w:val="208"/>
        </w:trPr>
        <w:tc>
          <w:tcPr>
            <w:tcW w:w="5400" w:type="dxa"/>
            <w:vAlign w:val="bottom"/>
            <w:gridSpan w:val="2"/>
          </w:tcPr>
          <w:p>
            <w:pPr>
              <w:ind w:left="300"/>
              <w:spacing w:after="0" w:line="207" w:lineRule="exact"/>
              <w:rPr>
                <w:sz w:val="20"/>
                <w:szCs w:val="20"/>
                <w:color w:val="auto"/>
              </w:rPr>
            </w:pPr>
            <w:r>
              <w:rPr>
                <w:rFonts w:ascii="Arial" w:cs="Arial" w:eastAsia="Arial" w:hAnsi="Arial"/>
                <w:sz w:val="21"/>
                <w:szCs w:val="21"/>
                <w:color w:val="auto"/>
              </w:rPr>
              <w:t>Total accrued liabilities</w:t>
            </w:r>
          </w:p>
        </w:tc>
        <w:tc>
          <w:tcPr>
            <w:tcW w:w="220" w:type="dxa"/>
            <w:vAlign w:val="bottom"/>
            <w:tcBorders>
              <w:top w:val="single" w:sz="8" w:color="auto"/>
            </w:tcBorders>
          </w:tcPr>
          <w:p>
            <w:pPr>
              <w:jc w:val="right"/>
              <w:ind w:right="22"/>
              <w:spacing w:after="0" w:line="207"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tcBorders>
          </w:tcPr>
          <w:p>
            <w:pPr>
              <w:ind w:left="320"/>
              <w:spacing w:after="0" w:line="208" w:lineRule="exact"/>
              <w:rPr>
                <w:sz w:val="20"/>
                <w:szCs w:val="20"/>
                <w:color w:val="auto"/>
              </w:rPr>
            </w:pPr>
            <w:r>
              <w:rPr>
                <w:rFonts w:ascii="Arial" w:cs="Arial" w:eastAsia="Arial" w:hAnsi="Arial"/>
                <w:sz w:val="21"/>
                <w:szCs w:val="21"/>
                <w:color w:val="auto"/>
                <w:w w:val="91"/>
              </w:rPr>
              <w:t>8,604</w:t>
            </w:r>
          </w:p>
        </w:tc>
        <w:tc>
          <w:tcPr>
            <w:tcW w:w="140" w:type="dxa"/>
            <w:vAlign w:val="bottom"/>
            <w:tcBorders>
              <w:top w:val="single" w:sz="8" w:color="E0E0E0"/>
            </w:tcBorders>
          </w:tcPr>
          <w:p>
            <w:pPr>
              <w:spacing w:after="0"/>
              <w:rPr>
                <w:sz w:val="18"/>
                <w:szCs w:val="18"/>
                <w:color w:val="auto"/>
              </w:rPr>
            </w:pPr>
          </w:p>
        </w:tc>
        <w:tc>
          <w:tcPr>
            <w:tcW w:w="20" w:type="dxa"/>
            <w:vAlign w:val="bottom"/>
            <w:tcBorders>
              <w:top w:val="single" w:sz="8" w:color="E0E0E0"/>
            </w:tcBorders>
          </w:tcPr>
          <w:p>
            <w:pPr>
              <w:spacing w:after="0"/>
              <w:rPr>
                <w:sz w:val="18"/>
                <w:szCs w:val="18"/>
                <w:color w:val="auto"/>
              </w:rPr>
            </w:pPr>
          </w:p>
        </w:tc>
        <w:tc>
          <w:tcPr>
            <w:tcW w:w="220" w:type="dxa"/>
            <w:vAlign w:val="bottom"/>
            <w:tcBorders>
              <w:top w:val="single" w:sz="8" w:color="auto"/>
            </w:tcBorders>
          </w:tcPr>
          <w:p>
            <w:pPr>
              <w:jc w:val="right"/>
              <w:ind w:right="22"/>
              <w:spacing w:after="0" w:line="207" w:lineRule="exact"/>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tcBorders>
          </w:tcPr>
          <w:p>
            <w:pPr>
              <w:jc w:val="right"/>
              <w:spacing w:after="0" w:line="208" w:lineRule="exact"/>
              <w:rPr>
                <w:sz w:val="20"/>
                <w:szCs w:val="20"/>
                <w:color w:val="auto"/>
              </w:rPr>
            </w:pPr>
            <w:r>
              <w:rPr>
                <w:rFonts w:ascii="Arial" w:cs="Arial" w:eastAsia="Arial" w:hAnsi="Arial"/>
                <w:sz w:val="21"/>
                <w:szCs w:val="21"/>
                <w:color w:val="auto"/>
              </w:rPr>
              <w:t>8,437</w:t>
            </w:r>
          </w:p>
        </w:tc>
        <w:tc>
          <w:tcPr>
            <w:tcW w:w="80" w:type="dxa"/>
            <w:vAlign w:val="bottom"/>
            <w:tcBorders>
              <w:top w:val="single" w:sz="8" w:color="E0E0E0"/>
            </w:tcBorders>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4704080</wp:posOffset>
                </wp:positionH>
                <wp:positionV relativeFrom="paragraph">
                  <wp:posOffset>-182245</wp:posOffset>
                </wp:positionV>
                <wp:extent cx="8763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63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4pt,-14.3499pt" to="377.3pt,-14.3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5464175</wp:posOffset>
                </wp:positionH>
                <wp:positionV relativeFrom="paragraph">
                  <wp:posOffset>-182245</wp:posOffset>
                </wp:positionV>
                <wp:extent cx="4508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8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25pt,-14.3499pt" to="433.8pt,-14.3499pt" o:allowincell="f" strokecolor="#FFFFFF" strokeweight="0.495pt"/>
            </w:pict>
          </mc:Fallback>
        </mc:AlternateContent>
      </w: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Significant Agreements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Washington State University (“WSU”) License Agreement</w:t>
      </w:r>
    </w:p>
    <w:p>
      <w:pPr>
        <w:spacing w:after="0" w:line="114"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The Company is party to an amended and restated exclusive license agreement with sublicensing terms with Washington State University (“WSU”) that the Company entered into in 2015. Under this agreement, the Company has an exclusive license to make, use, sell, and offer for sale products covered by certain licensed patents, including dihexa, the chemical compound into which fosgonimeton metabolizes following administration.</w:t>
      </w:r>
    </w:p>
    <w:p>
      <w:pPr>
        <w:spacing w:after="0" w:line="204"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1"/>
          <w:szCs w:val="21"/>
          <w:color w:val="auto"/>
        </w:rPr>
        <w:t>To keep in good standing, the agreement requires the Company to meet certain development milestones and pay annual maintenance fees. All contractual requirements have been met as of December 31, 2022.</w:t>
      </w:r>
    </w:p>
    <w:p>
      <w:pPr>
        <w:spacing w:after="0" w:line="191"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During the year ended December 31, 2020, the Phase 2 clinical trial milestone had been reached and a payment of $50,000 to WSU was recorded.</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The Company may also be obligated to pay the following if the related milestones are reached:</w:t>
      </w:r>
    </w:p>
    <w:p>
      <w:pPr>
        <w:spacing w:after="0" w:line="133" w:lineRule="exact"/>
        <w:rPr>
          <w:sz w:val="20"/>
          <w:szCs w:val="20"/>
          <w:color w:val="auto"/>
        </w:rPr>
      </w:pPr>
    </w:p>
    <w:p>
      <w:pPr>
        <w:ind w:left="1000" w:hanging="496"/>
        <w:spacing w:after="0" w:line="271" w:lineRule="auto"/>
        <w:tabs>
          <w:tab w:leader="none" w:pos="10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$300,000 – At initiation of the first Phase 3 clinical trial in the United States, European Union or Japan for the first licensed product; and</w:t>
      </w:r>
    </w:p>
    <w:p>
      <w:pPr>
        <w:spacing w:after="0" w:line="65" w:lineRule="exact"/>
        <w:rPr>
          <w:rFonts w:ascii="Arial" w:cs="Arial" w:eastAsia="Arial" w:hAnsi="Arial"/>
          <w:sz w:val="21"/>
          <w:szCs w:val="21"/>
          <w:color w:val="auto"/>
        </w:rPr>
      </w:pPr>
    </w:p>
    <w:p>
      <w:pPr>
        <w:ind w:left="1000" w:hanging="496"/>
        <w:spacing w:after="0" w:line="273" w:lineRule="auto"/>
        <w:tabs>
          <w:tab w:leader="none" w:pos="10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$600,000 – Upon receipt of marketing approval in the United States, European Union or Japan for the first licensed product.</w:t>
      </w:r>
    </w:p>
    <w:p>
      <w:pPr>
        <w:spacing w:after="0" w:line="171"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0"/>
          <w:szCs w:val="20"/>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December 31,</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145</w:t>
      </w:r>
    </w:p>
    <w:p>
      <w:pPr>
        <w:sectPr>
          <w:pgSz w:w="12240" w:h="15840" w:orient="portrait"/>
          <w:cols w:equalWidth="0" w:num="1">
            <w:col w:w="9640"/>
          </w:cols>
          <w:pgMar w:left="1300" w:top="1222" w:right="1300" w:bottom="0" w:gutter="0" w:footer="0" w:header="0"/>
          <w:type w:val="continuous"/>
        </w:sectPr>
      </w:pPr>
    </w:p>
    <w:bookmarkStart w:id="151" w:name="page152"/>
    <w:bookmarkEnd w:id="151"/>
    <w:p>
      <w:pPr>
        <w:jc w:val="both"/>
        <w:spacing w:after="0" w:line="271" w:lineRule="auto"/>
        <w:rPr>
          <w:sz w:val="20"/>
          <w:szCs w:val="20"/>
          <w:color w:val="auto"/>
        </w:rPr>
      </w:pPr>
      <w:r>
        <w:rPr>
          <w:rFonts w:ascii="Arial" w:cs="Arial" w:eastAsia="Arial" w:hAnsi="Arial"/>
          <w:sz w:val="21"/>
          <w:szCs w:val="21"/>
          <w:color w:val="auto"/>
        </w:rPr>
        <w:t>2022, no sales of any licensed products had occurred and the Company had not incurred a royalty obligation under this agreement.</w:t>
      </w:r>
    </w:p>
    <w:p>
      <w:pPr>
        <w:spacing w:after="0" w:line="175"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 payments received, and low twenties of net sales based sublicense royalties. As of December 31, 2022, the Company has not entered into or incurred any liability from a sublicense agreement.</w:t>
      </w:r>
    </w:p>
    <w:p>
      <w:pPr>
        <w:spacing w:after="0" w:line="3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Commitments and Contingencies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Legal Proceedings</w:t>
      </w:r>
    </w:p>
    <w:p>
      <w:pPr>
        <w:spacing w:after="0" w:line="114"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The following is a brief description of the more significant legal proceedings.</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auto"/>
        </w:rPr>
        <w:t>Securities Class Actions</w:t>
      </w:r>
    </w:p>
    <w:p>
      <w:pPr>
        <w:spacing w:after="0" w:line="123"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 xml:space="preserve">On June 25, 2021, plaintiffs Fan Wang and Hang Gao filed a putative securities class action lawsuit in the U.S. District Court for the Western District of Washington against the Company and the Company’s former chief executive officer Dr. Leen Kawas, captioned </w:t>
      </w:r>
      <w:r>
        <w:rPr>
          <w:rFonts w:ascii="Arial" w:cs="Arial" w:eastAsia="Arial" w:hAnsi="Arial"/>
          <w:sz w:val="20"/>
          <w:szCs w:val="20"/>
          <w:i w:val="1"/>
          <w:iCs w:val="1"/>
          <w:color w:val="auto"/>
        </w:rPr>
        <w:t>Wang v. Athira Pharma, Inc., et al.</w:t>
      </w:r>
      <w:r>
        <w:rPr>
          <w:rFonts w:ascii="Arial" w:cs="Arial" w:eastAsia="Arial" w:hAnsi="Arial"/>
          <w:sz w:val="20"/>
          <w:szCs w:val="20"/>
          <w:color w:val="auto"/>
        </w:rPr>
        <w:t xml:space="preserve">, No. 2:21-cv-00861. Plaintiffs Wang and Gao assert claims under Sections 10(b) and 20(a) of the Securities Exchange Act of 1934 ("Exchange Act") and SEC Rule 10b-5, alleging that the defendants made materially false and misleading statements and omitted material adverse facts regarding the Company’s business. Specifically, the </w:t>
      </w:r>
      <w:r>
        <w:rPr>
          <w:rFonts w:ascii="Arial" w:cs="Arial" w:eastAsia="Arial" w:hAnsi="Arial"/>
          <w:sz w:val="20"/>
          <w:szCs w:val="20"/>
          <w:i w:val="1"/>
          <w:iCs w:val="1"/>
          <w:color w:val="auto"/>
        </w:rPr>
        <w:t>Wang</w:t>
      </w:r>
      <w:r>
        <w:rPr>
          <w:rFonts w:ascii="Arial" w:cs="Arial" w:eastAsia="Arial" w:hAnsi="Arial"/>
          <w:sz w:val="20"/>
          <w:szCs w:val="20"/>
          <w:color w:val="auto"/>
        </w:rPr>
        <w:t xml:space="preserve"> plaintiffs allege that the Company failed to disclose to investors that certain research conducted by Dr. Kawas was allegedly tainted by scientific misconduct during her doctoral work at WSU, including the manipulation of data, and that as a result, the defendants’ positive statements about the Company’s business, operations, and prospects were materially misleading. The </w:t>
      </w:r>
      <w:r>
        <w:rPr>
          <w:rFonts w:ascii="Arial" w:cs="Arial" w:eastAsia="Arial" w:hAnsi="Arial"/>
          <w:sz w:val="20"/>
          <w:szCs w:val="20"/>
          <w:i w:val="1"/>
          <w:iCs w:val="1"/>
          <w:color w:val="auto"/>
        </w:rPr>
        <w:t>Wang</w:t>
      </w:r>
      <w:r>
        <w:rPr>
          <w:rFonts w:ascii="Arial" w:cs="Arial" w:eastAsia="Arial" w:hAnsi="Arial"/>
          <w:sz w:val="20"/>
          <w:szCs w:val="20"/>
          <w:color w:val="auto"/>
        </w:rPr>
        <w:t xml:space="preserve"> plaintiffs seek unspecified compensatory and punitive damages, and reasonable costs and expenses, including attorneys’ fees.</w:t>
      </w:r>
    </w:p>
    <w:p>
      <w:pPr>
        <w:spacing w:after="0" w:line="197" w:lineRule="exact"/>
        <w:rPr>
          <w:sz w:val="20"/>
          <w:szCs w:val="20"/>
          <w:color w:val="auto"/>
        </w:rPr>
      </w:pPr>
    </w:p>
    <w:p>
      <w:pPr>
        <w:jc w:val="both"/>
        <w:ind w:firstLine="505"/>
        <w:spacing w:after="0" w:line="238" w:lineRule="auto"/>
        <w:rPr>
          <w:sz w:val="20"/>
          <w:szCs w:val="20"/>
          <w:color w:val="auto"/>
        </w:rPr>
      </w:pPr>
      <w:r>
        <w:rPr>
          <w:rFonts w:ascii="Arial" w:cs="Arial" w:eastAsia="Arial" w:hAnsi="Arial"/>
          <w:sz w:val="21"/>
          <w:szCs w:val="21"/>
          <w:color w:val="auto"/>
        </w:rPr>
        <w:t xml:space="preserve">That same day, on June 25, 2021, plaintiff Harshdeep Jawandha filed a putative securities class action lawsuit in the U.S. District Court for the Western District of Washington against the Company, Dr. Kawas, the Company’s chief financial officer, certain members of the Company’s board of directors at the time of the Company’s initial public offering (IPO), as well as the IPO underwriters, captioned </w:t>
      </w:r>
      <w:r>
        <w:rPr>
          <w:rFonts w:ascii="Arial" w:cs="Arial" w:eastAsia="Arial" w:hAnsi="Arial"/>
          <w:sz w:val="21"/>
          <w:szCs w:val="21"/>
          <w:i w:val="1"/>
          <w:iCs w:val="1"/>
          <w:color w:val="auto"/>
        </w:rPr>
        <w:t>Jawandha v. Athira</w:t>
      </w:r>
      <w:r>
        <w:rPr>
          <w:rFonts w:ascii="Arial" w:cs="Arial" w:eastAsia="Arial" w:hAnsi="Arial"/>
          <w:sz w:val="21"/>
          <w:szCs w:val="21"/>
          <w:color w:val="auto"/>
        </w:rPr>
        <w:t xml:space="preserve"> </w:t>
      </w:r>
      <w:r>
        <w:rPr>
          <w:rFonts w:ascii="Arial" w:cs="Arial" w:eastAsia="Arial" w:hAnsi="Arial"/>
          <w:sz w:val="21"/>
          <w:szCs w:val="21"/>
          <w:i w:val="1"/>
          <w:iCs w:val="1"/>
          <w:color w:val="auto"/>
        </w:rPr>
        <w:t>Pharma, Inc., et al.</w:t>
      </w:r>
      <w:r>
        <w:rPr>
          <w:rFonts w:ascii="Arial" w:cs="Arial" w:eastAsia="Arial" w:hAnsi="Arial"/>
          <w:sz w:val="21"/>
          <w:szCs w:val="21"/>
          <w:color w:val="auto"/>
        </w:rPr>
        <w:t>, No. 2:21-cv-00862. The</w:t>
      </w:r>
      <w:r>
        <w:rPr>
          <w:rFonts w:ascii="Arial" w:cs="Arial" w:eastAsia="Arial" w:hAnsi="Arial"/>
          <w:sz w:val="21"/>
          <w:szCs w:val="21"/>
          <w:i w:val="1"/>
          <w:iCs w:val="1"/>
          <w:color w:val="auto"/>
        </w:rPr>
        <w:t xml:space="preserve"> Jawandha </w:t>
      </w:r>
      <w:r>
        <w:rPr>
          <w:rFonts w:ascii="Arial" w:cs="Arial" w:eastAsia="Arial" w:hAnsi="Arial"/>
          <w:sz w:val="21"/>
          <w:szCs w:val="21"/>
          <w:color w:val="auto"/>
        </w:rPr>
        <w:t>complaint asserts violations of Sections 11 and 15</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of the Securities Act of 1933 ("Securities Act"), alleging that that 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w:t>
      </w:r>
      <w:r>
        <w:rPr>
          <w:rFonts w:ascii="Arial" w:cs="Arial" w:eastAsia="Arial" w:hAnsi="Arial"/>
          <w:sz w:val="21"/>
          <w:szCs w:val="21"/>
          <w:i w:val="1"/>
          <w:iCs w:val="1"/>
          <w:color w:val="auto"/>
        </w:rPr>
        <w:t>Jawandha</w:t>
      </w:r>
      <w:r>
        <w:rPr>
          <w:rFonts w:ascii="Arial" w:cs="Arial" w:eastAsia="Arial" w:hAnsi="Arial"/>
          <w:sz w:val="21"/>
          <w:szCs w:val="21"/>
          <w:color w:val="auto"/>
        </w:rPr>
        <w:t xml:space="preserve"> plaintiff seeks unspecified compensatory damages, and reasonable costs and expenses, including attorneys’ fees.</w:t>
      </w:r>
    </w:p>
    <w:p>
      <w:pPr>
        <w:spacing w:after="0" w:line="217"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0"/>
          <w:szCs w:val="20"/>
          <w:color w:val="auto"/>
        </w:rPr>
        <w:t xml:space="preserve">Also on June 25, 2021, plaintiffs Timothy Slyne and Tai Slyne filed a putative securities class action lawsuit in the U.S. District Court for the Western District of Washington against the Company, Dr. Kawas, the Company’s chief financial officer, and the same members of the Company’s board of directors and underwriters as in the </w:t>
      </w:r>
      <w:r>
        <w:rPr>
          <w:rFonts w:ascii="Arial" w:cs="Arial" w:eastAsia="Arial" w:hAnsi="Arial"/>
          <w:sz w:val="20"/>
          <w:szCs w:val="20"/>
          <w:i w:val="1"/>
          <w:iCs w:val="1"/>
          <w:color w:val="auto"/>
        </w:rPr>
        <w:t>Jawandha</w:t>
      </w:r>
      <w:r>
        <w:rPr>
          <w:rFonts w:ascii="Arial" w:cs="Arial" w:eastAsia="Arial" w:hAnsi="Arial"/>
          <w:sz w:val="20"/>
          <w:szCs w:val="20"/>
          <w:color w:val="auto"/>
        </w:rPr>
        <w:t xml:space="preserve"> complaint, captioned </w:t>
      </w:r>
      <w:r>
        <w:rPr>
          <w:rFonts w:ascii="Arial" w:cs="Arial" w:eastAsia="Arial" w:hAnsi="Arial"/>
          <w:sz w:val="20"/>
          <w:szCs w:val="20"/>
          <w:i w:val="1"/>
          <w:iCs w:val="1"/>
          <w:color w:val="auto"/>
        </w:rPr>
        <w:t>Slyne v. Athira Pharma, Inc. et al.</w:t>
      </w:r>
      <w:r>
        <w:rPr>
          <w:rFonts w:ascii="Arial" w:cs="Arial" w:eastAsia="Arial" w:hAnsi="Arial"/>
          <w:sz w:val="20"/>
          <w:szCs w:val="20"/>
          <w:color w:val="auto"/>
        </w:rPr>
        <w:t xml:space="preserve">, No. 2:21-cv-00864. The </w:t>
      </w:r>
      <w:r>
        <w:rPr>
          <w:rFonts w:ascii="Arial" w:cs="Arial" w:eastAsia="Arial" w:hAnsi="Arial"/>
          <w:sz w:val="20"/>
          <w:szCs w:val="20"/>
          <w:i w:val="1"/>
          <w:iCs w:val="1"/>
          <w:color w:val="auto"/>
        </w:rPr>
        <w:t>Slyne</w:t>
      </w:r>
      <w:r>
        <w:rPr>
          <w:rFonts w:ascii="Arial" w:cs="Arial" w:eastAsia="Arial" w:hAnsi="Arial"/>
          <w:sz w:val="20"/>
          <w:szCs w:val="20"/>
          <w:color w:val="auto"/>
        </w:rPr>
        <w:t xml:space="preserve"> complaint asserts violations of Sections 11 and 15 of the Securities Act, alleging that purported issues with Dr. Kawas’s doctoral research at WSU should have been disclosed in the Company’s IPO registration statement. The </w:t>
      </w:r>
      <w:r>
        <w:rPr>
          <w:rFonts w:ascii="Arial" w:cs="Arial" w:eastAsia="Arial" w:hAnsi="Arial"/>
          <w:sz w:val="20"/>
          <w:szCs w:val="20"/>
          <w:i w:val="1"/>
          <w:iCs w:val="1"/>
          <w:color w:val="auto"/>
        </w:rPr>
        <w:t>Slyne</w:t>
      </w:r>
      <w:r>
        <w:rPr>
          <w:rFonts w:ascii="Arial" w:cs="Arial" w:eastAsia="Arial" w:hAnsi="Arial"/>
          <w:sz w:val="20"/>
          <w:szCs w:val="20"/>
          <w:color w:val="auto"/>
        </w:rPr>
        <w:t xml:space="preserve"> plaintiffs seek unspecified compensatory damages, reasonable costs and expenses, including attorneys’ fees, and injunctive and other equitable relief.</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146</w:t>
      </w:r>
    </w:p>
    <w:p>
      <w:pPr>
        <w:sectPr>
          <w:pgSz w:w="12240" w:h="15840" w:orient="portrait"/>
          <w:cols w:equalWidth="0" w:num="1">
            <w:col w:w="9640"/>
          </w:cols>
          <w:pgMar w:left="1300" w:top="1226" w:right="1300" w:bottom="0" w:gutter="0" w:footer="0" w:header="0"/>
          <w:type w:val="continuous"/>
        </w:sectPr>
      </w:pPr>
    </w:p>
    <w:bookmarkStart w:id="152" w:name="page153"/>
    <w:bookmarkEnd w:id="152"/>
    <w:p>
      <w:pPr>
        <w:jc w:val="both"/>
        <w:ind w:firstLine="504"/>
        <w:spacing w:after="0" w:line="253" w:lineRule="auto"/>
        <w:rPr>
          <w:sz w:val="20"/>
          <w:szCs w:val="20"/>
          <w:color w:val="auto"/>
        </w:rPr>
      </w:pPr>
      <w:r>
        <w:rPr>
          <w:rFonts w:ascii="Arial" w:cs="Arial" w:eastAsia="Arial" w:hAnsi="Arial"/>
          <w:sz w:val="21"/>
          <w:szCs w:val="21"/>
          <w:color w:val="auto"/>
        </w:rPr>
        <w:t>On August 9, 2021, the court issued an order consolidating the three cases. On October 5, 2021, the district court issued an order appointing lead plaintiffs and approved their selection of lead and liaison counsel.</w:t>
      </w:r>
    </w:p>
    <w:p>
      <w:pPr>
        <w:spacing w:after="0" w:line="194" w:lineRule="exact"/>
        <w:rPr>
          <w:sz w:val="20"/>
          <w:szCs w:val="20"/>
          <w:color w:val="auto"/>
        </w:rPr>
      </w:pPr>
    </w:p>
    <w:p>
      <w:pPr>
        <w:jc w:val="both"/>
        <w:ind w:firstLine="504"/>
        <w:spacing w:after="0" w:line="250" w:lineRule="auto"/>
        <w:rPr>
          <w:sz w:val="20"/>
          <w:szCs w:val="20"/>
          <w:color w:val="auto"/>
        </w:rPr>
      </w:pPr>
      <w:r>
        <w:rPr>
          <w:rFonts w:ascii="Arial" w:cs="Arial" w:eastAsia="Arial" w:hAnsi="Arial"/>
          <w:sz w:val="20"/>
          <w:szCs w:val="20"/>
          <w:color w:val="auto"/>
        </w:rPr>
        <w:t>On January 7, 2022, lead plaintiffs filed a consolidated amended complaint, which asserts violations of Sections 10(b) and 20(a) of the Exchange Act and SEC Rule 10b-5 and Sections 11, 12, and 15 of the Securities Act. The consolidated amended complaint is brought against the Company, Dr. Kawas, the Company’s chief financial officer, certain members of the Company's board of directors at the time of the Company's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spacing w:after="0" w:line="199"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On August 12, 2022, defendant Dr. Kawas filed a motion for partial reconsideration of the court’s July 29, 2022 order.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the Company and Dr. Kawas filed their individual answers to the consolidated amended complaint. In mid-November 2022, the parties began conducting fact discovery. On December 19, 2022, the underwriter defendants filed a motion for entry of judgment. On February 17, 2023, the court issued an order directing the parties to provide briefing on the court’s proposed form of partial judgment.</w:t>
      </w:r>
    </w:p>
    <w:p>
      <w:pPr>
        <w:spacing w:after="0" w:line="206"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On February 28, 2023, the Company reached an agreement in principle to resolve all claims in the class action lawsuit. Under the proposed settlement, the Company has agreed to make a one-time payment of $10.0 million. As a result, the Company recorded a legal settlement expense of $10.0 million in operating expenses on the accompanying consolidated statements of operations and comprehensive loss in the fourth quarter of 2022 and an accrued liability of $10.0 million on the accompanying consolidated balance sheets. The proposed settlement is subject to the parties finalizing a stipulation of settlement and preliminary and final approval of the U.S. District Court for the Western District of Washington.</w:t>
      </w:r>
    </w:p>
    <w:p>
      <w:pPr>
        <w:spacing w:after="0" w:line="315"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auto"/>
        </w:rPr>
        <w:t>Shareholder Derivative Actions</w:t>
      </w:r>
    </w:p>
    <w:p>
      <w:pPr>
        <w:spacing w:after="0" w:line="122"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 xml:space="preserve">On April 14, 2022, a shareholder derivative action was filed by plaintiff Stephen Bushansky in the U.S. District Court for the Western District of Washington against certain current and former members of the Company’s board of directors, captioned </w:t>
      </w:r>
      <w:r>
        <w:rPr>
          <w:rFonts w:ascii="Arial" w:cs="Arial" w:eastAsia="Arial" w:hAnsi="Arial"/>
          <w:sz w:val="20"/>
          <w:szCs w:val="20"/>
          <w:i w:val="1"/>
          <w:iCs w:val="1"/>
          <w:color w:val="auto"/>
        </w:rPr>
        <w:t>Bushansky v. Kawas et al.</w:t>
      </w:r>
      <w:r>
        <w:rPr>
          <w:rFonts w:ascii="Arial" w:cs="Arial" w:eastAsia="Arial" w:hAnsi="Arial"/>
          <w:sz w:val="20"/>
          <w:szCs w:val="20"/>
          <w:color w:val="auto"/>
        </w:rPr>
        <w:t>, No. 2:22-cv-497. Plaintiff purports to bring the action derivatively on behalf of the Company, which is a nominal defendant to the action. The derivative complaint alleges that the Company’s board of directors breached its fiduciary duties by failing to prevent alleged misstatements in the Company’s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147</w:t>
      </w:r>
    </w:p>
    <w:p>
      <w:pPr>
        <w:sectPr>
          <w:pgSz w:w="12240" w:h="15840" w:orient="portrait"/>
          <w:cols w:equalWidth="0" w:num="1">
            <w:col w:w="9640"/>
          </w:cols>
          <w:pgMar w:left="1300" w:top="1226" w:right="1300" w:bottom="0" w:gutter="0" w:footer="0" w:header="0"/>
          <w:type w:val="continuous"/>
        </w:sectPr>
      </w:pPr>
    </w:p>
    <w:bookmarkStart w:id="153" w:name="page154"/>
    <w:bookmarkEnd w:id="153"/>
    <w:p>
      <w:pPr>
        <w:jc w:val="both"/>
        <w:spacing w:after="0" w:line="271" w:lineRule="auto"/>
        <w:rPr>
          <w:sz w:val="20"/>
          <w:szCs w:val="20"/>
          <w:color w:val="auto"/>
        </w:rPr>
      </w:pPr>
      <w:r>
        <w:rPr>
          <w:rFonts w:ascii="Arial" w:cs="Arial" w:eastAsia="Arial" w:hAnsi="Arial"/>
          <w:sz w:val="21"/>
          <w:szCs w:val="21"/>
          <w:color w:val="auto"/>
        </w:rPr>
        <w:t>defendants, restitution, declaratory relief, and an award of costs and expenses to the derivative plaintiff, including attorneys’ fees.</w:t>
      </w:r>
    </w:p>
    <w:p>
      <w:pPr>
        <w:spacing w:after="0" w:line="175"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21"/>
          <w:szCs w:val="21"/>
          <w:color w:val="auto"/>
        </w:rPr>
        <w:t xml:space="preserve">On May 6, 2022, a second shareholder derivative action was filed by plaintiff Thomas Houlihan in the U.S. District Court for the Western District of Washington against certain current and former directors and officers of the Company, captioned </w:t>
      </w:r>
      <w:r>
        <w:rPr>
          <w:rFonts w:ascii="Arial" w:cs="Arial" w:eastAsia="Arial" w:hAnsi="Arial"/>
          <w:sz w:val="21"/>
          <w:szCs w:val="21"/>
          <w:i w:val="1"/>
          <w:iCs w:val="1"/>
          <w:color w:val="auto"/>
        </w:rPr>
        <w:t>Houlihan v. Kawas et al</w:t>
      </w:r>
      <w:r>
        <w:rPr>
          <w:rFonts w:ascii="Arial" w:cs="Arial" w:eastAsia="Arial" w:hAnsi="Arial"/>
          <w:sz w:val="21"/>
          <w:szCs w:val="21"/>
          <w:color w:val="auto"/>
        </w:rPr>
        <w:t>., No. 2:22-cv-620. Plaintiff purports to bring the action derivatively on behalf of the Company, which is a nominal defendant to the action. The derivative complaint alleges that certain of the Company’s current and former directors and officers breached their fiduciary duties by failing to prevent alleged misstatements in the Company’s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spacing w:after="0" w:line="208"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On May 26, 2022, the court issued an order consolidating the cases and staying them until further order of the court.</w:t>
      </w:r>
    </w:p>
    <w:p>
      <w:pPr>
        <w:spacing w:after="0" w:line="291"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auto"/>
        </w:rPr>
        <w:t>Government Investigations</w:t>
      </w:r>
    </w:p>
    <w:p>
      <w:pPr>
        <w:spacing w:after="0" w:line="123"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In November 2022, the Company received a Civil Investigative Demand from the Civil Division of the Department of Justice, or the Demand. The Demand seeks documents and information relating to our relationship with WSU, certain of our grant applications in 2016 and 2019 with the National Institutes of Health, or NIH, and our receipt of a NIH grant in 2020. The Company is cooperating with the Department of Justice with respect to the Demand.</w:t>
      </w:r>
    </w:p>
    <w:p>
      <w:pPr>
        <w:spacing w:after="0" w:line="204"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In February 2023, the Securities and Exchange Commission, or SEC, sent the Company a subpoena seeking documents and information relating to, among other things, our former chief executive officer's alterations of images in certain research papers. The Company is cooperating with the SEC with respect to the subpoena.</w:t>
      </w:r>
    </w:p>
    <w:p>
      <w:pPr>
        <w:spacing w:after="0" w:line="201"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The Company cannot predict the outcome of these lawsuits or government investigations. Failure by the Company to obtain a favorable resolution of these actions could have a material adverse effect on our business, results of operations and financial condition. The Company’s chances of success on the merits are still uncertain and, other than an accrual of $10.0 million recorded for the proposed settlement of the securities class action litigation for the year ended December 31, 2022, any possible loss or range of loss cannot be reasonably estimated and as such the Company has not otherwise recorded a liability as of December 31, 2022.</w:t>
      </w:r>
    </w:p>
    <w:p>
      <w:pPr>
        <w:spacing w:after="0" w:line="335"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Indemnifications</w:t>
      </w:r>
    </w:p>
    <w:p>
      <w:pPr>
        <w:spacing w:after="0" w:line="115"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To date the Company has not incurred material costs to defend lawsuits or settle claims related to these indemnification provisions. The Company enters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148</w:t>
      </w:r>
    </w:p>
    <w:p>
      <w:pPr>
        <w:sectPr>
          <w:pgSz w:w="12240" w:h="15840" w:orient="portrait"/>
          <w:cols w:equalWidth="0" w:num="1">
            <w:col w:w="9640"/>
          </w:cols>
          <w:pgMar w:left="1300" w:top="1226" w:right="1300" w:bottom="0" w:gutter="0" w:footer="0" w:header="0"/>
          <w:type w:val="continuous"/>
        </w:sectPr>
      </w:pPr>
    </w:p>
    <w:bookmarkStart w:id="154" w:name="page155"/>
    <w:bookmarkEnd w:id="154"/>
    <w:p>
      <w:pPr>
        <w:jc w:val="both"/>
        <w:spacing w:after="0" w:line="271" w:lineRule="auto"/>
        <w:rPr>
          <w:sz w:val="20"/>
          <w:szCs w:val="20"/>
          <w:color w:val="auto"/>
        </w:rPr>
      </w:pPr>
      <w:r>
        <w:rPr>
          <w:rFonts w:ascii="Arial" w:cs="Arial" w:eastAsia="Arial" w:hAnsi="Arial"/>
          <w:sz w:val="21"/>
          <w:szCs w:val="21"/>
          <w:color w:val="auto"/>
        </w:rPr>
        <w:t>currently has directors’ and officers’ insurance coverage that reduces its exposure and enables the Company to recover a portion of any future amounts paid.</w:t>
      </w:r>
    </w:p>
    <w:p>
      <w:pPr>
        <w:spacing w:after="0" w:line="303"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Operating Leases</w:t>
      </w:r>
    </w:p>
    <w:p>
      <w:pPr>
        <w:spacing w:after="0" w:line="115"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The Company has operating leases for laboratory and office facilities in Bothell, Washington that expire in August 2027. The initial terms of the leases range from 6.3 to 7 years and the Company has options to extend the leases for an additional five years that it is not reasonably certain to exercise. As of December 31, 2022, the Company was not party to any finance leases.</w:t>
      </w:r>
    </w:p>
    <w:p>
      <w:pPr>
        <w:spacing w:after="0" w:line="200"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color w:val="auto"/>
        </w:rPr>
        <w:t>The following table reconciles the Company’s undiscounted operating lease cash flows to its operating lease liability (in thousands):</w:t>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7"/>
        </w:trPr>
        <w:tc>
          <w:tcPr>
            <w:tcW w:w="5560" w:type="dxa"/>
            <w:vAlign w:val="bottom"/>
            <w:tcBorders>
              <w:bottom w:val="single" w:sz="8" w:color="E0E0E0"/>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560" w:type="dxa"/>
            <w:vAlign w:val="bottom"/>
            <w:tcBorders>
              <w:right w:val="single" w:sz="8" w:color="E0E0E0"/>
            </w:tcBorders>
            <w:shd w:val="clear" w:color="auto" w:fill="E0E0E0"/>
          </w:tcPr>
          <w:p>
            <w:pPr>
              <w:spacing w:after="0" w:line="227" w:lineRule="exact"/>
              <w:rPr>
                <w:sz w:val="20"/>
                <w:szCs w:val="20"/>
                <w:color w:val="auto"/>
              </w:rPr>
            </w:pPr>
            <w:r>
              <w:rPr>
                <w:rFonts w:ascii="Arial" w:cs="Arial" w:eastAsia="Arial" w:hAnsi="Arial"/>
                <w:sz w:val="21"/>
                <w:szCs w:val="21"/>
                <w:color w:val="auto"/>
              </w:rPr>
              <w:t>2023</w:t>
            </w:r>
          </w:p>
        </w:tc>
        <w:tc>
          <w:tcPr>
            <w:tcW w:w="240" w:type="dxa"/>
            <w:vAlign w:val="bottom"/>
            <w:shd w:val="clear" w:color="auto" w:fill="E0E0E0"/>
          </w:tcPr>
          <w:p>
            <w:pPr>
              <w:spacing w:after="0"/>
              <w:rPr>
                <w:sz w:val="19"/>
                <w:szCs w:val="19"/>
                <w:color w:val="auto"/>
              </w:rPr>
            </w:pPr>
          </w:p>
        </w:tc>
        <w:tc>
          <w:tcPr>
            <w:tcW w:w="960" w:type="dxa"/>
            <w:vAlign w:val="bottom"/>
            <w:gridSpan w:val="2"/>
            <w:shd w:val="clear" w:color="auto" w:fill="E0E0E0"/>
          </w:tcPr>
          <w:p>
            <w:pPr>
              <w:jc w:val="right"/>
              <w:ind w:right="80"/>
              <w:spacing w:after="0" w:line="227" w:lineRule="exact"/>
              <w:rPr>
                <w:sz w:val="20"/>
                <w:szCs w:val="20"/>
                <w:color w:val="auto"/>
              </w:rPr>
            </w:pPr>
            <w:r>
              <w:rPr>
                <w:rFonts w:ascii="Arial" w:cs="Arial" w:eastAsia="Arial" w:hAnsi="Arial"/>
                <w:sz w:val="21"/>
                <w:szCs w:val="21"/>
                <w:color w:val="auto"/>
              </w:rPr>
              <w:t>466</w:t>
            </w:r>
          </w:p>
        </w:tc>
        <w:tc>
          <w:tcPr>
            <w:tcW w:w="0" w:type="dxa"/>
            <w:vAlign w:val="bottom"/>
          </w:tcPr>
          <w:p>
            <w:pPr>
              <w:spacing w:after="0"/>
              <w:rPr>
                <w:sz w:val="1"/>
                <w:szCs w:val="1"/>
                <w:color w:val="auto"/>
              </w:rPr>
            </w:pPr>
          </w:p>
        </w:tc>
      </w:tr>
      <w:tr>
        <w:trPr>
          <w:trHeight w:val="237"/>
        </w:trPr>
        <w:tc>
          <w:tcPr>
            <w:tcW w:w="5560" w:type="dxa"/>
            <w:vAlign w:val="bottom"/>
          </w:tcPr>
          <w:p>
            <w:pPr>
              <w:spacing w:after="0" w:line="237" w:lineRule="exact"/>
              <w:rPr>
                <w:sz w:val="20"/>
                <w:szCs w:val="20"/>
                <w:color w:val="auto"/>
              </w:rPr>
            </w:pPr>
            <w:r>
              <w:rPr>
                <w:rFonts w:ascii="Arial" w:cs="Arial" w:eastAsia="Arial" w:hAnsi="Arial"/>
                <w:sz w:val="21"/>
                <w:szCs w:val="21"/>
                <w:color w:val="auto"/>
              </w:rPr>
              <w:t>2024</w:t>
            </w:r>
          </w:p>
        </w:tc>
        <w:tc>
          <w:tcPr>
            <w:tcW w:w="240" w:type="dxa"/>
            <w:vAlign w:val="bottom"/>
          </w:tcPr>
          <w:p>
            <w:pPr>
              <w:spacing w:after="0"/>
              <w:rPr>
                <w:sz w:val="20"/>
                <w:szCs w:val="20"/>
                <w:color w:val="auto"/>
              </w:rPr>
            </w:pPr>
          </w:p>
        </w:tc>
        <w:tc>
          <w:tcPr>
            <w:tcW w:w="960" w:type="dxa"/>
            <w:vAlign w:val="bottom"/>
            <w:gridSpan w:val="2"/>
          </w:tcPr>
          <w:p>
            <w:pPr>
              <w:jc w:val="right"/>
              <w:ind w:right="80"/>
              <w:spacing w:after="0" w:line="237" w:lineRule="exact"/>
              <w:rPr>
                <w:sz w:val="20"/>
                <w:szCs w:val="20"/>
                <w:color w:val="auto"/>
              </w:rPr>
            </w:pPr>
            <w:r>
              <w:rPr>
                <w:rFonts w:ascii="Arial" w:cs="Arial" w:eastAsia="Arial" w:hAnsi="Arial"/>
                <w:sz w:val="21"/>
                <w:szCs w:val="21"/>
                <w:color w:val="auto"/>
              </w:rPr>
              <w:t>480</w:t>
            </w:r>
          </w:p>
        </w:tc>
        <w:tc>
          <w:tcPr>
            <w:tcW w:w="0" w:type="dxa"/>
            <w:vAlign w:val="bottom"/>
          </w:tcPr>
          <w:p>
            <w:pPr>
              <w:spacing w:after="0"/>
              <w:rPr>
                <w:sz w:val="1"/>
                <w:szCs w:val="1"/>
                <w:color w:val="auto"/>
              </w:rPr>
            </w:pPr>
          </w:p>
        </w:tc>
      </w:tr>
      <w:tr>
        <w:trPr>
          <w:trHeight w:val="236"/>
        </w:trPr>
        <w:tc>
          <w:tcPr>
            <w:tcW w:w="5560" w:type="dxa"/>
            <w:vAlign w:val="bottom"/>
            <w:tcBorders>
              <w:right w:val="single" w:sz="8" w:color="E0E0E0"/>
            </w:tcBorders>
            <w:shd w:val="clear" w:color="auto" w:fill="E0E0E0"/>
          </w:tcPr>
          <w:p>
            <w:pPr>
              <w:spacing w:after="0" w:line="236" w:lineRule="exact"/>
              <w:rPr>
                <w:sz w:val="20"/>
                <w:szCs w:val="20"/>
                <w:color w:val="auto"/>
              </w:rPr>
            </w:pPr>
            <w:r>
              <w:rPr>
                <w:rFonts w:ascii="Arial" w:cs="Arial" w:eastAsia="Arial" w:hAnsi="Arial"/>
                <w:sz w:val="21"/>
                <w:szCs w:val="21"/>
                <w:color w:val="auto"/>
              </w:rPr>
              <w:t>2025</w:t>
            </w:r>
          </w:p>
        </w:tc>
        <w:tc>
          <w:tcPr>
            <w:tcW w:w="240" w:type="dxa"/>
            <w:vAlign w:val="bottom"/>
            <w:shd w:val="clear" w:color="auto" w:fill="E0E0E0"/>
          </w:tcPr>
          <w:p>
            <w:pPr>
              <w:spacing w:after="0"/>
              <w:rPr>
                <w:sz w:val="20"/>
                <w:szCs w:val="20"/>
                <w:color w:val="auto"/>
              </w:rPr>
            </w:pPr>
          </w:p>
        </w:tc>
        <w:tc>
          <w:tcPr>
            <w:tcW w:w="960" w:type="dxa"/>
            <w:vAlign w:val="bottom"/>
            <w:gridSpan w:val="2"/>
            <w:shd w:val="clear" w:color="auto" w:fill="E0E0E0"/>
          </w:tcPr>
          <w:p>
            <w:pPr>
              <w:jc w:val="right"/>
              <w:ind w:right="80"/>
              <w:spacing w:after="0" w:line="236" w:lineRule="exact"/>
              <w:rPr>
                <w:sz w:val="20"/>
                <w:szCs w:val="20"/>
                <w:color w:val="auto"/>
              </w:rPr>
            </w:pPr>
            <w:r>
              <w:rPr>
                <w:rFonts w:ascii="Arial" w:cs="Arial" w:eastAsia="Arial" w:hAnsi="Arial"/>
                <w:sz w:val="21"/>
                <w:szCs w:val="21"/>
                <w:color w:val="auto"/>
              </w:rPr>
              <w:t>494</w:t>
            </w:r>
          </w:p>
        </w:tc>
        <w:tc>
          <w:tcPr>
            <w:tcW w:w="0" w:type="dxa"/>
            <w:vAlign w:val="bottom"/>
          </w:tcPr>
          <w:p>
            <w:pPr>
              <w:spacing w:after="0"/>
              <w:rPr>
                <w:sz w:val="1"/>
                <w:szCs w:val="1"/>
                <w:color w:val="auto"/>
              </w:rPr>
            </w:pPr>
          </w:p>
        </w:tc>
      </w:tr>
      <w:tr>
        <w:trPr>
          <w:trHeight w:val="237"/>
        </w:trPr>
        <w:tc>
          <w:tcPr>
            <w:tcW w:w="5560" w:type="dxa"/>
            <w:vAlign w:val="bottom"/>
          </w:tcPr>
          <w:p>
            <w:pPr>
              <w:spacing w:after="0" w:line="237" w:lineRule="exact"/>
              <w:rPr>
                <w:sz w:val="20"/>
                <w:szCs w:val="20"/>
                <w:color w:val="auto"/>
              </w:rPr>
            </w:pPr>
            <w:r>
              <w:rPr>
                <w:rFonts w:ascii="Arial" w:cs="Arial" w:eastAsia="Arial" w:hAnsi="Arial"/>
                <w:sz w:val="21"/>
                <w:szCs w:val="21"/>
                <w:color w:val="auto"/>
              </w:rPr>
              <w:t>Thereafter</w:t>
            </w:r>
          </w:p>
        </w:tc>
        <w:tc>
          <w:tcPr>
            <w:tcW w:w="240" w:type="dxa"/>
            <w:vAlign w:val="bottom"/>
          </w:tcPr>
          <w:p>
            <w:pPr>
              <w:spacing w:after="0"/>
              <w:rPr>
                <w:sz w:val="20"/>
                <w:szCs w:val="20"/>
                <w:color w:val="auto"/>
              </w:rPr>
            </w:pPr>
          </w:p>
        </w:tc>
        <w:tc>
          <w:tcPr>
            <w:tcW w:w="960" w:type="dxa"/>
            <w:vAlign w:val="bottom"/>
            <w:gridSpan w:val="2"/>
          </w:tcPr>
          <w:p>
            <w:pPr>
              <w:jc w:val="right"/>
              <w:ind w:right="80"/>
              <w:spacing w:after="0" w:line="237" w:lineRule="exact"/>
              <w:rPr>
                <w:sz w:val="20"/>
                <w:szCs w:val="20"/>
                <w:color w:val="auto"/>
              </w:rPr>
            </w:pPr>
            <w:r>
              <w:rPr>
                <w:rFonts w:ascii="Arial" w:cs="Arial" w:eastAsia="Arial" w:hAnsi="Arial"/>
                <w:sz w:val="21"/>
                <w:szCs w:val="21"/>
                <w:color w:val="auto"/>
              </w:rPr>
              <w:t>855</w:t>
            </w:r>
          </w:p>
        </w:tc>
        <w:tc>
          <w:tcPr>
            <w:tcW w:w="0" w:type="dxa"/>
            <w:vAlign w:val="bottom"/>
          </w:tcPr>
          <w:p>
            <w:pPr>
              <w:spacing w:after="0"/>
              <w:rPr>
                <w:sz w:val="1"/>
                <w:szCs w:val="1"/>
                <w:color w:val="auto"/>
              </w:rPr>
            </w:pPr>
          </w:p>
        </w:tc>
      </w:tr>
      <w:tr>
        <w:trPr>
          <w:trHeight w:val="20"/>
        </w:trPr>
        <w:tc>
          <w:tcPr>
            <w:tcW w:w="5560" w:type="dxa"/>
            <w:vAlign w:val="bottom"/>
            <w:tcBorders>
              <w:right w:val="single" w:sz="8" w:color="E0E0E0"/>
            </w:tcBorders>
            <w:vMerge w:val="restart"/>
            <w:shd w:val="clear" w:color="auto" w:fill="E0E0E0"/>
          </w:tcPr>
          <w:p>
            <w:pPr>
              <w:spacing w:after="0"/>
              <w:rPr>
                <w:sz w:val="20"/>
                <w:szCs w:val="20"/>
                <w:color w:val="auto"/>
              </w:rPr>
            </w:pPr>
            <w:r>
              <w:rPr>
                <w:rFonts w:ascii="Arial" w:cs="Arial" w:eastAsia="Arial" w:hAnsi="Arial"/>
                <w:sz w:val="21"/>
                <w:szCs w:val="21"/>
                <w:color w:val="auto"/>
              </w:rPr>
              <w:t>Total undiscounted lease payments</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560" w:type="dxa"/>
            <w:vAlign w:val="bottom"/>
            <w:tcBorders>
              <w:right w:val="single" w:sz="8" w:color="E0E0E0"/>
            </w:tcBorders>
            <w:vMerge w:val="continue"/>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960" w:type="dxa"/>
            <w:vAlign w:val="bottom"/>
            <w:gridSpan w:val="2"/>
            <w:shd w:val="clear" w:color="auto" w:fill="E0E0E0"/>
          </w:tcPr>
          <w:p>
            <w:pPr>
              <w:jc w:val="right"/>
              <w:ind w:right="80"/>
              <w:spacing w:after="0" w:line="227" w:lineRule="exact"/>
              <w:rPr>
                <w:sz w:val="20"/>
                <w:szCs w:val="20"/>
                <w:color w:val="auto"/>
              </w:rPr>
            </w:pPr>
            <w:r>
              <w:rPr>
                <w:rFonts w:ascii="Arial" w:cs="Arial" w:eastAsia="Arial" w:hAnsi="Arial"/>
                <w:sz w:val="21"/>
                <w:szCs w:val="21"/>
                <w:color w:val="auto"/>
              </w:rPr>
              <w:t>2,295</w:t>
            </w:r>
          </w:p>
        </w:tc>
        <w:tc>
          <w:tcPr>
            <w:tcW w:w="0" w:type="dxa"/>
            <w:vAlign w:val="bottom"/>
          </w:tcPr>
          <w:p>
            <w:pPr>
              <w:spacing w:after="0"/>
              <w:rPr>
                <w:sz w:val="1"/>
                <w:szCs w:val="1"/>
                <w:color w:val="auto"/>
              </w:rPr>
            </w:pPr>
          </w:p>
        </w:tc>
      </w:tr>
      <w:tr>
        <w:trPr>
          <w:trHeight w:val="217"/>
        </w:trPr>
        <w:tc>
          <w:tcPr>
            <w:tcW w:w="5560" w:type="dxa"/>
            <w:vAlign w:val="bottom"/>
          </w:tcPr>
          <w:p>
            <w:pPr>
              <w:spacing w:after="0" w:line="217" w:lineRule="exact"/>
              <w:rPr>
                <w:sz w:val="20"/>
                <w:szCs w:val="20"/>
                <w:color w:val="auto"/>
              </w:rPr>
            </w:pPr>
            <w:r>
              <w:rPr>
                <w:rFonts w:ascii="Arial" w:cs="Arial" w:eastAsia="Arial" w:hAnsi="Arial"/>
                <w:sz w:val="21"/>
                <w:szCs w:val="21"/>
                <w:color w:val="auto"/>
              </w:rPr>
              <w:t>Present value adjustment for minimum lease</w:t>
            </w:r>
          </w:p>
        </w:tc>
        <w:tc>
          <w:tcPr>
            <w:tcW w:w="240" w:type="dxa"/>
            <w:vAlign w:val="bottom"/>
          </w:tcPr>
          <w:p>
            <w:pPr>
              <w:spacing w:after="0"/>
              <w:rPr>
                <w:sz w:val="18"/>
                <w:szCs w:val="18"/>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21"/>
                <w:szCs w:val="21"/>
                <w:color w:val="auto"/>
              </w:rPr>
              <w:t>(384)</w:t>
            </w:r>
          </w:p>
        </w:tc>
        <w:tc>
          <w:tcPr>
            <w:tcW w:w="0" w:type="dxa"/>
            <w:vAlign w:val="bottom"/>
          </w:tcPr>
          <w:p>
            <w:pPr>
              <w:spacing w:after="0"/>
              <w:rPr>
                <w:sz w:val="1"/>
                <w:szCs w:val="1"/>
                <w:color w:val="auto"/>
              </w:rPr>
            </w:pPr>
          </w:p>
        </w:tc>
      </w:tr>
      <w:tr>
        <w:trPr>
          <w:trHeight w:val="256"/>
        </w:trPr>
        <w:tc>
          <w:tcPr>
            <w:tcW w:w="5560" w:type="dxa"/>
            <w:vAlign w:val="bottom"/>
          </w:tcPr>
          <w:p>
            <w:pPr>
              <w:ind w:left="180"/>
              <w:spacing w:after="0"/>
              <w:rPr>
                <w:sz w:val="20"/>
                <w:szCs w:val="20"/>
                <w:color w:val="auto"/>
              </w:rPr>
            </w:pPr>
            <w:r>
              <w:rPr>
                <w:rFonts w:ascii="Arial" w:cs="Arial" w:eastAsia="Arial" w:hAnsi="Arial"/>
                <w:sz w:val="21"/>
                <w:szCs w:val="21"/>
                <w:color w:val="auto"/>
              </w:rPr>
              <w:t>commitments</w:t>
            </w:r>
          </w:p>
        </w:tc>
        <w:tc>
          <w:tcPr>
            <w:tcW w:w="24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tcBorders>
              <w:right w:val="single" w:sz="8" w:color="E0E0E0"/>
            </w:tcBorders>
            <w:shd w:val="clear" w:color="auto" w:fill="E0E0E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560" w:type="dxa"/>
            <w:vAlign w:val="bottom"/>
            <w:tcBorders>
              <w:right w:val="single" w:sz="8" w:color="E0E0E0"/>
            </w:tcBorders>
            <w:shd w:val="clear" w:color="auto" w:fill="E0E0E0"/>
          </w:tcPr>
          <w:p>
            <w:pPr>
              <w:ind w:left="300"/>
              <w:spacing w:after="0" w:line="229" w:lineRule="exact"/>
              <w:rPr>
                <w:sz w:val="20"/>
                <w:szCs w:val="20"/>
                <w:color w:val="auto"/>
              </w:rPr>
            </w:pPr>
            <w:r>
              <w:rPr>
                <w:rFonts w:ascii="Arial" w:cs="Arial" w:eastAsia="Arial" w:hAnsi="Arial"/>
                <w:sz w:val="21"/>
                <w:szCs w:val="21"/>
                <w:color w:val="auto"/>
              </w:rPr>
              <w:t>Net lease liability</w:t>
            </w:r>
          </w:p>
        </w:tc>
        <w:tc>
          <w:tcPr>
            <w:tcW w:w="240" w:type="dxa"/>
            <w:vAlign w:val="bottom"/>
            <w:shd w:val="clear" w:color="auto" w:fill="E0E0E0"/>
          </w:tcPr>
          <w:p>
            <w:pPr>
              <w:jc w:val="right"/>
              <w:ind w:right="50"/>
              <w:spacing w:after="0" w:line="229" w:lineRule="exact"/>
              <w:rPr>
                <w:sz w:val="20"/>
                <w:szCs w:val="20"/>
                <w:color w:val="auto"/>
              </w:rPr>
            </w:pPr>
            <w:r>
              <w:rPr>
                <w:rFonts w:ascii="Arial" w:cs="Arial" w:eastAsia="Arial" w:hAnsi="Arial"/>
                <w:sz w:val="20"/>
                <w:szCs w:val="20"/>
                <w:color w:val="auto"/>
                <w:w w:val="71"/>
              </w:rPr>
              <w:t>$</w:t>
            </w:r>
          </w:p>
        </w:tc>
        <w:tc>
          <w:tcPr>
            <w:tcW w:w="960" w:type="dxa"/>
            <w:vAlign w:val="bottom"/>
            <w:gridSpan w:val="2"/>
            <w:shd w:val="clear" w:color="auto" w:fill="E0E0E0"/>
          </w:tcPr>
          <w:p>
            <w:pPr>
              <w:jc w:val="right"/>
              <w:ind w:right="80"/>
              <w:spacing w:after="0" w:line="229" w:lineRule="exact"/>
              <w:rPr>
                <w:sz w:val="20"/>
                <w:szCs w:val="20"/>
                <w:color w:val="auto"/>
              </w:rPr>
            </w:pPr>
            <w:r>
              <w:rPr>
                <w:rFonts w:ascii="Arial" w:cs="Arial" w:eastAsia="Arial" w:hAnsi="Arial"/>
                <w:sz w:val="21"/>
                <w:szCs w:val="21"/>
                <w:color w:val="auto"/>
              </w:rPr>
              <w:t>1,911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The weighted average remaining lease term and the weighted average discount rate used to determine the operating lease liability were as follows:</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December 31,</w:t>
            </w:r>
          </w:p>
        </w:tc>
      </w:tr>
      <w:tr>
        <w:trPr>
          <w:trHeight w:val="207"/>
        </w:trPr>
        <w:tc>
          <w:tcPr>
            <w:tcW w:w="5380" w:type="dxa"/>
            <w:vAlign w:val="bottom"/>
            <w:tcBorders>
              <w:bottom w:val="single" w:sz="8" w:color="E0E0E0"/>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7"/>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E0E0E0"/>
            </w:tcBorders>
          </w:tcPr>
          <w:p>
            <w:pPr>
              <w:spacing w:after="0"/>
              <w:rPr>
                <w:sz w:val="18"/>
                <w:szCs w:val="18"/>
                <w:color w:val="auto"/>
              </w:rPr>
            </w:pPr>
          </w:p>
        </w:tc>
      </w:tr>
      <w:tr>
        <w:trPr>
          <w:trHeight w:val="227"/>
        </w:trPr>
        <w:tc>
          <w:tcPr>
            <w:tcW w:w="5440" w:type="dxa"/>
            <w:vAlign w:val="bottom"/>
            <w:gridSpan w:val="2"/>
            <w:shd w:val="clear" w:color="auto" w:fill="E0E0E0"/>
          </w:tcPr>
          <w:p>
            <w:pPr>
              <w:spacing w:after="0" w:line="227" w:lineRule="exact"/>
              <w:rPr>
                <w:sz w:val="20"/>
                <w:szCs w:val="20"/>
                <w:color w:val="auto"/>
              </w:rPr>
            </w:pPr>
            <w:r>
              <w:rPr>
                <w:rFonts w:ascii="Arial" w:cs="Arial" w:eastAsia="Arial" w:hAnsi="Arial"/>
                <w:sz w:val="21"/>
                <w:szCs w:val="21"/>
                <w:color w:val="auto"/>
              </w:rPr>
              <w:t>Weighted average remaining lease term (years)</w:t>
            </w:r>
          </w:p>
        </w:tc>
        <w:tc>
          <w:tcPr>
            <w:tcW w:w="1140" w:type="dxa"/>
            <w:vAlign w:val="bottom"/>
            <w:shd w:val="clear" w:color="auto" w:fill="E0E0E0"/>
          </w:tcPr>
          <w:p>
            <w:pPr>
              <w:ind w:left="840"/>
              <w:spacing w:after="0" w:line="227" w:lineRule="exact"/>
              <w:rPr>
                <w:sz w:val="20"/>
                <w:szCs w:val="20"/>
                <w:color w:val="auto"/>
              </w:rPr>
            </w:pPr>
            <w:r>
              <w:rPr>
                <w:rFonts w:ascii="Arial" w:cs="Arial" w:eastAsia="Arial" w:hAnsi="Arial"/>
                <w:sz w:val="21"/>
                <w:szCs w:val="21"/>
                <w:color w:val="auto"/>
                <w:w w:val="95"/>
              </w:rPr>
              <w:t>4.7</w:t>
            </w:r>
          </w:p>
        </w:tc>
        <w:tc>
          <w:tcPr>
            <w:tcW w:w="180" w:type="dxa"/>
            <w:vAlign w:val="bottom"/>
            <w:shd w:val="clear" w:color="auto" w:fill="E0E0E0"/>
          </w:tcPr>
          <w:p>
            <w:pPr>
              <w:spacing w:after="0"/>
              <w:rPr>
                <w:sz w:val="19"/>
                <w:szCs w:val="19"/>
                <w:color w:val="auto"/>
              </w:rPr>
            </w:pPr>
          </w:p>
        </w:tc>
      </w:tr>
      <w:tr>
        <w:trPr>
          <w:trHeight w:val="279"/>
        </w:trPr>
        <w:tc>
          <w:tcPr>
            <w:tcW w:w="5440" w:type="dxa"/>
            <w:vAlign w:val="bottom"/>
            <w:gridSpan w:val="2"/>
          </w:tcPr>
          <w:p>
            <w:pPr>
              <w:spacing w:after="0"/>
              <w:rPr>
                <w:sz w:val="20"/>
                <w:szCs w:val="20"/>
                <w:color w:val="auto"/>
              </w:rPr>
            </w:pPr>
            <w:r>
              <w:rPr>
                <w:rFonts w:ascii="Arial" w:cs="Arial" w:eastAsia="Arial" w:hAnsi="Arial"/>
                <w:sz w:val="21"/>
                <w:szCs w:val="21"/>
                <w:color w:val="auto"/>
              </w:rPr>
              <w:t>Weighted average discount rate</w:t>
            </w:r>
          </w:p>
        </w:tc>
        <w:tc>
          <w:tcPr>
            <w:tcW w:w="1320" w:type="dxa"/>
            <w:vAlign w:val="bottom"/>
            <w:gridSpan w:val="2"/>
          </w:tcPr>
          <w:p>
            <w:pPr>
              <w:ind w:left="840"/>
              <w:spacing w:after="0"/>
              <w:rPr>
                <w:sz w:val="20"/>
                <w:szCs w:val="20"/>
                <w:color w:val="auto"/>
              </w:rPr>
            </w:pPr>
            <w:r>
              <w:rPr>
                <w:rFonts w:ascii="Arial" w:cs="Arial" w:eastAsia="Arial" w:hAnsi="Arial"/>
                <w:sz w:val="21"/>
                <w:szCs w:val="21"/>
                <w:color w:val="auto"/>
                <w:w w:val="96"/>
              </w:rPr>
              <w:t>8.1%</w:t>
            </w:r>
          </w:p>
        </w:tc>
      </w:tr>
    </w:tbl>
    <w:p>
      <w:pPr>
        <w:spacing w:after="0" w:line="258"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Operating lease expense was $368,000 and $323,000 for the years ended December 31, 2022 and 2021, respectively. Separately, variable lease expense was $167,000 and $108,000 for operating leases during the years ended December 31, 2022 and 2021, respectively.</w:t>
      </w: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 Common Stock</w:t>
      </w:r>
    </w:p>
    <w:p>
      <w:pPr>
        <w:spacing w:after="0" w:line="123"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149</w:t>
      </w:r>
    </w:p>
    <w:p>
      <w:pPr>
        <w:sectPr>
          <w:pgSz w:w="12240" w:h="15840" w:orient="portrait"/>
          <w:cols w:equalWidth="0" w:num="1">
            <w:col w:w="9640"/>
          </w:cols>
          <w:pgMar w:left="1300" w:top="1226" w:right="1300" w:bottom="0" w:gutter="0" w:footer="0" w:header="0"/>
          <w:type w:val="continuous"/>
        </w:sectPr>
      </w:pPr>
    </w:p>
    <w:bookmarkStart w:id="155" w:name="page156"/>
    <w:bookmarkEnd w:id="155"/>
    <w:p>
      <w:pPr>
        <w:jc w:val="both"/>
        <w:ind w:firstLine="504"/>
        <w:spacing w:after="0" w:line="271" w:lineRule="auto"/>
        <w:rPr>
          <w:sz w:val="20"/>
          <w:szCs w:val="20"/>
          <w:color w:val="auto"/>
        </w:rPr>
      </w:pPr>
      <w:r>
        <w:rPr>
          <w:rFonts w:ascii="Arial" w:cs="Arial" w:eastAsia="Arial" w:hAnsi="Arial"/>
          <w:sz w:val="21"/>
          <w:szCs w:val="21"/>
          <w:color w:val="auto"/>
        </w:rPr>
        <w:t>The Company has reserved the following shares of common stock for future issuance, on an as-converted basis, as follows:</w:t>
      </w:r>
    </w:p>
    <w:p>
      <w:pPr>
        <w:spacing w:after="0" w:line="213" w:lineRule="exact"/>
        <w:rPr>
          <w:sz w:val="20"/>
          <w:szCs w:val="20"/>
          <w:color w:val="auto"/>
        </w:rPr>
      </w:pPr>
    </w:p>
    <w:tbl>
      <w:tblPr>
        <w:tblLayout w:type="fixed"/>
        <w:tblInd w:w="1440" w:type="dxa"/>
        <w:tblCellMar>
          <w:top w:w="0" w:type="dxa"/>
          <w:left w:w="0" w:type="dxa"/>
          <w:bottom w:w="0" w:type="dxa"/>
          <w:right w:w="0" w:type="dxa"/>
        </w:tblCellMar>
      </w:tblPr>
      <w:tr>
        <w:trPr>
          <w:trHeight w:val="209"/>
        </w:trPr>
        <w:tc>
          <w:tcPr>
            <w:tcW w:w="4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December 31,</w:t>
            </w:r>
          </w:p>
        </w:tc>
      </w:tr>
      <w:tr>
        <w:trPr>
          <w:trHeight w:val="179"/>
        </w:trPr>
        <w:tc>
          <w:tcPr>
            <w:tcW w:w="404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324"/>
              <w:spacing w:after="0" w:line="179" w:lineRule="exact"/>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bottom w:val="single" w:sz="8" w:color="E0E0E0"/>
            </w:tcBorders>
          </w:tcPr>
          <w:p>
            <w:pPr>
              <w:spacing w:after="0"/>
              <w:rPr>
                <w:sz w:val="15"/>
                <w:szCs w:val="15"/>
                <w:color w:val="auto"/>
              </w:rPr>
            </w:pPr>
          </w:p>
        </w:tc>
        <w:tc>
          <w:tcPr>
            <w:tcW w:w="100" w:type="dxa"/>
            <w:vAlign w:val="bottom"/>
            <w:tcBorders>
              <w:top w:val="single" w:sz="8" w:color="auto"/>
              <w:bottom w:val="single" w:sz="8" w:color="E0E0E0"/>
            </w:tcBorders>
          </w:tcPr>
          <w:p>
            <w:pPr>
              <w:spacing w:after="0"/>
              <w:rPr>
                <w:sz w:val="15"/>
                <w:szCs w:val="15"/>
                <w:color w:val="auto"/>
              </w:rPr>
            </w:pPr>
          </w:p>
        </w:tc>
        <w:tc>
          <w:tcPr>
            <w:tcW w:w="20" w:type="dxa"/>
            <w:vAlign w:val="bottom"/>
            <w:tcBorders>
              <w:top w:val="single" w:sz="8" w:color="auto"/>
              <w:bottom w:val="single" w:sz="8" w:color="E0E0E0"/>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41"/>
              <w:spacing w:after="0" w:line="179" w:lineRule="exact"/>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E0E0E0"/>
            </w:tcBorders>
          </w:tcPr>
          <w:p>
            <w:pPr>
              <w:spacing w:after="0"/>
              <w:rPr>
                <w:sz w:val="15"/>
                <w:szCs w:val="15"/>
                <w:color w:val="auto"/>
              </w:rPr>
            </w:pPr>
          </w:p>
        </w:tc>
      </w:tr>
      <w:tr>
        <w:trPr>
          <w:trHeight w:val="208"/>
        </w:trPr>
        <w:tc>
          <w:tcPr>
            <w:tcW w:w="4040" w:type="dxa"/>
            <w:vAlign w:val="bottom"/>
            <w:shd w:val="clear" w:color="auto" w:fill="E0E0E0"/>
          </w:tcPr>
          <w:p>
            <w:pPr>
              <w:spacing w:after="0" w:line="209" w:lineRule="exact"/>
              <w:rPr>
                <w:sz w:val="20"/>
                <w:szCs w:val="20"/>
                <w:color w:val="auto"/>
              </w:rPr>
            </w:pPr>
            <w:r>
              <w:rPr>
                <w:rFonts w:ascii="Arial" w:cs="Arial" w:eastAsia="Arial" w:hAnsi="Arial"/>
                <w:sz w:val="21"/>
                <w:szCs w:val="21"/>
                <w:color w:val="auto"/>
              </w:rPr>
              <w:t>Shares issuable upon the exercise of</w:t>
            </w:r>
          </w:p>
        </w:tc>
        <w:tc>
          <w:tcPr>
            <w:tcW w:w="60" w:type="dxa"/>
            <w:vAlign w:val="bottom"/>
            <w:shd w:val="clear" w:color="auto" w:fill="E0E0E0"/>
          </w:tcPr>
          <w:p>
            <w:pPr>
              <w:spacing w:after="0"/>
              <w:rPr>
                <w:sz w:val="18"/>
                <w:szCs w:val="18"/>
                <w:color w:val="auto"/>
              </w:rPr>
            </w:pPr>
          </w:p>
        </w:tc>
        <w:tc>
          <w:tcPr>
            <w:tcW w:w="12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24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r>
      <w:tr>
        <w:trPr>
          <w:trHeight w:val="237"/>
        </w:trPr>
        <w:tc>
          <w:tcPr>
            <w:tcW w:w="4040" w:type="dxa"/>
            <w:vAlign w:val="bottom"/>
            <w:shd w:val="clear" w:color="auto" w:fill="E0E0E0"/>
          </w:tcPr>
          <w:p>
            <w:pPr>
              <w:spacing w:after="0" w:line="237" w:lineRule="exact"/>
              <w:rPr>
                <w:sz w:val="20"/>
                <w:szCs w:val="20"/>
                <w:color w:val="auto"/>
              </w:rPr>
            </w:pPr>
            <w:r>
              <w:rPr>
                <w:rFonts w:ascii="Arial" w:cs="Arial" w:eastAsia="Arial" w:hAnsi="Arial"/>
                <w:sz w:val="21"/>
                <w:szCs w:val="21"/>
                <w:color w:val="auto"/>
              </w:rPr>
              <w:t>outstanding</w:t>
            </w:r>
          </w:p>
        </w:tc>
        <w:tc>
          <w:tcPr>
            <w:tcW w:w="60" w:type="dxa"/>
            <w:vAlign w:val="bottom"/>
            <w:shd w:val="clear" w:color="auto" w:fill="E0E0E0"/>
          </w:tcPr>
          <w:p>
            <w:pPr>
              <w:spacing w:after="0"/>
              <w:rPr>
                <w:sz w:val="20"/>
                <w:szCs w:val="20"/>
                <w:color w:val="auto"/>
              </w:rPr>
            </w:pPr>
          </w:p>
        </w:tc>
        <w:tc>
          <w:tcPr>
            <w:tcW w:w="12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4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36"/>
        </w:trPr>
        <w:tc>
          <w:tcPr>
            <w:tcW w:w="4040" w:type="dxa"/>
            <w:vAlign w:val="bottom"/>
            <w:shd w:val="clear" w:color="auto" w:fill="E0E0E0"/>
          </w:tcPr>
          <w:p>
            <w:pPr>
              <w:ind w:left="180"/>
              <w:spacing w:after="0" w:line="236" w:lineRule="exact"/>
              <w:rPr>
                <w:sz w:val="20"/>
                <w:szCs w:val="20"/>
                <w:color w:val="auto"/>
              </w:rPr>
            </w:pPr>
            <w:r>
              <w:rPr>
                <w:rFonts w:ascii="Arial" w:cs="Arial" w:eastAsia="Arial" w:hAnsi="Arial"/>
                <w:sz w:val="21"/>
                <w:szCs w:val="21"/>
                <w:color w:val="auto"/>
              </w:rPr>
              <w:t>common stock options and the vesting of</w:t>
            </w:r>
          </w:p>
        </w:tc>
        <w:tc>
          <w:tcPr>
            <w:tcW w:w="60" w:type="dxa"/>
            <w:vAlign w:val="bottom"/>
            <w:shd w:val="clear" w:color="auto" w:fill="E0E0E0"/>
          </w:tcPr>
          <w:p>
            <w:pPr>
              <w:spacing w:after="0"/>
              <w:rPr>
                <w:sz w:val="20"/>
                <w:szCs w:val="20"/>
                <w:color w:val="auto"/>
              </w:rPr>
            </w:pPr>
          </w:p>
        </w:tc>
        <w:tc>
          <w:tcPr>
            <w:tcW w:w="12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4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56"/>
        </w:trPr>
        <w:tc>
          <w:tcPr>
            <w:tcW w:w="4040" w:type="dxa"/>
            <w:vAlign w:val="bottom"/>
            <w:shd w:val="clear" w:color="auto" w:fill="E0E0E0"/>
          </w:tcPr>
          <w:p>
            <w:pPr>
              <w:ind w:left="180"/>
              <w:spacing w:after="0"/>
              <w:rPr>
                <w:sz w:val="20"/>
                <w:szCs w:val="20"/>
                <w:color w:val="auto"/>
              </w:rPr>
            </w:pPr>
            <w:r>
              <w:rPr>
                <w:rFonts w:ascii="Arial" w:cs="Arial" w:eastAsia="Arial" w:hAnsi="Arial"/>
                <w:sz w:val="21"/>
                <w:szCs w:val="21"/>
                <w:color w:val="auto"/>
              </w:rPr>
              <w:t>outstanding common restricted stock</w:t>
            </w:r>
          </w:p>
        </w:tc>
        <w:tc>
          <w:tcPr>
            <w:tcW w:w="60" w:type="dxa"/>
            <w:vAlign w:val="bottom"/>
            <w:shd w:val="clear" w:color="auto" w:fill="E0E0E0"/>
          </w:tcPr>
          <w:p>
            <w:pPr>
              <w:spacing w:after="0"/>
              <w:rPr>
                <w:sz w:val="22"/>
                <w:szCs w:val="22"/>
                <w:color w:val="auto"/>
              </w:rPr>
            </w:pPr>
          </w:p>
        </w:tc>
        <w:tc>
          <w:tcPr>
            <w:tcW w:w="120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10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1240" w:type="dxa"/>
            <w:vAlign w:val="bottom"/>
            <w:shd w:val="clear" w:color="auto" w:fill="E0E0E0"/>
          </w:tcPr>
          <w:p>
            <w:pPr>
              <w:spacing w:after="0"/>
              <w:rPr>
                <w:sz w:val="22"/>
                <w:szCs w:val="22"/>
                <w:color w:val="auto"/>
              </w:rPr>
            </w:pPr>
          </w:p>
        </w:tc>
        <w:tc>
          <w:tcPr>
            <w:tcW w:w="80" w:type="dxa"/>
            <w:vAlign w:val="bottom"/>
            <w:shd w:val="clear" w:color="auto" w:fill="E0E0E0"/>
          </w:tcPr>
          <w:p>
            <w:pPr>
              <w:spacing w:after="0"/>
              <w:rPr>
                <w:sz w:val="22"/>
                <w:szCs w:val="22"/>
                <w:color w:val="auto"/>
              </w:rPr>
            </w:pPr>
          </w:p>
        </w:tc>
      </w:tr>
      <w:tr>
        <w:trPr>
          <w:trHeight w:val="237"/>
        </w:trPr>
        <w:tc>
          <w:tcPr>
            <w:tcW w:w="4040" w:type="dxa"/>
            <w:vAlign w:val="bottom"/>
            <w:shd w:val="clear" w:color="auto" w:fill="E0E0E0"/>
          </w:tcPr>
          <w:p>
            <w:pPr>
              <w:ind w:left="180"/>
              <w:spacing w:after="0" w:line="237" w:lineRule="exact"/>
              <w:rPr>
                <w:sz w:val="20"/>
                <w:szCs w:val="20"/>
                <w:color w:val="auto"/>
              </w:rPr>
            </w:pPr>
            <w:r>
              <w:rPr>
                <w:rFonts w:ascii="Arial" w:cs="Arial" w:eastAsia="Arial" w:hAnsi="Arial"/>
                <w:sz w:val="21"/>
                <w:szCs w:val="21"/>
                <w:color w:val="auto"/>
              </w:rPr>
              <w:t>units granted</w:t>
            </w:r>
          </w:p>
        </w:tc>
        <w:tc>
          <w:tcPr>
            <w:tcW w:w="60" w:type="dxa"/>
            <w:vAlign w:val="bottom"/>
            <w:shd w:val="clear" w:color="auto" w:fill="E0E0E0"/>
          </w:tcPr>
          <w:p>
            <w:pPr>
              <w:spacing w:after="0"/>
              <w:rPr>
                <w:sz w:val="20"/>
                <w:szCs w:val="20"/>
                <w:color w:val="auto"/>
              </w:rPr>
            </w:pPr>
          </w:p>
        </w:tc>
        <w:tc>
          <w:tcPr>
            <w:tcW w:w="1220" w:type="dxa"/>
            <w:vAlign w:val="bottom"/>
            <w:gridSpan w:val="2"/>
            <w:shd w:val="clear" w:color="auto" w:fill="E0E0E0"/>
          </w:tcPr>
          <w:p>
            <w:pPr>
              <w:jc w:val="right"/>
              <w:ind w:right="20"/>
              <w:spacing w:after="0" w:line="237" w:lineRule="exact"/>
              <w:rPr>
                <w:sz w:val="20"/>
                <w:szCs w:val="20"/>
                <w:color w:val="auto"/>
              </w:rPr>
            </w:pPr>
            <w:r>
              <w:rPr>
                <w:rFonts w:ascii="Arial" w:cs="Arial" w:eastAsia="Arial" w:hAnsi="Arial"/>
                <w:sz w:val="21"/>
                <w:szCs w:val="21"/>
                <w:color w:val="auto"/>
              </w:rPr>
              <w:t>4,269,861</w:t>
            </w: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320" w:type="dxa"/>
            <w:vAlign w:val="bottom"/>
            <w:gridSpan w:val="2"/>
            <w:shd w:val="clear" w:color="auto" w:fill="E0E0E0"/>
          </w:tcPr>
          <w:p>
            <w:pPr>
              <w:jc w:val="right"/>
              <w:ind w:right="80"/>
              <w:spacing w:after="0" w:line="237" w:lineRule="exact"/>
              <w:rPr>
                <w:sz w:val="20"/>
                <w:szCs w:val="20"/>
                <w:color w:val="auto"/>
              </w:rPr>
            </w:pPr>
            <w:r>
              <w:rPr>
                <w:rFonts w:ascii="Arial" w:cs="Arial" w:eastAsia="Arial" w:hAnsi="Arial"/>
                <w:sz w:val="21"/>
                <w:szCs w:val="21"/>
                <w:color w:val="auto"/>
              </w:rPr>
              <w:t>2,632,396</w:t>
            </w:r>
          </w:p>
        </w:tc>
      </w:tr>
      <w:tr>
        <w:trPr>
          <w:trHeight w:val="217"/>
        </w:trPr>
        <w:tc>
          <w:tcPr>
            <w:tcW w:w="4040" w:type="dxa"/>
            <w:vAlign w:val="bottom"/>
          </w:tcPr>
          <w:p>
            <w:pPr>
              <w:spacing w:after="0" w:line="217" w:lineRule="exact"/>
              <w:rPr>
                <w:sz w:val="20"/>
                <w:szCs w:val="20"/>
                <w:color w:val="auto"/>
              </w:rPr>
            </w:pPr>
            <w:r>
              <w:rPr>
                <w:rFonts w:ascii="Arial" w:cs="Arial" w:eastAsia="Arial" w:hAnsi="Arial"/>
                <w:sz w:val="21"/>
                <w:szCs w:val="21"/>
                <w:color w:val="auto"/>
              </w:rPr>
              <w:t>Shares available for future grant under the</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4040" w:type="dxa"/>
            <w:vAlign w:val="bottom"/>
          </w:tcPr>
          <w:p>
            <w:pPr>
              <w:spacing w:after="0" w:line="237" w:lineRule="exact"/>
              <w:rPr>
                <w:sz w:val="20"/>
                <w:szCs w:val="20"/>
                <w:color w:val="auto"/>
              </w:rPr>
            </w:pPr>
            <w:r>
              <w:rPr>
                <w:rFonts w:ascii="Arial" w:cs="Arial" w:eastAsia="Arial" w:hAnsi="Arial"/>
                <w:sz w:val="21"/>
                <w:szCs w:val="21"/>
                <w:color w:val="auto"/>
              </w:rPr>
              <w:t>2020</w:t>
            </w: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7"/>
        </w:trPr>
        <w:tc>
          <w:tcPr>
            <w:tcW w:w="4100" w:type="dxa"/>
            <w:vAlign w:val="bottom"/>
            <w:gridSpan w:val="2"/>
          </w:tcPr>
          <w:p>
            <w:pPr>
              <w:ind w:left="180"/>
              <w:spacing w:after="0"/>
              <w:rPr>
                <w:sz w:val="20"/>
                <w:szCs w:val="20"/>
                <w:color w:val="auto"/>
              </w:rPr>
            </w:pPr>
            <w:r>
              <w:rPr>
                <w:rFonts w:ascii="Arial" w:cs="Arial" w:eastAsia="Arial" w:hAnsi="Arial"/>
                <w:sz w:val="21"/>
                <w:szCs w:val="21"/>
                <w:color w:val="auto"/>
              </w:rPr>
              <w:t>Equity Incentive Plan</w:t>
            </w:r>
          </w:p>
        </w:tc>
        <w:tc>
          <w:tcPr>
            <w:tcW w:w="1220" w:type="dxa"/>
            <w:vAlign w:val="bottom"/>
            <w:gridSpan w:val="2"/>
          </w:tcPr>
          <w:p>
            <w:pPr>
              <w:jc w:val="right"/>
              <w:ind w:right="20"/>
              <w:spacing w:after="0"/>
              <w:rPr>
                <w:sz w:val="20"/>
                <w:szCs w:val="20"/>
                <w:color w:val="auto"/>
              </w:rPr>
            </w:pPr>
            <w:r>
              <w:rPr>
                <w:rFonts w:ascii="Arial" w:cs="Arial" w:eastAsia="Arial" w:hAnsi="Arial"/>
                <w:sz w:val="21"/>
                <w:szCs w:val="21"/>
                <w:color w:val="auto"/>
              </w:rPr>
              <w:t>4,253,854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21"/>
                <w:szCs w:val="21"/>
                <w:color w:val="auto"/>
              </w:rPr>
              <w:t>4,442,315</w:t>
            </w:r>
          </w:p>
        </w:tc>
      </w:tr>
      <w:tr>
        <w:trPr>
          <w:trHeight w:val="236"/>
        </w:trPr>
        <w:tc>
          <w:tcPr>
            <w:tcW w:w="4040" w:type="dxa"/>
            <w:vAlign w:val="bottom"/>
            <w:shd w:val="clear" w:color="auto" w:fill="E0E0E0"/>
          </w:tcPr>
          <w:p>
            <w:pPr>
              <w:spacing w:after="0" w:line="236" w:lineRule="exact"/>
              <w:rPr>
                <w:sz w:val="20"/>
                <w:szCs w:val="20"/>
                <w:color w:val="auto"/>
              </w:rPr>
            </w:pPr>
            <w:r>
              <w:rPr>
                <w:rFonts w:ascii="Arial" w:cs="Arial" w:eastAsia="Arial" w:hAnsi="Arial"/>
                <w:sz w:val="21"/>
                <w:szCs w:val="21"/>
                <w:color w:val="auto"/>
              </w:rPr>
              <w:t>Shares available for future grant under the</w:t>
            </w:r>
          </w:p>
        </w:tc>
        <w:tc>
          <w:tcPr>
            <w:tcW w:w="60" w:type="dxa"/>
            <w:vAlign w:val="bottom"/>
            <w:shd w:val="clear" w:color="auto" w:fill="E0E0E0"/>
          </w:tcPr>
          <w:p>
            <w:pPr>
              <w:spacing w:after="0"/>
              <w:rPr>
                <w:sz w:val="20"/>
                <w:szCs w:val="20"/>
                <w:color w:val="auto"/>
              </w:rPr>
            </w:pPr>
          </w:p>
        </w:tc>
        <w:tc>
          <w:tcPr>
            <w:tcW w:w="12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24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37"/>
        </w:trPr>
        <w:tc>
          <w:tcPr>
            <w:tcW w:w="4040" w:type="dxa"/>
            <w:vAlign w:val="bottom"/>
            <w:shd w:val="clear" w:color="auto" w:fill="E0E0E0"/>
          </w:tcPr>
          <w:p>
            <w:pPr>
              <w:ind w:left="180"/>
              <w:spacing w:after="0" w:line="237" w:lineRule="exact"/>
              <w:rPr>
                <w:sz w:val="20"/>
                <w:szCs w:val="20"/>
                <w:color w:val="auto"/>
              </w:rPr>
            </w:pPr>
            <w:r>
              <w:rPr>
                <w:rFonts w:ascii="Arial" w:cs="Arial" w:eastAsia="Arial" w:hAnsi="Arial"/>
                <w:sz w:val="21"/>
                <w:szCs w:val="21"/>
                <w:color w:val="auto"/>
              </w:rPr>
              <w:t>Employee Stock Purchase Plan</w:t>
            </w:r>
          </w:p>
        </w:tc>
        <w:tc>
          <w:tcPr>
            <w:tcW w:w="60" w:type="dxa"/>
            <w:vAlign w:val="bottom"/>
            <w:shd w:val="clear" w:color="auto" w:fill="E0E0E0"/>
          </w:tcPr>
          <w:p>
            <w:pPr>
              <w:spacing w:after="0"/>
              <w:rPr>
                <w:sz w:val="20"/>
                <w:szCs w:val="20"/>
                <w:color w:val="auto"/>
              </w:rPr>
            </w:pPr>
          </w:p>
        </w:tc>
        <w:tc>
          <w:tcPr>
            <w:tcW w:w="1220" w:type="dxa"/>
            <w:vAlign w:val="bottom"/>
            <w:gridSpan w:val="2"/>
            <w:shd w:val="clear" w:color="auto" w:fill="E0E0E0"/>
          </w:tcPr>
          <w:p>
            <w:pPr>
              <w:jc w:val="right"/>
              <w:ind w:right="20"/>
              <w:spacing w:after="0" w:line="237" w:lineRule="exact"/>
              <w:rPr>
                <w:sz w:val="20"/>
                <w:szCs w:val="20"/>
                <w:color w:val="auto"/>
              </w:rPr>
            </w:pPr>
            <w:r>
              <w:rPr>
                <w:rFonts w:ascii="Arial" w:cs="Arial" w:eastAsia="Arial" w:hAnsi="Arial"/>
                <w:sz w:val="21"/>
                <w:szCs w:val="21"/>
                <w:color w:val="auto"/>
              </w:rPr>
              <w:t>916,640</w:t>
            </w:r>
          </w:p>
        </w:tc>
        <w:tc>
          <w:tcPr>
            <w:tcW w:w="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320" w:type="dxa"/>
            <w:vAlign w:val="bottom"/>
            <w:gridSpan w:val="2"/>
            <w:shd w:val="clear" w:color="auto" w:fill="E0E0E0"/>
          </w:tcPr>
          <w:p>
            <w:pPr>
              <w:jc w:val="right"/>
              <w:ind w:right="80"/>
              <w:spacing w:after="0" w:line="237" w:lineRule="exact"/>
              <w:rPr>
                <w:sz w:val="20"/>
                <w:szCs w:val="20"/>
                <w:color w:val="auto"/>
              </w:rPr>
            </w:pPr>
            <w:r>
              <w:rPr>
                <w:rFonts w:ascii="Arial" w:cs="Arial" w:eastAsia="Arial" w:hAnsi="Arial"/>
                <w:sz w:val="21"/>
                <w:szCs w:val="21"/>
                <w:color w:val="auto"/>
              </w:rPr>
              <w:t>621,211</w:t>
            </w:r>
          </w:p>
        </w:tc>
      </w:tr>
      <w:tr>
        <w:trPr>
          <w:trHeight w:val="230"/>
        </w:trPr>
        <w:tc>
          <w:tcPr>
            <w:tcW w:w="4040" w:type="dxa"/>
            <w:vAlign w:val="bottom"/>
          </w:tcPr>
          <w:p>
            <w:pPr>
              <w:ind w:left="300"/>
              <w:spacing w:after="0" w:line="230" w:lineRule="exact"/>
              <w:rPr>
                <w:sz w:val="20"/>
                <w:szCs w:val="20"/>
                <w:color w:val="auto"/>
              </w:rPr>
            </w:pPr>
            <w:r>
              <w:rPr>
                <w:rFonts w:ascii="Arial" w:cs="Arial" w:eastAsia="Arial" w:hAnsi="Arial"/>
                <w:sz w:val="21"/>
                <w:szCs w:val="21"/>
                <w:color w:val="auto"/>
              </w:rPr>
              <w:t>Total</w:t>
            </w:r>
          </w:p>
        </w:tc>
        <w:tc>
          <w:tcPr>
            <w:tcW w:w="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line="230" w:lineRule="exact"/>
              <w:rPr>
                <w:sz w:val="20"/>
                <w:szCs w:val="20"/>
                <w:color w:val="auto"/>
              </w:rPr>
            </w:pPr>
            <w:r>
              <w:rPr>
                <w:rFonts w:ascii="Arial" w:cs="Arial" w:eastAsia="Arial" w:hAnsi="Arial"/>
                <w:sz w:val="21"/>
                <w:szCs w:val="21"/>
                <w:color w:val="auto"/>
              </w:rPr>
              <w:t>9,440,355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230" w:lineRule="exact"/>
              <w:rPr>
                <w:sz w:val="20"/>
                <w:szCs w:val="20"/>
                <w:color w:val="auto"/>
              </w:rPr>
            </w:pPr>
            <w:r>
              <w:rPr>
                <w:rFonts w:ascii="Arial" w:cs="Arial" w:eastAsia="Arial" w:hAnsi="Arial"/>
                <w:sz w:val="21"/>
                <w:szCs w:val="21"/>
                <w:color w:val="auto"/>
              </w:rPr>
              <w:t>7,695,922</w:t>
            </w:r>
          </w:p>
        </w:tc>
        <w:tc>
          <w:tcPr>
            <w:tcW w:w="8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9"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The Company’s 2020 Equity Incentive Plan (“2020 Plan”) provides for annual increases in the number of shares that may be issued under the 2020 Plan on January 1, 2021 and each subsequent January 1, thereafter, by a number of shares equal to the least of (1) 3,230,000 shares, (2) 5% of the number of shares of common stock issued and outstanding on the immediately preceding December 31, and (3) an amount determined by the Company’s board of directors.</w:t>
      </w:r>
    </w:p>
    <w:p>
      <w:pPr>
        <w:spacing w:after="0" w:line="277"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auto"/>
        </w:rPr>
        <w:t>The Company’s 2020 Employee Stock Purchase Plan (“ESPP”) provides for annual increases in the number of shares that may be issued under the ESPP on January 1, 2021 and each subsequent January 1, thereafter, by a number of shares equal to the least of (a) 646,000 shares, (b) 1% of the number of shares of common stock issued and outstanding on the immediately preceding December 31, or (c) an amount determined by the Company’s board of directors.</w:t>
      </w:r>
    </w:p>
    <w:p>
      <w:pPr>
        <w:spacing w:after="0" w:line="276"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Effective January 1, 2022, the Company’s 2020 Plan and ESPP reserves increased by 1,868,953 shares and 373,790 shares, respectively.</w:t>
      </w:r>
    </w:p>
    <w:p>
      <w:pPr>
        <w:spacing w:after="0" w:line="163"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Effective January 1, 2023, the Company’s 2020 Plan and ESPP reserves increased by 1,893,869 shares and 378,773 shares, respectively.</w:t>
      </w:r>
    </w:p>
    <w:p>
      <w:pPr>
        <w:spacing w:after="0" w:line="3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Stock-based Compensation</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1"/>
          <w:szCs w:val="21"/>
          <w:color w:val="auto"/>
        </w:rPr>
        <w:t>Stock-based compensation expense recognized was as follows (in thousands):</w:t>
      </w:r>
    </w:p>
    <w:p>
      <w:pPr>
        <w:spacing w:after="0" w:line="232" w:lineRule="exact"/>
        <w:rPr>
          <w:sz w:val="20"/>
          <w:szCs w:val="20"/>
          <w:color w:val="auto"/>
        </w:rPr>
      </w:pPr>
    </w:p>
    <w:p>
      <w:pPr>
        <w:jc w:val="center"/>
        <w:ind w:left="4640"/>
        <w:spacing w:after="0"/>
        <w:rPr>
          <w:sz w:val="20"/>
          <w:szCs w:val="20"/>
          <w:color w:val="auto"/>
        </w:rPr>
      </w:pPr>
      <w:r>
        <w:rPr>
          <w:rFonts w:ascii="Arial" w:cs="Arial" w:eastAsia="Arial" w:hAnsi="Arial"/>
          <w:sz w:val="16"/>
          <w:szCs w:val="16"/>
          <w:b w:val="1"/>
          <w:bCs w:val="1"/>
          <w:color w:val="auto"/>
        </w:rPr>
        <w:t>Year Ended</w:t>
      </w:r>
    </w:p>
    <w:p>
      <w:pPr>
        <w:spacing w:after="0" w:line="30" w:lineRule="exact"/>
        <w:rPr>
          <w:sz w:val="20"/>
          <w:szCs w:val="20"/>
          <w:color w:val="auto"/>
        </w:rPr>
      </w:pPr>
    </w:p>
    <w:p>
      <w:pPr>
        <w:jc w:val="center"/>
        <w:ind w:left="46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3904615</wp:posOffset>
                </wp:positionH>
                <wp:positionV relativeFrom="paragraph">
                  <wp:posOffset>2540</wp:posOffset>
                </wp:positionV>
                <wp:extent cx="126238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2380" cy="4763"/>
                        </a:xfrm>
                        <a:prstGeom prst="line">
                          <a:avLst/>
                        </a:prstGeom>
                        <a:solidFill>
                          <a:srgbClr val="FFFFFF"/>
                        </a:solidFill>
                        <a:ln w="6273">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45pt,0.2pt" to="406.85pt,0.2pt" o:allowincell="f" strokecolor="#000000" strokeweight="0.4939pt"/>
            </w:pict>
          </mc:Fallback>
        </mc:AlternateContent>
      </w:r>
    </w:p>
    <w:p>
      <w:pPr>
        <w:ind w:left="6440"/>
        <w:spacing w:after="0"/>
        <w:tabs>
          <w:tab w:leader="none" w:pos="746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5166995</wp:posOffset>
                </wp:positionH>
                <wp:positionV relativeFrom="paragraph">
                  <wp:posOffset>3175</wp:posOffset>
                </wp:positionV>
                <wp:extent cx="3619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4763"/>
                        </a:xfrm>
                        <a:prstGeom prst="line">
                          <a:avLst/>
                        </a:prstGeom>
                        <a:solidFill>
                          <a:srgbClr val="FFFFFF"/>
                        </a:solidFill>
                        <a:ln w="6286">
                          <a:solidFill>
                            <a:srgbClr val="E0E0E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85pt,0.25pt" to="409.7pt,0.25pt" o:allowincell="f" strokecolor="#E0E0E0" strokeweight="0.495pt"/>
            </w:pict>
          </mc:Fallback>
        </mc:AlternateContent>
      </w:r>
    </w:p>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0"/>
        </w:trPr>
        <w:tc>
          <w:tcPr>
            <w:tcW w:w="470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E0E0E0"/>
            </w:tcBorders>
            <w:shd w:val="clear" w:color="auto" w:fill="E0E0E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00" w:type="dxa"/>
            <w:vAlign w:val="bottom"/>
            <w:tcBorders>
              <w:right w:val="single" w:sz="8" w:color="E0E0E0"/>
            </w:tcBorders>
            <w:shd w:val="clear" w:color="auto" w:fill="E0E0E0"/>
          </w:tcPr>
          <w:p>
            <w:pPr>
              <w:spacing w:after="0" w:line="206" w:lineRule="exact"/>
              <w:rPr>
                <w:sz w:val="20"/>
                <w:szCs w:val="20"/>
                <w:color w:val="auto"/>
              </w:rPr>
            </w:pPr>
            <w:r>
              <w:rPr>
                <w:rFonts w:ascii="Arial" w:cs="Arial" w:eastAsia="Arial" w:hAnsi="Arial"/>
                <w:sz w:val="21"/>
                <w:szCs w:val="21"/>
                <w:color w:val="auto"/>
              </w:rPr>
              <w:t>Research and development</w:t>
            </w:r>
          </w:p>
        </w:tc>
        <w:tc>
          <w:tcPr>
            <w:tcW w:w="220" w:type="dxa"/>
            <w:vAlign w:val="bottom"/>
            <w:shd w:val="clear" w:color="auto" w:fill="E0E0E0"/>
          </w:tcPr>
          <w:p>
            <w:pPr>
              <w:jc w:val="right"/>
              <w:spacing w:after="0" w:line="206" w:lineRule="exact"/>
              <w:rPr>
                <w:sz w:val="20"/>
                <w:szCs w:val="20"/>
                <w:color w:val="auto"/>
              </w:rPr>
            </w:pPr>
            <w:r>
              <w:rPr>
                <w:rFonts w:ascii="Arial" w:cs="Arial" w:eastAsia="Arial" w:hAnsi="Arial"/>
                <w:sz w:val="21"/>
                <w:szCs w:val="21"/>
                <w:color w:val="auto"/>
                <w:w w:val="85"/>
              </w:rPr>
              <w:t>$</w:t>
            </w:r>
          </w:p>
        </w:tc>
        <w:tc>
          <w:tcPr>
            <w:tcW w:w="840" w:type="dxa"/>
            <w:vAlign w:val="bottom"/>
            <w:tcBorders>
              <w:right w:val="single" w:sz="8" w:color="E0E0E0"/>
            </w:tcBorders>
            <w:gridSpan w:val="2"/>
            <w:shd w:val="clear" w:color="auto" w:fill="E0E0E0"/>
          </w:tcPr>
          <w:p>
            <w:pPr>
              <w:jc w:val="right"/>
              <w:ind w:right="120"/>
              <w:spacing w:after="0" w:line="206" w:lineRule="exact"/>
              <w:rPr>
                <w:sz w:val="20"/>
                <w:szCs w:val="20"/>
                <w:color w:val="auto"/>
              </w:rPr>
            </w:pPr>
            <w:r>
              <w:rPr>
                <w:rFonts w:ascii="Arial" w:cs="Arial" w:eastAsia="Arial" w:hAnsi="Arial"/>
                <w:sz w:val="21"/>
                <w:szCs w:val="21"/>
                <w:color w:val="auto"/>
              </w:rPr>
              <w:t>3,217</w:t>
            </w:r>
          </w:p>
        </w:tc>
        <w:tc>
          <w:tcPr>
            <w:tcW w:w="260" w:type="dxa"/>
            <w:vAlign w:val="bottom"/>
            <w:shd w:val="clear" w:color="auto" w:fill="E0E0E0"/>
          </w:tcPr>
          <w:p>
            <w:pPr>
              <w:jc w:val="right"/>
              <w:ind w:right="37"/>
              <w:spacing w:after="0" w:line="206" w:lineRule="exact"/>
              <w:rPr>
                <w:sz w:val="20"/>
                <w:szCs w:val="20"/>
                <w:color w:val="auto"/>
              </w:rPr>
            </w:pPr>
            <w:r>
              <w:rPr>
                <w:rFonts w:ascii="Arial" w:cs="Arial" w:eastAsia="Arial" w:hAnsi="Arial"/>
                <w:sz w:val="21"/>
                <w:szCs w:val="21"/>
                <w:color w:val="auto"/>
                <w:w w:val="85"/>
              </w:rPr>
              <w:t>$</w:t>
            </w:r>
          </w:p>
        </w:tc>
        <w:tc>
          <w:tcPr>
            <w:tcW w:w="740" w:type="dxa"/>
            <w:vAlign w:val="bottom"/>
            <w:gridSpan w:val="2"/>
            <w:shd w:val="clear" w:color="auto" w:fill="E0E0E0"/>
          </w:tcPr>
          <w:p>
            <w:pPr>
              <w:jc w:val="right"/>
              <w:ind w:right="60"/>
              <w:spacing w:after="0" w:line="206" w:lineRule="exact"/>
              <w:rPr>
                <w:sz w:val="20"/>
                <w:szCs w:val="20"/>
                <w:color w:val="auto"/>
              </w:rPr>
            </w:pPr>
            <w:r>
              <w:rPr>
                <w:rFonts w:ascii="Arial" w:cs="Arial" w:eastAsia="Arial" w:hAnsi="Arial"/>
                <w:sz w:val="21"/>
                <w:szCs w:val="21"/>
                <w:color w:val="auto"/>
              </w:rPr>
              <w:t>1,368</w:t>
            </w:r>
          </w:p>
        </w:tc>
        <w:tc>
          <w:tcPr>
            <w:tcW w:w="0" w:type="dxa"/>
            <w:vAlign w:val="bottom"/>
          </w:tcPr>
          <w:p>
            <w:pPr>
              <w:spacing w:after="0"/>
              <w:rPr>
                <w:sz w:val="1"/>
                <w:szCs w:val="1"/>
                <w:color w:val="auto"/>
              </w:rPr>
            </w:pPr>
          </w:p>
        </w:tc>
      </w:tr>
      <w:tr>
        <w:trPr>
          <w:trHeight w:val="237"/>
        </w:trPr>
        <w:tc>
          <w:tcPr>
            <w:tcW w:w="4700" w:type="dxa"/>
            <w:vAlign w:val="bottom"/>
          </w:tcPr>
          <w:p>
            <w:pPr>
              <w:spacing w:after="0" w:line="237" w:lineRule="exact"/>
              <w:rPr>
                <w:sz w:val="20"/>
                <w:szCs w:val="20"/>
                <w:color w:val="auto"/>
              </w:rPr>
            </w:pPr>
            <w:r>
              <w:rPr>
                <w:rFonts w:ascii="Arial" w:cs="Arial" w:eastAsia="Arial" w:hAnsi="Arial"/>
                <w:sz w:val="21"/>
                <w:szCs w:val="21"/>
                <w:color w:val="auto"/>
              </w:rPr>
              <w:t>General and administrative</w:t>
            </w:r>
          </w:p>
        </w:tc>
        <w:tc>
          <w:tcPr>
            <w:tcW w:w="220" w:type="dxa"/>
            <w:vAlign w:val="bottom"/>
          </w:tcPr>
          <w:p>
            <w:pPr>
              <w:spacing w:after="0"/>
              <w:rPr>
                <w:sz w:val="20"/>
                <w:szCs w:val="20"/>
                <w:color w:val="auto"/>
              </w:rPr>
            </w:pPr>
          </w:p>
        </w:tc>
        <w:tc>
          <w:tcPr>
            <w:tcW w:w="840" w:type="dxa"/>
            <w:vAlign w:val="bottom"/>
            <w:gridSpan w:val="2"/>
          </w:tcPr>
          <w:p>
            <w:pPr>
              <w:jc w:val="right"/>
              <w:ind w:right="120"/>
              <w:spacing w:after="0" w:line="237" w:lineRule="exact"/>
              <w:rPr>
                <w:sz w:val="20"/>
                <w:szCs w:val="20"/>
                <w:color w:val="auto"/>
              </w:rPr>
            </w:pPr>
            <w:r>
              <w:rPr>
                <w:rFonts w:ascii="Arial" w:cs="Arial" w:eastAsia="Arial" w:hAnsi="Arial"/>
                <w:sz w:val="21"/>
                <w:szCs w:val="21"/>
                <w:color w:val="auto"/>
              </w:rPr>
              <w:t>7,389</w:t>
            </w:r>
          </w:p>
        </w:tc>
        <w:tc>
          <w:tcPr>
            <w:tcW w:w="260" w:type="dxa"/>
            <w:vAlign w:val="bottom"/>
          </w:tcPr>
          <w:p>
            <w:pPr>
              <w:spacing w:after="0"/>
              <w:rPr>
                <w:sz w:val="20"/>
                <w:szCs w:val="20"/>
                <w:color w:val="auto"/>
              </w:rPr>
            </w:pPr>
          </w:p>
        </w:tc>
        <w:tc>
          <w:tcPr>
            <w:tcW w:w="740" w:type="dxa"/>
            <w:vAlign w:val="bottom"/>
            <w:gridSpan w:val="2"/>
          </w:tcPr>
          <w:p>
            <w:pPr>
              <w:jc w:val="right"/>
              <w:ind w:right="60"/>
              <w:spacing w:after="0" w:line="237" w:lineRule="exact"/>
              <w:rPr>
                <w:sz w:val="20"/>
                <w:szCs w:val="20"/>
                <w:color w:val="auto"/>
              </w:rPr>
            </w:pPr>
            <w:r>
              <w:rPr>
                <w:rFonts w:ascii="Arial" w:cs="Arial" w:eastAsia="Arial" w:hAnsi="Arial"/>
                <w:sz w:val="21"/>
                <w:szCs w:val="21"/>
                <w:color w:val="auto"/>
              </w:rPr>
              <w:t>3,255</w:t>
            </w:r>
          </w:p>
        </w:tc>
        <w:tc>
          <w:tcPr>
            <w:tcW w:w="0" w:type="dxa"/>
            <w:vAlign w:val="bottom"/>
          </w:tcPr>
          <w:p>
            <w:pPr>
              <w:spacing w:after="0"/>
              <w:rPr>
                <w:sz w:val="1"/>
                <w:szCs w:val="1"/>
                <w:color w:val="auto"/>
              </w:rPr>
            </w:pPr>
          </w:p>
        </w:tc>
      </w:tr>
      <w:tr>
        <w:trPr>
          <w:trHeight w:val="20"/>
        </w:trPr>
        <w:tc>
          <w:tcPr>
            <w:tcW w:w="4700" w:type="dxa"/>
            <w:vAlign w:val="bottom"/>
            <w:tcBorders>
              <w:right w:val="single" w:sz="8" w:color="E0E0E0"/>
            </w:tcBorders>
            <w:vMerge w:val="restart"/>
            <w:shd w:val="clear" w:color="auto" w:fill="E0E0E0"/>
          </w:tcPr>
          <w:p>
            <w:pPr>
              <w:ind w:left="300"/>
              <w:spacing w:after="0"/>
              <w:rPr>
                <w:sz w:val="20"/>
                <w:szCs w:val="20"/>
                <w:color w:val="auto"/>
              </w:rPr>
            </w:pPr>
            <w:r>
              <w:rPr>
                <w:rFonts w:ascii="Arial" w:cs="Arial" w:eastAsia="Arial" w:hAnsi="Arial"/>
                <w:sz w:val="21"/>
                <w:szCs w:val="21"/>
                <w:color w:val="auto"/>
              </w:rPr>
              <w:t>Total stock-based compensation expense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E0E0E0"/>
            </w:tcBorders>
            <w:shd w:val="clear" w:color="auto" w:fill="E0E0E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700" w:type="dxa"/>
            <w:vAlign w:val="bottom"/>
            <w:tcBorders>
              <w:right w:val="single" w:sz="8" w:color="E0E0E0"/>
            </w:tcBorders>
            <w:vMerge w:val="continue"/>
            <w:shd w:val="clear" w:color="auto" w:fill="E0E0E0"/>
          </w:tcPr>
          <w:p>
            <w:pPr>
              <w:spacing w:after="0"/>
              <w:rPr>
                <w:sz w:val="19"/>
                <w:szCs w:val="19"/>
                <w:color w:val="auto"/>
              </w:rPr>
            </w:pPr>
          </w:p>
        </w:tc>
        <w:tc>
          <w:tcPr>
            <w:tcW w:w="220" w:type="dxa"/>
            <w:vAlign w:val="bottom"/>
            <w:shd w:val="clear" w:color="auto" w:fill="E0E0E0"/>
          </w:tcPr>
          <w:p>
            <w:pPr>
              <w:jc w:val="right"/>
              <w:spacing w:after="0" w:line="229" w:lineRule="exact"/>
              <w:rPr>
                <w:sz w:val="20"/>
                <w:szCs w:val="20"/>
                <w:color w:val="auto"/>
              </w:rPr>
            </w:pPr>
            <w:r>
              <w:rPr>
                <w:rFonts w:ascii="Arial" w:cs="Arial" w:eastAsia="Arial" w:hAnsi="Arial"/>
                <w:sz w:val="21"/>
                <w:szCs w:val="21"/>
                <w:color w:val="auto"/>
                <w:w w:val="85"/>
              </w:rPr>
              <w:t>$</w:t>
            </w:r>
          </w:p>
        </w:tc>
        <w:tc>
          <w:tcPr>
            <w:tcW w:w="840" w:type="dxa"/>
            <w:vAlign w:val="bottom"/>
            <w:tcBorders>
              <w:right w:val="single" w:sz="8" w:color="E0E0E0"/>
            </w:tcBorders>
            <w:gridSpan w:val="2"/>
            <w:shd w:val="clear" w:color="auto" w:fill="E0E0E0"/>
          </w:tcPr>
          <w:p>
            <w:pPr>
              <w:jc w:val="right"/>
              <w:ind w:right="120"/>
              <w:spacing w:after="0" w:line="229" w:lineRule="exact"/>
              <w:rPr>
                <w:sz w:val="20"/>
                <w:szCs w:val="20"/>
                <w:color w:val="auto"/>
              </w:rPr>
            </w:pPr>
            <w:r>
              <w:rPr>
                <w:rFonts w:ascii="Arial" w:cs="Arial" w:eastAsia="Arial" w:hAnsi="Arial"/>
                <w:sz w:val="21"/>
                <w:szCs w:val="21"/>
                <w:color w:val="auto"/>
              </w:rPr>
              <w:t>10,606</w:t>
            </w:r>
          </w:p>
        </w:tc>
        <w:tc>
          <w:tcPr>
            <w:tcW w:w="260" w:type="dxa"/>
            <w:vAlign w:val="bottom"/>
            <w:shd w:val="clear" w:color="auto" w:fill="E0E0E0"/>
          </w:tcPr>
          <w:p>
            <w:pPr>
              <w:jc w:val="right"/>
              <w:ind w:right="37"/>
              <w:spacing w:after="0" w:line="229" w:lineRule="exact"/>
              <w:rPr>
                <w:sz w:val="20"/>
                <w:szCs w:val="20"/>
                <w:color w:val="auto"/>
              </w:rPr>
            </w:pPr>
            <w:r>
              <w:rPr>
                <w:rFonts w:ascii="Arial" w:cs="Arial" w:eastAsia="Arial" w:hAnsi="Arial"/>
                <w:sz w:val="21"/>
                <w:szCs w:val="21"/>
                <w:color w:val="auto"/>
                <w:w w:val="85"/>
              </w:rPr>
              <w:t>$</w:t>
            </w:r>
          </w:p>
        </w:tc>
        <w:tc>
          <w:tcPr>
            <w:tcW w:w="740" w:type="dxa"/>
            <w:vAlign w:val="bottom"/>
            <w:gridSpan w:val="2"/>
            <w:shd w:val="clear" w:color="auto" w:fill="E0E0E0"/>
          </w:tcPr>
          <w:p>
            <w:pPr>
              <w:jc w:val="right"/>
              <w:ind w:right="60"/>
              <w:spacing w:after="0" w:line="229" w:lineRule="exact"/>
              <w:rPr>
                <w:sz w:val="20"/>
                <w:szCs w:val="20"/>
                <w:color w:val="auto"/>
              </w:rPr>
            </w:pPr>
            <w:r>
              <w:rPr>
                <w:rFonts w:ascii="Arial" w:cs="Arial" w:eastAsia="Arial" w:hAnsi="Arial"/>
                <w:sz w:val="21"/>
                <w:szCs w:val="21"/>
                <w:color w:val="auto"/>
              </w:rPr>
              <w:t>4,623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5166995</wp:posOffset>
                </wp:positionH>
                <wp:positionV relativeFrom="paragraph">
                  <wp:posOffset>-183515</wp:posOffset>
                </wp:positionV>
                <wp:extent cx="3619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4763"/>
                        </a:xfrm>
                        <a:prstGeom prst="line">
                          <a:avLst/>
                        </a:prstGeom>
                        <a:solidFill>
                          <a:srgbClr val="FFFFFF"/>
                        </a:solidFill>
                        <a:ln w="6274">
                          <a:solidFill>
                            <a:srgbClr val="E0E0E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85pt,-14.4499pt" to="409.7pt,-14.4499pt" o:allowincell="f" strokecolor="#E0E0E0" strokeweight="0.494pt"/>
            </w:pict>
          </mc:Fallback>
        </mc:AlternateContent>
      </w:r>
    </w:p>
    <w:p>
      <w:pPr>
        <w:spacing w:after="0" w:line="366"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Valuation Assumptions</w:t>
      </w:r>
    </w:p>
    <w:p>
      <w:pPr>
        <w:spacing w:after="0" w:line="115" w:lineRule="exact"/>
        <w:rPr>
          <w:sz w:val="20"/>
          <w:szCs w:val="20"/>
          <w:color w:val="auto"/>
        </w:rPr>
      </w:pPr>
    </w:p>
    <w:p>
      <w:pPr>
        <w:ind w:firstLine="504"/>
        <w:spacing w:after="0" w:line="273" w:lineRule="auto"/>
        <w:rPr>
          <w:sz w:val="20"/>
          <w:szCs w:val="20"/>
          <w:color w:val="auto"/>
        </w:rPr>
      </w:pPr>
      <w:r>
        <w:rPr>
          <w:rFonts w:ascii="Arial" w:cs="Arial" w:eastAsia="Arial" w:hAnsi="Arial"/>
          <w:sz w:val="21"/>
          <w:szCs w:val="21"/>
          <w:color w:val="auto"/>
        </w:rPr>
        <w:t>The fair value of stock options was determined using the Black-Scholes option-pricing model and the assumptions below. Each of these inputs is subjective and generally required significant judgment.</w:t>
      </w:r>
    </w:p>
    <w:p>
      <w:pPr>
        <w:spacing w:after="0" w:line="61" w:lineRule="exact"/>
        <w:rPr>
          <w:sz w:val="20"/>
          <w:szCs w:val="20"/>
          <w:color w:val="auto"/>
        </w:rPr>
      </w:pPr>
    </w:p>
    <w:p>
      <w:pPr>
        <w:jc w:val="both"/>
        <w:ind w:left="1000" w:hanging="496"/>
        <w:spacing w:after="0" w:line="254" w:lineRule="auto"/>
        <w:tabs>
          <w:tab w:leader="none" w:pos="1000" w:val="left"/>
        </w:tabs>
        <w:numPr>
          <w:ilvl w:val="0"/>
          <w:numId w:val="65"/>
        </w:numPr>
        <w:rPr>
          <w:rFonts w:ascii="Arial" w:cs="Arial" w:eastAsia="Arial" w:hAnsi="Arial"/>
          <w:sz w:val="21"/>
          <w:szCs w:val="21"/>
          <w:color w:val="auto"/>
        </w:rPr>
      </w:pPr>
      <w:r>
        <w:rPr>
          <w:rFonts w:ascii="Arial" w:cs="Arial" w:eastAsia="Arial" w:hAnsi="Arial"/>
          <w:sz w:val="21"/>
          <w:szCs w:val="21"/>
          <w:i w:val="1"/>
          <w:iCs w:val="1"/>
          <w:color w:val="auto"/>
        </w:rPr>
        <w:t>Fair Value of Common Stock</w:t>
      </w:r>
      <w:r>
        <w:rPr>
          <w:rFonts w:ascii="Arial" w:cs="Arial" w:eastAsia="Arial" w:hAnsi="Arial"/>
          <w:sz w:val="21"/>
          <w:szCs w:val="21"/>
          <w:color w:val="auto"/>
        </w:rPr>
        <w:t>—The fair value of each share of common stock is based on the</w:t>
      </w:r>
      <w:r>
        <w:rPr>
          <w:rFonts w:ascii="Arial" w:cs="Arial" w:eastAsia="Arial" w:hAnsi="Arial"/>
          <w:sz w:val="21"/>
          <w:szCs w:val="21"/>
          <w:i w:val="1"/>
          <w:iCs w:val="1"/>
          <w:color w:val="auto"/>
        </w:rPr>
        <w:t xml:space="preserve"> </w:t>
      </w:r>
      <w:r>
        <w:rPr>
          <w:rFonts w:ascii="Arial" w:cs="Arial" w:eastAsia="Arial" w:hAnsi="Arial"/>
          <w:sz w:val="21"/>
          <w:szCs w:val="21"/>
          <w:color w:val="auto"/>
        </w:rPr>
        <w:t>closing price of the Company’s common stock on the date of grant, or other relevant determination date, as reported on The Nasdaq Global Select Market.</w:t>
      </w: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150</w:t>
      </w:r>
    </w:p>
    <w:p>
      <w:pPr>
        <w:sectPr>
          <w:pgSz w:w="12240" w:h="15840" w:orient="portrait"/>
          <w:cols w:equalWidth="0" w:num="1">
            <w:col w:w="9640"/>
          </w:cols>
          <w:pgMar w:left="1300" w:top="1226" w:right="1300" w:bottom="0" w:gutter="0" w:footer="0" w:header="0"/>
          <w:type w:val="continuous"/>
        </w:sectPr>
      </w:pPr>
    </w:p>
    <w:bookmarkStart w:id="156" w:name="page157"/>
    <w:bookmarkEnd w:id="156"/>
    <w:p>
      <w:pPr>
        <w:jc w:val="both"/>
        <w:ind w:left="1000" w:hanging="496"/>
        <w:spacing w:after="0" w:line="253" w:lineRule="auto"/>
        <w:tabs>
          <w:tab w:leader="none" w:pos="1000" w:val="left"/>
        </w:tabs>
        <w:numPr>
          <w:ilvl w:val="0"/>
          <w:numId w:val="66"/>
        </w:numPr>
        <w:rPr>
          <w:rFonts w:ascii="Arial" w:cs="Arial" w:eastAsia="Arial" w:hAnsi="Arial"/>
          <w:sz w:val="21"/>
          <w:szCs w:val="21"/>
          <w:color w:val="auto"/>
        </w:rPr>
      </w:pPr>
      <w:r>
        <w:rPr>
          <w:rFonts w:ascii="Arial" w:cs="Arial" w:eastAsia="Arial" w:hAnsi="Arial"/>
          <w:sz w:val="21"/>
          <w:szCs w:val="21"/>
          <w:i w:val="1"/>
          <w:iCs w:val="1"/>
          <w:color w:val="auto"/>
        </w:rPr>
        <w:t>Risk-Free Interest Rate</w:t>
      </w:r>
      <w:r>
        <w:rPr>
          <w:rFonts w:ascii="Arial" w:cs="Arial" w:eastAsia="Arial" w:hAnsi="Arial"/>
          <w:sz w:val="21"/>
          <w:szCs w:val="21"/>
          <w:color w:val="auto"/>
        </w:rPr>
        <w:t>—The risk-free interest rate is based on the U.S. Treasury zero coupon</w:t>
      </w:r>
      <w:r>
        <w:rPr>
          <w:rFonts w:ascii="Arial" w:cs="Arial" w:eastAsia="Arial" w:hAnsi="Arial"/>
          <w:sz w:val="21"/>
          <w:szCs w:val="21"/>
          <w:i w:val="1"/>
          <w:iCs w:val="1"/>
          <w:color w:val="auto"/>
        </w:rPr>
        <w:t xml:space="preserve"> </w:t>
      </w:r>
      <w:r>
        <w:rPr>
          <w:rFonts w:ascii="Arial" w:cs="Arial" w:eastAsia="Arial" w:hAnsi="Arial"/>
          <w:sz w:val="21"/>
          <w:szCs w:val="21"/>
          <w:color w:val="auto"/>
        </w:rPr>
        <w:t>issues in effect at the time of grant for periods corresponding with the expected term of the option.</w:t>
      </w:r>
    </w:p>
    <w:p>
      <w:pPr>
        <w:spacing w:after="0" w:line="84" w:lineRule="exact"/>
        <w:rPr>
          <w:rFonts w:ascii="Arial" w:cs="Arial" w:eastAsia="Arial" w:hAnsi="Arial"/>
          <w:sz w:val="21"/>
          <w:szCs w:val="21"/>
          <w:color w:val="auto"/>
        </w:rPr>
      </w:pPr>
    </w:p>
    <w:p>
      <w:pPr>
        <w:jc w:val="both"/>
        <w:ind w:left="1000" w:hanging="496"/>
        <w:spacing w:after="0" w:line="241" w:lineRule="auto"/>
        <w:tabs>
          <w:tab w:leader="none" w:pos="1000" w:val="left"/>
        </w:tabs>
        <w:numPr>
          <w:ilvl w:val="0"/>
          <w:numId w:val="66"/>
        </w:numPr>
        <w:rPr>
          <w:rFonts w:ascii="Arial" w:cs="Arial" w:eastAsia="Arial" w:hAnsi="Arial"/>
          <w:sz w:val="21"/>
          <w:szCs w:val="21"/>
          <w:color w:val="auto"/>
        </w:rPr>
      </w:pPr>
      <w:r>
        <w:rPr>
          <w:rFonts w:ascii="Arial" w:cs="Arial" w:eastAsia="Arial" w:hAnsi="Arial"/>
          <w:sz w:val="21"/>
          <w:szCs w:val="21"/>
          <w:i w:val="1"/>
          <w:iCs w:val="1"/>
          <w:color w:val="auto"/>
        </w:rPr>
        <w:t>Expected Volatility</w:t>
      </w:r>
      <w:r>
        <w:rPr>
          <w:rFonts w:ascii="Arial" w:cs="Arial" w:eastAsia="Arial" w:hAnsi="Arial"/>
          <w:sz w:val="21"/>
          <w:szCs w:val="21"/>
          <w:color w:val="auto"/>
        </w:rPr>
        <w:t>—Because the Company was previously privately held and did not have any</w:t>
      </w:r>
      <w:r>
        <w:rPr>
          <w:rFonts w:ascii="Arial" w:cs="Arial" w:eastAsia="Arial" w:hAnsi="Arial"/>
          <w:sz w:val="21"/>
          <w:szCs w:val="21"/>
          <w:i w:val="1"/>
          <w:iCs w:val="1"/>
          <w:color w:val="auto"/>
        </w:rPr>
        <w:t xml:space="preserve"> </w:t>
      </w:r>
      <w:r>
        <w:rPr>
          <w:rFonts w:ascii="Arial" w:cs="Arial" w:eastAsia="Arial" w:hAnsi="Arial"/>
          <w:sz w:val="21"/>
          <w:szCs w:val="21"/>
          <w:color w:val="auto"/>
        </w:rPr>
        <w:t>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98" w:lineRule="exact"/>
        <w:rPr>
          <w:rFonts w:ascii="Arial" w:cs="Arial" w:eastAsia="Arial" w:hAnsi="Arial"/>
          <w:sz w:val="21"/>
          <w:szCs w:val="21"/>
          <w:color w:val="auto"/>
        </w:rPr>
      </w:pPr>
    </w:p>
    <w:p>
      <w:pPr>
        <w:jc w:val="both"/>
        <w:ind w:left="1000" w:hanging="496"/>
        <w:spacing w:after="0" w:line="247" w:lineRule="auto"/>
        <w:tabs>
          <w:tab w:leader="none" w:pos="1000" w:val="left"/>
        </w:tabs>
        <w:numPr>
          <w:ilvl w:val="0"/>
          <w:numId w:val="66"/>
        </w:numPr>
        <w:rPr>
          <w:rFonts w:ascii="Arial" w:cs="Arial" w:eastAsia="Arial" w:hAnsi="Arial"/>
          <w:sz w:val="21"/>
          <w:szCs w:val="21"/>
          <w:color w:val="auto"/>
        </w:rPr>
      </w:pPr>
      <w:r>
        <w:rPr>
          <w:rFonts w:ascii="Arial" w:cs="Arial" w:eastAsia="Arial" w:hAnsi="Arial"/>
          <w:sz w:val="21"/>
          <w:szCs w:val="21"/>
          <w:i w:val="1"/>
          <w:iCs w:val="1"/>
          <w:color w:val="auto"/>
        </w:rPr>
        <w:t>Expected Term</w:t>
      </w:r>
      <w:r>
        <w:rPr>
          <w:rFonts w:ascii="Arial" w:cs="Arial" w:eastAsia="Arial" w:hAnsi="Arial"/>
          <w:sz w:val="21"/>
          <w:szCs w:val="21"/>
          <w:color w:val="auto"/>
        </w:rPr>
        <w:t>—The expected term represents the period that the stock-based awards are</w:t>
      </w:r>
      <w:r>
        <w:rPr>
          <w:rFonts w:ascii="Arial" w:cs="Arial" w:eastAsia="Arial" w:hAnsi="Arial"/>
          <w:sz w:val="21"/>
          <w:szCs w:val="21"/>
          <w:i w:val="1"/>
          <w:iCs w:val="1"/>
          <w:color w:val="auto"/>
        </w:rPr>
        <w:t xml:space="preserve"> </w:t>
      </w:r>
      <w:r>
        <w:rPr>
          <w:rFonts w:ascii="Arial" w:cs="Arial" w:eastAsia="Arial" w:hAnsi="Arial"/>
          <w:sz w:val="21"/>
          <w:szCs w:val="21"/>
          <w:color w:val="auto"/>
        </w:rPr>
        <w:t>expected to be outstanding and is determined using the simplified method (based on the midpoint between the vesting date and the end of the contractual term) as the Company has limited history of relevant stock option exercise activity.</w:t>
      </w:r>
    </w:p>
    <w:p>
      <w:pPr>
        <w:spacing w:after="0" w:line="91" w:lineRule="exact"/>
        <w:rPr>
          <w:rFonts w:ascii="Arial" w:cs="Arial" w:eastAsia="Arial" w:hAnsi="Arial"/>
          <w:sz w:val="21"/>
          <w:szCs w:val="21"/>
          <w:color w:val="auto"/>
        </w:rPr>
      </w:pPr>
    </w:p>
    <w:p>
      <w:pPr>
        <w:jc w:val="both"/>
        <w:ind w:left="1000" w:hanging="496"/>
        <w:spacing w:after="0" w:line="253" w:lineRule="auto"/>
        <w:tabs>
          <w:tab w:leader="none" w:pos="1000" w:val="left"/>
        </w:tabs>
        <w:numPr>
          <w:ilvl w:val="0"/>
          <w:numId w:val="66"/>
        </w:numPr>
        <w:rPr>
          <w:rFonts w:ascii="Arial" w:cs="Arial" w:eastAsia="Arial" w:hAnsi="Arial"/>
          <w:sz w:val="21"/>
          <w:szCs w:val="21"/>
          <w:color w:val="auto"/>
        </w:rPr>
      </w:pPr>
      <w:r>
        <w:rPr>
          <w:rFonts w:ascii="Arial" w:cs="Arial" w:eastAsia="Arial" w:hAnsi="Arial"/>
          <w:sz w:val="21"/>
          <w:szCs w:val="21"/>
          <w:i w:val="1"/>
          <w:iCs w:val="1"/>
          <w:color w:val="auto"/>
        </w:rPr>
        <w:t>Expected Dividend Yield</w:t>
      </w:r>
      <w:r>
        <w:rPr>
          <w:rFonts w:ascii="Arial" w:cs="Arial" w:eastAsia="Arial" w:hAnsi="Arial"/>
          <w:sz w:val="21"/>
          <w:szCs w:val="21"/>
          <w:color w:val="auto"/>
        </w:rPr>
        <w:t>—The Company has never paid dividends on its common stock and</w:t>
      </w:r>
      <w:r>
        <w:rPr>
          <w:rFonts w:ascii="Arial" w:cs="Arial" w:eastAsia="Arial" w:hAnsi="Arial"/>
          <w:sz w:val="21"/>
          <w:szCs w:val="21"/>
          <w:i w:val="1"/>
          <w:iCs w:val="1"/>
          <w:color w:val="auto"/>
        </w:rPr>
        <w:t xml:space="preserve"> </w:t>
      </w:r>
      <w:r>
        <w:rPr>
          <w:rFonts w:ascii="Arial" w:cs="Arial" w:eastAsia="Arial" w:hAnsi="Arial"/>
          <w:sz w:val="21"/>
          <w:szCs w:val="21"/>
          <w:color w:val="auto"/>
        </w:rPr>
        <w:t>has no plans to pay dividends going forward. Therefore, it used an expected dividend yield of zero.</w:t>
      </w:r>
    </w:p>
    <w:p>
      <w:pPr>
        <w:spacing w:after="0" w:line="194"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The fair value of each stock option was estimated using the Black-Scholes option-pricing model with the following weighted-average assumptions:</w:t>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220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4560" w:type="dxa"/>
            <w:vAlign w:val="bottom"/>
          </w:tcPr>
          <w:p>
            <w:pPr>
              <w:spacing w:after="0"/>
              <w:rPr>
                <w:sz w:val="18"/>
                <w:szCs w:val="18"/>
                <w:color w:val="auto"/>
              </w:rPr>
            </w:pPr>
          </w:p>
        </w:tc>
        <w:tc>
          <w:tcPr>
            <w:tcW w:w="220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December 31,</w:t>
            </w:r>
          </w:p>
        </w:tc>
      </w:tr>
      <w:tr>
        <w:trPr>
          <w:trHeight w:val="179"/>
        </w:trPr>
        <w:tc>
          <w:tcPr>
            <w:tcW w:w="4560" w:type="dxa"/>
            <w:vAlign w:val="bottom"/>
            <w:tcBorders>
              <w:bottom w:val="single" w:sz="8" w:color="E0E0E0"/>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86"/>
              <w:spacing w:after="0" w:line="179" w:lineRule="exact"/>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E0E0E0"/>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E0E0E0"/>
            </w:tcBorders>
          </w:tcPr>
          <w:p>
            <w:pPr>
              <w:spacing w:after="0"/>
              <w:rPr>
                <w:sz w:val="15"/>
                <w:szCs w:val="15"/>
                <w:color w:val="auto"/>
              </w:rPr>
            </w:pPr>
          </w:p>
        </w:tc>
      </w:tr>
      <w:tr>
        <w:trPr>
          <w:trHeight w:val="227"/>
        </w:trPr>
        <w:tc>
          <w:tcPr>
            <w:tcW w:w="4560" w:type="dxa"/>
            <w:vAlign w:val="bottom"/>
            <w:shd w:val="clear" w:color="auto" w:fill="E0E0E0"/>
          </w:tcPr>
          <w:p>
            <w:pPr>
              <w:spacing w:after="0" w:line="227" w:lineRule="exact"/>
              <w:rPr>
                <w:sz w:val="20"/>
                <w:szCs w:val="20"/>
                <w:color w:val="auto"/>
              </w:rPr>
            </w:pPr>
            <w:r>
              <w:rPr>
                <w:rFonts w:ascii="Arial" w:cs="Arial" w:eastAsia="Arial" w:hAnsi="Arial"/>
                <w:sz w:val="21"/>
                <w:szCs w:val="21"/>
                <w:color w:val="auto"/>
              </w:rPr>
              <w:t>Risk-free interest rate</w:t>
            </w:r>
          </w:p>
        </w:tc>
        <w:tc>
          <w:tcPr>
            <w:tcW w:w="1120" w:type="dxa"/>
            <w:vAlign w:val="bottom"/>
            <w:gridSpan w:val="2"/>
            <w:shd w:val="clear" w:color="auto" w:fill="E0E0E0"/>
          </w:tcPr>
          <w:p>
            <w:pPr>
              <w:jc w:val="right"/>
              <w:ind w:right="40"/>
              <w:spacing w:after="0" w:line="227" w:lineRule="exact"/>
              <w:rPr>
                <w:sz w:val="20"/>
                <w:szCs w:val="20"/>
                <w:color w:val="auto"/>
              </w:rPr>
            </w:pPr>
            <w:r>
              <w:rPr>
                <w:rFonts w:ascii="Arial" w:cs="Arial" w:eastAsia="Arial" w:hAnsi="Arial"/>
                <w:sz w:val="21"/>
                <w:szCs w:val="21"/>
                <w:color w:val="auto"/>
              </w:rPr>
              <w:t>2.15%</w:t>
            </w:r>
          </w:p>
        </w:tc>
        <w:tc>
          <w:tcPr>
            <w:tcW w:w="1080" w:type="dxa"/>
            <w:vAlign w:val="bottom"/>
            <w:gridSpan w:val="2"/>
            <w:shd w:val="clear" w:color="auto" w:fill="E0E0E0"/>
          </w:tcPr>
          <w:p>
            <w:pPr>
              <w:jc w:val="right"/>
              <w:spacing w:after="0" w:line="227" w:lineRule="exact"/>
              <w:rPr>
                <w:sz w:val="20"/>
                <w:szCs w:val="20"/>
                <w:color w:val="auto"/>
              </w:rPr>
            </w:pPr>
            <w:r>
              <w:rPr>
                <w:rFonts w:ascii="Arial" w:cs="Arial" w:eastAsia="Arial" w:hAnsi="Arial"/>
                <w:sz w:val="21"/>
                <w:szCs w:val="21"/>
                <w:color w:val="auto"/>
              </w:rPr>
              <w:t>0.99 %</w:t>
            </w:r>
          </w:p>
        </w:tc>
      </w:tr>
      <w:tr>
        <w:trPr>
          <w:trHeight w:val="237"/>
        </w:trPr>
        <w:tc>
          <w:tcPr>
            <w:tcW w:w="4560" w:type="dxa"/>
            <w:vAlign w:val="bottom"/>
          </w:tcPr>
          <w:p>
            <w:pPr>
              <w:spacing w:after="0" w:line="237" w:lineRule="exact"/>
              <w:rPr>
                <w:sz w:val="20"/>
                <w:szCs w:val="20"/>
                <w:color w:val="auto"/>
              </w:rPr>
            </w:pPr>
            <w:r>
              <w:rPr>
                <w:rFonts w:ascii="Arial" w:cs="Arial" w:eastAsia="Arial" w:hAnsi="Arial"/>
                <w:sz w:val="21"/>
                <w:szCs w:val="21"/>
                <w:color w:val="auto"/>
              </w:rPr>
              <w:t>Expected volatility</w:t>
            </w:r>
          </w:p>
        </w:tc>
        <w:tc>
          <w:tcPr>
            <w:tcW w:w="1120" w:type="dxa"/>
            <w:vAlign w:val="bottom"/>
            <w:gridSpan w:val="2"/>
          </w:tcPr>
          <w:p>
            <w:pPr>
              <w:jc w:val="right"/>
              <w:ind w:right="40"/>
              <w:spacing w:after="0" w:line="237" w:lineRule="exact"/>
              <w:rPr>
                <w:sz w:val="20"/>
                <w:szCs w:val="20"/>
                <w:color w:val="auto"/>
              </w:rPr>
            </w:pPr>
            <w:r>
              <w:rPr>
                <w:rFonts w:ascii="Arial" w:cs="Arial" w:eastAsia="Arial" w:hAnsi="Arial"/>
                <w:sz w:val="21"/>
                <w:szCs w:val="21"/>
                <w:color w:val="auto"/>
              </w:rPr>
              <w:t>92.95%</w:t>
            </w:r>
          </w:p>
        </w:tc>
        <w:tc>
          <w:tcPr>
            <w:tcW w:w="108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90.91 %</w:t>
            </w:r>
          </w:p>
        </w:tc>
      </w:tr>
      <w:tr>
        <w:trPr>
          <w:trHeight w:val="237"/>
        </w:trPr>
        <w:tc>
          <w:tcPr>
            <w:tcW w:w="4560" w:type="dxa"/>
            <w:vAlign w:val="bottom"/>
            <w:shd w:val="clear" w:color="auto" w:fill="E0E0E0"/>
          </w:tcPr>
          <w:p>
            <w:pPr>
              <w:spacing w:after="0" w:line="237" w:lineRule="exact"/>
              <w:rPr>
                <w:sz w:val="20"/>
                <w:szCs w:val="20"/>
                <w:color w:val="auto"/>
              </w:rPr>
            </w:pPr>
            <w:r>
              <w:rPr>
                <w:rFonts w:ascii="Arial" w:cs="Arial" w:eastAsia="Arial" w:hAnsi="Arial"/>
                <w:sz w:val="21"/>
                <w:szCs w:val="21"/>
                <w:color w:val="auto"/>
              </w:rPr>
              <w:t>Expected term (in years)</w:t>
            </w:r>
          </w:p>
        </w:tc>
        <w:tc>
          <w:tcPr>
            <w:tcW w:w="1120" w:type="dxa"/>
            <w:vAlign w:val="bottom"/>
            <w:gridSpan w:val="2"/>
            <w:shd w:val="clear" w:color="auto" w:fill="E0E0E0"/>
          </w:tcPr>
          <w:p>
            <w:pPr>
              <w:jc w:val="right"/>
              <w:ind w:right="220"/>
              <w:spacing w:after="0" w:line="237" w:lineRule="exact"/>
              <w:rPr>
                <w:sz w:val="20"/>
                <w:szCs w:val="20"/>
                <w:color w:val="auto"/>
              </w:rPr>
            </w:pPr>
            <w:r>
              <w:rPr>
                <w:rFonts w:ascii="Arial" w:cs="Arial" w:eastAsia="Arial" w:hAnsi="Arial"/>
                <w:sz w:val="21"/>
                <w:szCs w:val="21"/>
                <w:color w:val="auto"/>
              </w:rPr>
              <w:t>6.02</w:t>
            </w:r>
          </w:p>
        </w:tc>
        <w:tc>
          <w:tcPr>
            <w:tcW w:w="90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rPr>
              <w:t>6.10</w:t>
            </w:r>
          </w:p>
        </w:tc>
        <w:tc>
          <w:tcPr>
            <w:tcW w:w="180" w:type="dxa"/>
            <w:vAlign w:val="bottom"/>
            <w:shd w:val="clear" w:color="auto" w:fill="E0E0E0"/>
          </w:tcPr>
          <w:p>
            <w:pPr>
              <w:spacing w:after="0"/>
              <w:rPr>
                <w:sz w:val="20"/>
                <w:szCs w:val="20"/>
                <w:color w:val="auto"/>
              </w:rPr>
            </w:pPr>
          </w:p>
        </w:tc>
      </w:tr>
      <w:tr>
        <w:trPr>
          <w:trHeight w:val="279"/>
        </w:trPr>
        <w:tc>
          <w:tcPr>
            <w:tcW w:w="4560" w:type="dxa"/>
            <w:vAlign w:val="bottom"/>
          </w:tcPr>
          <w:p>
            <w:pPr>
              <w:spacing w:after="0"/>
              <w:rPr>
                <w:sz w:val="20"/>
                <w:szCs w:val="20"/>
                <w:color w:val="auto"/>
              </w:rPr>
            </w:pPr>
            <w:r>
              <w:rPr>
                <w:rFonts w:ascii="Arial" w:cs="Arial" w:eastAsia="Arial" w:hAnsi="Arial"/>
                <w:sz w:val="21"/>
                <w:szCs w:val="21"/>
                <w:color w:val="auto"/>
              </w:rPr>
              <w:t>Expected dividend yield</w:t>
            </w:r>
          </w:p>
        </w:tc>
        <w:tc>
          <w:tcPr>
            <w:tcW w:w="1120" w:type="dxa"/>
            <w:vAlign w:val="bottom"/>
            <w:gridSpan w:val="2"/>
          </w:tcPr>
          <w:p>
            <w:pPr>
              <w:jc w:val="right"/>
              <w:ind w:right="220"/>
              <w:spacing w:after="0"/>
              <w:rPr>
                <w:sz w:val="20"/>
                <w:szCs w:val="20"/>
                <w:color w:val="auto"/>
              </w:rPr>
            </w:pPr>
            <w:r>
              <w:rPr>
                <w:rFonts w:ascii="Arial" w:cs="Arial" w:eastAsia="Arial" w:hAnsi="Arial"/>
                <w:sz w:val="21"/>
                <w:szCs w:val="21"/>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21"/>
                <w:szCs w:val="21"/>
                <w:color w:val="auto"/>
              </w:rPr>
              <w:t>—</w:t>
            </w:r>
          </w:p>
        </w:tc>
      </w:tr>
    </w:tbl>
    <w:p>
      <w:pPr>
        <w:spacing w:after="0" w:line="216"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The grant date fair value of restricted stock units is based upon the fair market value of the Company’s common stock based on its closing price as reported on the date of grant on the Nasdaq Global Select Market.</w:t>
      </w:r>
    </w:p>
    <w:p>
      <w:pPr>
        <w:spacing w:after="0" w:line="266" w:lineRule="exact"/>
        <w:rPr>
          <w:sz w:val="20"/>
          <w:szCs w:val="20"/>
          <w:color w:val="auto"/>
        </w:rPr>
      </w:pPr>
    </w:p>
    <w:p>
      <w:pPr>
        <w:jc w:val="both"/>
        <w:ind w:firstLine="505"/>
        <w:spacing w:after="0" w:line="253" w:lineRule="auto"/>
        <w:rPr>
          <w:sz w:val="20"/>
          <w:szCs w:val="20"/>
          <w:color w:val="auto"/>
        </w:rPr>
      </w:pPr>
      <w:r>
        <w:rPr>
          <w:rFonts w:ascii="Arial" w:cs="Arial" w:eastAsia="Arial" w:hAnsi="Arial"/>
          <w:sz w:val="21"/>
          <w:szCs w:val="21"/>
          <w:color w:val="auto"/>
        </w:rPr>
        <w:t>The fair value of options granted during the years ended December 31, 2022 and 2021 were $16.3 million and $14.4 million, respectively. The fair value of restricted stock units granted during the year ended December 31, 2022 and 2021 was $129,000 and $5.7 million, respectively.</w:t>
      </w:r>
    </w:p>
    <w:p>
      <w:pPr>
        <w:spacing w:after="0" w:line="322"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Stock Option Activity</w:t>
      </w:r>
    </w:p>
    <w:p>
      <w:pPr>
        <w:spacing w:after="0" w:line="115"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Changes in shares available for grant under the 2020 Plan during the year ended December 31, 2022 were as follows: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07"/>
        </w:trPr>
        <w:tc>
          <w:tcPr>
            <w:tcW w:w="552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 Grant</w:t>
            </w:r>
          </w:p>
        </w:tc>
        <w:tc>
          <w:tcPr>
            <w:tcW w:w="8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540" w:type="dxa"/>
            <w:vAlign w:val="bottom"/>
            <w:gridSpan w:val="2"/>
            <w:shd w:val="clear" w:color="auto" w:fill="E0E0E0"/>
          </w:tcPr>
          <w:p>
            <w:pPr>
              <w:spacing w:after="0" w:line="227" w:lineRule="exact"/>
              <w:rPr>
                <w:sz w:val="20"/>
                <w:szCs w:val="20"/>
                <w:color w:val="auto"/>
              </w:rPr>
            </w:pPr>
            <w:r>
              <w:rPr>
                <w:rFonts w:ascii="Arial" w:cs="Arial" w:eastAsia="Arial" w:hAnsi="Arial"/>
                <w:sz w:val="21"/>
                <w:szCs w:val="21"/>
                <w:color w:val="auto"/>
              </w:rPr>
              <w:t>Shares available for grant at December 31, 2021</w:t>
            </w:r>
          </w:p>
        </w:tc>
        <w:tc>
          <w:tcPr>
            <w:tcW w:w="1220" w:type="dxa"/>
            <w:vAlign w:val="bottom"/>
            <w:gridSpan w:val="2"/>
            <w:shd w:val="clear" w:color="auto" w:fill="E0E0E0"/>
          </w:tcPr>
          <w:p>
            <w:pPr>
              <w:jc w:val="right"/>
              <w:ind w:right="80"/>
              <w:spacing w:after="0" w:line="227" w:lineRule="exact"/>
              <w:rPr>
                <w:sz w:val="20"/>
                <w:szCs w:val="20"/>
                <w:color w:val="auto"/>
              </w:rPr>
            </w:pPr>
            <w:r>
              <w:rPr>
                <w:rFonts w:ascii="Arial" w:cs="Arial" w:eastAsia="Arial" w:hAnsi="Arial"/>
                <w:sz w:val="21"/>
                <w:szCs w:val="21"/>
                <w:color w:val="auto"/>
              </w:rPr>
              <w:t>4,442,315</w:t>
            </w:r>
          </w:p>
        </w:tc>
        <w:tc>
          <w:tcPr>
            <w:tcW w:w="0" w:type="dxa"/>
            <w:vAlign w:val="bottom"/>
          </w:tcPr>
          <w:p>
            <w:pPr>
              <w:spacing w:after="0"/>
              <w:rPr>
                <w:sz w:val="1"/>
                <w:szCs w:val="1"/>
                <w:color w:val="auto"/>
              </w:rPr>
            </w:pPr>
          </w:p>
        </w:tc>
      </w:tr>
      <w:tr>
        <w:trPr>
          <w:trHeight w:val="237"/>
        </w:trPr>
        <w:tc>
          <w:tcPr>
            <w:tcW w:w="5540" w:type="dxa"/>
            <w:vAlign w:val="bottom"/>
            <w:gridSpan w:val="2"/>
          </w:tcPr>
          <w:p>
            <w:pPr>
              <w:spacing w:after="0" w:line="237" w:lineRule="exact"/>
              <w:rPr>
                <w:sz w:val="20"/>
                <w:szCs w:val="20"/>
                <w:color w:val="auto"/>
              </w:rPr>
            </w:pPr>
            <w:r>
              <w:rPr>
                <w:rFonts w:ascii="Arial" w:cs="Arial" w:eastAsia="Arial" w:hAnsi="Arial"/>
                <w:sz w:val="21"/>
                <w:szCs w:val="21"/>
                <w:color w:val="auto"/>
              </w:rPr>
              <w:t>2020 Plan reserve increase on January 1, 2022</w:t>
            </w:r>
          </w:p>
        </w:tc>
        <w:tc>
          <w:tcPr>
            <w:tcW w:w="1220" w:type="dxa"/>
            <w:vAlign w:val="bottom"/>
            <w:gridSpan w:val="2"/>
          </w:tcPr>
          <w:p>
            <w:pPr>
              <w:jc w:val="right"/>
              <w:ind w:right="80"/>
              <w:spacing w:after="0" w:line="237" w:lineRule="exact"/>
              <w:rPr>
                <w:sz w:val="20"/>
                <w:szCs w:val="20"/>
                <w:color w:val="auto"/>
              </w:rPr>
            </w:pPr>
            <w:r>
              <w:rPr>
                <w:rFonts w:ascii="Arial" w:cs="Arial" w:eastAsia="Arial" w:hAnsi="Arial"/>
                <w:sz w:val="21"/>
                <w:szCs w:val="21"/>
                <w:color w:val="auto"/>
              </w:rPr>
              <w:t>1,868,953</w:t>
            </w:r>
          </w:p>
        </w:tc>
        <w:tc>
          <w:tcPr>
            <w:tcW w:w="0" w:type="dxa"/>
            <w:vAlign w:val="bottom"/>
          </w:tcPr>
          <w:p>
            <w:pPr>
              <w:spacing w:after="0"/>
              <w:rPr>
                <w:sz w:val="1"/>
                <w:szCs w:val="1"/>
                <w:color w:val="auto"/>
              </w:rPr>
            </w:pPr>
          </w:p>
        </w:tc>
      </w:tr>
      <w:tr>
        <w:trPr>
          <w:trHeight w:val="236"/>
        </w:trPr>
        <w:tc>
          <w:tcPr>
            <w:tcW w:w="5540" w:type="dxa"/>
            <w:vAlign w:val="bottom"/>
            <w:gridSpan w:val="2"/>
            <w:shd w:val="clear" w:color="auto" w:fill="E0E0E0"/>
          </w:tcPr>
          <w:p>
            <w:pPr>
              <w:spacing w:after="0" w:line="236" w:lineRule="exact"/>
              <w:rPr>
                <w:sz w:val="20"/>
                <w:szCs w:val="20"/>
                <w:color w:val="auto"/>
              </w:rPr>
            </w:pPr>
            <w:r>
              <w:rPr>
                <w:rFonts w:ascii="Arial" w:cs="Arial" w:eastAsia="Arial" w:hAnsi="Arial"/>
                <w:sz w:val="21"/>
                <w:szCs w:val="21"/>
                <w:color w:val="auto"/>
              </w:rPr>
              <w:t>Options and restricted stock units granted</w:t>
            </w:r>
          </w:p>
        </w:tc>
        <w:tc>
          <w:tcPr>
            <w:tcW w:w="1220" w:type="dxa"/>
            <w:vAlign w:val="bottom"/>
            <w:gridSpan w:val="2"/>
            <w:shd w:val="clear" w:color="auto" w:fill="E0E0E0"/>
          </w:tcPr>
          <w:p>
            <w:pPr>
              <w:jc w:val="right"/>
              <w:spacing w:after="0" w:line="236" w:lineRule="exact"/>
              <w:rPr>
                <w:sz w:val="20"/>
                <w:szCs w:val="20"/>
                <w:color w:val="auto"/>
              </w:rPr>
            </w:pPr>
            <w:r>
              <w:rPr>
                <w:rFonts w:ascii="Arial" w:cs="Arial" w:eastAsia="Arial" w:hAnsi="Arial"/>
                <w:sz w:val="21"/>
                <w:szCs w:val="21"/>
                <w:color w:val="auto"/>
              </w:rPr>
              <w:t>(2,242,047)</w:t>
            </w:r>
          </w:p>
        </w:tc>
        <w:tc>
          <w:tcPr>
            <w:tcW w:w="0" w:type="dxa"/>
            <w:vAlign w:val="bottom"/>
          </w:tcPr>
          <w:p>
            <w:pPr>
              <w:spacing w:after="0"/>
              <w:rPr>
                <w:sz w:val="1"/>
                <w:szCs w:val="1"/>
                <w:color w:val="auto"/>
              </w:rPr>
            </w:pPr>
          </w:p>
        </w:tc>
      </w:tr>
      <w:tr>
        <w:trPr>
          <w:trHeight w:val="219"/>
        </w:trPr>
        <w:tc>
          <w:tcPr>
            <w:tcW w:w="5540" w:type="dxa"/>
            <w:vAlign w:val="bottom"/>
            <w:gridSpan w:val="2"/>
          </w:tcPr>
          <w:p>
            <w:pPr>
              <w:spacing w:after="0" w:line="219" w:lineRule="exact"/>
              <w:rPr>
                <w:sz w:val="20"/>
                <w:szCs w:val="20"/>
                <w:color w:val="auto"/>
              </w:rPr>
            </w:pPr>
            <w:r>
              <w:rPr>
                <w:rFonts w:ascii="Arial" w:cs="Arial" w:eastAsia="Arial" w:hAnsi="Arial"/>
                <w:sz w:val="21"/>
                <w:szCs w:val="21"/>
                <w:color w:val="auto"/>
              </w:rPr>
              <w:t>Options and restricted stock units forfeited,</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540" w:type="dxa"/>
            <w:vAlign w:val="bottom"/>
            <w:gridSpan w:val="2"/>
          </w:tcPr>
          <w:p>
            <w:pPr>
              <w:ind w:left="180"/>
              <w:spacing w:after="0"/>
              <w:rPr>
                <w:sz w:val="20"/>
                <w:szCs w:val="20"/>
                <w:color w:val="auto"/>
              </w:rPr>
            </w:pPr>
            <w:r>
              <w:rPr>
                <w:rFonts w:ascii="Arial" w:cs="Arial" w:eastAsia="Arial" w:hAnsi="Arial"/>
                <w:sz w:val="21"/>
                <w:szCs w:val="21"/>
                <w:color w:val="auto"/>
              </w:rPr>
              <w:t>cancelled, or expired</w:t>
            </w:r>
          </w:p>
        </w:tc>
        <w:tc>
          <w:tcPr>
            <w:tcW w:w="1220" w:type="dxa"/>
            <w:vAlign w:val="bottom"/>
            <w:gridSpan w:val="2"/>
          </w:tcPr>
          <w:p>
            <w:pPr>
              <w:jc w:val="right"/>
              <w:ind w:right="80"/>
              <w:spacing w:after="0"/>
              <w:rPr>
                <w:sz w:val="20"/>
                <w:szCs w:val="20"/>
                <w:color w:val="auto"/>
              </w:rPr>
            </w:pPr>
            <w:r>
              <w:rPr>
                <w:rFonts w:ascii="Arial" w:cs="Arial" w:eastAsia="Arial" w:hAnsi="Arial"/>
                <w:sz w:val="21"/>
                <w:szCs w:val="21"/>
                <w:color w:val="auto"/>
              </w:rPr>
              <w:t>184,633</w:t>
            </w:r>
          </w:p>
        </w:tc>
        <w:tc>
          <w:tcPr>
            <w:tcW w:w="0" w:type="dxa"/>
            <w:vAlign w:val="bottom"/>
          </w:tcPr>
          <w:p>
            <w:pPr>
              <w:spacing w:after="0"/>
              <w:rPr>
                <w:sz w:val="1"/>
                <w:szCs w:val="1"/>
                <w:color w:val="auto"/>
              </w:rPr>
            </w:pPr>
          </w:p>
        </w:tc>
      </w:tr>
      <w:tr>
        <w:trPr>
          <w:trHeight w:val="20"/>
        </w:trPr>
        <w:tc>
          <w:tcPr>
            <w:tcW w:w="5540" w:type="dxa"/>
            <w:vAlign w:val="bottom"/>
            <w:gridSpan w:val="2"/>
            <w:vMerge w:val="restart"/>
            <w:shd w:val="clear" w:color="auto" w:fill="E0E0E0"/>
          </w:tcPr>
          <w:p>
            <w:pPr>
              <w:spacing w:after="0"/>
              <w:rPr>
                <w:sz w:val="20"/>
                <w:szCs w:val="20"/>
                <w:color w:val="auto"/>
              </w:rPr>
            </w:pPr>
            <w:r>
              <w:rPr>
                <w:rFonts w:ascii="Arial" w:cs="Arial" w:eastAsia="Arial" w:hAnsi="Arial"/>
                <w:sz w:val="21"/>
                <w:szCs w:val="21"/>
                <w:color w:val="auto"/>
              </w:rPr>
              <w:t>Shares available for grant at December 31, 2022</w:t>
            </w: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540" w:type="dxa"/>
            <w:vAlign w:val="bottom"/>
            <w:gridSpan w:val="2"/>
            <w:vMerge w:val="continue"/>
            <w:shd w:val="clear" w:color="auto" w:fill="E0E0E0"/>
          </w:tcPr>
          <w:p>
            <w:pPr>
              <w:spacing w:after="0"/>
              <w:rPr>
                <w:sz w:val="19"/>
                <w:szCs w:val="19"/>
                <w:color w:val="auto"/>
              </w:rPr>
            </w:pPr>
          </w:p>
        </w:tc>
        <w:tc>
          <w:tcPr>
            <w:tcW w:w="1220" w:type="dxa"/>
            <w:vAlign w:val="bottom"/>
            <w:gridSpan w:val="2"/>
            <w:shd w:val="clear" w:color="auto" w:fill="E0E0E0"/>
          </w:tcPr>
          <w:p>
            <w:pPr>
              <w:jc w:val="right"/>
              <w:ind w:right="80"/>
              <w:spacing w:after="0" w:line="227" w:lineRule="exact"/>
              <w:rPr>
                <w:sz w:val="20"/>
                <w:szCs w:val="20"/>
                <w:color w:val="auto"/>
              </w:rPr>
            </w:pPr>
            <w:r>
              <w:rPr>
                <w:rFonts w:ascii="Arial" w:cs="Arial" w:eastAsia="Arial" w:hAnsi="Arial"/>
                <w:sz w:val="21"/>
                <w:szCs w:val="21"/>
                <w:color w:val="auto"/>
              </w:rPr>
              <w:t>4,253,854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640"/>
          </w:cols>
          <w:pgMar w:left="130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151</w:t>
      </w:r>
    </w:p>
    <w:p>
      <w:pPr>
        <w:sectPr>
          <w:pgSz w:w="12240" w:h="15840" w:orient="portrait"/>
          <w:cols w:equalWidth="0" w:num="1">
            <w:col w:w="9640"/>
          </w:cols>
          <w:pgMar w:left="1300" w:top="1240" w:right="1300" w:bottom="0" w:gutter="0" w:footer="0" w:header="0"/>
          <w:type w:val="continuous"/>
        </w:sectPr>
      </w:pPr>
    </w:p>
    <w:bookmarkStart w:id="157" w:name="page158"/>
    <w:bookmarkEnd w:id="157"/>
    <w:p>
      <w:pPr>
        <w:spacing w:after="0" w:line="65" w:lineRule="exact"/>
        <w:rPr>
          <w:sz w:val="20"/>
          <w:szCs w:val="20"/>
          <w:color w:val="auto"/>
        </w:rPr>
      </w:pPr>
    </w:p>
    <w:p>
      <w:pPr>
        <w:ind w:left="500"/>
        <w:spacing w:after="0"/>
        <w:rPr>
          <w:sz w:val="20"/>
          <w:szCs w:val="20"/>
          <w:color w:val="auto"/>
        </w:rPr>
      </w:pPr>
      <w:r>
        <w:rPr>
          <w:rFonts w:ascii="Arial" w:cs="Arial" w:eastAsia="Arial" w:hAnsi="Arial"/>
          <w:sz w:val="21"/>
          <w:szCs w:val="21"/>
          <w:color w:val="auto"/>
        </w:rPr>
        <w:t>A summary of option activity for the year ended December 31, 2022 was as follows:</w:t>
      </w:r>
    </w:p>
    <w:p>
      <w:pPr>
        <w:spacing w:after="0" w:line="232" w:lineRule="exact"/>
        <w:rPr>
          <w:sz w:val="20"/>
          <w:szCs w:val="20"/>
          <w:color w:val="auto"/>
        </w:rPr>
      </w:pPr>
    </w:p>
    <w:tbl>
      <w:tblPr>
        <w:tblLayout w:type="fixed"/>
        <w:tblInd w:w="48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66"/>
              <w:spacing w:after="0"/>
              <w:rPr>
                <w:sz w:val="20"/>
                <w:szCs w:val="20"/>
                <w:color w:val="auto"/>
              </w:rPr>
            </w:pPr>
            <w:r>
              <w:rPr>
                <w:rFonts w:ascii="Arial" w:cs="Arial" w:eastAsia="Arial" w:hAnsi="Arial"/>
                <w:sz w:val="16"/>
                <w:szCs w:val="16"/>
                <w:b w:val="1"/>
                <w:bCs w:val="1"/>
                <w:color w:val="auto"/>
              </w:rPr>
              <w:t>Weighted-</w:t>
            </w:r>
          </w:p>
        </w:tc>
        <w:tc>
          <w:tcPr>
            <w:tcW w:w="16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66"/>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66"/>
              <w:spacing w:after="0"/>
              <w:rPr>
                <w:sz w:val="20"/>
                <w:szCs w:val="20"/>
                <w:color w:val="auto"/>
              </w:rPr>
            </w:pPr>
            <w:r>
              <w:rPr>
                <w:rFonts w:ascii="Arial" w:cs="Arial" w:eastAsia="Arial" w:hAnsi="Arial"/>
                <w:sz w:val="16"/>
                <w:szCs w:val="16"/>
                <w:b w:val="1"/>
                <w:bCs w:val="1"/>
                <w:color w:val="auto"/>
              </w:rPr>
              <w:t>Exercise</w:t>
            </w:r>
          </w:p>
        </w:tc>
        <w:tc>
          <w:tcPr>
            <w:tcW w:w="16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66"/>
              <w:spacing w:after="0"/>
              <w:rPr>
                <w:sz w:val="20"/>
                <w:szCs w:val="20"/>
                <w:color w:val="auto"/>
              </w:rPr>
            </w:pPr>
            <w:r>
              <w:rPr>
                <w:rFonts w:ascii="Arial" w:cs="Arial" w:eastAsia="Arial" w:hAnsi="Arial"/>
                <w:sz w:val="16"/>
                <w:szCs w:val="16"/>
                <w:b w:val="1"/>
                <w:bCs w:val="1"/>
                <w:color w:val="auto"/>
              </w:rPr>
              <w:t>price</w:t>
            </w:r>
          </w:p>
        </w:tc>
        <w:tc>
          <w:tcPr>
            <w:tcW w:w="16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Term</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(in</w:t>
            </w:r>
          </w:p>
        </w:tc>
        <w:tc>
          <w:tcPr>
            <w:tcW w:w="0" w:type="dxa"/>
            <w:vAlign w:val="bottom"/>
          </w:tcPr>
          <w:p>
            <w:pPr>
              <w:spacing w:after="0"/>
              <w:rPr>
                <w:sz w:val="1"/>
                <w:szCs w:val="1"/>
                <w:color w:val="auto"/>
              </w:rPr>
            </w:pPr>
          </w:p>
        </w:tc>
      </w:tr>
      <w:tr>
        <w:trPr>
          <w:trHeight w:val="207"/>
        </w:trPr>
        <w:tc>
          <w:tcPr>
            <w:tcW w:w="332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20" w:type="dxa"/>
            <w:vAlign w:val="bottom"/>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60" w:type="dxa"/>
            <w:vAlign w:val="bottom"/>
            <w:tcBorders>
              <w:bottom w:val="single" w:sz="8" w:color="E0E0E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66"/>
              <w:spacing w:after="0"/>
              <w:rPr>
                <w:sz w:val="20"/>
                <w:szCs w:val="20"/>
                <w:color w:val="auto"/>
              </w:rPr>
            </w:pPr>
            <w:r>
              <w:rPr>
                <w:rFonts w:ascii="Arial" w:cs="Arial" w:eastAsia="Arial" w:hAnsi="Arial"/>
                <w:sz w:val="16"/>
                <w:szCs w:val="16"/>
                <w:b w:val="1"/>
                <w:bCs w:val="1"/>
                <w:color w:val="auto"/>
              </w:rPr>
              <w:t>per Share</w:t>
            </w:r>
          </w:p>
        </w:tc>
        <w:tc>
          <w:tcPr>
            <w:tcW w:w="160" w:type="dxa"/>
            <w:vAlign w:val="bottom"/>
            <w:tcBorders>
              <w:bottom w:val="single" w:sz="8" w:color="E0E0E0"/>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180" w:type="dxa"/>
            <w:vAlign w:val="bottom"/>
            <w:tcBorders>
              <w:bottom w:val="single" w:sz="8" w:color="E0E0E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6"/>
                <w:szCs w:val="16"/>
                <w:b w:val="1"/>
                <w:bCs w:val="1"/>
                <w:color w:val="auto"/>
              </w:rPr>
              <w:t>thousands)</w:t>
            </w:r>
          </w:p>
        </w:tc>
        <w:tc>
          <w:tcPr>
            <w:tcW w:w="8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340" w:type="dxa"/>
            <w:vAlign w:val="bottom"/>
            <w:gridSpan w:val="2"/>
            <w:shd w:val="clear" w:color="auto" w:fill="E0E0E0"/>
          </w:tcPr>
          <w:p>
            <w:pPr>
              <w:spacing w:after="0" w:line="227" w:lineRule="exact"/>
              <w:rPr>
                <w:sz w:val="20"/>
                <w:szCs w:val="20"/>
                <w:color w:val="auto"/>
              </w:rPr>
            </w:pPr>
            <w:r>
              <w:rPr>
                <w:rFonts w:ascii="Arial" w:cs="Arial" w:eastAsia="Arial" w:hAnsi="Arial"/>
                <w:sz w:val="21"/>
                <w:szCs w:val="21"/>
                <w:color w:val="auto"/>
              </w:rPr>
              <w:t>Balance at December 31, 2021</w:t>
            </w:r>
          </w:p>
        </w:tc>
        <w:tc>
          <w:tcPr>
            <w:tcW w:w="116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rPr>
              <w:t>2,270,896</w:t>
            </w:r>
          </w:p>
        </w:tc>
        <w:tc>
          <w:tcPr>
            <w:tcW w:w="20" w:type="dxa"/>
            <w:vAlign w:val="bottom"/>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20" w:type="dxa"/>
            <w:vAlign w:val="bottom"/>
            <w:gridSpan w:val="2"/>
            <w:shd w:val="clear" w:color="auto" w:fill="E0E0E0"/>
          </w:tcPr>
          <w:p>
            <w:pPr>
              <w:jc w:val="right"/>
              <w:ind w:right="40"/>
              <w:spacing w:after="0" w:line="227" w:lineRule="exact"/>
              <w:rPr>
                <w:sz w:val="20"/>
                <w:szCs w:val="20"/>
                <w:color w:val="auto"/>
              </w:rPr>
            </w:pPr>
            <w:r>
              <w:rPr>
                <w:rFonts w:ascii="Arial" w:cs="Arial" w:eastAsia="Arial" w:hAnsi="Arial"/>
                <w:sz w:val="21"/>
                <w:szCs w:val="21"/>
                <w:color w:val="auto"/>
              </w:rPr>
              <w:t>$</w:t>
            </w:r>
          </w:p>
        </w:tc>
        <w:tc>
          <w:tcPr>
            <w:tcW w:w="104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rPr>
              <w:t>12.76</w:t>
            </w:r>
          </w:p>
        </w:tc>
        <w:tc>
          <w:tcPr>
            <w:tcW w:w="1520" w:type="dxa"/>
            <w:vAlign w:val="bottom"/>
            <w:gridSpan w:val="3"/>
            <w:shd w:val="clear" w:color="auto" w:fill="E0E0E0"/>
          </w:tcPr>
          <w:p>
            <w:pPr>
              <w:jc w:val="right"/>
              <w:ind w:right="180"/>
              <w:spacing w:after="0" w:line="227" w:lineRule="exact"/>
              <w:rPr>
                <w:sz w:val="20"/>
                <w:szCs w:val="20"/>
                <w:color w:val="auto"/>
              </w:rPr>
            </w:pPr>
            <w:r>
              <w:rPr>
                <w:rFonts w:ascii="Arial" w:cs="Arial" w:eastAsia="Arial" w:hAnsi="Arial"/>
                <w:sz w:val="21"/>
                <w:szCs w:val="21"/>
                <w:color w:val="auto"/>
              </w:rPr>
              <w:t>7.22</w:t>
            </w:r>
          </w:p>
        </w:tc>
        <w:tc>
          <w:tcPr>
            <w:tcW w:w="120" w:type="dxa"/>
            <w:vAlign w:val="bottom"/>
            <w:shd w:val="clear" w:color="auto" w:fill="E0E0E0"/>
          </w:tcPr>
          <w:p>
            <w:pPr>
              <w:jc w:val="right"/>
              <w:spacing w:after="0" w:line="228" w:lineRule="exact"/>
              <w:rPr>
                <w:sz w:val="20"/>
                <w:szCs w:val="20"/>
                <w:color w:val="auto"/>
              </w:rPr>
            </w:pPr>
            <w:r>
              <w:rPr>
                <w:rFonts w:ascii="Arial" w:cs="Arial" w:eastAsia="Arial" w:hAnsi="Arial"/>
                <w:sz w:val="20"/>
                <w:szCs w:val="20"/>
                <w:color w:val="auto"/>
                <w:w w:val="71"/>
              </w:rPr>
              <w:t>$</w:t>
            </w:r>
          </w:p>
        </w:tc>
        <w:tc>
          <w:tcPr>
            <w:tcW w:w="1160" w:type="dxa"/>
            <w:vAlign w:val="bottom"/>
            <w:gridSpan w:val="2"/>
            <w:shd w:val="clear" w:color="auto" w:fill="E0E0E0"/>
          </w:tcPr>
          <w:p>
            <w:pPr>
              <w:jc w:val="right"/>
              <w:ind w:right="80"/>
              <w:spacing w:after="0" w:line="227" w:lineRule="exact"/>
              <w:rPr>
                <w:sz w:val="20"/>
                <w:szCs w:val="20"/>
                <w:color w:val="auto"/>
              </w:rPr>
            </w:pPr>
            <w:r>
              <w:rPr>
                <w:rFonts w:ascii="Arial" w:cs="Arial" w:eastAsia="Arial" w:hAnsi="Arial"/>
                <w:sz w:val="21"/>
                <w:szCs w:val="21"/>
                <w:color w:val="auto"/>
              </w:rPr>
              <w:t>8,306</w:t>
            </w:r>
          </w:p>
        </w:tc>
        <w:tc>
          <w:tcPr>
            <w:tcW w:w="0" w:type="dxa"/>
            <w:vAlign w:val="bottom"/>
          </w:tcPr>
          <w:p>
            <w:pPr>
              <w:spacing w:after="0"/>
              <w:rPr>
                <w:sz w:val="1"/>
                <w:szCs w:val="1"/>
                <w:color w:val="auto"/>
              </w:rPr>
            </w:pPr>
          </w:p>
        </w:tc>
      </w:tr>
      <w:tr>
        <w:trPr>
          <w:trHeight w:val="237"/>
        </w:trPr>
        <w:tc>
          <w:tcPr>
            <w:tcW w:w="3340" w:type="dxa"/>
            <w:vAlign w:val="bottom"/>
            <w:gridSpan w:val="2"/>
          </w:tcPr>
          <w:p>
            <w:pPr>
              <w:spacing w:after="0" w:line="237" w:lineRule="exact"/>
              <w:rPr>
                <w:sz w:val="20"/>
                <w:szCs w:val="20"/>
                <w:color w:val="auto"/>
              </w:rPr>
            </w:pPr>
            <w:r>
              <w:rPr>
                <w:rFonts w:ascii="Arial" w:cs="Arial" w:eastAsia="Arial" w:hAnsi="Arial"/>
                <w:sz w:val="21"/>
                <w:szCs w:val="21"/>
                <w:color w:val="auto"/>
              </w:rPr>
              <w:t>Granted</w:t>
            </w:r>
          </w:p>
        </w:tc>
        <w:tc>
          <w:tcPr>
            <w:tcW w:w="1160" w:type="dxa"/>
            <w:vAlign w:val="bottom"/>
          </w:tcPr>
          <w:p>
            <w:pPr>
              <w:jc w:val="right"/>
              <w:spacing w:after="0" w:line="237" w:lineRule="exact"/>
              <w:rPr>
                <w:sz w:val="20"/>
                <w:szCs w:val="20"/>
                <w:color w:val="auto"/>
              </w:rPr>
            </w:pPr>
            <w:r>
              <w:rPr>
                <w:rFonts w:ascii="Arial" w:cs="Arial" w:eastAsia="Arial" w:hAnsi="Arial"/>
                <w:sz w:val="21"/>
                <w:szCs w:val="21"/>
                <w:color w:val="auto"/>
              </w:rPr>
              <w:t>2,229,797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line="237" w:lineRule="exact"/>
              <w:rPr>
                <w:sz w:val="20"/>
                <w:szCs w:val="20"/>
                <w:color w:val="auto"/>
              </w:rPr>
            </w:pPr>
            <w:r>
              <w:rPr>
                <w:rFonts w:ascii="Arial" w:cs="Arial" w:eastAsia="Arial" w:hAnsi="Arial"/>
                <w:sz w:val="21"/>
                <w:szCs w:val="21"/>
                <w:color w:val="auto"/>
              </w:rPr>
              <w:t>9.64</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40" w:type="dxa"/>
            <w:vAlign w:val="bottom"/>
            <w:gridSpan w:val="2"/>
            <w:shd w:val="clear" w:color="auto" w:fill="E0E0E0"/>
          </w:tcPr>
          <w:p>
            <w:pPr>
              <w:spacing w:after="0" w:line="236" w:lineRule="exact"/>
              <w:rPr>
                <w:sz w:val="20"/>
                <w:szCs w:val="20"/>
                <w:color w:val="auto"/>
              </w:rPr>
            </w:pPr>
            <w:r>
              <w:rPr>
                <w:rFonts w:ascii="Arial" w:cs="Arial" w:eastAsia="Arial" w:hAnsi="Arial"/>
                <w:sz w:val="21"/>
                <w:szCs w:val="21"/>
                <w:color w:val="auto"/>
              </w:rPr>
              <w:t>Exercised</w:t>
            </w:r>
          </w:p>
        </w:tc>
        <w:tc>
          <w:tcPr>
            <w:tcW w:w="1160" w:type="dxa"/>
            <w:vAlign w:val="bottom"/>
            <w:shd w:val="clear" w:color="auto" w:fill="E0E0E0"/>
          </w:tcPr>
          <w:p>
            <w:pPr>
              <w:jc w:val="right"/>
              <w:spacing w:after="0" w:line="236" w:lineRule="exact"/>
              <w:rPr>
                <w:sz w:val="20"/>
                <w:szCs w:val="20"/>
                <w:color w:val="auto"/>
              </w:rPr>
            </w:pPr>
            <w:r>
              <w:rPr>
                <w:rFonts w:ascii="Arial" w:cs="Arial" w:eastAsia="Arial" w:hAnsi="Arial"/>
                <w:sz w:val="21"/>
                <w:szCs w:val="21"/>
                <w:color w:val="auto"/>
              </w:rPr>
              <w:t>(300,038</w:t>
            </w:r>
          </w:p>
        </w:tc>
        <w:tc>
          <w:tcPr>
            <w:tcW w:w="20" w:type="dxa"/>
            <w:vAlign w:val="bottom"/>
          </w:tcPr>
          <w:p>
            <w:pPr>
              <w:spacing w:after="0"/>
              <w:rPr>
                <w:sz w:val="20"/>
                <w:szCs w:val="20"/>
                <w:color w:val="auto"/>
              </w:rPr>
            </w:pPr>
          </w:p>
        </w:tc>
        <w:tc>
          <w:tcPr>
            <w:tcW w:w="100" w:type="dxa"/>
            <w:vAlign w:val="bottom"/>
            <w:shd w:val="clear" w:color="auto" w:fill="E0E0E0"/>
          </w:tcPr>
          <w:p>
            <w:pPr>
              <w:jc w:val="right"/>
              <w:spacing w:after="0"/>
              <w:rPr>
                <w:sz w:val="20"/>
                <w:szCs w:val="20"/>
                <w:color w:val="auto"/>
              </w:rPr>
            </w:pPr>
            <w:r>
              <w:rPr>
                <w:rFonts w:ascii="Arial" w:cs="Arial" w:eastAsia="Arial" w:hAnsi="Arial"/>
                <w:sz w:val="15"/>
                <w:szCs w:val="15"/>
                <w:color w:val="auto"/>
                <w:w w:val="79"/>
              </w:rPr>
              <w:t>)</w:t>
            </w:r>
          </w:p>
        </w:tc>
        <w:tc>
          <w:tcPr>
            <w:tcW w:w="6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40" w:type="dxa"/>
            <w:vAlign w:val="bottom"/>
            <w:shd w:val="clear" w:color="auto" w:fill="E0E0E0"/>
          </w:tcPr>
          <w:p>
            <w:pPr>
              <w:jc w:val="right"/>
              <w:spacing w:after="0" w:line="236" w:lineRule="exact"/>
              <w:rPr>
                <w:sz w:val="20"/>
                <w:szCs w:val="20"/>
                <w:color w:val="auto"/>
              </w:rPr>
            </w:pPr>
            <w:r>
              <w:rPr>
                <w:rFonts w:ascii="Arial" w:cs="Arial" w:eastAsia="Arial" w:hAnsi="Arial"/>
                <w:sz w:val="21"/>
                <w:szCs w:val="21"/>
                <w:color w:val="auto"/>
              </w:rPr>
              <w:t>1.03</w:t>
            </w:r>
          </w:p>
        </w:tc>
        <w:tc>
          <w:tcPr>
            <w:tcW w:w="160" w:type="dxa"/>
            <w:vAlign w:val="bottom"/>
            <w:shd w:val="clear" w:color="auto" w:fill="E0E0E0"/>
          </w:tcPr>
          <w:p>
            <w:pPr>
              <w:spacing w:after="0"/>
              <w:rPr>
                <w:sz w:val="20"/>
                <w:szCs w:val="20"/>
                <w:color w:val="auto"/>
              </w:rPr>
            </w:pPr>
          </w:p>
        </w:tc>
        <w:tc>
          <w:tcPr>
            <w:tcW w:w="118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08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E0E0E0"/>
            </w:tcBorders>
            <w:gridSpan w:val="2"/>
          </w:tcPr>
          <w:p>
            <w:pPr>
              <w:spacing w:after="0" w:line="237" w:lineRule="exact"/>
              <w:rPr>
                <w:sz w:val="20"/>
                <w:szCs w:val="20"/>
                <w:color w:val="auto"/>
              </w:rPr>
            </w:pPr>
            <w:r>
              <w:rPr>
                <w:rFonts w:ascii="Arial" w:cs="Arial" w:eastAsia="Arial" w:hAnsi="Arial"/>
                <w:sz w:val="21"/>
                <w:szCs w:val="21"/>
                <w:color w:val="auto"/>
              </w:rPr>
              <w:t>Forfeited/expired</w:t>
            </w:r>
          </w:p>
        </w:tc>
        <w:tc>
          <w:tcPr>
            <w:tcW w:w="1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(167,133</w:t>
            </w:r>
          </w:p>
        </w:tc>
        <w:tc>
          <w:tcPr>
            <w:tcW w:w="20" w:type="dxa"/>
            <w:vAlign w:val="bottom"/>
          </w:tcPr>
          <w:p>
            <w:pPr>
              <w:spacing w:after="0"/>
              <w:rPr>
                <w:sz w:val="20"/>
                <w:szCs w:val="20"/>
                <w:color w:val="auto"/>
              </w:rPr>
            </w:pPr>
          </w:p>
        </w:tc>
        <w:tc>
          <w:tcPr>
            <w:tcW w:w="100" w:type="dxa"/>
            <w:vAlign w:val="bottom"/>
            <w:tcBorders>
              <w:bottom w:val="single" w:sz="8" w:color="E0E0E0"/>
            </w:tcBorders>
          </w:tcPr>
          <w:p>
            <w:pPr>
              <w:jc w:val="right"/>
              <w:spacing w:after="0"/>
              <w:rPr>
                <w:sz w:val="20"/>
                <w:szCs w:val="20"/>
                <w:color w:val="auto"/>
              </w:rPr>
            </w:pPr>
            <w:r>
              <w:rPr>
                <w:rFonts w:ascii="Arial" w:cs="Arial" w:eastAsia="Arial" w:hAnsi="Arial"/>
                <w:sz w:val="15"/>
                <w:szCs w:val="15"/>
                <w:color w:val="auto"/>
                <w:w w:val="79"/>
              </w:rPr>
              <w:t>)</w:t>
            </w:r>
          </w:p>
        </w:tc>
        <w:tc>
          <w:tcPr>
            <w:tcW w:w="60" w:type="dxa"/>
            <w:vAlign w:val="bottom"/>
            <w:tcBorders>
              <w:bottom w:val="single" w:sz="8" w:color="E0E0E0"/>
            </w:tcBorders>
          </w:tcPr>
          <w:p>
            <w:pPr>
              <w:spacing w:after="0"/>
              <w:rPr>
                <w:sz w:val="20"/>
                <w:szCs w:val="20"/>
                <w:color w:val="auto"/>
              </w:rPr>
            </w:pPr>
          </w:p>
        </w:tc>
        <w:tc>
          <w:tcPr>
            <w:tcW w:w="160" w:type="dxa"/>
            <w:vAlign w:val="bottom"/>
            <w:tcBorders>
              <w:bottom w:val="single" w:sz="8" w:color="E0E0E0"/>
            </w:tcBorders>
          </w:tcPr>
          <w:p>
            <w:pPr>
              <w:spacing w:after="0"/>
              <w:rPr>
                <w:sz w:val="20"/>
                <w:szCs w:val="20"/>
                <w:color w:val="auto"/>
              </w:rPr>
            </w:pPr>
          </w:p>
        </w:tc>
        <w:tc>
          <w:tcPr>
            <w:tcW w:w="1040" w:type="dxa"/>
            <w:vAlign w:val="bottom"/>
            <w:tcBorders>
              <w:bottom w:val="single" w:sz="8" w:color="E0E0E0"/>
            </w:tcBorders>
          </w:tcPr>
          <w:p>
            <w:pPr>
              <w:jc w:val="right"/>
              <w:spacing w:after="0" w:line="237" w:lineRule="exact"/>
              <w:rPr>
                <w:sz w:val="20"/>
                <w:szCs w:val="20"/>
                <w:color w:val="auto"/>
              </w:rPr>
            </w:pPr>
            <w:r>
              <w:rPr>
                <w:rFonts w:ascii="Arial" w:cs="Arial" w:eastAsia="Arial" w:hAnsi="Arial"/>
                <w:sz w:val="21"/>
                <w:szCs w:val="21"/>
                <w:color w:val="auto"/>
              </w:rPr>
              <w:t>16.41</w:t>
            </w:r>
          </w:p>
        </w:tc>
        <w:tc>
          <w:tcPr>
            <w:tcW w:w="160" w:type="dxa"/>
            <w:vAlign w:val="bottom"/>
            <w:tcBorders>
              <w:bottom w:val="single" w:sz="8" w:color="E0E0E0"/>
            </w:tcBorders>
          </w:tcPr>
          <w:p>
            <w:pPr>
              <w:spacing w:after="0"/>
              <w:rPr>
                <w:sz w:val="20"/>
                <w:szCs w:val="20"/>
                <w:color w:val="auto"/>
              </w:rPr>
            </w:pPr>
          </w:p>
        </w:tc>
        <w:tc>
          <w:tcPr>
            <w:tcW w:w="1180" w:type="dxa"/>
            <w:vAlign w:val="bottom"/>
            <w:tcBorders>
              <w:bottom w:val="single" w:sz="8" w:color="E0E0E0"/>
            </w:tcBorders>
          </w:tcPr>
          <w:p>
            <w:pPr>
              <w:spacing w:after="0"/>
              <w:rPr>
                <w:sz w:val="20"/>
                <w:szCs w:val="20"/>
                <w:color w:val="auto"/>
              </w:rPr>
            </w:pPr>
          </w:p>
        </w:tc>
        <w:tc>
          <w:tcPr>
            <w:tcW w:w="180" w:type="dxa"/>
            <w:vAlign w:val="bottom"/>
            <w:tcBorders>
              <w:bottom w:val="single" w:sz="8" w:color="E0E0E0"/>
            </w:tcBorders>
          </w:tcPr>
          <w:p>
            <w:pPr>
              <w:spacing w:after="0"/>
              <w:rPr>
                <w:sz w:val="20"/>
                <w:szCs w:val="20"/>
                <w:color w:val="auto"/>
              </w:rPr>
            </w:pPr>
          </w:p>
        </w:tc>
        <w:tc>
          <w:tcPr>
            <w:tcW w:w="120" w:type="dxa"/>
            <w:vAlign w:val="bottom"/>
            <w:tcBorders>
              <w:bottom w:val="single" w:sz="8" w:color="E0E0E0"/>
            </w:tcBorders>
          </w:tcPr>
          <w:p>
            <w:pPr>
              <w:spacing w:after="0"/>
              <w:rPr>
                <w:sz w:val="20"/>
                <w:szCs w:val="20"/>
                <w:color w:val="auto"/>
              </w:rPr>
            </w:pPr>
          </w:p>
        </w:tc>
        <w:tc>
          <w:tcPr>
            <w:tcW w:w="1080" w:type="dxa"/>
            <w:vAlign w:val="bottom"/>
            <w:tcBorders>
              <w:bottom w:val="single" w:sz="8" w:color="E0E0E0"/>
            </w:tcBorders>
          </w:tcPr>
          <w:p>
            <w:pPr>
              <w:spacing w:after="0"/>
              <w:rPr>
                <w:sz w:val="20"/>
                <w:szCs w:val="20"/>
                <w:color w:val="auto"/>
              </w:rPr>
            </w:pPr>
          </w:p>
        </w:tc>
        <w:tc>
          <w:tcPr>
            <w:tcW w:w="80" w:type="dxa"/>
            <w:vAlign w:val="bottom"/>
            <w:tcBorders>
              <w:bottom w:val="single" w:sz="8" w:color="E0E0E0"/>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340" w:type="dxa"/>
            <w:vAlign w:val="bottom"/>
            <w:gridSpan w:val="2"/>
            <w:shd w:val="clear" w:color="auto" w:fill="E0E0E0"/>
          </w:tcPr>
          <w:p>
            <w:pPr>
              <w:spacing w:after="0" w:line="227" w:lineRule="exact"/>
              <w:rPr>
                <w:sz w:val="20"/>
                <w:szCs w:val="20"/>
                <w:color w:val="auto"/>
              </w:rPr>
            </w:pPr>
            <w:r>
              <w:rPr>
                <w:rFonts w:ascii="Arial" w:cs="Arial" w:eastAsia="Arial" w:hAnsi="Arial"/>
                <w:sz w:val="21"/>
                <w:szCs w:val="21"/>
                <w:color w:val="auto"/>
              </w:rPr>
              <w:t>Balance at December 31, 2022</w:t>
            </w:r>
          </w:p>
        </w:tc>
        <w:tc>
          <w:tcPr>
            <w:tcW w:w="1160" w:type="dxa"/>
            <w:vAlign w:val="bottom"/>
            <w:tcBorders>
              <w:bottom w:val="single" w:sz="8" w:color="auto"/>
            </w:tcBorders>
            <w:shd w:val="clear" w:color="auto" w:fill="E0E0E0"/>
          </w:tcPr>
          <w:p>
            <w:pPr>
              <w:jc w:val="right"/>
              <w:spacing w:after="0" w:line="227" w:lineRule="exact"/>
              <w:rPr>
                <w:sz w:val="20"/>
                <w:szCs w:val="20"/>
                <w:color w:val="auto"/>
              </w:rPr>
            </w:pPr>
            <w:r>
              <w:rPr>
                <w:rFonts w:ascii="Arial" w:cs="Arial" w:eastAsia="Arial" w:hAnsi="Arial"/>
                <w:sz w:val="21"/>
                <w:szCs w:val="21"/>
                <w:color w:val="auto"/>
              </w:rPr>
              <w:t>4,033,522</w:t>
            </w:r>
          </w:p>
        </w:tc>
        <w:tc>
          <w:tcPr>
            <w:tcW w:w="20" w:type="dxa"/>
            <w:vAlign w:val="bottom"/>
            <w:tcBorders>
              <w:bottom w:val="single" w:sz="8" w:color="auto"/>
            </w:tcBorders>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220" w:type="dxa"/>
            <w:vAlign w:val="bottom"/>
            <w:gridSpan w:val="2"/>
            <w:shd w:val="clear" w:color="auto" w:fill="E0E0E0"/>
          </w:tcPr>
          <w:p>
            <w:pPr>
              <w:jc w:val="right"/>
              <w:ind w:right="40"/>
              <w:spacing w:after="0" w:line="227" w:lineRule="exact"/>
              <w:rPr>
                <w:sz w:val="20"/>
                <w:szCs w:val="20"/>
                <w:color w:val="auto"/>
              </w:rPr>
            </w:pPr>
            <w:r>
              <w:rPr>
                <w:rFonts w:ascii="Arial" w:cs="Arial" w:eastAsia="Arial" w:hAnsi="Arial"/>
                <w:sz w:val="21"/>
                <w:szCs w:val="21"/>
                <w:color w:val="auto"/>
              </w:rPr>
              <w:t>$</w:t>
            </w:r>
          </w:p>
        </w:tc>
        <w:tc>
          <w:tcPr>
            <w:tcW w:w="104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rPr>
              <w:t>11.75</w:t>
            </w:r>
          </w:p>
        </w:tc>
        <w:tc>
          <w:tcPr>
            <w:tcW w:w="1520" w:type="dxa"/>
            <w:vAlign w:val="bottom"/>
            <w:gridSpan w:val="3"/>
            <w:shd w:val="clear" w:color="auto" w:fill="E0E0E0"/>
          </w:tcPr>
          <w:p>
            <w:pPr>
              <w:jc w:val="right"/>
              <w:ind w:right="180"/>
              <w:spacing w:after="0" w:line="227" w:lineRule="exact"/>
              <w:rPr>
                <w:sz w:val="20"/>
                <w:szCs w:val="20"/>
                <w:color w:val="auto"/>
              </w:rPr>
            </w:pPr>
            <w:r>
              <w:rPr>
                <w:rFonts w:ascii="Arial" w:cs="Arial" w:eastAsia="Arial" w:hAnsi="Arial"/>
                <w:sz w:val="21"/>
                <w:szCs w:val="21"/>
                <w:color w:val="auto"/>
              </w:rPr>
              <w:t>8.40</w:t>
            </w:r>
          </w:p>
        </w:tc>
        <w:tc>
          <w:tcPr>
            <w:tcW w:w="120" w:type="dxa"/>
            <w:vAlign w:val="bottom"/>
            <w:shd w:val="clear" w:color="auto" w:fill="E0E0E0"/>
          </w:tcPr>
          <w:p>
            <w:pPr>
              <w:jc w:val="right"/>
              <w:spacing w:after="0" w:line="228" w:lineRule="exact"/>
              <w:rPr>
                <w:sz w:val="20"/>
                <w:szCs w:val="20"/>
                <w:color w:val="auto"/>
              </w:rPr>
            </w:pPr>
            <w:r>
              <w:rPr>
                <w:rFonts w:ascii="Arial" w:cs="Arial" w:eastAsia="Arial" w:hAnsi="Arial"/>
                <w:sz w:val="20"/>
                <w:szCs w:val="20"/>
                <w:color w:val="auto"/>
                <w:w w:val="71"/>
              </w:rPr>
              <w:t>$</w:t>
            </w:r>
          </w:p>
        </w:tc>
        <w:tc>
          <w:tcPr>
            <w:tcW w:w="1160" w:type="dxa"/>
            <w:vAlign w:val="bottom"/>
            <w:gridSpan w:val="2"/>
            <w:shd w:val="clear" w:color="auto" w:fill="E0E0E0"/>
          </w:tcPr>
          <w:p>
            <w:pPr>
              <w:jc w:val="right"/>
              <w:ind w:right="80"/>
              <w:spacing w:after="0" w:line="227" w:lineRule="exact"/>
              <w:rPr>
                <w:sz w:val="20"/>
                <w:szCs w:val="20"/>
                <w:color w:val="auto"/>
              </w:rPr>
            </w:pPr>
            <w:r>
              <w:rPr>
                <w:rFonts w:ascii="Arial" w:cs="Arial" w:eastAsia="Arial" w:hAnsi="Arial"/>
                <w:sz w:val="21"/>
                <w:szCs w:val="21"/>
                <w:color w:val="auto"/>
              </w:rPr>
              <w:t>827</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21"/>
                <w:szCs w:val="21"/>
                <w:color w:val="auto"/>
              </w:rPr>
              <w:t>Expected to vest</w:t>
            </w: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21"/>
                <w:szCs w:val="2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21"/>
                <w:szCs w:val="21"/>
                <w:color w:val="auto"/>
              </w:rPr>
              <w:t>11.71</w:t>
            </w:r>
          </w:p>
        </w:tc>
        <w:tc>
          <w:tcPr>
            <w:tcW w:w="1520" w:type="dxa"/>
            <w:vAlign w:val="bottom"/>
            <w:gridSpan w:val="3"/>
            <w:vMerge w:val="restart"/>
          </w:tcPr>
          <w:p>
            <w:pPr>
              <w:jc w:val="right"/>
              <w:ind w:right="180"/>
              <w:spacing w:after="0"/>
              <w:rPr>
                <w:sz w:val="20"/>
                <w:szCs w:val="20"/>
                <w:color w:val="auto"/>
              </w:rPr>
            </w:pPr>
            <w:r>
              <w:rPr>
                <w:rFonts w:ascii="Arial" w:cs="Arial" w:eastAsia="Arial" w:hAnsi="Arial"/>
                <w:sz w:val="21"/>
                <w:szCs w:val="21"/>
                <w:color w:val="auto"/>
              </w:rPr>
              <w:t>8.85</w:t>
            </w:r>
          </w:p>
        </w:tc>
        <w:tc>
          <w:tcPr>
            <w:tcW w:w="120" w:type="dxa"/>
            <w:vAlign w:val="bottom"/>
            <w:vMerge w:val="restart"/>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21"/>
                <w:szCs w:val="21"/>
                <w:color w:val="auto"/>
              </w:rPr>
              <w:t>133</w:t>
            </w:r>
          </w:p>
        </w:tc>
        <w:tc>
          <w:tcPr>
            <w:tcW w:w="0" w:type="dxa"/>
            <w:vAlign w:val="bottom"/>
          </w:tcPr>
          <w:p>
            <w:pPr>
              <w:spacing w:after="0" w:line="20" w:lineRule="exact"/>
              <w:rPr>
                <w:sz w:val="1"/>
                <w:szCs w:val="1"/>
                <w:color w:val="auto"/>
              </w:rPr>
            </w:pPr>
          </w:p>
        </w:tc>
      </w:tr>
      <w:tr>
        <w:trPr>
          <w:trHeight w:val="283"/>
        </w:trPr>
        <w:tc>
          <w:tcPr>
            <w:tcW w:w="3340" w:type="dxa"/>
            <w:vAlign w:val="bottom"/>
            <w:tcBorders>
              <w:bottom w:val="single" w:sz="8" w:color="E0E0E0"/>
            </w:tcBorders>
            <w:gridSpan w:val="2"/>
            <w:vMerge w:val="continue"/>
          </w:tcPr>
          <w:p>
            <w:pPr>
              <w:spacing w:after="0"/>
              <w:rPr>
                <w:sz w:val="24"/>
                <w:szCs w:val="24"/>
                <w:color w:val="auto"/>
              </w:rPr>
            </w:pPr>
          </w:p>
        </w:tc>
        <w:tc>
          <w:tcPr>
            <w:tcW w:w="1180" w:type="dxa"/>
            <w:vAlign w:val="bottom"/>
            <w:tcBorders>
              <w:bottom w:val="single" w:sz="8" w:color="auto"/>
            </w:tcBorders>
            <w:gridSpan w:val="2"/>
          </w:tcPr>
          <w:p>
            <w:pPr>
              <w:jc w:val="right"/>
              <w:ind w:right="20"/>
              <w:spacing w:after="0" w:line="223" w:lineRule="exact"/>
              <w:rPr>
                <w:sz w:val="20"/>
                <w:szCs w:val="20"/>
                <w:color w:val="auto"/>
              </w:rPr>
            </w:pPr>
            <w:r>
              <w:rPr>
                <w:rFonts w:ascii="Arial" w:cs="Arial" w:eastAsia="Arial" w:hAnsi="Arial"/>
                <w:sz w:val="21"/>
                <w:szCs w:val="21"/>
                <w:color w:val="auto"/>
              </w:rPr>
              <w:t>2,731,214</w:t>
            </w:r>
          </w:p>
        </w:tc>
        <w:tc>
          <w:tcPr>
            <w:tcW w:w="100" w:type="dxa"/>
            <w:vAlign w:val="bottom"/>
            <w:tcBorders>
              <w:bottom w:val="single" w:sz="8" w:color="E0E0E0"/>
            </w:tcBorders>
            <w:vMerge w:val="continue"/>
          </w:tcPr>
          <w:p>
            <w:pPr>
              <w:spacing w:after="0"/>
              <w:rPr>
                <w:sz w:val="24"/>
                <w:szCs w:val="24"/>
                <w:color w:val="auto"/>
              </w:rPr>
            </w:pPr>
          </w:p>
        </w:tc>
        <w:tc>
          <w:tcPr>
            <w:tcW w:w="220" w:type="dxa"/>
            <w:vAlign w:val="bottom"/>
            <w:tcBorders>
              <w:bottom w:val="single" w:sz="8" w:color="E0E0E0"/>
            </w:tcBorders>
            <w:gridSpan w:val="2"/>
            <w:vMerge w:val="continue"/>
          </w:tcPr>
          <w:p>
            <w:pPr>
              <w:spacing w:after="0"/>
              <w:rPr>
                <w:sz w:val="24"/>
                <w:szCs w:val="24"/>
                <w:color w:val="auto"/>
              </w:rPr>
            </w:pPr>
          </w:p>
        </w:tc>
        <w:tc>
          <w:tcPr>
            <w:tcW w:w="1040" w:type="dxa"/>
            <w:vAlign w:val="bottom"/>
            <w:tcBorders>
              <w:bottom w:val="single" w:sz="8" w:color="E0E0E0"/>
            </w:tcBorders>
            <w:vMerge w:val="continue"/>
          </w:tcPr>
          <w:p>
            <w:pPr>
              <w:spacing w:after="0"/>
              <w:rPr>
                <w:sz w:val="24"/>
                <w:szCs w:val="24"/>
                <w:color w:val="auto"/>
              </w:rPr>
            </w:pPr>
          </w:p>
        </w:tc>
        <w:tc>
          <w:tcPr>
            <w:tcW w:w="1520" w:type="dxa"/>
            <w:vAlign w:val="bottom"/>
            <w:tcBorders>
              <w:bottom w:val="single" w:sz="8" w:color="E0E0E0"/>
            </w:tcBorders>
            <w:gridSpan w:val="3"/>
            <w:vMerge w:val="continue"/>
          </w:tcPr>
          <w:p>
            <w:pPr>
              <w:spacing w:after="0"/>
              <w:rPr>
                <w:sz w:val="24"/>
                <w:szCs w:val="24"/>
                <w:color w:val="auto"/>
              </w:rPr>
            </w:pPr>
          </w:p>
        </w:tc>
        <w:tc>
          <w:tcPr>
            <w:tcW w:w="120" w:type="dxa"/>
            <w:vAlign w:val="bottom"/>
            <w:tcBorders>
              <w:bottom w:val="single" w:sz="8" w:color="E0E0E0"/>
            </w:tcBorders>
            <w:vMerge w:val="continue"/>
          </w:tcPr>
          <w:p>
            <w:pPr>
              <w:spacing w:after="0"/>
              <w:rPr>
                <w:sz w:val="24"/>
                <w:szCs w:val="24"/>
                <w:color w:val="auto"/>
              </w:rPr>
            </w:pPr>
          </w:p>
        </w:tc>
        <w:tc>
          <w:tcPr>
            <w:tcW w:w="1160" w:type="dxa"/>
            <w:vAlign w:val="bottom"/>
            <w:tcBorders>
              <w:bottom w:val="single" w:sz="8" w:color="E0E0E0"/>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340" w:type="dxa"/>
            <w:vAlign w:val="bottom"/>
            <w:tcBorders>
              <w:top w:val="single" w:sz="8" w:color="E0E0E0"/>
            </w:tcBorders>
            <w:gridSpan w:val="2"/>
            <w:shd w:val="clear" w:color="auto" w:fill="E0E0E0"/>
          </w:tcPr>
          <w:p>
            <w:pPr>
              <w:spacing w:after="0" w:line="205" w:lineRule="exact"/>
              <w:rPr>
                <w:sz w:val="20"/>
                <w:szCs w:val="20"/>
                <w:color w:val="auto"/>
              </w:rPr>
            </w:pPr>
            <w:r>
              <w:rPr>
                <w:rFonts w:ascii="Arial" w:cs="Arial" w:eastAsia="Arial" w:hAnsi="Arial"/>
                <w:sz w:val="21"/>
                <w:szCs w:val="21"/>
                <w:color w:val="auto"/>
              </w:rPr>
              <w:t>Options exercisable</w:t>
            </w:r>
          </w:p>
        </w:tc>
        <w:tc>
          <w:tcPr>
            <w:tcW w:w="1160" w:type="dxa"/>
            <w:vAlign w:val="bottom"/>
            <w:tcBorders>
              <w:top w:val="single" w:sz="8" w:color="E0E0E0"/>
            </w:tcBorders>
            <w:shd w:val="clear" w:color="auto" w:fill="E0E0E0"/>
          </w:tcPr>
          <w:p>
            <w:pPr>
              <w:jc w:val="right"/>
              <w:spacing w:after="0" w:line="205" w:lineRule="exact"/>
              <w:rPr>
                <w:sz w:val="20"/>
                <w:szCs w:val="20"/>
                <w:color w:val="auto"/>
              </w:rPr>
            </w:pPr>
            <w:r>
              <w:rPr>
                <w:rFonts w:ascii="Arial" w:cs="Arial" w:eastAsia="Arial" w:hAnsi="Arial"/>
                <w:sz w:val="21"/>
                <w:szCs w:val="21"/>
                <w:color w:val="auto"/>
              </w:rPr>
              <w:t>1,302,308</w:t>
            </w:r>
          </w:p>
        </w:tc>
        <w:tc>
          <w:tcPr>
            <w:tcW w:w="20" w:type="dxa"/>
            <w:vAlign w:val="bottom"/>
            <w:tcBorders>
              <w:top w:val="single" w:sz="8" w:color="E0E0E0"/>
            </w:tcBorders>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220" w:type="dxa"/>
            <w:vAlign w:val="bottom"/>
            <w:tcBorders>
              <w:top w:val="single" w:sz="8" w:color="E0E0E0"/>
            </w:tcBorders>
            <w:gridSpan w:val="2"/>
            <w:shd w:val="clear" w:color="auto" w:fill="E0E0E0"/>
          </w:tcPr>
          <w:p>
            <w:pPr>
              <w:jc w:val="right"/>
              <w:ind w:right="40"/>
              <w:spacing w:after="0" w:line="205" w:lineRule="exact"/>
              <w:rPr>
                <w:sz w:val="20"/>
                <w:szCs w:val="20"/>
                <w:color w:val="auto"/>
              </w:rPr>
            </w:pPr>
            <w:r>
              <w:rPr>
                <w:rFonts w:ascii="Arial" w:cs="Arial" w:eastAsia="Arial" w:hAnsi="Arial"/>
                <w:sz w:val="21"/>
                <w:szCs w:val="21"/>
                <w:color w:val="auto"/>
              </w:rPr>
              <w:t>$</w:t>
            </w:r>
          </w:p>
        </w:tc>
        <w:tc>
          <w:tcPr>
            <w:tcW w:w="1040" w:type="dxa"/>
            <w:vAlign w:val="bottom"/>
            <w:tcBorders>
              <w:top w:val="single" w:sz="8" w:color="E0E0E0"/>
            </w:tcBorders>
            <w:shd w:val="clear" w:color="auto" w:fill="E0E0E0"/>
          </w:tcPr>
          <w:p>
            <w:pPr>
              <w:jc w:val="right"/>
              <w:spacing w:after="0" w:line="205" w:lineRule="exact"/>
              <w:rPr>
                <w:sz w:val="20"/>
                <w:szCs w:val="20"/>
                <w:color w:val="auto"/>
              </w:rPr>
            </w:pPr>
            <w:r>
              <w:rPr>
                <w:rFonts w:ascii="Arial" w:cs="Arial" w:eastAsia="Arial" w:hAnsi="Arial"/>
                <w:sz w:val="21"/>
                <w:szCs w:val="21"/>
                <w:color w:val="auto"/>
              </w:rPr>
              <w:t>11.84</w:t>
            </w:r>
          </w:p>
        </w:tc>
        <w:tc>
          <w:tcPr>
            <w:tcW w:w="1520" w:type="dxa"/>
            <w:vAlign w:val="bottom"/>
            <w:tcBorders>
              <w:top w:val="single" w:sz="8" w:color="E0E0E0"/>
            </w:tcBorders>
            <w:gridSpan w:val="3"/>
            <w:shd w:val="clear" w:color="auto" w:fill="E0E0E0"/>
          </w:tcPr>
          <w:p>
            <w:pPr>
              <w:jc w:val="right"/>
              <w:ind w:right="180"/>
              <w:spacing w:after="0" w:line="205" w:lineRule="exact"/>
              <w:rPr>
                <w:sz w:val="20"/>
                <w:szCs w:val="20"/>
                <w:color w:val="auto"/>
              </w:rPr>
            </w:pPr>
            <w:r>
              <w:rPr>
                <w:rFonts w:ascii="Arial" w:cs="Arial" w:eastAsia="Arial" w:hAnsi="Arial"/>
                <w:sz w:val="21"/>
                <w:szCs w:val="21"/>
                <w:color w:val="auto"/>
              </w:rPr>
              <w:t>7.45</w:t>
            </w:r>
          </w:p>
        </w:tc>
        <w:tc>
          <w:tcPr>
            <w:tcW w:w="120" w:type="dxa"/>
            <w:vAlign w:val="bottom"/>
            <w:tcBorders>
              <w:top w:val="single" w:sz="8" w:color="E0E0E0"/>
            </w:tcBorders>
            <w:shd w:val="clear" w:color="auto" w:fill="E0E0E0"/>
          </w:tcPr>
          <w:p>
            <w:pPr>
              <w:jc w:val="right"/>
              <w:spacing w:after="0" w:line="205"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E0E0E0"/>
            </w:tcBorders>
            <w:gridSpan w:val="2"/>
            <w:shd w:val="clear" w:color="auto" w:fill="E0E0E0"/>
          </w:tcPr>
          <w:p>
            <w:pPr>
              <w:jc w:val="right"/>
              <w:ind w:right="80"/>
              <w:spacing w:after="0" w:line="205" w:lineRule="exact"/>
              <w:rPr>
                <w:sz w:val="20"/>
                <w:szCs w:val="20"/>
                <w:color w:val="auto"/>
              </w:rPr>
            </w:pPr>
            <w:r>
              <w:rPr>
                <w:rFonts w:ascii="Arial" w:cs="Arial" w:eastAsia="Arial" w:hAnsi="Arial"/>
                <w:sz w:val="21"/>
                <w:szCs w:val="21"/>
                <w:color w:val="auto"/>
              </w:rPr>
              <w:t>694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2423795</wp:posOffset>
                </wp:positionH>
                <wp:positionV relativeFrom="paragraph">
                  <wp:posOffset>-360045</wp:posOffset>
                </wp:positionV>
                <wp:extent cx="74104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1045" cy="4763"/>
                        </a:xfrm>
                        <a:prstGeom prst="line">
                          <a:avLst/>
                        </a:prstGeom>
                        <a:solidFill>
                          <a:srgbClr val="FFFFFF"/>
                        </a:solidFill>
                        <a:ln w="1829">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85pt,-28.3499pt" to="249.2pt,-28.3499pt" o:allowincell="f" strokecolor="#FFFFFF" strokeweight="0.144pt"/>
            </w:pict>
          </mc:Fallback>
        </mc:AlternateContent>
      </w:r>
    </w:p>
    <w:p>
      <w:pPr>
        <w:spacing w:after="0" w:line="239" w:lineRule="exact"/>
        <w:rPr>
          <w:sz w:val="20"/>
          <w:szCs w:val="20"/>
          <w:color w:val="auto"/>
        </w:rPr>
      </w:pPr>
    </w:p>
    <w:p>
      <w:pPr>
        <w:ind w:firstLine="504"/>
        <w:spacing w:after="0" w:line="271" w:lineRule="auto"/>
        <w:rPr>
          <w:sz w:val="20"/>
          <w:szCs w:val="20"/>
          <w:color w:val="auto"/>
        </w:rPr>
      </w:pPr>
      <w:r>
        <w:rPr>
          <w:rFonts w:ascii="Arial" w:cs="Arial" w:eastAsia="Arial" w:hAnsi="Arial"/>
          <w:sz w:val="21"/>
          <w:szCs w:val="21"/>
          <w:color w:val="auto"/>
        </w:rPr>
        <w:t>The total fair value of options granted that vested during the years ended December 31, 2022 and 2021 was $6.8 million and $1.4 million, respectively.</w:t>
      </w:r>
    </w:p>
    <w:p>
      <w:pPr>
        <w:spacing w:after="0" w:line="175" w:lineRule="exact"/>
        <w:rPr>
          <w:sz w:val="20"/>
          <w:szCs w:val="20"/>
          <w:color w:val="auto"/>
        </w:rPr>
      </w:pPr>
    </w:p>
    <w:p>
      <w:pPr>
        <w:jc w:val="both"/>
        <w:ind w:firstLine="504"/>
        <w:spacing w:after="0"/>
        <w:rPr>
          <w:sz w:val="20"/>
          <w:szCs w:val="20"/>
          <w:color w:val="auto"/>
        </w:rPr>
      </w:pPr>
      <w:r>
        <w:rPr>
          <w:rFonts w:ascii="Arial" w:cs="Arial" w:eastAsia="Arial" w:hAnsi="Arial"/>
          <w:sz w:val="21"/>
          <w:szCs w:val="21"/>
          <w:color w:val="auto"/>
        </w:rPr>
        <w:t>The aggregate intrinsic value in the table above is calculated as the difference between the exercise price of the underlying options and the estimated fair value of the Company’s common stock underlying all options that were in-the-money at December 31, 2022. The aggregate intrinsic value of options exercised was $3.0 million and $3.1 million during the year ended December 31, 2022 and 2021, respectively, determined as of the date of option exercise. As of December 31, 2022, there was $18.6 million of total unrecognized compensation cost related to non-vested stock options. The Company expects to recognize this cost over a remaining weighted-average period of 2.68 years. The Company utilizes newly issued shares to satisfy option exercises.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Stock options outstanding and exercisable consisted of the following at December 31, 2022:</w:t>
      </w:r>
    </w:p>
    <w:p>
      <w:pPr>
        <w:spacing w:after="0" w:line="200" w:lineRule="exact"/>
        <w:rPr>
          <w:sz w:val="20"/>
          <w:szCs w:val="20"/>
          <w:color w:val="auto"/>
        </w:rPr>
      </w:pPr>
    </w:p>
    <w:p>
      <w:pPr>
        <w:spacing w:after="0" w:line="223" w:lineRule="exact"/>
        <w:rPr>
          <w:sz w:val="20"/>
          <w:szCs w:val="20"/>
          <w:color w:val="auto"/>
        </w:rPr>
      </w:pPr>
    </w:p>
    <w:tbl>
      <w:tblPr>
        <w:tblLayout w:type="fixed"/>
        <w:tblInd w:w="1440" w:type="dxa"/>
        <w:tblCellMar>
          <w:top w:w="0" w:type="dxa"/>
          <w:left w:w="0" w:type="dxa"/>
          <w:bottom w:w="0" w:type="dxa"/>
          <w:right w:w="0" w:type="dxa"/>
        </w:tblCellMar>
      </w:tblPr>
      <w:tr>
        <w:trPr>
          <w:trHeight w:val="189"/>
        </w:trPr>
        <w:tc>
          <w:tcPr>
            <w:tcW w:w="1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Shares</w:t>
            </w:r>
          </w:p>
        </w:tc>
        <w:tc>
          <w:tcPr>
            <w:tcW w:w="14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90"/>
        </w:trPr>
        <w:tc>
          <w:tcPr>
            <w:tcW w:w="1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w:t>
            </w:r>
          </w:p>
        </w:tc>
        <w:tc>
          <w:tcPr>
            <w:tcW w:w="2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Outstanding</w:t>
            </w:r>
          </w:p>
        </w:tc>
        <w:tc>
          <w:tcPr>
            <w:tcW w:w="14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Exercisable</w:t>
            </w:r>
          </w:p>
        </w:tc>
        <w:tc>
          <w:tcPr>
            <w:tcW w:w="0" w:type="dxa"/>
            <w:vAlign w:val="bottom"/>
          </w:tcPr>
          <w:p>
            <w:pPr>
              <w:spacing w:after="0"/>
              <w:rPr>
                <w:sz w:val="1"/>
                <w:szCs w:val="1"/>
                <w:color w:val="auto"/>
              </w:rPr>
            </w:pPr>
          </w:p>
        </w:tc>
      </w:tr>
      <w:tr>
        <w:trPr>
          <w:trHeight w:val="20"/>
        </w:trPr>
        <w:tc>
          <w:tcPr>
            <w:tcW w:w="1380" w:type="dxa"/>
            <w:vAlign w:val="bottom"/>
            <w:vMerge w:val="restart"/>
            <w:shd w:val="clear" w:color="auto" w:fill="E0E0E0"/>
          </w:tcPr>
          <w:p>
            <w:pPr>
              <w:spacing w:after="0"/>
              <w:rPr>
                <w:sz w:val="20"/>
                <w:szCs w:val="20"/>
                <w:color w:val="auto"/>
              </w:rPr>
            </w:pPr>
            <w:r>
              <w:rPr>
                <w:rFonts w:ascii="Arial" w:cs="Arial" w:eastAsia="Arial" w:hAnsi="Arial"/>
                <w:sz w:val="21"/>
                <w:szCs w:val="21"/>
                <w:color w:val="auto"/>
              </w:rPr>
              <w:t>0.16 to 3.37</w:t>
            </w:r>
          </w:p>
        </w:tc>
        <w:tc>
          <w:tcPr>
            <w:tcW w:w="2320" w:type="dxa"/>
            <w:vAlign w:val="bottom"/>
            <w:shd w:val="clear" w:color="auto" w:fill="E0E0E0"/>
          </w:tcPr>
          <w:p>
            <w:pPr>
              <w:spacing w:after="0" w:line="20" w:lineRule="exact"/>
              <w:rPr>
                <w:sz w:val="1"/>
                <w:szCs w:val="1"/>
                <w:color w:val="auto"/>
              </w:rPr>
            </w:pPr>
          </w:p>
        </w:tc>
        <w:tc>
          <w:tcPr>
            <w:tcW w:w="60" w:type="dxa"/>
            <w:vAlign w:val="bottom"/>
            <w:tcBorders>
              <w:right w:val="single" w:sz="8" w:color="E0E0E0"/>
            </w:tcBorders>
            <w:shd w:val="clear" w:color="auto" w:fill="E0E0E0"/>
          </w:tcPr>
          <w:p>
            <w:pPr>
              <w:spacing w:after="0" w:line="20" w:lineRule="exact"/>
              <w:rPr>
                <w:sz w:val="1"/>
                <w:szCs w:val="1"/>
                <w:color w:val="auto"/>
              </w:rPr>
            </w:pPr>
          </w:p>
        </w:tc>
        <w:tc>
          <w:tcPr>
            <w:tcW w:w="1420" w:type="dxa"/>
            <w:vAlign w:val="bottom"/>
            <w:tcBorders>
              <w:right w:val="single" w:sz="8" w:color="E0E0E0"/>
            </w:tcBorders>
            <w:shd w:val="clear" w:color="auto" w:fill="000000"/>
          </w:tcPr>
          <w:p>
            <w:pPr>
              <w:spacing w:after="0" w:line="20" w:lineRule="exact"/>
              <w:rPr>
                <w:sz w:val="1"/>
                <w:szCs w:val="1"/>
                <w:color w:val="auto"/>
              </w:rPr>
            </w:pPr>
          </w:p>
        </w:tc>
        <w:tc>
          <w:tcPr>
            <w:tcW w:w="120" w:type="dxa"/>
            <w:vAlign w:val="bottom"/>
            <w:tcBorders>
              <w:right w:val="single" w:sz="8" w:color="E0E0E0"/>
            </w:tcBorders>
            <w:shd w:val="clear" w:color="auto" w:fill="E0E0E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380" w:type="dxa"/>
            <w:vAlign w:val="bottom"/>
            <w:vMerge w:val="continue"/>
            <w:shd w:val="clear" w:color="auto" w:fill="E0E0E0"/>
          </w:tcPr>
          <w:p>
            <w:pPr>
              <w:spacing w:after="0"/>
              <w:rPr>
                <w:sz w:val="19"/>
                <w:szCs w:val="19"/>
                <w:color w:val="auto"/>
              </w:rPr>
            </w:pPr>
          </w:p>
        </w:tc>
        <w:tc>
          <w:tcPr>
            <w:tcW w:w="2320" w:type="dxa"/>
            <w:vAlign w:val="bottom"/>
            <w:shd w:val="clear" w:color="auto" w:fill="E0E0E0"/>
          </w:tcPr>
          <w:p>
            <w:pPr>
              <w:spacing w:after="0"/>
              <w:rPr>
                <w:sz w:val="19"/>
                <w:szCs w:val="19"/>
                <w:color w:val="auto"/>
              </w:rPr>
            </w:pPr>
          </w:p>
        </w:tc>
        <w:tc>
          <w:tcPr>
            <w:tcW w:w="60" w:type="dxa"/>
            <w:vAlign w:val="bottom"/>
            <w:tcBorders>
              <w:right w:val="single" w:sz="8" w:color="E0E0E0"/>
            </w:tcBorders>
            <w:shd w:val="clear" w:color="auto" w:fill="E0E0E0"/>
          </w:tcPr>
          <w:p>
            <w:pPr>
              <w:spacing w:after="0"/>
              <w:rPr>
                <w:sz w:val="19"/>
                <w:szCs w:val="19"/>
                <w:color w:val="auto"/>
              </w:rPr>
            </w:pPr>
          </w:p>
        </w:tc>
        <w:tc>
          <w:tcPr>
            <w:tcW w:w="1420" w:type="dxa"/>
            <w:vAlign w:val="bottom"/>
            <w:tcBorders>
              <w:right w:val="single" w:sz="8" w:color="E0E0E0"/>
            </w:tcBorders>
            <w:shd w:val="clear" w:color="auto" w:fill="E0E0E0"/>
          </w:tcPr>
          <w:p>
            <w:pPr>
              <w:jc w:val="right"/>
              <w:spacing w:after="0" w:line="226" w:lineRule="exact"/>
              <w:rPr>
                <w:sz w:val="20"/>
                <w:szCs w:val="20"/>
                <w:color w:val="auto"/>
              </w:rPr>
            </w:pPr>
            <w:r>
              <w:rPr>
                <w:rFonts w:ascii="Arial" w:cs="Arial" w:eastAsia="Arial" w:hAnsi="Arial"/>
                <w:sz w:val="21"/>
                <w:szCs w:val="21"/>
                <w:color w:val="auto"/>
              </w:rPr>
              <w:t>632,181</w:t>
            </w:r>
          </w:p>
        </w:tc>
        <w:tc>
          <w:tcPr>
            <w:tcW w:w="120" w:type="dxa"/>
            <w:vAlign w:val="bottom"/>
            <w:tcBorders>
              <w:right w:val="single" w:sz="8" w:color="E0E0E0"/>
            </w:tcBorders>
            <w:shd w:val="clear" w:color="auto" w:fill="E0E0E0"/>
          </w:tcPr>
          <w:p>
            <w:pPr>
              <w:spacing w:after="0"/>
              <w:rPr>
                <w:sz w:val="19"/>
                <w:szCs w:val="19"/>
                <w:color w:val="auto"/>
              </w:rPr>
            </w:pPr>
          </w:p>
        </w:tc>
        <w:tc>
          <w:tcPr>
            <w:tcW w:w="1460" w:type="dxa"/>
            <w:vAlign w:val="bottom"/>
            <w:gridSpan w:val="2"/>
            <w:shd w:val="clear" w:color="auto" w:fill="E0E0E0"/>
          </w:tcPr>
          <w:p>
            <w:pPr>
              <w:jc w:val="right"/>
              <w:ind w:right="80"/>
              <w:spacing w:after="0" w:line="226" w:lineRule="exact"/>
              <w:rPr>
                <w:sz w:val="20"/>
                <w:szCs w:val="20"/>
                <w:color w:val="auto"/>
              </w:rPr>
            </w:pPr>
            <w:r>
              <w:rPr>
                <w:rFonts w:ascii="Arial" w:cs="Arial" w:eastAsia="Arial" w:hAnsi="Arial"/>
                <w:sz w:val="21"/>
                <w:szCs w:val="21"/>
                <w:color w:val="auto"/>
              </w:rPr>
              <w:t>318,822</w:t>
            </w:r>
          </w:p>
        </w:tc>
        <w:tc>
          <w:tcPr>
            <w:tcW w:w="0" w:type="dxa"/>
            <w:vAlign w:val="bottom"/>
          </w:tcPr>
          <w:p>
            <w:pPr>
              <w:spacing w:after="0"/>
              <w:rPr>
                <w:sz w:val="1"/>
                <w:szCs w:val="1"/>
                <w:color w:val="auto"/>
              </w:rPr>
            </w:pPr>
          </w:p>
        </w:tc>
      </w:tr>
      <w:tr>
        <w:trPr>
          <w:trHeight w:val="236"/>
        </w:trPr>
        <w:tc>
          <w:tcPr>
            <w:tcW w:w="1380" w:type="dxa"/>
            <w:vAlign w:val="bottom"/>
          </w:tcPr>
          <w:p>
            <w:pPr>
              <w:spacing w:after="0" w:line="236" w:lineRule="exact"/>
              <w:rPr>
                <w:sz w:val="20"/>
                <w:szCs w:val="20"/>
                <w:color w:val="auto"/>
              </w:rPr>
            </w:pPr>
            <w:r>
              <w:rPr>
                <w:rFonts w:ascii="Arial" w:cs="Arial" w:eastAsia="Arial" w:hAnsi="Arial"/>
                <w:sz w:val="21"/>
                <w:szCs w:val="21"/>
                <w:color w:val="auto"/>
              </w:rPr>
              <w:t>8.93 to 19.94</w:t>
            </w:r>
          </w:p>
        </w:tc>
        <w:tc>
          <w:tcPr>
            <w:tcW w:w="2320" w:type="dxa"/>
            <w:vAlign w:val="bottom"/>
          </w:tcPr>
          <w:p>
            <w:pPr>
              <w:spacing w:after="0"/>
              <w:rPr>
                <w:sz w:val="20"/>
                <w:szCs w:val="20"/>
                <w:color w:val="auto"/>
              </w:rPr>
            </w:pPr>
          </w:p>
        </w:tc>
        <w:tc>
          <w:tcPr>
            <w:tcW w:w="1480" w:type="dxa"/>
            <w:vAlign w:val="bottom"/>
            <w:gridSpan w:val="2"/>
          </w:tcPr>
          <w:p>
            <w:pPr>
              <w:jc w:val="right"/>
              <w:spacing w:after="0" w:line="236" w:lineRule="exact"/>
              <w:rPr>
                <w:sz w:val="20"/>
                <w:szCs w:val="20"/>
                <w:color w:val="auto"/>
              </w:rPr>
            </w:pPr>
            <w:r>
              <w:rPr>
                <w:rFonts w:ascii="Arial" w:cs="Arial" w:eastAsia="Arial" w:hAnsi="Arial"/>
                <w:sz w:val="21"/>
                <w:szCs w:val="21"/>
                <w:color w:val="auto"/>
              </w:rPr>
              <w:t>3,025,820</w:t>
            </w:r>
          </w:p>
        </w:tc>
        <w:tc>
          <w:tcPr>
            <w:tcW w:w="120" w:type="dxa"/>
            <w:vAlign w:val="bottom"/>
          </w:tcPr>
          <w:p>
            <w:pPr>
              <w:spacing w:after="0"/>
              <w:rPr>
                <w:sz w:val="20"/>
                <w:szCs w:val="20"/>
                <w:color w:val="auto"/>
              </w:rPr>
            </w:pPr>
          </w:p>
        </w:tc>
        <w:tc>
          <w:tcPr>
            <w:tcW w:w="1460" w:type="dxa"/>
            <w:vAlign w:val="bottom"/>
            <w:gridSpan w:val="2"/>
          </w:tcPr>
          <w:p>
            <w:pPr>
              <w:jc w:val="right"/>
              <w:ind w:right="80"/>
              <w:spacing w:after="0" w:line="236" w:lineRule="exact"/>
              <w:rPr>
                <w:sz w:val="20"/>
                <w:szCs w:val="20"/>
                <w:color w:val="auto"/>
              </w:rPr>
            </w:pPr>
            <w:r>
              <w:rPr>
                <w:rFonts w:ascii="Arial" w:cs="Arial" w:eastAsia="Arial" w:hAnsi="Arial"/>
                <w:sz w:val="21"/>
                <w:szCs w:val="21"/>
                <w:color w:val="auto"/>
              </w:rPr>
              <w:t>870,326</w:t>
            </w:r>
          </w:p>
        </w:tc>
        <w:tc>
          <w:tcPr>
            <w:tcW w:w="0" w:type="dxa"/>
            <w:vAlign w:val="bottom"/>
          </w:tcPr>
          <w:p>
            <w:pPr>
              <w:spacing w:after="0"/>
              <w:rPr>
                <w:sz w:val="1"/>
                <w:szCs w:val="1"/>
                <w:color w:val="auto"/>
              </w:rPr>
            </w:pPr>
          </w:p>
        </w:tc>
      </w:tr>
      <w:tr>
        <w:trPr>
          <w:trHeight w:val="237"/>
        </w:trPr>
        <w:tc>
          <w:tcPr>
            <w:tcW w:w="1380" w:type="dxa"/>
            <w:vAlign w:val="bottom"/>
            <w:shd w:val="clear" w:color="auto" w:fill="E0E0E0"/>
          </w:tcPr>
          <w:p>
            <w:pPr>
              <w:spacing w:after="0" w:line="237" w:lineRule="exact"/>
              <w:rPr>
                <w:sz w:val="20"/>
                <w:szCs w:val="20"/>
                <w:color w:val="auto"/>
              </w:rPr>
            </w:pPr>
            <w:r>
              <w:rPr>
                <w:rFonts w:ascii="Arial" w:cs="Arial" w:eastAsia="Arial" w:hAnsi="Arial"/>
                <w:sz w:val="21"/>
                <w:szCs w:val="21"/>
                <w:color w:val="auto"/>
              </w:rPr>
              <w:t>20.55 to 29.41</w:t>
            </w:r>
          </w:p>
        </w:tc>
        <w:tc>
          <w:tcPr>
            <w:tcW w:w="2320" w:type="dxa"/>
            <w:vAlign w:val="bottom"/>
            <w:shd w:val="clear" w:color="auto" w:fill="E0E0E0"/>
          </w:tcPr>
          <w:p>
            <w:pPr>
              <w:spacing w:after="0"/>
              <w:rPr>
                <w:sz w:val="20"/>
                <w:szCs w:val="20"/>
                <w:color w:val="auto"/>
              </w:rPr>
            </w:pPr>
          </w:p>
        </w:tc>
        <w:tc>
          <w:tcPr>
            <w:tcW w:w="1600" w:type="dxa"/>
            <w:vAlign w:val="bottom"/>
            <w:tcBorders>
              <w:right w:val="single" w:sz="8" w:color="E0E0E0"/>
            </w:tcBorders>
            <w:gridSpan w:val="3"/>
            <w:shd w:val="clear" w:color="auto" w:fill="E0E0E0"/>
          </w:tcPr>
          <w:p>
            <w:pPr>
              <w:jc w:val="right"/>
              <w:ind w:right="140"/>
              <w:spacing w:after="0" w:line="237" w:lineRule="exact"/>
              <w:rPr>
                <w:sz w:val="20"/>
                <w:szCs w:val="20"/>
                <w:color w:val="auto"/>
              </w:rPr>
            </w:pPr>
            <w:r>
              <w:rPr>
                <w:rFonts w:ascii="Arial" w:cs="Arial" w:eastAsia="Arial" w:hAnsi="Arial"/>
                <w:sz w:val="21"/>
                <w:szCs w:val="21"/>
                <w:color w:val="auto"/>
              </w:rPr>
              <w:t>375,521</w:t>
            </w:r>
          </w:p>
        </w:tc>
        <w:tc>
          <w:tcPr>
            <w:tcW w:w="1460" w:type="dxa"/>
            <w:vAlign w:val="bottom"/>
            <w:gridSpan w:val="2"/>
            <w:shd w:val="clear" w:color="auto" w:fill="E0E0E0"/>
          </w:tcPr>
          <w:p>
            <w:pPr>
              <w:jc w:val="right"/>
              <w:ind w:right="80"/>
              <w:spacing w:after="0" w:line="237" w:lineRule="exact"/>
              <w:rPr>
                <w:sz w:val="20"/>
                <w:szCs w:val="20"/>
                <w:color w:val="auto"/>
              </w:rPr>
            </w:pPr>
            <w:r>
              <w:rPr>
                <w:rFonts w:ascii="Arial" w:cs="Arial" w:eastAsia="Arial" w:hAnsi="Arial"/>
                <w:sz w:val="21"/>
                <w:szCs w:val="21"/>
                <w:color w:val="auto"/>
              </w:rPr>
              <w:t>113,160</w:t>
            </w:r>
          </w:p>
        </w:tc>
        <w:tc>
          <w:tcPr>
            <w:tcW w:w="0" w:type="dxa"/>
            <w:vAlign w:val="bottom"/>
          </w:tcPr>
          <w:p>
            <w:pPr>
              <w:spacing w:after="0"/>
              <w:rPr>
                <w:sz w:val="1"/>
                <w:szCs w:val="1"/>
                <w:color w:val="auto"/>
              </w:rPr>
            </w:pPr>
          </w:p>
        </w:tc>
      </w:tr>
      <w:tr>
        <w:trPr>
          <w:trHeight w:val="228"/>
        </w:trPr>
        <w:tc>
          <w:tcPr>
            <w:tcW w:w="1380" w:type="dxa"/>
            <w:vAlign w:val="bottom"/>
          </w:tcPr>
          <w:p>
            <w:pPr>
              <w:ind w:left="300"/>
              <w:spacing w:after="0" w:line="229" w:lineRule="exact"/>
              <w:rPr>
                <w:sz w:val="20"/>
                <w:szCs w:val="20"/>
                <w:color w:val="auto"/>
              </w:rPr>
            </w:pPr>
            <w:r>
              <w:rPr>
                <w:rFonts w:ascii="Arial" w:cs="Arial" w:eastAsia="Arial" w:hAnsi="Arial"/>
                <w:sz w:val="21"/>
                <w:szCs w:val="21"/>
                <w:color w:val="auto"/>
              </w:rPr>
              <w:t>Total</w:t>
            </w: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line="229" w:lineRule="exact"/>
              <w:rPr>
                <w:sz w:val="20"/>
                <w:szCs w:val="20"/>
                <w:color w:val="auto"/>
              </w:rPr>
            </w:pPr>
            <w:r>
              <w:rPr>
                <w:rFonts w:ascii="Arial" w:cs="Arial" w:eastAsia="Arial" w:hAnsi="Arial"/>
                <w:sz w:val="21"/>
                <w:szCs w:val="21"/>
                <w:color w:val="auto"/>
              </w:rPr>
              <w:t>4,033,522</w:t>
            </w:r>
          </w:p>
        </w:tc>
        <w:tc>
          <w:tcPr>
            <w:tcW w:w="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line="229" w:lineRule="exact"/>
              <w:rPr>
                <w:sz w:val="20"/>
                <w:szCs w:val="20"/>
                <w:color w:val="auto"/>
              </w:rPr>
            </w:pPr>
            <w:r>
              <w:rPr>
                <w:rFonts w:ascii="Arial" w:cs="Arial" w:eastAsia="Arial" w:hAnsi="Arial"/>
                <w:sz w:val="21"/>
                <w:szCs w:val="21"/>
                <w:color w:val="auto"/>
              </w:rPr>
              <w:t>1,302,308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212121"/>
        </w:rPr>
        <w:t>Restricted Stock Unit Activity</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1"/>
          <w:szCs w:val="21"/>
          <w:color w:val="212121"/>
        </w:rPr>
        <w:t>A summary of RSU activity for the year ended December 31, 2022 is as follows:</w:t>
      </w:r>
    </w:p>
    <w:p>
      <w:pPr>
        <w:spacing w:after="0" w:line="232" w:lineRule="exact"/>
        <w:rPr>
          <w:sz w:val="20"/>
          <w:szCs w:val="20"/>
          <w:color w:val="auto"/>
        </w:rPr>
      </w:pPr>
    </w:p>
    <w:tbl>
      <w:tblPr>
        <w:tblLayout w:type="fixed"/>
        <w:tblInd w:w="144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Share</w:t>
            </w:r>
          </w:p>
        </w:tc>
        <w:tc>
          <w:tcPr>
            <w:tcW w:w="20" w:type="dxa"/>
            <w:vAlign w:val="bottom"/>
          </w:tcPr>
          <w:p>
            <w:pPr>
              <w:spacing w:after="0"/>
              <w:rPr>
                <w:sz w:val="16"/>
                <w:szCs w:val="16"/>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Grant Date</w:t>
            </w:r>
          </w:p>
        </w:tc>
      </w:tr>
      <w:tr>
        <w:trPr>
          <w:trHeight w:val="209"/>
        </w:trPr>
        <w:tc>
          <w:tcPr>
            <w:tcW w:w="4600" w:type="dxa"/>
            <w:vAlign w:val="bottom"/>
            <w:tcBorders>
              <w:bottom w:val="single" w:sz="8" w:color="E0E0E0"/>
            </w:tcBorders>
          </w:tcPr>
          <w:p>
            <w:pPr>
              <w:spacing w:after="0"/>
              <w:rPr>
                <w:sz w:val="18"/>
                <w:szCs w:val="18"/>
                <w:color w:val="auto"/>
              </w:rPr>
            </w:pPr>
          </w:p>
        </w:tc>
        <w:tc>
          <w:tcPr>
            <w:tcW w:w="4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Equivalent</w:t>
            </w:r>
          </w:p>
        </w:tc>
        <w:tc>
          <w:tcPr>
            <w:tcW w:w="10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Fair Value</w:t>
            </w:r>
          </w:p>
        </w:tc>
        <w:tc>
          <w:tcPr>
            <w:tcW w:w="60" w:type="dxa"/>
            <w:vAlign w:val="bottom"/>
            <w:tcBorders>
              <w:bottom w:val="single" w:sz="8" w:color="E0E0E0"/>
            </w:tcBorders>
          </w:tcPr>
          <w:p>
            <w:pPr>
              <w:spacing w:after="0"/>
              <w:rPr>
                <w:sz w:val="18"/>
                <w:szCs w:val="18"/>
                <w:color w:val="auto"/>
              </w:rPr>
            </w:pPr>
          </w:p>
        </w:tc>
      </w:tr>
      <w:tr>
        <w:trPr>
          <w:trHeight w:val="227"/>
        </w:trPr>
        <w:tc>
          <w:tcPr>
            <w:tcW w:w="4600" w:type="dxa"/>
            <w:vAlign w:val="bottom"/>
            <w:shd w:val="clear" w:color="auto" w:fill="E0E0E0"/>
          </w:tcPr>
          <w:p>
            <w:pPr>
              <w:spacing w:after="0" w:line="227" w:lineRule="exact"/>
              <w:rPr>
                <w:sz w:val="20"/>
                <w:szCs w:val="20"/>
                <w:color w:val="auto"/>
              </w:rPr>
            </w:pPr>
            <w:r>
              <w:rPr>
                <w:rFonts w:ascii="Arial" w:cs="Arial" w:eastAsia="Arial" w:hAnsi="Arial"/>
                <w:sz w:val="21"/>
                <w:szCs w:val="21"/>
                <w:color w:val="auto"/>
              </w:rPr>
              <w:t>Non-vested at December 31, 2021</w:t>
            </w:r>
          </w:p>
        </w:tc>
        <w:tc>
          <w:tcPr>
            <w:tcW w:w="1120" w:type="dxa"/>
            <w:vAlign w:val="bottom"/>
            <w:gridSpan w:val="4"/>
            <w:shd w:val="clear" w:color="auto" w:fill="E0E0E0"/>
          </w:tcPr>
          <w:p>
            <w:pPr>
              <w:jc w:val="right"/>
              <w:ind w:right="100"/>
              <w:spacing w:after="0" w:line="227" w:lineRule="exact"/>
              <w:rPr>
                <w:sz w:val="20"/>
                <w:szCs w:val="20"/>
                <w:color w:val="auto"/>
              </w:rPr>
            </w:pPr>
            <w:r>
              <w:rPr>
                <w:rFonts w:ascii="Arial" w:cs="Arial" w:eastAsia="Arial" w:hAnsi="Arial"/>
                <w:sz w:val="21"/>
                <w:szCs w:val="21"/>
                <w:color w:val="auto"/>
                <w:shd w:val="clear" w:color="auto" w:fill="E0E0E0"/>
              </w:rPr>
              <w:t>361,500</w:t>
            </w:r>
          </w:p>
        </w:tc>
        <w:tc>
          <w:tcPr>
            <w:tcW w:w="160" w:type="dxa"/>
            <w:vAlign w:val="bottom"/>
            <w:gridSpan w:val="2"/>
            <w:shd w:val="clear" w:color="auto" w:fill="E0E0E0"/>
          </w:tcPr>
          <w:p>
            <w:pPr>
              <w:jc w:val="right"/>
              <w:spacing w:after="0" w:line="227" w:lineRule="exact"/>
              <w:rPr>
                <w:sz w:val="20"/>
                <w:szCs w:val="20"/>
                <w:color w:val="auto"/>
              </w:rPr>
            </w:pPr>
            <w:r>
              <w:rPr>
                <w:rFonts w:ascii="Arial" w:cs="Arial" w:eastAsia="Arial" w:hAnsi="Arial"/>
                <w:sz w:val="21"/>
                <w:szCs w:val="21"/>
                <w:color w:val="auto"/>
                <w:shd w:val="clear" w:color="auto" w:fill="E0E0E0"/>
              </w:rPr>
              <w:t>$</w:t>
            </w:r>
          </w:p>
        </w:tc>
        <w:tc>
          <w:tcPr>
            <w:tcW w:w="880" w:type="dxa"/>
            <w:vAlign w:val="bottom"/>
            <w:gridSpan w:val="2"/>
            <w:shd w:val="clear" w:color="auto" w:fill="E0E0E0"/>
          </w:tcPr>
          <w:p>
            <w:pPr>
              <w:jc w:val="right"/>
              <w:ind w:right="60"/>
              <w:spacing w:after="0" w:line="227" w:lineRule="exact"/>
              <w:rPr>
                <w:sz w:val="20"/>
                <w:szCs w:val="20"/>
                <w:color w:val="auto"/>
              </w:rPr>
            </w:pPr>
            <w:r>
              <w:rPr>
                <w:rFonts w:ascii="Arial" w:cs="Arial" w:eastAsia="Arial" w:hAnsi="Arial"/>
                <w:sz w:val="21"/>
                <w:szCs w:val="21"/>
                <w:color w:val="auto"/>
                <w:shd w:val="clear" w:color="auto" w:fill="E0E0E0"/>
              </w:rPr>
              <w:t>15.32</w:t>
            </w:r>
          </w:p>
        </w:tc>
      </w:tr>
      <w:tr>
        <w:trPr>
          <w:trHeight w:val="236"/>
        </w:trPr>
        <w:tc>
          <w:tcPr>
            <w:tcW w:w="4600" w:type="dxa"/>
            <w:vAlign w:val="bottom"/>
          </w:tcPr>
          <w:p>
            <w:pPr>
              <w:spacing w:after="0" w:line="236" w:lineRule="exact"/>
              <w:rPr>
                <w:sz w:val="20"/>
                <w:szCs w:val="20"/>
                <w:color w:val="auto"/>
              </w:rPr>
            </w:pPr>
            <w:r>
              <w:rPr>
                <w:rFonts w:ascii="Arial" w:cs="Arial" w:eastAsia="Arial" w:hAnsi="Arial"/>
                <w:sz w:val="21"/>
                <w:szCs w:val="21"/>
                <w:color w:val="auto"/>
              </w:rPr>
              <w:t>Granted</w:t>
            </w:r>
          </w:p>
        </w:tc>
        <w:tc>
          <w:tcPr>
            <w:tcW w:w="1120" w:type="dxa"/>
            <w:vAlign w:val="bottom"/>
            <w:gridSpan w:val="4"/>
          </w:tcPr>
          <w:p>
            <w:pPr>
              <w:jc w:val="right"/>
              <w:ind w:right="100"/>
              <w:spacing w:after="0" w:line="236" w:lineRule="exact"/>
              <w:rPr>
                <w:sz w:val="20"/>
                <w:szCs w:val="20"/>
                <w:color w:val="auto"/>
              </w:rPr>
            </w:pPr>
            <w:r>
              <w:rPr>
                <w:rFonts w:ascii="Arial" w:cs="Arial" w:eastAsia="Arial" w:hAnsi="Arial"/>
                <w:sz w:val="21"/>
                <w:szCs w:val="21"/>
                <w:color w:val="auto"/>
              </w:rPr>
              <w:t>12,250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60"/>
              <w:spacing w:after="0" w:line="236" w:lineRule="exact"/>
              <w:rPr>
                <w:sz w:val="20"/>
                <w:szCs w:val="20"/>
                <w:color w:val="auto"/>
              </w:rPr>
            </w:pPr>
            <w:r>
              <w:rPr>
                <w:rFonts w:ascii="Arial" w:cs="Arial" w:eastAsia="Arial" w:hAnsi="Arial"/>
                <w:sz w:val="21"/>
                <w:szCs w:val="21"/>
                <w:color w:val="auto"/>
              </w:rPr>
              <w:t>10.54</w:t>
            </w:r>
          </w:p>
        </w:tc>
      </w:tr>
      <w:tr>
        <w:trPr>
          <w:trHeight w:val="237"/>
        </w:trPr>
        <w:tc>
          <w:tcPr>
            <w:tcW w:w="4600" w:type="dxa"/>
            <w:vAlign w:val="bottom"/>
            <w:shd w:val="clear" w:color="auto" w:fill="E0E0E0"/>
          </w:tcPr>
          <w:p>
            <w:pPr>
              <w:spacing w:after="0" w:line="237" w:lineRule="exact"/>
              <w:rPr>
                <w:sz w:val="20"/>
                <w:szCs w:val="20"/>
                <w:color w:val="auto"/>
              </w:rPr>
            </w:pPr>
            <w:r>
              <w:rPr>
                <w:rFonts w:ascii="Arial" w:cs="Arial" w:eastAsia="Arial" w:hAnsi="Arial"/>
                <w:sz w:val="21"/>
                <w:szCs w:val="21"/>
                <w:color w:val="auto"/>
              </w:rPr>
              <w:t>Cancelled</w:t>
            </w:r>
          </w:p>
        </w:tc>
        <w:tc>
          <w:tcPr>
            <w:tcW w:w="1120" w:type="dxa"/>
            <w:vAlign w:val="bottom"/>
            <w:gridSpan w:val="4"/>
            <w:shd w:val="clear" w:color="auto" w:fill="E0E0E0"/>
          </w:tcPr>
          <w:p>
            <w:pPr>
              <w:jc w:val="right"/>
              <w:ind w:right="40"/>
              <w:spacing w:after="0" w:line="237" w:lineRule="exact"/>
              <w:rPr>
                <w:sz w:val="20"/>
                <w:szCs w:val="20"/>
                <w:color w:val="auto"/>
              </w:rPr>
            </w:pPr>
            <w:r>
              <w:rPr>
                <w:rFonts w:ascii="Arial" w:cs="Arial" w:eastAsia="Arial" w:hAnsi="Arial"/>
                <w:sz w:val="21"/>
                <w:szCs w:val="21"/>
                <w:color w:val="auto"/>
                <w:shd w:val="clear" w:color="auto" w:fill="E0E0E0"/>
              </w:rPr>
              <w:t>(17,500)</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880" w:type="dxa"/>
            <w:vAlign w:val="bottom"/>
            <w:gridSpan w:val="2"/>
            <w:shd w:val="clear" w:color="auto" w:fill="E0E0E0"/>
          </w:tcPr>
          <w:p>
            <w:pPr>
              <w:jc w:val="right"/>
              <w:ind w:right="60"/>
              <w:spacing w:after="0" w:line="237" w:lineRule="exact"/>
              <w:rPr>
                <w:sz w:val="20"/>
                <w:szCs w:val="20"/>
                <w:color w:val="auto"/>
              </w:rPr>
            </w:pPr>
            <w:r>
              <w:rPr>
                <w:rFonts w:ascii="Arial" w:cs="Arial" w:eastAsia="Arial" w:hAnsi="Arial"/>
                <w:sz w:val="21"/>
                <w:szCs w:val="21"/>
                <w:color w:val="auto"/>
                <w:shd w:val="clear" w:color="auto" w:fill="E0E0E0"/>
              </w:rPr>
              <w:t>15.22</w:t>
            </w:r>
          </w:p>
        </w:tc>
      </w:tr>
      <w:tr>
        <w:trPr>
          <w:trHeight w:val="237"/>
        </w:trPr>
        <w:tc>
          <w:tcPr>
            <w:tcW w:w="4600" w:type="dxa"/>
            <w:vAlign w:val="bottom"/>
          </w:tcPr>
          <w:p>
            <w:pPr>
              <w:spacing w:after="0" w:line="237" w:lineRule="exact"/>
              <w:rPr>
                <w:sz w:val="20"/>
                <w:szCs w:val="20"/>
                <w:color w:val="auto"/>
              </w:rPr>
            </w:pPr>
            <w:r>
              <w:rPr>
                <w:rFonts w:ascii="Arial" w:cs="Arial" w:eastAsia="Arial" w:hAnsi="Arial"/>
                <w:sz w:val="21"/>
                <w:szCs w:val="21"/>
                <w:color w:val="auto"/>
              </w:rPr>
              <w:t>Vested</w:t>
            </w:r>
          </w:p>
        </w:tc>
        <w:tc>
          <w:tcPr>
            <w:tcW w:w="60" w:type="dxa"/>
            <w:vAlign w:val="bottom"/>
            <w:gridSpan w:val="2"/>
          </w:tcPr>
          <w:p>
            <w:pPr>
              <w:spacing w:after="0"/>
              <w:rPr>
                <w:sz w:val="20"/>
                <w:szCs w:val="20"/>
                <w:color w:val="auto"/>
              </w:rPr>
            </w:pPr>
          </w:p>
        </w:tc>
        <w:tc>
          <w:tcPr>
            <w:tcW w:w="1060" w:type="dxa"/>
            <w:vAlign w:val="bottom"/>
            <w:gridSpan w:val="2"/>
          </w:tcPr>
          <w:p>
            <w:pPr>
              <w:jc w:val="right"/>
              <w:ind w:right="40"/>
              <w:spacing w:after="0" w:line="237" w:lineRule="exact"/>
              <w:rPr>
                <w:sz w:val="20"/>
                <w:szCs w:val="20"/>
                <w:color w:val="auto"/>
              </w:rPr>
            </w:pPr>
            <w:r>
              <w:rPr>
                <w:rFonts w:ascii="Arial" w:cs="Arial" w:eastAsia="Arial" w:hAnsi="Arial"/>
                <w:sz w:val="21"/>
                <w:szCs w:val="21"/>
                <w:color w:val="auto"/>
              </w:rPr>
              <w:t>(119,911)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60"/>
              <w:spacing w:after="0" w:line="237" w:lineRule="exact"/>
              <w:rPr>
                <w:sz w:val="20"/>
                <w:szCs w:val="20"/>
                <w:color w:val="auto"/>
              </w:rPr>
            </w:pPr>
            <w:r>
              <w:rPr>
                <w:rFonts w:ascii="Arial" w:cs="Arial" w:eastAsia="Arial" w:hAnsi="Arial"/>
                <w:sz w:val="21"/>
                <w:szCs w:val="21"/>
                <w:color w:val="auto"/>
              </w:rPr>
              <w:t>15.</w:t>
            </w:r>
            <w:r>
              <w:rPr>
                <w:rFonts w:ascii="Arial" w:cs="Arial" w:eastAsia="Arial" w:hAnsi="Arial"/>
                <w:sz w:val="21"/>
                <w:szCs w:val="21"/>
                <w:u w:val="single" w:color="auto"/>
                <w:color w:val="auto"/>
              </w:rPr>
              <w:t>15</w:t>
            </w:r>
          </w:p>
        </w:tc>
      </w:tr>
      <w:tr>
        <w:trPr>
          <w:trHeight w:val="228"/>
        </w:trPr>
        <w:tc>
          <w:tcPr>
            <w:tcW w:w="4600" w:type="dxa"/>
            <w:vAlign w:val="bottom"/>
            <w:tcBorders>
              <w:top w:val="single" w:sz="8" w:color="E0E0E0"/>
            </w:tcBorders>
            <w:shd w:val="clear" w:color="auto" w:fill="E0E0E0"/>
          </w:tcPr>
          <w:p>
            <w:pPr>
              <w:spacing w:after="0" w:line="227" w:lineRule="exact"/>
              <w:rPr>
                <w:sz w:val="20"/>
                <w:szCs w:val="20"/>
                <w:color w:val="auto"/>
              </w:rPr>
            </w:pPr>
            <w:r>
              <w:rPr>
                <w:rFonts w:ascii="Arial" w:cs="Arial" w:eastAsia="Arial" w:hAnsi="Arial"/>
                <w:sz w:val="21"/>
                <w:szCs w:val="21"/>
                <w:color w:val="auto"/>
              </w:rPr>
              <w:t>Non-vested at December 31, 2022</w:t>
            </w:r>
          </w:p>
        </w:tc>
        <w:tc>
          <w:tcPr>
            <w:tcW w:w="60" w:type="dxa"/>
            <w:vAlign w:val="bottom"/>
            <w:tcBorders>
              <w:top w:val="single" w:sz="8" w:color="E0E0E0"/>
            </w:tcBorders>
            <w:gridSpan w:val="2"/>
            <w:shd w:val="clear" w:color="auto" w:fill="E0E0E0"/>
          </w:tcPr>
          <w:p>
            <w:pPr>
              <w:spacing w:after="0"/>
              <w:rPr>
                <w:sz w:val="19"/>
                <w:szCs w:val="19"/>
                <w:color w:val="auto"/>
              </w:rPr>
            </w:pPr>
          </w:p>
        </w:tc>
        <w:tc>
          <w:tcPr>
            <w:tcW w:w="960" w:type="dxa"/>
            <w:vAlign w:val="bottom"/>
            <w:tcBorders>
              <w:top w:val="single" w:sz="8" w:color="auto"/>
            </w:tcBorders>
            <w:shd w:val="clear" w:color="auto" w:fill="E0E0E0"/>
          </w:tcPr>
          <w:p>
            <w:pPr>
              <w:jc w:val="right"/>
              <w:spacing w:after="0" w:line="228" w:lineRule="exact"/>
              <w:rPr>
                <w:sz w:val="20"/>
                <w:szCs w:val="20"/>
                <w:color w:val="auto"/>
              </w:rPr>
            </w:pPr>
            <w:r>
              <w:rPr>
                <w:rFonts w:ascii="Arial" w:cs="Arial" w:eastAsia="Arial" w:hAnsi="Arial"/>
                <w:sz w:val="21"/>
                <w:szCs w:val="21"/>
                <w:color w:val="auto"/>
                <w:shd w:val="clear" w:color="auto" w:fill="E0E0E0"/>
              </w:rPr>
              <w:t>236,339</w:t>
            </w:r>
          </w:p>
        </w:tc>
        <w:tc>
          <w:tcPr>
            <w:tcW w:w="10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140" w:type="dxa"/>
            <w:vAlign w:val="bottom"/>
            <w:tcBorders>
              <w:top w:val="single" w:sz="8" w:color="auto"/>
            </w:tcBorders>
            <w:shd w:val="clear" w:color="auto" w:fill="E0E0E0"/>
          </w:tcPr>
          <w:p>
            <w:pPr>
              <w:jc w:val="right"/>
              <w:spacing w:after="0" w:line="228" w:lineRule="exact"/>
              <w:rPr>
                <w:sz w:val="20"/>
                <w:szCs w:val="20"/>
                <w:color w:val="auto"/>
              </w:rPr>
            </w:pPr>
            <w:r>
              <w:rPr>
                <w:rFonts w:ascii="Arial" w:cs="Arial" w:eastAsia="Arial" w:hAnsi="Arial"/>
                <w:sz w:val="21"/>
                <w:szCs w:val="21"/>
                <w:color w:val="auto"/>
                <w:w w:val="85"/>
                <w:shd w:val="clear" w:color="auto" w:fill="E0E0E0"/>
              </w:rPr>
              <w:t>$</w:t>
            </w:r>
          </w:p>
        </w:tc>
        <w:tc>
          <w:tcPr>
            <w:tcW w:w="820" w:type="dxa"/>
            <w:vAlign w:val="bottom"/>
            <w:tcBorders>
              <w:top w:val="single" w:sz="8" w:color="auto"/>
            </w:tcBorders>
            <w:shd w:val="clear" w:color="auto" w:fill="E0E0E0"/>
          </w:tcPr>
          <w:p>
            <w:pPr>
              <w:jc w:val="right"/>
              <w:spacing w:after="0" w:line="228" w:lineRule="exact"/>
              <w:rPr>
                <w:sz w:val="20"/>
                <w:szCs w:val="20"/>
                <w:color w:val="auto"/>
              </w:rPr>
            </w:pPr>
            <w:r>
              <w:rPr>
                <w:rFonts w:ascii="Arial" w:cs="Arial" w:eastAsia="Arial" w:hAnsi="Arial"/>
                <w:sz w:val="21"/>
                <w:szCs w:val="21"/>
                <w:color w:val="auto"/>
                <w:shd w:val="clear" w:color="auto" w:fill="E0E0E0"/>
              </w:rPr>
              <w:t>15.</w:t>
            </w:r>
            <w:r>
              <w:rPr>
                <w:rFonts w:ascii="Arial" w:cs="Arial" w:eastAsia="Arial" w:hAnsi="Arial"/>
                <w:sz w:val="21"/>
                <w:szCs w:val="21"/>
                <w:u w:val="single" w:color="auto"/>
                <w:color w:val="auto"/>
                <w:shd w:val="clear" w:color="auto" w:fill="E0E0E0"/>
              </w:rPr>
              <w:t>16</w:t>
            </w:r>
          </w:p>
        </w:tc>
        <w:tc>
          <w:tcPr>
            <w:tcW w:w="60" w:type="dxa"/>
            <w:vAlign w:val="bottom"/>
            <w:tcBorders>
              <w:top w:val="single" w:sz="8" w:color="E0E0E0"/>
            </w:tcBorders>
            <w:shd w:val="clear" w:color="auto" w:fill="E0E0E0"/>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9"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0"/>
          <w:szCs w:val="20"/>
          <w:color w:val="auto"/>
        </w:rPr>
        <w:t>The RSUs will vest upon achievement of certain clinical development milestones, subject to continued service to the Company during the vesting period. In June 2022, 119,911 RSUs vested in connection with the public readout of topline data from the Company's Phase 2 ACT-AD clinical trial. As of December 31,</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152</w:t>
      </w:r>
    </w:p>
    <w:p>
      <w:pPr>
        <w:sectPr>
          <w:pgSz w:w="12240" w:h="15840" w:orient="portrait"/>
          <w:cols w:equalWidth="0" w:num="1">
            <w:col w:w="9640"/>
          </w:cols>
          <w:pgMar w:left="1300" w:top="1440" w:right="1300" w:bottom="0" w:gutter="0" w:footer="0" w:header="0"/>
        </w:sectPr>
      </w:pPr>
    </w:p>
    <w:bookmarkStart w:id="158" w:name="page159"/>
    <w:bookmarkEnd w:id="158"/>
    <w:p>
      <w:pPr>
        <w:jc w:val="both"/>
        <w:spacing w:after="0" w:line="271" w:lineRule="auto"/>
        <w:rPr>
          <w:sz w:val="20"/>
          <w:szCs w:val="20"/>
          <w:color w:val="auto"/>
        </w:rPr>
      </w:pPr>
      <w:r>
        <w:rPr>
          <w:rFonts w:ascii="Arial" w:cs="Arial" w:eastAsia="Arial" w:hAnsi="Arial"/>
          <w:sz w:val="21"/>
          <w:szCs w:val="21"/>
          <w:color w:val="auto"/>
        </w:rPr>
        <w:t>2022, there was $1.4 million of total unrecognized compensation cost related to unvested RSUs. The Company expects to recognize this cost over a remaining weighted-average period of 0.80 years</w:t>
      </w:r>
      <w:r>
        <w:rPr>
          <w:rFonts w:ascii="Arial" w:cs="Arial" w:eastAsia="Arial" w:hAnsi="Arial"/>
          <w:sz w:val="21"/>
          <w:szCs w:val="21"/>
          <w:color w:val="212121"/>
        </w:rPr>
        <w:t>.</w:t>
      </w:r>
    </w:p>
    <w:p>
      <w:pPr>
        <w:spacing w:after="0" w:line="303"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212121"/>
        </w:rPr>
        <w:t>Employee Stock Purchase Plan</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color w:val="212121"/>
        </w:rPr>
        <w:t>Under the ESPP, eligible employees can authorize payroll deductions for amounts up to the lesser of</w:t>
      </w:r>
    </w:p>
    <w:p>
      <w:pPr>
        <w:spacing w:after="0" w:line="32"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212121"/>
        </w:rPr>
        <w:t>15% of their qualifying wages or the statutory limit under the U.S. Internal Revenue Code. The ESPP provides for offering periods of six months in duration with one purchase period per offering period beginning May 18 and November 18 of each year. Participants in an offering period will be granted the right to purchase shares of our common stock at a price per share that is 85% of the lesser of the fair market value of the shares at (1) the first day of the offering period or (2) the end of each purchase period within the offering period. A maximum of 10,000 shares of common stock may be purchased by each participant at the purchase date during the offering period. The fair value of the ESPP options granted is determined using the Black-Scholes model and is amortized on a straight -line basis. The number of shares reserved for the ESPP automatically increases each year, beginning on January 1, 2021 by the least of (1) 646,000 shares of common stock, (2) 1% of the outstanding shares of common stock on the last day of the immediately preceding fiscal year, or (3) such number of shares determined by the board no later than the last day of the immediately preceding fiscal year. As of December 31, 2022, 916,640 shares of common stock were reserved for future grants under the ESPP. On January 1, 2023, an additional 378,773 shares of common stock became available for future grants under the ESPP. Stock-based compensation expense recognized during the years ended December 31, 2022 and 2021 associated with the ESPP was $162,000 and $164,000, respectively.</w:t>
      </w:r>
    </w:p>
    <w:p>
      <w:pPr>
        <w:spacing w:after="0" w:line="214"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During the year ended December 31, 2022, the Company issued 78,361 shares of common stock to service providers under the ESPP.</w:t>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b w:val="1"/>
          <w:bCs w:val="1"/>
          <w:color w:val="212121"/>
        </w:rPr>
        <w:t>10. Income Taxes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Components of Income and Income Tax</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Company did not record a provision (benefit) for income taxes for the years ended December 31,</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2022 and 2021. Net loss is attributable to the following tax jurisdictions (in thousands):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Year Ended</w:t>
            </w:r>
          </w:p>
        </w:tc>
      </w:tr>
      <w:tr>
        <w:trPr>
          <w:trHeight w:val="207"/>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December 31,</w:t>
            </w:r>
          </w:p>
        </w:tc>
      </w:tr>
      <w:tr>
        <w:trPr>
          <w:trHeight w:val="180"/>
        </w:trPr>
        <w:tc>
          <w:tcPr>
            <w:tcW w:w="464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87"/>
              <w:spacing w:after="0" w:line="181"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E0E0E0"/>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82"/>
              <w:spacing w:after="0" w:line="181" w:lineRule="exact"/>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E0E0E0"/>
            </w:tcBorders>
          </w:tcPr>
          <w:p>
            <w:pPr>
              <w:spacing w:after="0"/>
              <w:rPr>
                <w:sz w:val="15"/>
                <w:szCs w:val="15"/>
                <w:color w:val="auto"/>
              </w:rPr>
            </w:pPr>
          </w:p>
        </w:tc>
      </w:tr>
      <w:tr>
        <w:trPr>
          <w:trHeight w:val="227"/>
        </w:trPr>
        <w:tc>
          <w:tcPr>
            <w:tcW w:w="4640" w:type="dxa"/>
            <w:vAlign w:val="bottom"/>
            <w:shd w:val="clear" w:color="auto" w:fill="E0E0E0"/>
          </w:tcPr>
          <w:p>
            <w:pPr>
              <w:spacing w:after="0" w:line="227" w:lineRule="exact"/>
              <w:rPr>
                <w:sz w:val="20"/>
                <w:szCs w:val="20"/>
                <w:color w:val="auto"/>
              </w:rPr>
            </w:pPr>
            <w:r>
              <w:rPr>
                <w:rFonts w:ascii="Arial" w:cs="Arial" w:eastAsia="Arial" w:hAnsi="Arial"/>
                <w:sz w:val="21"/>
                <w:szCs w:val="21"/>
                <w:color w:val="auto"/>
              </w:rPr>
              <w:t>United States</w:t>
            </w:r>
          </w:p>
        </w:tc>
        <w:tc>
          <w:tcPr>
            <w:tcW w:w="6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w w:val="85"/>
              </w:rPr>
              <w:t>$</w:t>
            </w:r>
          </w:p>
        </w:tc>
        <w:tc>
          <w:tcPr>
            <w:tcW w:w="1040" w:type="dxa"/>
            <w:vAlign w:val="bottom"/>
            <w:gridSpan w:val="3"/>
            <w:shd w:val="clear" w:color="auto" w:fill="E0E0E0"/>
          </w:tcPr>
          <w:p>
            <w:pPr>
              <w:jc w:val="right"/>
              <w:ind w:right="60"/>
              <w:spacing w:after="0" w:line="227" w:lineRule="exact"/>
              <w:rPr>
                <w:sz w:val="20"/>
                <w:szCs w:val="20"/>
                <w:color w:val="auto"/>
              </w:rPr>
            </w:pPr>
            <w:r>
              <w:rPr>
                <w:rFonts w:ascii="Arial" w:cs="Arial" w:eastAsia="Arial" w:hAnsi="Arial"/>
                <w:sz w:val="21"/>
                <w:szCs w:val="21"/>
                <w:color w:val="auto"/>
              </w:rPr>
              <w:t>(95,778) $</w:t>
            </w:r>
          </w:p>
        </w:tc>
        <w:tc>
          <w:tcPr>
            <w:tcW w:w="840" w:type="dxa"/>
            <w:vAlign w:val="bottom"/>
            <w:gridSpan w:val="2"/>
            <w:shd w:val="clear" w:color="auto" w:fill="E0E0E0"/>
          </w:tcPr>
          <w:p>
            <w:pPr>
              <w:jc w:val="right"/>
              <w:spacing w:after="0" w:line="227" w:lineRule="exact"/>
              <w:rPr>
                <w:sz w:val="20"/>
                <w:szCs w:val="20"/>
                <w:color w:val="auto"/>
              </w:rPr>
            </w:pPr>
            <w:r>
              <w:rPr>
                <w:rFonts w:ascii="Arial" w:cs="Arial" w:eastAsia="Arial" w:hAnsi="Arial"/>
                <w:sz w:val="21"/>
                <w:szCs w:val="21"/>
                <w:color w:val="auto"/>
              </w:rPr>
              <w:t>(54,963)</w:t>
            </w:r>
          </w:p>
        </w:tc>
      </w:tr>
      <w:tr>
        <w:trPr>
          <w:trHeight w:val="236"/>
        </w:trPr>
        <w:tc>
          <w:tcPr>
            <w:tcW w:w="4640" w:type="dxa"/>
            <w:vAlign w:val="bottom"/>
          </w:tcPr>
          <w:p>
            <w:pPr>
              <w:spacing w:after="0" w:line="236" w:lineRule="exact"/>
              <w:rPr>
                <w:sz w:val="20"/>
                <w:szCs w:val="20"/>
                <w:color w:val="auto"/>
              </w:rPr>
            </w:pPr>
            <w:r>
              <w:rPr>
                <w:rFonts w:ascii="Arial" w:cs="Arial" w:eastAsia="Arial" w:hAnsi="Arial"/>
                <w:sz w:val="21"/>
                <w:szCs w:val="21"/>
                <w:color w:val="auto"/>
              </w:rPr>
              <w:t>Foreign</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line="236" w:lineRule="exact"/>
              <w:rPr>
                <w:sz w:val="20"/>
                <w:szCs w:val="20"/>
                <w:color w:val="auto"/>
              </w:rPr>
            </w:pPr>
            <w:r>
              <w:rPr>
                <w:rFonts w:ascii="Arial" w:cs="Arial" w:eastAsia="Arial" w:hAnsi="Arial"/>
                <w:sz w:val="21"/>
                <w:szCs w:val="21"/>
                <w:color w:val="auto"/>
              </w:rPr>
              <w:t>139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line="236" w:lineRule="exact"/>
              <w:rPr>
                <w:sz w:val="20"/>
                <w:szCs w:val="20"/>
                <w:color w:val="auto"/>
              </w:rPr>
            </w:pPr>
            <w:r>
              <w:rPr>
                <w:rFonts w:ascii="Arial" w:cs="Arial" w:eastAsia="Arial" w:hAnsi="Arial"/>
                <w:sz w:val="21"/>
                <w:szCs w:val="21"/>
                <w:color w:val="auto"/>
              </w:rPr>
              <w:t>110</w:t>
            </w:r>
          </w:p>
        </w:tc>
      </w:tr>
      <w:tr>
        <w:trPr>
          <w:trHeight w:val="20"/>
        </w:trPr>
        <w:tc>
          <w:tcPr>
            <w:tcW w:w="4640" w:type="dxa"/>
            <w:vAlign w:val="bottom"/>
            <w:shd w:val="clear" w:color="auto" w:fill="E0E0E0"/>
          </w:tcPr>
          <w:p>
            <w:pPr>
              <w:spacing w:after="0" w:line="20" w:lineRule="exact"/>
              <w:rPr>
                <w:sz w:val="1"/>
                <w:szCs w:val="1"/>
                <w:color w:val="auto"/>
              </w:rPr>
            </w:pPr>
          </w:p>
        </w:tc>
        <w:tc>
          <w:tcPr>
            <w:tcW w:w="60" w:type="dxa"/>
            <w:vAlign w:val="bottom"/>
            <w:tcBorders>
              <w:right w:val="single" w:sz="8" w:color="E0E0E0"/>
            </w:tcBorders>
            <w:shd w:val="clear" w:color="auto" w:fill="E0E0E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E0E0E0"/>
            </w:tcBorders>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r>
      <w:tr>
        <w:trPr>
          <w:trHeight w:val="228"/>
        </w:trPr>
        <w:tc>
          <w:tcPr>
            <w:tcW w:w="4640" w:type="dxa"/>
            <w:vAlign w:val="bottom"/>
            <w:shd w:val="clear" w:color="auto" w:fill="E0E0E0"/>
          </w:tcPr>
          <w:p>
            <w:pPr>
              <w:ind w:left="360"/>
              <w:spacing w:after="0" w:line="229" w:lineRule="exact"/>
              <w:rPr>
                <w:sz w:val="20"/>
                <w:szCs w:val="20"/>
                <w:color w:val="auto"/>
              </w:rPr>
            </w:pPr>
            <w:r>
              <w:rPr>
                <w:rFonts w:ascii="Arial" w:cs="Arial" w:eastAsia="Arial" w:hAnsi="Arial"/>
                <w:sz w:val="21"/>
                <w:szCs w:val="21"/>
                <w:color w:val="auto"/>
              </w:rPr>
              <w:t>Net Loss</w:t>
            </w:r>
          </w:p>
        </w:tc>
        <w:tc>
          <w:tcPr>
            <w:tcW w:w="6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jc w:val="right"/>
              <w:spacing w:after="0" w:line="229" w:lineRule="exact"/>
              <w:rPr>
                <w:sz w:val="20"/>
                <w:szCs w:val="20"/>
                <w:color w:val="auto"/>
              </w:rPr>
            </w:pPr>
            <w:r>
              <w:rPr>
                <w:rFonts w:ascii="Arial" w:cs="Arial" w:eastAsia="Arial" w:hAnsi="Arial"/>
                <w:sz w:val="21"/>
                <w:szCs w:val="21"/>
                <w:color w:val="auto"/>
                <w:w w:val="85"/>
              </w:rPr>
              <w:t>$</w:t>
            </w:r>
          </w:p>
        </w:tc>
        <w:tc>
          <w:tcPr>
            <w:tcW w:w="1040" w:type="dxa"/>
            <w:vAlign w:val="bottom"/>
            <w:gridSpan w:val="3"/>
            <w:shd w:val="clear" w:color="auto" w:fill="E0E0E0"/>
          </w:tcPr>
          <w:p>
            <w:pPr>
              <w:jc w:val="right"/>
              <w:ind w:right="60"/>
              <w:spacing w:after="0" w:line="229" w:lineRule="exact"/>
              <w:rPr>
                <w:sz w:val="20"/>
                <w:szCs w:val="20"/>
                <w:color w:val="auto"/>
              </w:rPr>
            </w:pPr>
            <w:r>
              <w:rPr>
                <w:rFonts w:ascii="Arial" w:cs="Arial" w:eastAsia="Arial" w:hAnsi="Arial"/>
                <w:sz w:val="21"/>
                <w:szCs w:val="21"/>
                <w:color w:val="auto"/>
              </w:rPr>
              <w:t>(95,639) $</w:t>
            </w:r>
          </w:p>
        </w:tc>
        <w:tc>
          <w:tcPr>
            <w:tcW w:w="840" w:type="dxa"/>
            <w:vAlign w:val="bottom"/>
            <w:gridSpan w:val="2"/>
            <w:shd w:val="clear" w:color="auto" w:fill="E0E0E0"/>
          </w:tcPr>
          <w:p>
            <w:pPr>
              <w:jc w:val="right"/>
              <w:spacing w:after="0" w:line="229" w:lineRule="exact"/>
              <w:rPr>
                <w:sz w:val="20"/>
                <w:szCs w:val="20"/>
                <w:color w:val="auto"/>
              </w:rPr>
            </w:pPr>
            <w:r>
              <w:rPr>
                <w:rFonts w:ascii="Arial" w:cs="Arial" w:eastAsia="Arial" w:hAnsi="Arial"/>
                <w:sz w:val="21"/>
                <w:szCs w:val="21"/>
                <w:color w:val="auto"/>
              </w:rPr>
              <w:t>(54,853)</w:t>
            </w:r>
          </w:p>
        </w:tc>
      </w:tr>
      <w:tr>
        <w:trPr>
          <w:trHeight w:val="20"/>
        </w:trPr>
        <w:tc>
          <w:tcPr>
            <w:tcW w:w="4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ind w:firstLine="504"/>
        <w:spacing w:after="0" w:line="271" w:lineRule="auto"/>
        <w:rPr>
          <w:sz w:val="20"/>
          <w:szCs w:val="20"/>
          <w:color w:val="auto"/>
        </w:rPr>
      </w:pPr>
      <w:r>
        <w:rPr>
          <w:rFonts w:ascii="Arial" w:cs="Arial" w:eastAsia="Arial" w:hAnsi="Arial"/>
          <w:sz w:val="21"/>
          <w:szCs w:val="21"/>
          <w:color w:val="auto"/>
        </w:rPr>
        <w:t>The provision for income taxes differs from the amount expected by applying the federal statutory rates to the net loss before taxes as follows: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18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4580" w:type="dxa"/>
            <w:vAlign w:val="bottom"/>
          </w:tcPr>
          <w:p>
            <w:pPr>
              <w:spacing w:after="0"/>
              <w:rPr>
                <w:sz w:val="18"/>
                <w:szCs w:val="18"/>
                <w:color w:val="auto"/>
              </w:rPr>
            </w:pPr>
          </w:p>
        </w:tc>
        <w:tc>
          <w:tcPr>
            <w:tcW w:w="218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December 31,</w:t>
            </w:r>
          </w:p>
        </w:tc>
      </w:tr>
      <w:tr>
        <w:trPr>
          <w:trHeight w:val="179"/>
        </w:trPr>
        <w:tc>
          <w:tcPr>
            <w:tcW w:w="4580" w:type="dxa"/>
            <w:vAlign w:val="bottom"/>
            <w:tcBorders>
              <w:bottom w:val="single" w:sz="8" w:color="E0E0E0"/>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63"/>
              <w:spacing w:after="0" w:line="179" w:lineRule="exact"/>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E0E0E0"/>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79"/>
              <w:spacing w:after="0" w:line="179" w:lineRule="exact"/>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E0E0E0"/>
            </w:tcBorders>
          </w:tcPr>
          <w:p>
            <w:pPr>
              <w:spacing w:after="0"/>
              <w:rPr>
                <w:sz w:val="15"/>
                <w:szCs w:val="15"/>
                <w:color w:val="auto"/>
              </w:rPr>
            </w:pPr>
          </w:p>
        </w:tc>
      </w:tr>
      <w:tr>
        <w:trPr>
          <w:trHeight w:val="227"/>
        </w:trPr>
        <w:tc>
          <w:tcPr>
            <w:tcW w:w="4580" w:type="dxa"/>
            <w:vAlign w:val="bottom"/>
            <w:tcBorders>
              <w:right w:val="single" w:sz="8" w:color="E0E0E0"/>
            </w:tcBorders>
            <w:shd w:val="clear" w:color="auto" w:fill="E0E0E0"/>
          </w:tcPr>
          <w:p>
            <w:pPr>
              <w:spacing w:after="0" w:line="227" w:lineRule="exact"/>
              <w:rPr>
                <w:sz w:val="20"/>
                <w:szCs w:val="20"/>
                <w:color w:val="auto"/>
              </w:rPr>
            </w:pPr>
            <w:r>
              <w:rPr>
                <w:rFonts w:ascii="Arial" w:cs="Arial" w:eastAsia="Arial" w:hAnsi="Arial"/>
                <w:sz w:val="21"/>
                <w:szCs w:val="21"/>
                <w:color w:val="auto"/>
              </w:rPr>
              <w:t>Federal statutory income tax rate</w:t>
            </w:r>
          </w:p>
        </w:tc>
        <w:tc>
          <w:tcPr>
            <w:tcW w:w="1100" w:type="dxa"/>
            <w:vAlign w:val="bottom"/>
            <w:tcBorders>
              <w:right w:val="single" w:sz="8" w:color="E0E0E0"/>
            </w:tcBorders>
            <w:gridSpan w:val="2"/>
            <w:shd w:val="clear" w:color="auto" w:fill="E0E0E0"/>
          </w:tcPr>
          <w:p>
            <w:pPr>
              <w:jc w:val="right"/>
              <w:ind w:right="40"/>
              <w:spacing w:after="0" w:line="227" w:lineRule="exact"/>
              <w:rPr>
                <w:sz w:val="20"/>
                <w:szCs w:val="20"/>
                <w:color w:val="auto"/>
              </w:rPr>
            </w:pPr>
            <w:r>
              <w:rPr>
                <w:rFonts w:ascii="Arial" w:cs="Arial" w:eastAsia="Arial" w:hAnsi="Arial"/>
                <w:sz w:val="21"/>
                <w:szCs w:val="21"/>
                <w:color w:val="auto"/>
              </w:rPr>
              <w:t>21.0%</w:t>
            </w:r>
          </w:p>
        </w:tc>
        <w:tc>
          <w:tcPr>
            <w:tcW w:w="1080" w:type="dxa"/>
            <w:vAlign w:val="bottom"/>
            <w:gridSpan w:val="2"/>
            <w:shd w:val="clear" w:color="auto" w:fill="E0E0E0"/>
          </w:tcPr>
          <w:p>
            <w:pPr>
              <w:jc w:val="right"/>
              <w:spacing w:after="0" w:line="227" w:lineRule="exact"/>
              <w:rPr>
                <w:sz w:val="20"/>
                <w:szCs w:val="20"/>
                <w:color w:val="auto"/>
              </w:rPr>
            </w:pPr>
            <w:r>
              <w:rPr>
                <w:rFonts w:ascii="Arial" w:cs="Arial" w:eastAsia="Arial" w:hAnsi="Arial"/>
                <w:sz w:val="21"/>
                <w:szCs w:val="21"/>
                <w:color w:val="auto"/>
              </w:rPr>
              <w:t>21.0%</w:t>
            </w:r>
          </w:p>
        </w:tc>
      </w:tr>
      <w:tr>
        <w:trPr>
          <w:trHeight w:val="237"/>
        </w:trPr>
        <w:tc>
          <w:tcPr>
            <w:tcW w:w="4580" w:type="dxa"/>
            <w:vAlign w:val="bottom"/>
          </w:tcPr>
          <w:p>
            <w:pPr>
              <w:spacing w:after="0" w:line="237" w:lineRule="exact"/>
              <w:rPr>
                <w:sz w:val="20"/>
                <w:szCs w:val="20"/>
                <w:color w:val="auto"/>
              </w:rPr>
            </w:pPr>
            <w:r>
              <w:rPr>
                <w:rFonts w:ascii="Arial" w:cs="Arial" w:eastAsia="Arial" w:hAnsi="Arial"/>
                <w:sz w:val="21"/>
                <w:szCs w:val="21"/>
                <w:color w:val="auto"/>
              </w:rPr>
              <w:t>State taxes</w:t>
            </w:r>
          </w:p>
        </w:tc>
        <w:tc>
          <w:tcPr>
            <w:tcW w:w="1100" w:type="dxa"/>
            <w:vAlign w:val="bottom"/>
            <w:gridSpan w:val="2"/>
          </w:tcPr>
          <w:p>
            <w:pPr>
              <w:jc w:val="right"/>
              <w:ind w:right="160"/>
              <w:spacing w:after="0" w:line="237" w:lineRule="exact"/>
              <w:rPr>
                <w:sz w:val="20"/>
                <w:szCs w:val="20"/>
                <w:color w:val="auto"/>
              </w:rPr>
            </w:pPr>
            <w:r>
              <w:rPr>
                <w:rFonts w:ascii="Arial" w:cs="Arial" w:eastAsia="Arial" w:hAnsi="Arial"/>
                <w:sz w:val="21"/>
                <w:szCs w:val="21"/>
                <w:color w:val="auto"/>
              </w:rPr>
              <w:t>(0.4)</w:t>
            </w:r>
          </w:p>
        </w:tc>
        <w:tc>
          <w:tcPr>
            <w:tcW w:w="900" w:type="dxa"/>
            <w:vAlign w:val="bottom"/>
          </w:tcPr>
          <w:p>
            <w:pPr>
              <w:jc w:val="right"/>
              <w:spacing w:after="0" w:line="237" w:lineRule="exact"/>
              <w:rPr>
                <w:sz w:val="20"/>
                <w:szCs w:val="20"/>
                <w:color w:val="auto"/>
              </w:rPr>
            </w:pPr>
            <w:r>
              <w:rPr>
                <w:rFonts w:ascii="Arial" w:cs="Arial" w:eastAsia="Arial" w:hAnsi="Arial"/>
                <w:sz w:val="21"/>
                <w:szCs w:val="21"/>
                <w:color w:val="auto"/>
              </w:rPr>
              <w:t>1.2</w:t>
            </w:r>
          </w:p>
        </w:tc>
        <w:tc>
          <w:tcPr>
            <w:tcW w:w="180" w:type="dxa"/>
            <w:vAlign w:val="bottom"/>
          </w:tcPr>
          <w:p>
            <w:pPr>
              <w:spacing w:after="0"/>
              <w:rPr>
                <w:sz w:val="20"/>
                <w:szCs w:val="20"/>
                <w:color w:val="auto"/>
              </w:rPr>
            </w:pPr>
          </w:p>
        </w:tc>
      </w:tr>
      <w:tr>
        <w:trPr>
          <w:trHeight w:val="237"/>
        </w:trPr>
        <w:tc>
          <w:tcPr>
            <w:tcW w:w="4580" w:type="dxa"/>
            <w:vAlign w:val="bottom"/>
            <w:tcBorders>
              <w:right w:val="single" w:sz="8" w:color="E0E0E0"/>
            </w:tcBorders>
            <w:shd w:val="clear" w:color="auto" w:fill="E0E0E0"/>
          </w:tcPr>
          <w:p>
            <w:pPr>
              <w:spacing w:after="0" w:line="237" w:lineRule="exact"/>
              <w:rPr>
                <w:sz w:val="20"/>
                <w:szCs w:val="20"/>
                <w:color w:val="auto"/>
              </w:rPr>
            </w:pPr>
            <w:r>
              <w:rPr>
                <w:rFonts w:ascii="Arial" w:cs="Arial" w:eastAsia="Arial" w:hAnsi="Arial"/>
                <w:sz w:val="21"/>
                <w:szCs w:val="21"/>
                <w:color w:val="auto"/>
              </w:rPr>
              <w:t>Stock-based compensation</w:t>
            </w:r>
          </w:p>
        </w:tc>
        <w:tc>
          <w:tcPr>
            <w:tcW w:w="1100" w:type="dxa"/>
            <w:vAlign w:val="bottom"/>
            <w:tcBorders>
              <w:right w:val="single" w:sz="8" w:color="E0E0E0"/>
            </w:tcBorders>
            <w:gridSpan w:val="2"/>
            <w:shd w:val="clear" w:color="auto" w:fill="E0E0E0"/>
          </w:tcPr>
          <w:p>
            <w:pPr>
              <w:jc w:val="right"/>
              <w:ind w:right="160"/>
              <w:spacing w:after="0" w:line="237" w:lineRule="exact"/>
              <w:rPr>
                <w:sz w:val="20"/>
                <w:szCs w:val="20"/>
                <w:color w:val="auto"/>
              </w:rPr>
            </w:pPr>
            <w:r>
              <w:rPr>
                <w:rFonts w:ascii="Arial" w:cs="Arial" w:eastAsia="Arial" w:hAnsi="Arial"/>
                <w:sz w:val="21"/>
                <w:szCs w:val="21"/>
                <w:color w:val="auto"/>
              </w:rPr>
              <w:t>(1.3)</w:t>
            </w:r>
          </w:p>
        </w:tc>
        <w:tc>
          <w:tcPr>
            <w:tcW w:w="90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rPr>
              <w:t>0.4</w:t>
            </w:r>
          </w:p>
        </w:tc>
        <w:tc>
          <w:tcPr>
            <w:tcW w:w="180" w:type="dxa"/>
            <w:vAlign w:val="bottom"/>
            <w:shd w:val="clear" w:color="auto" w:fill="E0E0E0"/>
          </w:tcPr>
          <w:p>
            <w:pPr>
              <w:spacing w:after="0"/>
              <w:rPr>
                <w:sz w:val="20"/>
                <w:szCs w:val="20"/>
                <w:color w:val="auto"/>
              </w:rPr>
            </w:pPr>
          </w:p>
        </w:tc>
      </w:tr>
      <w:tr>
        <w:trPr>
          <w:trHeight w:val="236"/>
        </w:trPr>
        <w:tc>
          <w:tcPr>
            <w:tcW w:w="4580" w:type="dxa"/>
            <w:vAlign w:val="bottom"/>
          </w:tcPr>
          <w:p>
            <w:pPr>
              <w:spacing w:after="0" w:line="236" w:lineRule="exact"/>
              <w:rPr>
                <w:sz w:val="20"/>
                <w:szCs w:val="20"/>
                <w:color w:val="auto"/>
              </w:rPr>
            </w:pPr>
            <w:r>
              <w:rPr>
                <w:rFonts w:ascii="Arial" w:cs="Arial" w:eastAsia="Arial" w:hAnsi="Arial"/>
                <w:sz w:val="21"/>
                <w:szCs w:val="21"/>
                <w:color w:val="auto"/>
              </w:rPr>
              <w:t>Non-deductible expenses and others</w:t>
            </w:r>
          </w:p>
        </w:tc>
        <w:tc>
          <w:tcPr>
            <w:tcW w:w="1100" w:type="dxa"/>
            <w:vAlign w:val="bottom"/>
            <w:gridSpan w:val="2"/>
          </w:tcPr>
          <w:p>
            <w:pPr>
              <w:jc w:val="right"/>
              <w:ind w:right="160"/>
              <w:spacing w:after="0" w:line="236" w:lineRule="exact"/>
              <w:rPr>
                <w:sz w:val="20"/>
                <w:szCs w:val="20"/>
                <w:color w:val="auto"/>
              </w:rPr>
            </w:pPr>
            <w:r>
              <w:rPr>
                <w:rFonts w:ascii="Arial" w:cs="Arial" w:eastAsia="Arial" w:hAnsi="Arial"/>
                <w:sz w:val="21"/>
                <w:szCs w:val="21"/>
                <w:color w:val="auto"/>
              </w:rPr>
              <w:t>(0.1)</w:t>
            </w:r>
          </w:p>
        </w:tc>
        <w:tc>
          <w:tcPr>
            <w:tcW w:w="1080" w:type="dxa"/>
            <w:vAlign w:val="bottom"/>
            <w:gridSpan w:val="2"/>
          </w:tcPr>
          <w:p>
            <w:pPr>
              <w:jc w:val="right"/>
              <w:ind w:right="120"/>
              <w:spacing w:after="0" w:line="236" w:lineRule="exact"/>
              <w:rPr>
                <w:sz w:val="20"/>
                <w:szCs w:val="20"/>
                <w:color w:val="auto"/>
              </w:rPr>
            </w:pPr>
            <w:r>
              <w:rPr>
                <w:rFonts w:ascii="Arial" w:cs="Arial" w:eastAsia="Arial" w:hAnsi="Arial"/>
                <w:sz w:val="21"/>
                <w:szCs w:val="21"/>
                <w:color w:val="auto"/>
              </w:rPr>
              <w:t>(0.2)</w:t>
            </w:r>
          </w:p>
        </w:tc>
      </w:tr>
      <w:tr>
        <w:trPr>
          <w:trHeight w:val="237"/>
        </w:trPr>
        <w:tc>
          <w:tcPr>
            <w:tcW w:w="4580" w:type="dxa"/>
            <w:vAlign w:val="bottom"/>
            <w:tcBorders>
              <w:right w:val="single" w:sz="8" w:color="E0E0E0"/>
            </w:tcBorders>
            <w:shd w:val="clear" w:color="auto" w:fill="E0E0E0"/>
          </w:tcPr>
          <w:p>
            <w:pPr>
              <w:spacing w:after="0" w:line="237" w:lineRule="exact"/>
              <w:rPr>
                <w:sz w:val="20"/>
                <w:szCs w:val="20"/>
                <w:color w:val="auto"/>
              </w:rPr>
            </w:pPr>
            <w:r>
              <w:rPr>
                <w:rFonts w:ascii="Arial" w:cs="Arial" w:eastAsia="Arial" w:hAnsi="Arial"/>
                <w:sz w:val="21"/>
                <w:szCs w:val="21"/>
                <w:color w:val="auto"/>
              </w:rPr>
              <w:t>Tax credits</w:t>
            </w:r>
          </w:p>
        </w:tc>
        <w:tc>
          <w:tcPr>
            <w:tcW w:w="88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rPr>
              <w:t>2.2</w:t>
            </w:r>
          </w:p>
        </w:tc>
        <w:tc>
          <w:tcPr>
            <w:tcW w:w="220" w:type="dxa"/>
            <w:vAlign w:val="bottom"/>
            <w:tcBorders>
              <w:right w:val="single" w:sz="8" w:color="E0E0E0"/>
            </w:tcBorders>
            <w:shd w:val="clear" w:color="auto" w:fill="E0E0E0"/>
          </w:tcPr>
          <w:p>
            <w:pPr>
              <w:spacing w:after="0"/>
              <w:rPr>
                <w:sz w:val="20"/>
                <w:szCs w:val="20"/>
                <w:color w:val="auto"/>
              </w:rPr>
            </w:pPr>
          </w:p>
        </w:tc>
        <w:tc>
          <w:tcPr>
            <w:tcW w:w="90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rPr>
              <w:t>2.2</w:t>
            </w:r>
          </w:p>
        </w:tc>
        <w:tc>
          <w:tcPr>
            <w:tcW w:w="180" w:type="dxa"/>
            <w:vAlign w:val="bottom"/>
            <w:shd w:val="clear" w:color="auto" w:fill="E0E0E0"/>
          </w:tcPr>
          <w:p>
            <w:pPr>
              <w:spacing w:after="0"/>
              <w:rPr>
                <w:sz w:val="20"/>
                <w:szCs w:val="20"/>
                <w:color w:val="auto"/>
              </w:rPr>
            </w:pPr>
          </w:p>
        </w:tc>
      </w:tr>
      <w:tr>
        <w:trPr>
          <w:trHeight w:val="236"/>
        </w:trPr>
        <w:tc>
          <w:tcPr>
            <w:tcW w:w="4580" w:type="dxa"/>
            <w:vAlign w:val="bottom"/>
          </w:tcPr>
          <w:p>
            <w:pPr>
              <w:spacing w:after="0" w:line="236" w:lineRule="exact"/>
              <w:rPr>
                <w:sz w:val="20"/>
                <w:szCs w:val="20"/>
                <w:color w:val="auto"/>
              </w:rPr>
            </w:pPr>
            <w:r>
              <w:rPr>
                <w:rFonts w:ascii="Arial" w:cs="Arial" w:eastAsia="Arial" w:hAnsi="Arial"/>
                <w:sz w:val="21"/>
                <w:szCs w:val="21"/>
                <w:color w:val="auto"/>
              </w:rPr>
              <w:t>Change in valuation allowance</w:t>
            </w:r>
          </w:p>
        </w:tc>
        <w:tc>
          <w:tcPr>
            <w:tcW w:w="1100" w:type="dxa"/>
            <w:vAlign w:val="bottom"/>
            <w:gridSpan w:val="2"/>
          </w:tcPr>
          <w:p>
            <w:pPr>
              <w:jc w:val="right"/>
              <w:ind w:right="160"/>
              <w:spacing w:after="0" w:line="236" w:lineRule="exact"/>
              <w:rPr>
                <w:sz w:val="20"/>
                <w:szCs w:val="20"/>
                <w:color w:val="auto"/>
              </w:rPr>
            </w:pPr>
            <w:r>
              <w:rPr>
                <w:rFonts w:ascii="Arial" w:cs="Arial" w:eastAsia="Arial" w:hAnsi="Arial"/>
                <w:sz w:val="21"/>
                <w:szCs w:val="21"/>
                <w:color w:val="auto"/>
              </w:rPr>
              <w:t>(21.4)</w:t>
            </w:r>
          </w:p>
        </w:tc>
        <w:tc>
          <w:tcPr>
            <w:tcW w:w="1080" w:type="dxa"/>
            <w:vAlign w:val="bottom"/>
            <w:gridSpan w:val="2"/>
          </w:tcPr>
          <w:p>
            <w:pPr>
              <w:jc w:val="right"/>
              <w:ind w:right="120"/>
              <w:spacing w:after="0" w:line="236" w:lineRule="exact"/>
              <w:rPr>
                <w:sz w:val="20"/>
                <w:szCs w:val="20"/>
                <w:color w:val="auto"/>
              </w:rPr>
            </w:pPr>
            <w:r>
              <w:rPr>
                <w:rFonts w:ascii="Arial" w:cs="Arial" w:eastAsia="Arial" w:hAnsi="Arial"/>
                <w:sz w:val="21"/>
                <w:szCs w:val="21"/>
                <w:color w:val="auto"/>
              </w:rPr>
              <w:t>(24.6)</w:t>
            </w:r>
          </w:p>
        </w:tc>
      </w:tr>
      <w:tr>
        <w:trPr>
          <w:trHeight w:val="20"/>
        </w:trPr>
        <w:tc>
          <w:tcPr>
            <w:tcW w:w="4580" w:type="dxa"/>
            <w:vAlign w:val="bottom"/>
            <w:tcBorders>
              <w:right w:val="single" w:sz="8" w:color="E0E0E0"/>
            </w:tcBorders>
            <w:shd w:val="clear" w:color="auto" w:fill="E0E0E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E0E0E0"/>
            </w:tcBorders>
            <w:shd w:val="clear" w:color="auto" w:fill="E0E0E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r>
      <w:tr>
        <w:trPr>
          <w:trHeight w:val="228"/>
        </w:trPr>
        <w:tc>
          <w:tcPr>
            <w:tcW w:w="4580" w:type="dxa"/>
            <w:vAlign w:val="bottom"/>
            <w:tcBorders>
              <w:right w:val="single" w:sz="8" w:color="E0E0E0"/>
            </w:tcBorders>
            <w:shd w:val="clear" w:color="auto" w:fill="E0E0E0"/>
          </w:tcPr>
          <w:p>
            <w:pPr>
              <w:spacing w:after="0" w:line="229" w:lineRule="exact"/>
              <w:rPr>
                <w:sz w:val="20"/>
                <w:szCs w:val="20"/>
                <w:color w:val="auto"/>
              </w:rPr>
            </w:pPr>
            <w:r>
              <w:rPr>
                <w:rFonts w:ascii="Arial" w:cs="Arial" w:eastAsia="Arial" w:hAnsi="Arial"/>
                <w:sz w:val="21"/>
                <w:szCs w:val="21"/>
                <w:color w:val="auto"/>
              </w:rPr>
              <w:t>Effective income tax rate</w:t>
            </w:r>
          </w:p>
        </w:tc>
        <w:tc>
          <w:tcPr>
            <w:tcW w:w="1100" w:type="dxa"/>
            <w:vAlign w:val="bottom"/>
            <w:tcBorders>
              <w:right w:val="single" w:sz="8" w:color="E0E0E0"/>
            </w:tcBorders>
            <w:gridSpan w:val="2"/>
            <w:shd w:val="clear" w:color="auto" w:fill="E0E0E0"/>
          </w:tcPr>
          <w:p>
            <w:pPr>
              <w:jc w:val="right"/>
              <w:ind w:right="40"/>
              <w:spacing w:after="0" w:line="229" w:lineRule="exact"/>
              <w:rPr>
                <w:sz w:val="20"/>
                <w:szCs w:val="20"/>
                <w:color w:val="auto"/>
              </w:rPr>
            </w:pPr>
            <w:r>
              <w:rPr>
                <w:rFonts w:ascii="Arial" w:cs="Arial" w:eastAsia="Arial" w:hAnsi="Arial"/>
                <w:sz w:val="21"/>
                <w:szCs w:val="21"/>
                <w:color w:val="auto"/>
              </w:rPr>
              <w:t>—%</w:t>
            </w:r>
          </w:p>
        </w:tc>
        <w:tc>
          <w:tcPr>
            <w:tcW w:w="1080" w:type="dxa"/>
            <w:vAlign w:val="bottom"/>
            <w:gridSpan w:val="2"/>
            <w:shd w:val="clear" w:color="auto" w:fill="E0E0E0"/>
          </w:tcPr>
          <w:p>
            <w:pPr>
              <w:jc w:val="right"/>
              <w:spacing w:after="0" w:line="229" w:lineRule="exact"/>
              <w:rPr>
                <w:sz w:val="20"/>
                <w:szCs w:val="20"/>
                <w:color w:val="auto"/>
              </w:rPr>
            </w:pPr>
            <w:r>
              <w:rPr>
                <w:rFonts w:ascii="Arial" w:cs="Arial" w:eastAsia="Arial" w:hAnsi="Arial"/>
                <w:sz w:val="21"/>
                <w:szCs w:val="21"/>
                <w:color w:val="auto"/>
              </w:rPr>
              <w:t>—%</w:t>
            </w:r>
          </w:p>
        </w:tc>
      </w:tr>
      <w:tr>
        <w:trPr>
          <w:trHeight w:val="20"/>
        </w:trPr>
        <w:tc>
          <w:tcPr>
            <w:tcW w:w="4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153</w:t>
      </w:r>
    </w:p>
    <w:p>
      <w:pPr>
        <w:sectPr>
          <w:pgSz w:w="12240" w:h="15840" w:orient="portrait"/>
          <w:cols w:equalWidth="0" w:num="1">
            <w:col w:w="9640"/>
          </w:cols>
          <w:pgMar w:left="1300" w:top="1226" w:right="1300" w:bottom="0" w:gutter="0" w:footer="0" w:header="0"/>
          <w:type w:val="continuous"/>
        </w:sectPr>
      </w:pPr>
    </w:p>
    <w:bookmarkStart w:id="159" w:name="page160"/>
    <w:bookmarkEnd w:id="159"/>
    <w:p>
      <w:pPr>
        <w:spacing w:after="0" w:line="193"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Deferred Tax Assets and Liabilities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20"/>
          <w:szCs w:val="20"/>
          <w:color w:val="212121"/>
        </w:rPr>
        <w:t>The components of the Company’s deferred tax assets and liabilities were as follows (in thousands):</w:t>
      </w:r>
    </w:p>
    <w:p>
      <w:pPr>
        <w:spacing w:after="0" w:line="245" w:lineRule="exact"/>
        <w:rPr>
          <w:sz w:val="20"/>
          <w:szCs w:val="20"/>
          <w:color w:val="auto"/>
        </w:rPr>
      </w:pPr>
    </w:p>
    <w:tbl>
      <w:tblPr>
        <w:tblLayout w:type="fixed"/>
        <w:tblInd w:w="144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jc w:val="center"/>
              <w:ind w:right="157"/>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5"/>
          </w:tcPr>
          <w:p>
            <w:pPr>
              <w:jc w:val="center"/>
              <w:ind w:right="157"/>
              <w:spacing w:after="0"/>
              <w:rPr>
                <w:sz w:val="20"/>
                <w:szCs w:val="20"/>
                <w:color w:val="auto"/>
              </w:rPr>
            </w:pPr>
            <w:r>
              <w:rPr>
                <w:rFonts w:ascii="Arial" w:cs="Arial" w:eastAsia="Arial" w:hAnsi="Arial"/>
                <w:sz w:val="16"/>
                <w:szCs w:val="16"/>
                <w:b w:val="1"/>
                <w:bCs w:val="1"/>
                <w:color w:val="auto"/>
              </w:rPr>
              <w:t>December 31,</w:t>
            </w:r>
          </w:p>
        </w:tc>
      </w:tr>
      <w:tr>
        <w:trPr>
          <w:trHeight w:val="179"/>
        </w:trPr>
        <w:tc>
          <w:tcPr>
            <w:tcW w:w="464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E0E0E0"/>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78"/>
              <w:spacing w:after="0" w:line="179" w:lineRule="exact"/>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E0E0E0"/>
            </w:tcBorders>
          </w:tcPr>
          <w:p>
            <w:pPr>
              <w:spacing w:after="0"/>
              <w:rPr>
                <w:sz w:val="15"/>
                <w:szCs w:val="15"/>
                <w:color w:val="auto"/>
              </w:rPr>
            </w:pPr>
          </w:p>
        </w:tc>
      </w:tr>
      <w:tr>
        <w:trPr>
          <w:trHeight w:val="227"/>
        </w:trPr>
        <w:tc>
          <w:tcPr>
            <w:tcW w:w="4640" w:type="dxa"/>
            <w:vAlign w:val="bottom"/>
            <w:shd w:val="clear" w:color="auto" w:fill="E0E0E0"/>
          </w:tcPr>
          <w:p>
            <w:pPr>
              <w:spacing w:after="0" w:line="227" w:lineRule="exact"/>
              <w:rPr>
                <w:sz w:val="20"/>
                <w:szCs w:val="20"/>
                <w:color w:val="auto"/>
              </w:rPr>
            </w:pPr>
            <w:r>
              <w:rPr>
                <w:rFonts w:ascii="Arial" w:cs="Arial" w:eastAsia="Arial" w:hAnsi="Arial"/>
                <w:sz w:val="21"/>
                <w:szCs w:val="21"/>
                <w:color w:val="auto"/>
              </w:rPr>
              <w:t>Deferred tax assets:</w:t>
            </w:r>
          </w:p>
        </w:tc>
        <w:tc>
          <w:tcPr>
            <w:tcW w:w="6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120" w:type="dxa"/>
            <w:vAlign w:val="bottom"/>
            <w:tcBorders>
              <w:right w:val="single" w:sz="8" w:color="E0E0E0"/>
            </w:tcBorders>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37"/>
        </w:trPr>
        <w:tc>
          <w:tcPr>
            <w:tcW w:w="4640" w:type="dxa"/>
            <w:vAlign w:val="bottom"/>
          </w:tcPr>
          <w:p>
            <w:pPr>
              <w:ind w:left="300"/>
              <w:spacing w:after="0" w:line="237" w:lineRule="exact"/>
              <w:rPr>
                <w:sz w:val="20"/>
                <w:szCs w:val="20"/>
                <w:color w:val="auto"/>
              </w:rPr>
            </w:pPr>
            <w:r>
              <w:rPr>
                <w:rFonts w:ascii="Arial" w:cs="Arial" w:eastAsia="Arial" w:hAnsi="Arial"/>
                <w:sz w:val="21"/>
                <w:szCs w:val="21"/>
                <w:color w:val="auto"/>
              </w:rPr>
              <w:t>Net operating loss carryforwards</w:t>
            </w:r>
          </w:p>
        </w:tc>
        <w:tc>
          <w:tcPr>
            <w:tcW w:w="60" w:type="dxa"/>
            <w:vAlign w:val="bottom"/>
          </w:tcPr>
          <w:p>
            <w:pPr>
              <w:spacing w:after="0"/>
              <w:rPr>
                <w:sz w:val="20"/>
                <w:szCs w:val="20"/>
                <w:color w:val="auto"/>
              </w:rPr>
            </w:pPr>
          </w:p>
        </w:tc>
        <w:tc>
          <w:tcPr>
            <w:tcW w:w="180" w:type="dxa"/>
            <w:vAlign w:val="bottom"/>
          </w:tcPr>
          <w:p>
            <w:pPr>
              <w:jc w:val="right"/>
              <w:spacing w:after="0" w:line="237" w:lineRule="exact"/>
              <w:rPr>
                <w:sz w:val="20"/>
                <w:szCs w:val="20"/>
                <w:color w:val="auto"/>
              </w:rPr>
            </w:pPr>
            <w:r>
              <w:rPr>
                <w:rFonts w:ascii="Arial" w:cs="Arial" w:eastAsia="Arial" w:hAnsi="Arial"/>
                <w:sz w:val="21"/>
                <w:szCs w:val="21"/>
                <w:color w:val="auto"/>
                <w:w w:val="85"/>
              </w:rPr>
              <w:t>$</w:t>
            </w:r>
          </w:p>
        </w:tc>
        <w:tc>
          <w:tcPr>
            <w:tcW w:w="760" w:type="dxa"/>
            <w:vAlign w:val="bottom"/>
          </w:tcPr>
          <w:p>
            <w:pPr>
              <w:jc w:val="right"/>
              <w:spacing w:after="0" w:line="237" w:lineRule="exact"/>
              <w:rPr>
                <w:sz w:val="20"/>
                <w:szCs w:val="20"/>
                <w:color w:val="auto"/>
              </w:rPr>
            </w:pPr>
            <w:r>
              <w:rPr>
                <w:rFonts w:ascii="Arial" w:cs="Arial" w:eastAsia="Arial" w:hAnsi="Arial"/>
                <w:sz w:val="21"/>
                <w:szCs w:val="21"/>
                <w:color w:val="auto"/>
              </w:rPr>
              <w:t>24,092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19,543</w:t>
            </w:r>
          </w:p>
        </w:tc>
      </w:tr>
      <w:tr>
        <w:trPr>
          <w:trHeight w:val="237"/>
        </w:trPr>
        <w:tc>
          <w:tcPr>
            <w:tcW w:w="4640" w:type="dxa"/>
            <w:vAlign w:val="bottom"/>
            <w:shd w:val="clear" w:color="auto" w:fill="E0E0E0"/>
          </w:tcPr>
          <w:p>
            <w:pPr>
              <w:ind w:left="300"/>
              <w:spacing w:after="0" w:line="237" w:lineRule="exact"/>
              <w:rPr>
                <w:sz w:val="20"/>
                <w:szCs w:val="20"/>
                <w:color w:val="auto"/>
              </w:rPr>
            </w:pPr>
            <w:r>
              <w:rPr>
                <w:rFonts w:ascii="Arial" w:cs="Arial" w:eastAsia="Arial" w:hAnsi="Arial"/>
                <w:sz w:val="21"/>
                <w:szCs w:val="21"/>
                <w:color w:val="auto"/>
              </w:rPr>
              <w:t>Research and development tax credit</w:t>
            </w:r>
          </w:p>
        </w:tc>
        <w:tc>
          <w:tcPr>
            <w:tcW w:w="6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12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36"/>
        </w:trPr>
        <w:tc>
          <w:tcPr>
            <w:tcW w:w="4640" w:type="dxa"/>
            <w:vAlign w:val="bottom"/>
            <w:shd w:val="clear" w:color="auto" w:fill="E0E0E0"/>
          </w:tcPr>
          <w:p>
            <w:pPr>
              <w:ind w:left="460"/>
              <w:spacing w:after="0" w:line="236" w:lineRule="exact"/>
              <w:rPr>
                <w:sz w:val="20"/>
                <w:szCs w:val="20"/>
                <w:color w:val="auto"/>
              </w:rPr>
            </w:pPr>
            <w:r>
              <w:rPr>
                <w:rFonts w:ascii="Arial" w:cs="Arial" w:eastAsia="Arial" w:hAnsi="Arial"/>
                <w:sz w:val="21"/>
                <w:szCs w:val="21"/>
                <w:color w:val="auto"/>
              </w:rPr>
              <w:t>carryforwards</w:t>
            </w:r>
          </w:p>
        </w:tc>
        <w:tc>
          <w:tcPr>
            <w:tcW w:w="6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60" w:type="dxa"/>
            <w:vAlign w:val="bottom"/>
            <w:shd w:val="clear" w:color="auto" w:fill="E0E0E0"/>
          </w:tcPr>
          <w:p>
            <w:pPr>
              <w:jc w:val="right"/>
              <w:spacing w:after="0" w:line="236" w:lineRule="exact"/>
              <w:rPr>
                <w:sz w:val="20"/>
                <w:szCs w:val="20"/>
                <w:color w:val="auto"/>
              </w:rPr>
            </w:pPr>
            <w:r>
              <w:rPr>
                <w:rFonts w:ascii="Arial" w:cs="Arial" w:eastAsia="Arial" w:hAnsi="Arial"/>
                <w:sz w:val="21"/>
                <w:szCs w:val="21"/>
                <w:color w:val="auto"/>
              </w:rPr>
              <w:t>4,218</w:t>
            </w:r>
          </w:p>
        </w:tc>
        <w:tc>
          <w:tcPr>
            <w:tcW w:w="12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40" w:type="dxa"/>
            <w:vAlign w:val="bottom"/>
            <w:gridSpan w:val="2"/>
            <w:shd w:val="clear" w:color="auto" w:fill="E0E0E0"/>
          </w:tcPr>
          <w:p>
            <w:pPr>
              <w:jc w:val="right"/>
              <w:spacing w:after="0" w:line="236" w:lineRule="exact"/>
              <w:rPr>
                <w:sz w:val="20"/>
                <w:szCs w:val="20"/>
                <w:color w:val="auto"/>
              </w:rPr>
            </w:pPr>
            <w:r>
              <w:rPr>
                <w:rFonts w:ascii="Arial" w:cs="Arial" w:eastAsia="Arial" w:hAnsi="Arial"/>
                <w:sz w:val="21"/>
                <w:szCs w:val="21"/>
                <w:color w:val="auto"/>
              </w:rPr>
              <w:t>2,166</w:t>
            </w:r>
          </w:p>
        </w:tc>
      </w:tr>
      <w:tr>
        <w:trPr>
          <w:trHeight w:val="237"/>
        </w:trPr>
        <w:tc>
          <w:tcPr>
            <w:tcW w:w="4640" w:type="dxa"/>
            <w:vAlign w:val="bottom"/>
          </w:tcPr>
          <w:p>
            <w:pPr>
              <w:ind w:left="300"/>
              <w:spacing w:after="0" w:line="237" w:lineRule="exact"/>
              <w:rPr>
                <w:sz w:val="20"/>
                <w:szCs w:val="20"/>
                <w:color w:val="auto"/>
              </w:rPr>
            </w:pPr>
            <w:r>
              <w:rPr>
                <w:rFonts w:ascii="Arial" w:cs="Arial" w:eastAsia="Arial" w:hAnsi="Arial"/>
                <w:sz w:val="21"/>
                <w:szCs w:val="21"/>
                <w:color w:val="auto"/>
              </w:rPr>
              <w:t>Accrued liabilities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line="237" w:lineRule="exact"/>
              <w:rPr>
                <w:sz w:val="20"/>
                <w:szCs w:val="20"/>
                <w:color w:val="auto"/>
              </w:rPr>
            </w:pPr>
            <w:r>
              <w:rPr>
                <w:rFonts w:ascii="Arial" w:cs="Arial" w:eastAsia="Arial" w:hAnsi="Arial"/>
                <w:sz w:val="21"/>
                <w:szCs w:val="21"/>
                <w:color w:val="auto"/>
              </w:rPr>
              <w:t>2,781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392</w:t>
            </w:r>
          </w:p>
        </w:tc>
      </w:tr>
      <w:tr>
        <w:trPr>
          <w:trHeight w:val="236"/>
        </w:trPr>
        <w:tc>
          <w:tcPr>
            <w:tcW w:w="4640" w:type="dxa"/>
            <w:vAlign w:val="bottom"/>
            <w:shd w:val="clear" w:color="auto" w:fill="E0E0E0"/>
          </w:tcPr>
          <w:p>
            <w:pPr>
              <w:ind w:left="300"/>
              <w:spacing w:after="0" w:line="236" w:lineRule="exact"/>
              <w:rPr>
                <w:sz w:val="20"/>
                <w:szCs w:val="20"/>
                <w:color w:val="auto"/>
              </w:rPr>
            </w:pPr>
            <w:r>
              <w:rPr>
                <w:rFonts w:ascii="Arial" w:cs="Arial" w:eastAsia="Arial" w:hAnsi="Arial"/>
                <w:sz w:val="21"/>
                <w:szCs w:val="21"/>
                <w:color w:val="auto"/>
              </w:rPr>
              <w:t>Stock-based compensation</w:t>
            </w:r>
          </w:p>
        </w:tc>
        <w:tc>
          <w:tcPr>
            <w:tcW w:w="6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60" w:type="dxa"/>
            <w:vAlign w:val="bottom"/>
            <w:shd w:val="clear" w:color="auto" w:fill="E0E0E0"/>
          </w:tcPr>
          <w:p>
            <w:pPr>
              <w:jc w:val="right"/>
              <w:spacing w:after="0" w:line="236" w:lineRule="exact"/>
              <w:rPr>
                <w:sz w:val="20"/>
                <w:szCs w:val="20"/>
                <w:color w:val="auto"/>
              </w:rPr>
            </w:pPr>
            <w:r>
              <w:rPr>
                <w:rFonts w:ascii="Arial" w:cs="Arial" w:eastAsia="Arial" w:hAnsi="Arial"/>
                <w:sz w:val="21"/>
                <w:szCs w:val="21"/>
                <w:color w:val="auto"/>
              </w:rPr>
              <w:t>1,676</w:t>
            </w:r>
          </w:p>
        </w:tc>
        <w:tc>
          <w:tcPr>
            <w:tcW w:w="12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40" w:type="dxa"/>
            <w:vAlign w:val="bottom"/>
            <w:gridSpan w:val="2"/>
            <w:shd w:val="clear" w:color="auto" w:fill="E0E0E0"/>
          </w:tcPr>
          <w:p>
            <w:pPr>
              <w:jc w:val="right"/>
              <w:spacing w:after="0" w:line="236" w:lineRule="exact"/>
              <w:rPr>
                <w:sz w:val="20"/>
                <w:szCs w:val="20"/>
                <w:color w:val="auto"/>
              </w:rPr>
            </w:pPr>
            <w:r>
              <w:rPr>
                <w:rFonts w:ascii="Arial" w:cs="Arial" w:eastAsia="Arial" w:hAnsi="Arial"/>
                <w:sz w:val="21"/>
                <w:szCs w:val="21"/>
                <w:color w:val="auto"/>
              </w:rPr>
              <w:t>804</w:t>
            </w:r>
          </w:p>
        </w:tc>
      </w:tr>
      <w:tr>
        <w:trPr>
          <w:trHeight w:val="237"/>
        </w:trPr>
        <w:tc>
          <w:tcPr>
            <w:tcW w:w="4640" w:type="dxa"/>
            <w:vAlign w:val="bottom"/>
          </w:tcPr>
          <w:p>
            <w:pPr>
              <w:ind w:left="300"/>
              <w:spacing w:after="0" w:line="237" w:lineRule="exact"/>
              <w:rPr>
                <w:sz w:val="20"/>
                <w:szCs w:val="20"/>
                <w:color w:val="auto"/>
              </w:rPr>
            </w:pPr>
            <w:r>
              <w:rPr>
                <w:rFonts w:ascii="Arial" w:cs="Arial" w:eastAsia="Arial" w:hAnsi="Arial"/>
                <w:sz w:val="21"/>
                <w:szCs w:val="21"/>
                <w:color w:val="auto"/>
              </w:rPr>
              <w:t>Operating lease liability</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line="237" w:lineRule="exact"/>
              <w:rPr>
                <w:sz w:val="20"/>
                <w:szCs w:val="20"/>
                <w:color w:val="auto"/>
              </w:rPr>
            </w:pPr>
            <w:r>
              <w:rPr>
                <w:rFonts w:ascii="Arial" w:cs="Arial" w:eastAsia="Arial" w:hAnsi="Arial"/>
                <w:sz w:val="21"/>
                <w:szCs w:val="21"/>
                <w:color w:val="auto"/>
              </w:rPr>
              <w:t>404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426</w:t>
            </w:r>
          </w:p>
        </w:tc>
      </w:tr>
      <w:tr>
        <w:trPr>
          <w:trHeight w:val="237"/>
        </w:trPr>
        <w:tc>
          <w:tcPr>
            <w:tcW w:w="4640" w:type="dxa"/>
            <w:vAlign w:val="bottom"/>
            <w:shd w:val="clear" w:color="auto" w:fill="E0E0E0"/>
          </w:tcPr>
          <w:p>
            <w:pPr>
              <w:ind w:left="300"/>
              <w:spacing w:after="0" w:line="237" w:lineRule="exact"/>
              <w:rPr>
                <w:sz w:val="20"/>
                <w:szCs w:val="20"/>
                <w:color w:val="auto"/>
              </w:rPr>
            </w:pPr>
            <w:r>
              <w:rPr>
                <w:rFonts w:ascii="Arial" w:cs="Arial" w:eastAsia="Arial" w:hAnsi="Arial"/>
                <w:sz w:val="21"/>
                <w:szCs w:val="21"/>
                <w:color w:val="auto"/>
              </w:rPr>
              <w:t>Other</w:t>
            </w:r>
          </w:p>
        </w:tc>
        <w:tc>
          <w:tcPr>
            <w:tcW w:w="6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60" w:type="dxa"/>
            <w:vAlign w:val="bottom"/>
            <w:shd w:val="clear" w:color="auto" w:fill="E0E0E0"/>
          </w:tcPr>
          <w:p>
            <w:pPr>
              <w:jc w:val="right"/>
              <w:spacing w:after="0" w:line="237" w:lineRule="exact"/>
              <w:rPr>
                <w:sz w:val="20"/>
                <w:szCs w:val="20"/>
                <w:color w:val="auto"/>
              </w:rPr>
            </w:pPr>
            <w:r>
              <w:rPr>
                <w:rFonts w:ascii="Arial" w:cs="Arial" w:eastAsia="Arial" w:hAnsi="Arial"/>
                <w:sz w:val="21"/>
                <w:szCs w:val="21"/>
                <w:color w:val="auto"/>
              </w:rPr>
              <w:t>121</w:t>
            </w:r>
          </w:p>
        </w:tc>
        <w:tc>
          <w:tcPr>
            <w:tcW w:w="12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40" w:type="dxa"/>
            <w:vAlign w:val="bottom"/>
            <w:gridSpan w:val="2"/>
            <w:shd w:val="clear" w:color="auto" w:fill="E0E0E0"/>
          </w:tcPr>
          <w:p>
            <w:pPr>
              <w:jc w:val="right"/>
              <w:spacing w:after="0" w:line="237" w:lineRule="exact"/>
              <w:rPr>
                <w:sz w:val="20"/>
                <w:szCs w:val="20"/>
                <w:color w:val="auto"/>
              </w:rPr>
            </w:pPr>
            <w:r>
              <w:rPr>
                <w:rFonts w:ascii="Arial" w:cs="Arial" w:eastAsia="Arial" w:hAnsi="Arial"/>
                <w:sz w:val="21"/>
                <w:szCs w:val="21"/>
                <w:color w:val="auto"/>
              </w:rPr>
              <w:t>224</w:t>
            </w:r>
          </w:p>
        </w:tc>
      </w:tr>
      <w:tr>
        <w:trPr>
          <w:trHeight w:val="236"/>
        </w:trPr>
        <w:tc>
          <w:tcPr>
            <w:tcW w:w="4640" w:type="dxa"/>
            <w:vAlign w:val="bottom"/>
          </w:tcPr>
          <w:p>
            <w:pPr>
              <w:ind w:left="300"/>
              <w:spacing w:after="0" w:line="236" w:lineRule="exact"/>
              <w:rPr>
                <w:sz w:val="20"/>
                <w:szCs w:val="20"/>
                <w:color w:val="auto"/>
              </w:rPr>
            </w:pPr>
            <w:r>
              <w:rPr>
                <w:rFonts w:ascii="Arial" w:cs="Arial" w:eastAsia="Arial" w:hAnsi="Arial"/>
                <w:sz w:val="21"/>
                <w:szCs w:val="21"/>
                <w:color w:val="auto"/>
              </w:rPr>
              <w:t>Capitalized research and development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line="236" w:lineRule="exact"/>
              <w:rPr>
                <w:sz w:val="20"/>
                <w:szCs w:val="20"/>
                <w:color w:val="auto"/>
              </w:rPr>
            </w:pPr>
            <w:r>
              <w:rPr>
                <w:rFonts w:ascii="Arial" w:cs="Arial" w:eastAsia="Arial" w:hAnsi="Arial"/>
                <w:sz w:val="21"/>
                <w:szCs w:val="21"/>
                <w:color w:val="auto"/>
              </w:rPr>
              <w:t>10,729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spacing w:after="0" w:line="236" w:lineRule="exact"/>
              <w:rPr>
                <w:sz w:val="20"/>
                <w:szCs w:val="20"/>
                <w:color w:val="auto"/>
              </w:rPr>
            </w:pPr>
            <w:r>
              <w:rPr>
                <w:rFonts w:ascii="Arial" w:cs="Arial" w:eastAsia="Arial" w:hAnsi="Arial"/>
                <w:sz w:val="21"/>
                <w:szCs w:val="21"/>
                <w:color w:val="auto"/>
              </w:rPr>
              <w:t>—</w:t>
            </w:r>
          </w:p>
        </w:tc>
      </w:tr>
      <w:tr>
        <w:trPr>
          <w:trHeight w:val="20"/>
        </w:trPr>
        <w:tc>
          <w:tcPr>
            <w:tcW w:w="4640" w:type="dxa"/>
            <w:vAlign w:val="bottom"/>
            <w:shd w:val="clear" w:color="auto" w:fill="E0E0E0"/>
          </w:tcPr>
          <w:p>
            <w:pPr>
              <w:spacing w:after="0" w:line="20" w:lineRule="exact"/>
              <w:rPr>
                <w:sz w:val="1"/>
                <w:szCs w:val="1"/>
                <w:color w:val="auto"/>
              </w:rPr>
            </w:pPr>
          </w:p>
        </w:tc>
        <w:tc>
          <w:tcPr>
            <w:tcW w:w="60" w:type="dxa"/>
            <w:vAlign w:val="bottom"/>
            <w:tcBorders>
              <w:right w:val="single" w:sz="8" w:color="E0E0E0"/>
            </w:tcBorders>
            <w:shd w:val="clear" w:color="auto" w:fill="E0E0E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E0E0E0"/>
            </w:tcBorders>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r>
      <w:tr>
        <w:trPr>
          <w:trHeight w:val="247"/>
        </w:trPr>
        <w:tc>
          <w:tcPr>
            <w:tcW w:w="4640" w:type="dxa"/>
            <w:vAlign w:val="bottom"/>
            <w:shd w:val="clear" w:color="auto" w:fill="E0E0E0"/>
          </w:tcPr>
          <w:p>
            <w:pPr>
              <w:ind w:left="580"/>
              <w:spacing w:after="0" w:line="227" w:lineRule="exact"/>
              <w:rPr>
                <w:sz w:val="20"/>
                <w:szCs w:val="20"/>
                <w:color w:val="auto"/>
              </w:rPr>
            </w:pPr>
            <w:r>
              <w:rPr>
                <w:rFonts w:ascii="Arial" w:cs="Arial" w:eastAsia="Arial" w:hAnsi="Arial"/>
                <w:sz w:val="21"/>
                <w:szCs w:val="21"/>
                <w:color w:val="auto"/>
              </w:rPr>
              <w:t>Total deferred tax assets</w:t>
            </w:r>
          </w:p>
        </w:tc>
        <w:tc>
          <w:tcPr>
            <w:tcW w:w="60" w:type="dxa"/>
            <w:vAlign w:val="bottom"/>
            <w:tcBorders>
              <w:right w:val="single" w:sz="8" w:color="E0E0E0"/>
            </w:tcBorders>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760" w:type="dxa"/>
            <w:vAlign w:val="bottom"/>
            <w:shd w:val="clear" w:color="auto" w:fill="E0E0E0"/>
          </w:tcPr>
          <w:p>
            <w:pPr>
              <w:jc w:val="right"/>
              <w:spacing w:after="0" w:line="227" w:lineRule="exact"/>
              <w:rPr>
                <w:sz w:val="20"/>
                <w:szCs w:val="20"/>
                <w:color w:val="auto"/>
              </w:rPr>
            </w:pPr>
            <w:r>
              <w:rPr>
                <w:rFonts w:ascii="Arial" w:cs="Arial" w:eastAsia="Arial" w:hAnsi="Arial"/>
                <w:sz w:val="21"/>
                <w:szCs w:val="21"/>
                <w:color w:val="auto"/>
              </w:rPr>
              <w:t>44,021</w:t>
            </w:r>
          </w:p>
        </w:tc>
        <w:tc>
          <w:tcPr>
            <w:tcW w:w="120" w:type="dxa"/>
            <w:vAlign w:val="bottom"/>
            <w:tcBorders>
              <w:right w:val="single" w:sz="8" w:color="E0E0E0"/>
            </w:tcBorders>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840" w:type="dxa"/>
            <w:vAlign w:val="bottom"/>
            <w:gridSpan w:val="2"/>
            <w:shd w:val="clear" w:color="auto" w:fill="E0E0E0"/>
          </w:tcPr>
          <w:p>
            <w:pPr>
              <w:jc w:val="right"/>
              <w:spacing w:after="0" w:line="227" w:lineRule="exact"/>
              <w:rPr>
                <w:sz w:val="20"/>
                <w:szCs w:val="20"/>
                <w:color w:val="auto"/>
              </w:rPr>
            </w:pPr>
            <w:r>
              <w:rPr>
                <w:rFonts w:ascii="Arial" w:cs="Arial" w:eastAsia="Arial" w:hAnsi="Arial"/>
                <w:sz w:val="21"/>
                <w:szCs w:val="21"/>
                <w:color w:val="auto"/>
              </w:rPr>
              <w:t>23,555</w:t>
            </w:r>
          </w:p>
        </w:tc>
      </w:tr>
      <w:tr>
        <w:trPr>
          <w:trHeight w:val="207"/>
        </w:trPr>
        <w:tc>
          <w:tcPr>
            <w:tcW w:w="4640" w:type="dxa"/>
            <w:vAlign w:val="bottom"/>
            <w:tcBorders>
              <w:top w:val="single" w:sz="8" w:color="E0E0E0"/>
            </w:tcBorders>
          </w:tcPr>
          <w:p>
            <w:pPr>
              <w:spacing w:after="0" w:line="207" w:lineRule="exact"/>
              <w:rPr>
                <w:sz w:val="20"/>
                <w:szCs w:val="20"/>
                <w:color w:val="auto"/>
              </w:rPr>
            </w:pPr>
            <w:r>
              <w:rPr>
                <w:rFonts w:ascii="Arial" w:cs="Arial" w:eastAsia="Arial" w:hAnsi="Arial"/>
                <w:sz w:val="21"/>
                <w:szCs w:val="21"/>
                <w:color w:val="auto"/>
              </w:rPr>
              <w:t>Deferred tax liabilities:</w:t>
            </w:r>
          </w:p>
        </w:tc>
        <w:tc>
          <w:tcPr>
            <w:tcW w:w="60" w:type="dxa"/>
            <w:vAlign w:val="bottom"/>
            <w:tcBorders>
              <w:top w:val="single" w:sz="8" w:color="E0E0E0"/>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E0E0E0"/>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E0E0E0"/>
            </w:tcBorders>
          </w:tcPr>
          <w:p>
            <w:pPr>
              <w:spacing w:after="0"/>
              <w:rPr>
                <w:sz w:val="18"/>
                <w:szCs w:val="18"/>
                <w:color w:val="auto"/>
              </w:rPr>
            </w:pPr>
          </w:p>
        </w:tc>
      </w:tr>
      <w:tr>
        <w:trPr>
          <w:trHeight w:val="237"/>
        </w:trPr>
        <w:tc>
          <w:tcPr>
            <w:tcW w:w="4640" w:type="dxa"/>
            <w:vAlign w:val="bottom"/>
            <w:shd w:val="clear" w:color="auto" w:fill="E0E0E0"/>
          </w:tcPr>
          <w:p>
            <w:pPr>
              <w:ind w:left="300"/>
              <w:spacing w:after="0" w:line="237" w:lineRule="exact"/>
              <w:rPr>
                <w:sz w:val="20"/>
                <w:szCs w:val="20"/>
                <w:color w:val="auto"/>
              </w:rPr>
            </w:pPr>
            <w:r>
              <w:rPr>
                <w:rFonts w:ascii="Arial" w:cs="Arial" w:eastAsia="Arial" w:hAnsi="Arial"/>
                <w:sz w:val="21"/>
                <w:szCs w:val="21"/>
                <w:color w:val="auto"/>
              </w:rPr>
              <w:t>Right of use asset</w:t>
            </w:r>
          </w:p>
        </w:tc>
        <w:tc>
          <w:tcPr>
            <w:tcW w:w="6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80" w:type="dxa"/>
            <w:vAlign w:val="bottom"/>
            <w:tcBorders>
              <w:right w:val="single" w:sz="8" w:color="E0E0E0"/>
            </w:tcBorders>
            <w:gridSpan w:val="2"/>
            <w:shd w:val="clear" w:color="auto" w:fill="E0E0E0"/>
          </w:tcPr>
          <w:p>
            <w:pPr>
              <w:jc w:val="right"/>
              <w:spacing w:after="0" w:line="237" w:lineRule="exact"/>
              <w:rPr>
                <w:sz w:val="20"/>
                <w:szCs w:val="20"/>
                <w:color w:val="auto"/>
              </w:rPr>
            </w:pPr>
            <w:r>
              <w:rPr>
                <w:rFonts w:ascii="Arial" w:cs="Arial" w:eastAsia="Arial" w:hAnsi="Arial"/>
                <w:sz w:val="21"/>
                <w:szCs w:val="21"/>
                <w:color w:val="auto"/>
              </w:rPr>
              <w:t>(267)</w:t>
            </w:r>
          </w:p>
        </w:tc>
        <w:tc>
          <w:tcPr>
            <w:tcW w:w="160" w:type="dxa"/>
            <w:vAlign w:val="bottom"/>
            <w:shd w:val="clear" w:color="auto" w:fill="E0E0E0"/>
          </w:tcPr>
          <w:p>
            <w:pPr>
              <w:spacing w:after="0"/>
              <w:rPr>
                <w:sz w:val="20"/>
                <w:szCs w:val="20"/>
                <w:color w:val="auto"/>
              </w:rPr>
            </w:pPr>
          </w:p>
        </w:tc>
        <w:tc>
          <w:tcPr>
            <w:tcW w:w="840" w:type="dxa"/>
            <w:vAlign w:val="bottom"/>
            <w:gridSpan w:val="2"/>
            <w:shd w:val="clear" w:color="auto" w:fill="E0E0E0"/>
          </w:tcPr>
          <w:p>
            <w:pPr>
              <w:jc w:val="right"/>
              <w:spacing w:after="0" w:line="237" w:lineRule="exact"/>
              <w:rPr>
                <w:sz w:val="20"/>
                <w:szCs w:val="20"/>
                <w:color w:val="auto"/>
              </w:rPr>
            </w:pPr>
            <w:r>
              <w:rPr>
                <w:rFonts w:ascii="Arial" w:cs="Arial" w:eastAsia="Arial" w:hAnsi="Arial"/>
                <w:sz w:val="21"/>
                <w:szCs w:val="21"/>
                <w:color w:val="auto"/>
              </w:rPr>
              <w:t>(324)</w:t>
            </w:r>
          </w:p>
        </w:tc>
      </w:tr>
      <w:tr>
        <w:trPr>
          <w:trHeight w:val="237"/>
        </w:trPr>
        <w:tc>
          <w:tcPr>
            <w:tcW w:w="4640" w:type="dxa"/>
            <w:vAlign w:val="bottom"/>
          </w:tcPr>
          <w:p>
            <w:pPr>
              <w:ind w:left="300"/>
              <w:spacing w:after="0" w:line="237" w:lineRule="exact"/>
              <w:rPr>
                <w:sz w:val="20"/>
                <w:szCs w:val="20"/>
                <w:color w:val="auto"/>
              </w:rPr>
            </w:pPr>
            <w:r>
              <w:rPr>
                <w:rFonts w:ascii="Arial" w:cs="Arial" w:eastAsia="Arial" w:hAnsi="Arial"/>
                <w:sz w:val="21"/>
                <w:szCs w:val="21"/>
                <w:color w:val="auto"/>
              </w:rPr>
              <w:t>Prepaid expenses and other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(475)</w:t>
            </w:r>
          </w:p>
        </w:tc>
        <w:tc>
          <w:tcPr>
            <w:tcW w:w="160" w:type="dxa"/>
            <w:vAlign w:val="bottom"/>
          </w:tcPr>
          <w:p>
            <w:pPr>
              <w:spacing w:after="0"/>
              <w:rPr>
                <w:sz w:val="20"/>
                <w:szCs w:val="20"/>
                <w:color w:val="auto"/>
              </w:rPr>
            </w:pPr>
          </w:p>
        </w:tc>
        <w:tc>
          <w:tcPr>
            <w:tcW w:w="840" w:type="dxa"/>
            <w:vAlign w:val="bottom"/>
            <w:gridSpan w:val="2"/>
          </w:tcPr>
          <w:p>
            <w:pPr>
              <w:jc w:val="right"/>
              <w:spacing w:after="0" w:line="237" w:lineRule="exact"/>
              <w:rPr>
                <w:sz w:val="20"/>
                <w:szCs w:val="20"/>
                <w:color w:val="auto"/>
              </w:rPr>
            </w:pPr>
            <w:r>
              <w:rPr>
                <w:rFonts w:ascii="Arial" w:cs="Arial" w:eastAsia="Arial" w:hAnsi="Arial"/>
                <w:sz w:val="21"/>
                <w:szCs w:val="21"/>
                <w:color w:val="auto"/>
              </w:rPr>
              <w:t>(664)</w:t>
            </w:r>
          </w:p>
        </w:tc>
      </w:tr>
      <w:tr>
        <w:trPr>
          <w:trHeight w:val="236"/>
        </w:trPr>
        <w:tc>
          <w:tcPr>
            <w:tcW w:w="4640" w:type="dxa"/>
            <w:vAlign w:val="bottom"/>
            <w:shd w:val="clear" w:color="auto" w:fill="E0E0E0"/>
          </w:tcPr>
          <w:p>
            <w:pPr>
              <w:ind w:left="300"/>
              <w:spacing w:after="0" w:line="236" w:lineRule="exact"/>
              <w:rPr>
                <w:sz w:val="20"/>
                <w:szCs w:val="20"/>
                <w:color w:val="auto"/>
              </w:rPr>
            </w:pPr>
            <w:r>
              <w:rPr>
                <w:rFonts w:ascii="Arial" w:cs="Arial" w:eastAsia="Arial" w:hAnsi="Arial"/>
                <w:sz w:val="21"/>
                <w:szCs w:val="21"/>
                <w:color w:val="auto"/>
              </w:rPr>
              <w:t>Unrealized gain (loss)</w:t>
            </w:r>
          </w:p>
        </w:tc>
        <w:tc>
          <w:tcPr>
            <w:tcW w:w="6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80" w:type="dxa"/>
            <w:vAlign w:val="bottom"/>
            <w:tcBorders>
              <w:right w:val="single" w:sz="8" w:color="E0E0E0"/>
            </w:tcBorders>
            <w:gridSpan w:val="2"/>
            <w:shd w:val="clear" w:color="auto" w:fill="E0E0E0"/>
          </w:tcPr>
          <w:p>
            <w:pPr>
              <w:jc w:val="right"/>
              <w:spacing w:after="0" w:line="236" w:lineRule="exact"/>
              <w:rPr>
                <w:sz w:val="20"/>
                <w:szCs w:val="20"/>
                <w:color w:val="auto"/>
              </w:rPr>
            </w:pPr>
            <w:r>
              <w:rPr>
                <w:rFonts w:ascii="Arial" w:cs="Arial" w:eastAsia="Arial" w:hAnsi="Arial"/>
                <w:sz w:val="21"/>
                <w:szCs w:val="21"/>
                <w:color w:val="auto"/>
              </w:rPr>
              <w:t>(294)</w:t>
            </w:r>
          </w:p>
        </w:tc>
        <w:tc>
          <w:tcPr>
            <w:tcW w:w="1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27"/>
        </w:trPr>
        <w:tc>
          <w:tcPr>
            <w:tcW w:w="4640" w:type="dxa"/>
            <w:vAlign w:val="bottom"/>
            <w:tcBorders>
              <w:bottom w:val="single" w:sz="8" w:color="E0E0E0"/>
            </w:tcBorders>
          </w:tcPr>
          <w:p>
            <w:pPr>
              <w:ind w:left="580"/>
              <w:spacing w:after="0" w:line="227" w:lineRule="exact"/>
              <w:rPr>
                <w:sz w:val="20"/>
                <w:szCs w:val="20"/>
                <w:color w:val="auto"/>
              </w:rPr>
            </w:pPr>
            <w:r>
              <w:rPr>
                <w:rFonts w:ascii="Arial" w:cs="Arial" w:eastAsia="Arial" w:hAnsi="Arial"/>
                <w:sz w:val="21"/>
                <w:szCs w:val="21"/>
                <w:color w:val="auto"/>
              </w:rPr>
              <w:t>Total deferred tax liabilities</w:t>
            </w:r>
          </w:p>
        </w:tc>
        <w:tc>
          <w:tcPr>
            <w:tcW w:w="60" w:type="dxa"/>
            <w:vAlign w:val="bottom"/>
            <w:tcBorders>
              <w:bottom w:val="single" w:sz="8" w:color="E0E0E0"/>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(1,036</w:t>
            </w:r>
          </w:p>
        </w:tc>
        <w:tc>
          <w:tcPr>
            <w:tcW w:w="120" w:type="dxa"/>
            <w:vAlign w:val="bottom"/>
            <w:tcBorders>
              <w:bottom w:val="single" w:sz="8" w:color="E0E0E0"/>
            </w:tcBorders>
          </w:tcPr>
          <w:p>
            <w:pPr>
              <w:jc w:val="center"/>
              <w:spacing w:after="0" w:line="227" w:lineRule="exact"/>
              <w:rPr>
                <w:sz w:val="20"/>
                <w:szCs w:val="20"/>
                <w:color w:val="auto"/>
              </w:rPr>
            </w:pPr>
            <w:r>
              <w:rPr>
                <w:rFonts w:ascii="Arial" w:cs="Arial" w:eastAsia="Arial" w:hAnsi="Arial"/>
                <w:sz w:val="21"/>
                <w:szCs w:val="21"/>
                <w:color w:val="auto"/>
                <w:w w:val="85"/>
              </w:rPr>
              <w:t>)</w:t>
            </w: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7" w:lineRule="exact"/>
              <w:rPr>
                <w:sz w:val="20"/>
                <w:szCs w:val="20"/>
                <w:color w:val="auto"/>
              </w:rPr>
            </w:pPr>
            <w:r>
              <w:rPr>
                <w:rFonts w:ascii="Arial" w:cs="Arial" w:eastAsia="Arial" w:hAnsi="Arial"/>
                <w:sz w:val="21"/>
                <w:szCs w:val="21"/>
                <w:color w:val="auto"/>
              </w:rPr>
              <w:t>(988</w:t>
            </w:r>
          </w:p>
        </w:tc>
        <w:tc>
          <w:tcPr>
            <w:tcW w:w="80" w:type="dxa"/>
            <w:vAlign w:val="bottom"/>
            <w:tcBorders>
              <w:bottom w:val="single" w:sz="8" w:color="E0E0E0"/>
            </w:tcBorders>
          </w:tcPr>
          <w:p>
            <w:pPr>
              <w:jc w:val="right"/>
              <w:spacing w:after="0" w:line="227" w:lineRule="exact"/>
              <w:rPr>
                <w:sz w:val="20"/>
                <w:szCs w:val="20"/>
                <w:color w:val="auto"/>
              </w:rPr>
            </w:pPr>
            <w:r>
              <w:rPr>
                <w:rFonts w:ascii="Arial" w:cs="Arial" w:eastAsia="Arial" w:hAnsi="Arial"/>
                <w:sz w:val="21"/>
                <w:szCs w:val="21"/>
                <w:color w:val="auto"/>
                <w:w w:val="85"/>
              </w:rPr>
              <w:t>)</w:t>
            </w:r>
          </w:p>
        </w:tc>
      </w:tr>
      <w:tr>
        <w:trPr>
          <w:trHeight w:val="227"/>
        </w:trPr>
        <w:tc>
          <w:tcPr>
            <w:tcW w:w="4640" w:type="dxa"/>
            <w:vAlign w:val="bottom"/>
            <w:shd w:val="clear" w:color="auto" w:fill="E0E0E0"/>
          </w:tcPr>
          <w:p>
            <w:pPr>
              <w:spacing w:after="0" w:line="227" w:lineRule="exact"/>
              <w:rPr>
                <w:sz w:val="20"/>
                <w:szCs w:val="20"/>
                <w:color w:val="auto"/>
              </w:rPr>
            </w:pPr>
            <w:r>
              <w:rPr>
                <w:rFonts w:ascii="Arial" w:cs="Arial" w:eastAsia="Arial" w:hAnsi="Arial"/>
                <w:sz w:val="21"/>
                <w:szCs w:val="21"/>
                <w:color w:val="auto"/>
              </w:rPr>
              <w:t>Less valuation allowance</w:t>
            </w:r>
          </w:p>
        </w:tc>
        <w:tc>
          <w:tcPr>
            <w:tcW w:w="6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880" w:type="dxa"/>
            <w:vAlign w:val="bottom"/>
            <w:tcBorders>
              <w:right w:val="single" w:sz="8" w:color="E0E0E0"/>
            </w:tcBorders>
            <w:gridSpan w:val="2"/>
            <w:shd w:val="clear" w:color="auto" w:fill="E0E0E0"/>
          </w:tcPr>
          <w:p>
            <w:pPr>
              <w:jc w:val="right"/>
              <w:spacing w:after="0" w:line="227" w:lineRule="exact"/>
              <w:rPr>
                <w:sz w:val="20"/>
                <w:szCs w:val="20"/>
                <w:color w:val="auto"/>
              </w:rPr>
            </w:pPr>
            <w:r>
              <w:rPr>
                <w:rFonts w:ascii="Arial" w:cs="Arial" w:eastAsia="Arial" w:hAnsi="Arial"/>
                <w:sz w:val="21"/>
                <w:szCs w:val="21"/>
                <w:color w:val="auto"/>
                <w:shd w:val="clear" w:color="auto" w:fill="E0E0E0"/>
              </w:rPr>
              <w:t>(42,985)</w:t>
            </w:r>
          </w:p>
        </w:tc>
        <w:tc>
          <w:tcPr>
            <w:tcW w:w="160" w:type="dxa"/>
            <w:vAlign w:val="bottom"/>
            <w:shd w:val="clear" w:color="auto" w:fill="E0E0E0"/>
          </w:tcPr>
          <w:p>
            <w:pPr>
              <w:spacing w:after="0"/>
              <w:rPr>
                <w:sz w:val="19"/>
                <w:szCs w:val="19"/>
                <w:color w:val="auto"/>
              </w:rPr>
            </w:pPr>
          </w:p>
        </w:tc>
        <w:tc>
          <w:tcPr>
            <w:tcW w:w="840" w:type="dxa"/>
            <w:vAlign w:val="bottom"/>
            <w:gridSpan w:val="2"/>
            <w:shd w:val="clear" w:color="auto" w:fill="E0E0E0"/>
          </w:tcPr>
          <w:p>
            <w:pPr>
              <w:jc w:val="right"/>
              <w:spacing w:after="0" w:line="227" w:lineRule="exact"/>
              <w:rPr>
                <w:sz w:val="20"/>
                <w:szCs w:val="20"/>
                <w:color w:val="auto"/>
              </w:rPr>
            </w:pPr>
            <w:r>
              <w:rPr>
                <w:rFonts w:ascii="Arial" w:cs="Arial" w:eastAsia="Arial" w:hAnsi="Arial"/>
                <w:sz w:val="21"/>
                <w:szCs w:val="21"/>
                <w:color w:val="auto"/>
                <w:shd w:val="clear" w:color="auto" w:fill="E0E0E0"/>
              </w:rPr>
              <w:t>(22,567)</w:t>
            </w:r>
          </w:p>
        </w:tc>
      </w:tr>
      <w:tr>
        <w:trPr>
          <w:trHeight w:val="230"/>
        </w:trPr>
        <w:tc>
          <w:tcPr>
            <w:tcW w:w="4640" w:type="dxa"/>
            <w:vAlign w:val="bottom"/>
          </w:tcPr>
          <w:p>
            <w:pPr>
              <w:ind w:left="580"/>
              <w:spacing w:after="0" w:line="230" w:lineRule="exact"/>
              <w:rPr>
                <w:sz w:val="20"/>
                <w:szCs w:val="20"/>
                <w:color w:val="auto"/>
              </w:rPr>
            </w:pPr>
            <w:r>
              <w:rPr>
                <w:rFonts w:ascii="Arial" w:cs="Arial" w:eastAsia="Arial" w:hAnsi="Arial"/>
                <w:sz w:val="21"/>
                <w:szCs w:val="21"/>
                <w:color w:val="auto"/>
              </w:rPr>
              <w:t>Net deferred tax assets</w:t>
            </w: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spacing w:after="0" w:line="230" w:lineRule="exact"/>
              <w:rPr>
                <w:sz w:val="20"/>
                <w:szCs w:val="20"/>
                <w:color w:val="auto"/>
              </w:rPr>
            </w:pPr>
            <w:r>
              <w:rPr>
                <w:rFonts w:ascii="Arial" w:cs="Arial" w:eastAsia="Arial" w:hAnsi="Arial"/>
                <w:sz w:val="21"/>
                <w:szCs w:val="21"/>
                <w:color w:val="auto"/>
                <w:w w:val="85"/>
              </w:rPr>
              <w:t>$</w:t>
            </w:r>
          </w:p>
        </w:tc>
        <w:tc>
          <w:tcPr>
            <w:tcW w:w="760" w:type="dxa"/>
            <w:vAlign w:val="bottom"/>
            <w:tcBorders>
              <w:top w:val="single" w:sz="8" w:color="auto"/>
            </w:tcBorders>
          </w:tcPr>
          <w:p>
            <w:pPr>
              <w:jc w:val="right"/>
              <w:spacing w:after="0" w:line="230" w:lineRule="exact"/>
              <w:rPr>
                <w:sz w:val="20"/>
                <w:szCs w:val="20"/>
                <w:color w:val="auto"/>
              </w:rPr>
            </w:pPr>
            <w:r>
              <w:rPr>
                <w:rFonts w:ascii="Arial" w:cs="Arial" w:eastAsia="Arial" w:hAnsi="Arial"/>
                <w:sz w:val="21"/>
                <w:szCs w:val="21"/>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Borders>
              <w:top w:val="single" w:sz="8" w:color="auto"/>
            </w:tcBorders>
          </w:tcPr>
          <w:p>
            <w:pPr>
              <w:jc w:val="right"/>
              <w:spacing w:after="0" w:line="230" w:lineRule="exact"/>
              <w:rPr>
                <w:sz w:val="20"/>
                <w:szCs w:val="20"/>
                <w:color w:val="auto"/>
              </w:rPr>
            </w:pPr>
            <w:r>
              <w:rPr>
                <w:rFonts w:ascii="Arial" w:cs="Arial" w:eastAsia="Arial" w:hAnsi="Arial"/>
                <w:sz w:val="21"/>
                <w:szCs w:val="21"/>
                <w:color w:val="auto"/>
              </w:rPr>
              <w:t>—</w:t>
            </w:r>
          </w:p>
        </w:tc>
        <w:tc>
          <w:tcPr>
            <w:tcW w:w="8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917575</wp:posOffset>
                </wp:positionH>
                <wp:positionV relativeFrom="paragraph">
                  <wp:posOffset>-1105535</wp:posOffset>
                </wp:positionV>
                <wp:extent cx="298323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323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25pt,-87.0499pt" to="307.15pt,-87.04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4495165</wp:posOffset>
                </wp:positionH>
                <wp:positionV relativeFrom="paragraph">
                  <wp:posOffset>-1105535</wp:posOffset>
                </wp:positionV>
                <wp:extent cx="7048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95pt,-87.0499pt" to="359.5pt,-87.04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5159375</wp:posOffset>
                </wp:positionH>
                <wp:positionV relativeFrom="paragraph">
                  <wp:posOffset>-1105535</wp:posOffset>
                </wp:positionV>
                <wp:extent cx="4381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1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25pt,-87.0499pt" to="409.7pt,-87.0499pt" o:allowincell="f" strokecolor="#FFFFFF" strokeweight="0.494pt"/>
            </w:pict>
          </mc:Fallback>
        </mc:AlternateContent>
      </w:r>
    </w:p>
    <w:p>
      <w:pPr>
        <w:spacing w:after="0" w:line="238"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0"/>
          <w:szCs w:val="20"/>
          <w:color w:val="212121"/>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2022, the Company has recorded a full valuation allowance on its net deferred tax assets as the Company has concluded that it is not more likely than not that such losses or credits will be utilized. The valuation allowance increased by $20.4 million and $13.5 million during 2022 and 2021, respectively.</w:t>
      </w:r>
    </w:p>
    <w:p>
      <w:pPr>
        <w:spacing w:after="0" w:line="198"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212121"/>
        </w:rPr>
        <w:t>At December 31, 2022, the Company has federal net operating loss and tax credit carryforwards of $9.5 million and $5.6 million, respectively, which expire over a period of 9 to 15 years. Net operating loss carryforwards of $104.4 million were generated after 2017, and therefore do not expire. As of December 31, 2022, the Company also had state net operating loss carryforwards of $2.7 million, which expire over a period of 19 to 20 years.</w:t>
      </w:r>
    </w:p>
    <w:p>
      <w:pPr>
        <w:spacing w:after="0" w:line="205"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212121"/>
        </w:rPr>
        <w:t>The Tax Cuts and Jobs Act contained a provision which requires the capitalization of Section 174 costs incurred in years beginning on or after January 1, 2022. Section 174 costs are expenditures which represent research and development costs that are incident to the development or improvement of a product, process, formula, invention, computer software, or technique. This provision changes the treatment of Section 174 costs such that the expenditures are no longer allowed as an immediate deduction but rather must be capitalized and amortized. We have included the impact of this provision, which results in a deferred tax asset of approximately $10.7 million as of December 31, 2022.</w:t>
      </w:r>
    </w:p>
    <w:p>
      <w:pPr>
        <w:spacing w:after="0" w:line="335" w:lineRule="exact"/>
        <w:rPr>
          <w:sz w:val="20"/>
          <w:szCs w:val="20"/>
          <w:color w:val="auto"/>
        </w:rPr>
      </w:pPr>
    </w:p>
    <w:p>
      <w:pPr>
        <w:ind w:left="740"/>
        <w:spacing w:after="0"/>
        <w:rPr>
          <w:sz w:val="20"/>
          <w:szCs w:val="20"/>
          <w:color w:val="auto"/>
        </w:rPr>
      </w:pPr>
      <w:r>
        <w:rPr>
          <w:rFonts w:ascii="Arial" w:cs="Arial" w:eastAsia="Arial" w:hAnsi="Arial"/>
          <w:sz w:val="21"/>
          <w:szCs w:val="21"/>
          <w:b w:val="1"/>
          <w:bCs w:val="1"/>
          <w:i w:val="1"/>
          <w:iCs w:val="1"/>
          <w:color w:val="212121"/>
        </w:rPr>
        <w:t>Uncertain Tax Positions</w:t>
      </w:r>
    </w:p>
    <w:p>
      <w:pPr>
        <w:spacing w:after="0" w:line="115"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0"/>
          <w:szCs w:val="20"/>
          <w:color w:val="212121"/>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154</w:t>
      </w:r>
    </w:p>
    <w:p>
      <w:pPr>
        <w:sectPr>
          <w:pgSz w:w="12240" w:h="15840" w:orient="portrait"/>
          <w:cols w:equalWidth="0" w:num="1">
            <w:col w:w="9640"/>
          </w:cols>
          <w:pgMar w:left="1300" w:top="1440" w:right="1300" w:bottom="0" w:gutter="0" w:footer="0" w:header="0"/>
        </w:sectPr>
      </w:pPr>
    </w:p>
    <w:bookmarkStart w:id="160" w:name="page161"/>
    <w:bookmarkEnd w:id="160"/>
    <w:p>
      <w:pPr>
        <w:jc w:val="both"/>
        <w:spacing w:after="0" w:line="271" w:lineRule="auto"/>
        <w:rPr>
          <w:sz w:val="20"/>
          <w:szCs w:val="20"/>
          <w:color w:val="auto"/>
        </w:rPr>
      </w:pPr>
      <w:r>
        <w:rPr>
          <w:rFonts w:ascii="Arial" w:cs="Arial" w:eastAsia="Arial" w:hAnsi="Arial"/>
          <w:sz w:val="21"/>
          <w:szCs w:val="21"/>
          <w:color w:val="212121"/>
        </w:rPr>
        <w:t>were generated and carried forward and may make adjustments to the amount of the net operating loss or credit carryforward amount. The Company is not currently under examination in any jurisdiction.</w:t>
      </w:r>
    </w:p>
    <w:p>
      <w:pPr>
        <w:spacing w:after="0" w:line="175" w:lineRule="exact"/>
        <w:rPr>
          <w:sz w:val="20"/>
          <w:szCs w:val="20"/>
          <w:color w:val="auto"/>
        </w:rPr>
      </w:pPr>
    </w:p>
    <w:p>
      <w:pPr>
        <w:jc w:val="both"/>
        <w:ind w:firstLine="504"/>
        <w:spacing w:after="0" w:line="272" w:lineRule="auto"/>
        <w:rPr>
          <w:sz w:val="20"/>
          <w:szCs w:val="20"/>
          <w:color w:val="auto"/>
        </w:rPr>
      </w:pPr>
      <w:r>
        <w:rPr>
          <w:rFonts w:ascii="Arial" w:cs="Arial" w:eastAsia="Arial" w:hAnsi="Arial"/>
          <w:sz w:val="21"/>
          <w:szCs w:val="21"/>
          <w:color w:val="212121"/>
        </w:rPr>
        <w:t>A reconciliation of the beginning and ending amount of unrecognized tax benefits for uncertain tax positions were as follows (in thousands):</w:t>
      </w:r>
    </w:p>
    <w:p>
      <w:pPr>
        <w:spacing w:after="0" w:line="164" w:lineRule="exact"/>
        <w:rPr>
          <w:sz w:val="20"/>
          <w:szCs w:val="20"/>
          <w:color w:val="auto"/>
        </w:rPr>
      </w:pPr>
    </w:p>
    <w:tbl>
      <w:tblPr>
        <w:tblLayout w:type="fixed"/>
        <w:tblInd w:w="144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7"/>
          </w:tcPr>
          <w:p>
            <w:pPr>
              <w:jc w:val="right"/>
              <w:ind w:right="620"/>
              <w:spacing w:after="0"/>
              <w:rPr>
                <w:sz w:val="20"/>
                <w:szCs w:val="20"/>
                <w:color w:val="auto"/>
              </w:rPr>
            </w:pPr>
            <w:r>
              <w:rPr>
                <w:rFonts w:ascii="Arial" w:cs="Arial" w:eastAsia="Arial" w:hAnsi="Arial"/>
                <w:sz w:val="16"/>
                <w:szCs w:val="16"/>
                <w:b w:val="1"/>
                <w:bCs w:val="1"/>
                <w:color w:val="auto"/>
              </w:rPr>
              <w:t>Year Ended</w:t>
            </w:r>
          </w:p>
        </w:tc>
      </w:tr>
      <w:tr>
        <w:trPr>
          <w:trHeight w:val="207"/>
        </w:trPr>
        <w:tc>
          <w:tcPr>
            <w:tcW w:w="4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7"/>
          </w:tcPr>
          <w:p>
            <w:pPr>
              <w:jc w:val="right"/>
              <w:ind w:right="540"/>
              <w:spacing w:after="0"/>
              <w:rPr>
                <w:sz w:val="20"/>
                <w:szCs w:val="20"/>
                <w:color w:val="auto"/>
              </w:rPr>
            </w:pPr>
            <w:r>
              <w:rPr>
                <w:rFonts w:ascii="Arial" w:cs="Arial" w:eastAsia="Arial" w:hAnsi="Arial"/>
                <w:sz w:val="16"/>
                <w:szCs w:val="16"/>
                <w:b w:val="1"/>
                <w:bCs w:val="1"/>
                <w:color w:val="auto"/>
              </w:rPr>
              <w:t>December 31,</w:t>
            </w:r>
          </w:p>
        </w:tc>
      </w:tr>
      <w:tr>
        <w:trPr>
          <w:trHeight w:val="180"/>
        </w:trPr>
        <w:tc>
          <w:tcPr>
            <w:tcW w:w="4660" w:type="dxa"/>
            <w:vAlign w:val="bottom"/>
            <w:tcBorders>
              <w:bottom w:val="single" w:sz="8" w:color="E0E0E0"/>
            </w:tcBorders>
          </w:tcPr>
          <w:p>
            <w:pPr>
              <w:spacing w:after="0"/>
              <w:rPr>
                <w:sz w:val="15"/>
                <w:szCs w:val="15"/>
                <w:color w:val="auto"/>
              </w:rPr>
            </w:pPr>
          </w:p>
        </w:tc>
        <w:tc>
          <w:tcPr>
            <w:tcW w:w="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86"/>
              <w:spacing w:after="0" w:line="181" w:lineRule="exact"/>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bottom w:val="single" w:sz="8" w:color="E0E0E0"/>
            </w:tcBorders>
          </w:tcPr>
          <w:p>
            <w:pPr>
              <w:spacing w:after="0"/>
              <w:rPr>
                <w:sz w:val="15"/>
                <w:szCs w:val="15"/>
                <w:color w:val="auto"/>
              </w:rPr>
            </w:pPr>
          </w:p>
        </w:tc>
        <w:tc>
          <w:tcPr>
            <w:tcW w:w="80" w:type="dxa"/>
            <w:vAlign w:val="bottom"/>
            <w:tcBorders>
              <w:top w:val="single" w:sz="8" w:color="auto"/>
              <w:bottom w:val="single" w:sz="8" w:color="E0E0E0"/>
            </w:tcBorders>
          </w:tcPr>
          <w:p>
            <w:pPr>
              <w:spacing w:after="0"/>
              <w:rPr>
                <w:sz w:val="15"/>
                <w:szCs w:val="15"/>
                <w:color w:val="auto"/>
              </w:rPr>
            </w:pPr>
          </w:p>
        </w:tc>
        <w:tc>
          <w:tcPr>
            <w:tcW w:w="20" w:type="dxa"/>
            <w:vAlign w:val="bottom"/>
            <w:tcBorders>
              <w:top w:val="single" w:sz="8" w:color="auto"/>
              <w:bottom w:val="single" w:sz="8" w:color="E0E0E0"/>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81"/>
              <w:spacing w:after="0" w:line="181" w:lineRule="exact"/>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E0E0E0"/>
            </w:tcBorders>
          </w:tcPr>
          <w:p>
            <w:pPr>
              <w:spacing w:after="0"/>
              <w:rPr>
                <w:sz w:val="15"/>
                <w:szCs w:val="15"/>
                <w:color w:val="auto"/>
              </w:rPr>
            </w:pPr>
          </w:p>
        </w:tc>
      </w:tr>
      <w:tr>
        <w:trPr>
          <w:trHeight w:val="227"/>
        </w:trPr>
        <w:tc>
          <w:tcPr>
            <w:tcW w:w="4660" w:type="dxa"/>
            <w:vAlign w:val="bottom"/>
            <w:shd w:val="clear" w:color="auto" w:fill="E0E0E0"/>
          </w:tcPr>
          <w:p>
            <w:pPr>
              <w:spacing w:after="0" w:line="227" w:lineRule="exact"/>
              <w:rPr>
                <w:sz w:val="20"/>
                <w:szCs w:val="20"/>
                <w:color w:val="auto"/>
              </w:rPr>
            </w:pPr>
            <w:r>
              <w:rPr>
                <w:rFonts w:ascii="Arial" w:cs="Arial" w:eastAsia="Arial" w:hAnsi="Arial"/>
                <w:sz w:val="21"/>
                <w:szCs w:val="21"/>
                <w:color w:val="auto"/>
              </w:rPr>
              <w:t>Beginning balance</w:t>
            </w:r>
          </w:p>
        </w:tc>
        <w:tc>
          <w:tcPr>
            <w:tcW w:w="240" w:type="dxa"/>
            <w:vAlign w:val="bottom"/>
            <w:gridSpan w:val="3"/>
            <w:shd w:val="clear" w:color="auto" w:fill="E0E0E0"/>
          </w:tcPr>
          <w:p>
            <w:pPr>
              <w:jc w:val="right"/>
              <w:spacing w:after="0" w:line="227" w:lineRule="exact"/>
              <w:rPr>
                <w:sz w:val="20"/>
                <w:szCs w:val="20"/>
                <w:color w:val="auto"/>
              </w:rPr>
            </w:pPr>
            <w:r>
              <w:rPr>
                <w:rFonts w:ascii="Arial" w:cs="Arial" w:eastAsia="Arial" w:hAnsi="Arial"/>
                <w:sz w:val="21"/>
                <w:szCs w:val="21"/>
                <w:color w:val="auto"/>
              </w:rPr>
              <w:t>$</w:t>
            </w:r>
          </w:p>
        </w:tc>
        <w:tc>
          <w:tcPr>
            <w:tcW w:w="760" w:type="dxa"/>
            <w:vAlign w:val="bottom"/>
            <w:gridSpan w:val="2"/>
            <w:shd w:val="clear" w:color="auto" w:fill="E0E0E0"/>
          </w:tcPr>
          <w:p>
            <w:pPr>
              <w:jc w:val="right"/>
              <w:ind w:right="20"/>
              <w:spacing w:after="0" w:line="227" w:lineRule="exact"/>
              <w:rPr>
                <w:sz w:val="20"/>
                <w:szCs w:val="20"/>
                <w:color w:val="auto"/>
              </w:rPr>
            </w:pPr>
            <w:r>
              <w:rPr>
                <w:rFonts w:ascii="Arial" w:cs="Arial" w:eastAsia="Arial" w:hAnsi="Arial"/>
                <w:sz w:val="21"/>
                <w:szCs w:val="21"/>
                <w:color w:val="auto"/>
              </w:rPr>
              <w:t>722</w:t>
            </w:r>
          </w:p>
        </w:tc>
        <w:tc>
          <w:tcPr>
            <w:tcW w:w="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8" w:lineRule="exact"/>
              <w:rPr>
                <w:sz w:val="20"/>
                <w:szCs w:val="20"/>
                <w:color w:val="auto"/>
              </w:rPr>
            </w:pPr>
            <w:r>
              <w:rPr>
                <w:rFonts w:ascii="Arial" w:cs="Arial" w:eastAsia="Arial" w:hAnsi="Arial"/>
                <w:sz w:val="20"/>
                <w:szCs w:val="20"/>
                <w:color w:val="auto"/>
                <w:w w:val="71"/>
              </w:rPr>
              <w:t>$</w:t>
            </w:r>
          </w:p>
        </w:tc>
        <w:tc>
          <w:tcPr>
            <w:tcW w:w="900" w:type="dxa"/>
            <w:vAlign w:val="bottom"/>
            <w:gridSpan w:val="2"/>
            <w:shd w:val="clear" w:color="auto" w:fill="E0E0E0"/>
          </w:tcPr>
          <w:p>
            <w:pPr>
              <w:jc w:val="right"/>
              <w:ind w:right="80"/>
              <w:spacing w:after="0" w:line="227" w:lineRule="exact"/>
              <w:rPr>
                <w:sz w:val="20"/>
                <w:szCs w:val="20"/>
                <w:color w:val="auto"/>
              </w:rPr>
            </w:pPr>
            <w:r>
              <w:rPr>
                <w:rFonts w:ascii="Arial" w:cs="Arial" w:eastAsia="Arial" w:hAnsi="Arial"/>
                <w:sz w:val="21"/>
                <w:szCs w:val="21"/>
                <w:color w:val="auto"/>
              </w:rPr>
              <w:t>337</w:t>
            </w:r>
          </w:p>
        </w:tc>
      </w:tr>
      <w:tr>
        <w:trPr>
          <w:trHeight w:val="217"/>
        </w:trPr>
        <w:tc>
          <w:tcPr>
            <w:tcW w:w="4660" w:type="dxa"/>
            <w:vAlign w:val="bottom"/>
          </w:tcPr>
          <w:p>
            <w:pPr>
              <w:spacing w:after="0" w:line="217" w:lineRule="exact"/>
              <w:rPr>
                <w:sz w:val="20"/>
                <w:szCs w:val="20"/>
                <w:color w:val="auto"/>
              </w:rPr>
            </w:pPr>
            <w:r>
              <w:rPr>
                <w:rFonts w:ascii="Arial" w:cs="Arial" w:eastAsia="Arial" w:hAnsi="Arial"/>
                <w:sz w:val="21"/>
                <w:szCs w:val="21"/>
                <w:color w:val="auto"/>
              </w:rPr>
              <w:t>Reductions for tax positions taken in prior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4660" w:type="dxa"/>
            <w:vAlign w:val="bottom"/>
          </w:tcPr>
          <w:p>
            <w:pPr>
              <w:ind w:left="180"/>
              <w:spacing w:after="0"/>
              <w:rPr>
                <w:sz w:val="20"/>
                <w:szCs w:val="20"/>
                <w:color w:val="auto"/>
              </w:rPr>
            </w:pPr>
            <w:r>
              <w:rPr>
                <w:rFonts w:ascii="Arial" w:cs="Arial" w:eastAsia="Arial" w:hAnsi="Arial"/>
                <w:sz w:val="21"/>
                <w:szCs w:val="21"/>
                <w:color w:val="auto"/>
              </w:rPr>
              <w:t>years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21"/>
                <w:szCs w:val="21"/>
                <w:color w:val="auto"/>
              </w:rPr>
              <w:t>(30)</w:t>
            </w:r>
          </w:p>
        </w:tc>
      </w:tr>
      <w:tr>
        <w:trPr>
          <w:trHeight w:val="236"/>
        </w:trPr>
        <w:tc>
          <w:tcPr>
            <w:tcW w:w="4660" w:type="dxa"/>
            <w:vAlign w:val="bottom"/>
            <w:shd w:val="clear" w:color="auto" w:fill="E0E0E0"/>
          </w:tcPr>
          <w:p>
            <w:pPr>
              <w:spacing w:after="0" w:line="236" w:lineRule="exact"/>
              <w:rPr>
                <w:sz w:val="20"/>
                <w:szCs w:val="20"/>
                <w:color w:val="auto"/>
              </w:rPr>
            </w:pPr>
            <w:r>
              <w:rPr>
                <w:rFonts w:ascii="Arial" w:cs="Arial" w:eastAsia="Arial" w:hAnsi="Arial"/>
                <w:sz w:val="21"/>
                <w:szCs w:val="21"/>
                <w:color w:val="auto"/>
              </w:rPr>
              <w:t>Additions for tax positions taken in the current</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8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37"/>
        </w:trPr>
        <w:tc>
          <w:tcPr>
            <w:tcW w:w="4660" w:type="dxa"/>
            <w:vAlign w:val="bottom"/>
            <w:shd w:val="clear" w:color="auto" w:fill="E0E0E0"/>
          </w:tcPr>
          <w:p>
            <w:pPr>
              <w:ind w:left="180"/>
              <w:spacing w:after="0" w:line="237" w:lineRule="exact"/>
              <w:rPr>
                <w:sz w:val="20"/>
                <w:szCs w:val="20"/>
                <w:color w:val="auto"/>
              </w:rPr>
            </w:pPr>
            <w:r>
              <w:rPr>
                <w:rFonts w:ascii="Arial" w:cs="Arial" w:eastAsia="Arial" w:hAnsi="Arial"/>
                <w:sz w:val="21"/>
                <w:szCs w:val="21"/>
                <w:color w:val="auto"/>
              </w:rPr>
              <w:t>year</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60" w:type="dxa"/>
            <w:vAlign w:val="bottom"/>
            <w:gridSpan w:val="2"/>
            <w:shd w:val="clear" w:color="auto" w:fill="E0E0E0"/>
          </w:tcPr>
          <w:p>
            <w:pPr>
              <w:jc w:val="right"/>
              <w:ind w:right="20"/>
              <w:spacing w:after="0" w:line="237" w:lineRule="exact"/>
              <w:rPr>
                <w:sz w:val="20"/>
                <w:szCs w:val="20"/>
                <w:color w:val="auto"/>
              </w:rPr>
            </w:pPr>
            <w:r>
              <w:rPr>
                <w:rFonts w:ascii="Arial" w:cs="Arial" w:eastAsia="Arial" w:hAnsi="Arial"/>
                <w:sz w:val="21"/>
                <w:szCs w:val="21"/>
                <w:color w:val="auto"/>
              </w:rPr>
              <w:t>684</w:t>
            </w:r>
          </w:p>
        </w:tc>
        <w:tc>
          <w:tcPr>
            <w:tcW w:w="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00" w:type="dxa"/>
            <w:vAlign w:val="bottom"/>
            <w:gridSpan w:val="2"/>
            <w:shd w:val="clear" w:color="auto" w:fill="E0E0E0"/>
          </w:tcPr>
          <w:p>
            <w:pPr>
              <w:jc w:val="right"/>
              <w:ind w:right="80"/>
              <w:spacing w:after="0" w:line="237" w:lineRule="exact"/>
              <w:rPr>
                <w:sz w:val="20"/>
                <w:szCs w:val="20"/>
                <w:color w:val="auto"/>
              </w:rPr>
            </w:pPr>
            <w:r>
              <w:rPr>
                <w:rFonts w:ascii="Arial" w:cs="Arial" w:eastAsia="Arial" w:hAnsi="Arial"/>
                <w:sz w:val="21"/>
                <w:szCs w:val="21"/>
                <w:color w:val="auto"/>
              </w:rPr>
              <w:t>415</w:t>
            </w:r>
          </w:p>
        </w:tc>
      </w:tr>
      <w:tr>
        <w:trPr>
          <w:trHeight w:val="230"/>
        </w:trPr>
        <w:tc>
          <w:tcPr>
            <w:tcW w:w="4660" w:type="dxa"/>
            <w:vAlign w:val="bottom"/>
          </w:tcPr>
          <w:p>
            <w:pPr>
              <w:spacing w:after="0" w:line="230" w:lineRule="exact"/>
              <w:rPr>
                <w:sz w:val="20"/>
                <w:szCs w:val="20"/>
                <w:color w:val="auto"/>
              </w:rPr>
            </w:pPr>
            <w:r>
              <w:rPr>
                <w:rFonts w:ascii="Arial" w:cs="Arial" w:eastAsia="Arial" w:hAnsi="Arial"/>
                <w:sz w:val="21"/>
                <w:szCs w:val="21"/>
                <w:color w:val="auto"/>
              </w:rPr>
              <w:t>Ending balance</w:t>
            </w: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tcPr>
          <w:p>
            <w:pPr>
              <w:jc w:val="right"/>
              <w:spacing w:after="0" w:line="230" w:lineRule="exact"/>
              <w:rPr>
                <w:sz w:val="20"/>
                <w:szCs w:val="20"/>
                <w:color w:val="auto"/>
              </w:rPr>
            </w:pPr>
            <w:r>
              <w:rPr>
                <w:rFonts w:ascii="Arial" w:cs="Arial" w:eastAsia="Arial" w:hAnsi="Arial"/>
                <w:sz w:val="21"/>
                <w:szCs w:val="21"/>
                <w:color w:val="auto"/>
              </w:rPr>
              <w:t>1,406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line="230" w:lineRule="exact"/>
              <w:rPr>
                <w:sz w:val="20"/>
                <w:szCs w:val="20"/>
                <w:color w:val="auto"/>
              </w:rPr>
            </w:pPr>
            <w:r>
              <w:rPr>
                <w:rFonts w:ascii="Arial" w:cs="Arial" w:eastAsia="Arial" w:hAnsi="Arial"/>
                <w:sz w:val="21"/>
                <w:szCs w:val="21"/>
                <w:color w:val="auto"/>
              </w:rPr>
              <w:t>722</w:t>
            </w:r>
          </w:p>
        </w:tc>
        <w:tc>
          <w:tcPr>
            <w:tcW w:w="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8" w:lineRule="exact"/>
        <w:rPr>
          <w:sz w:val="20"/>
          <w:szCs w:val="20"/>
          <w:color w:val="auto"/>
        </w:rPr>
      </w:pPr>
    </w:p>
    <w:p>
      <w:pPr>
        <w:jc w:val="both"/>
        <w:ind w:firstLine="504"/>
        <w:spacing w:after="0" w:line="243" w:lineRule="auto"/>
        <w:rPr>
          <w:sz w:val="20"/>
          <w:szCs w:val="20"/>
          <w:color w:val="auto"/>
        </w:rPr>
      </w:pPr>
      <w:r>
        <w:rPr>
          <w:rFonts w:ascii="Arial" w:cs="Arial" w:eastAsia="Arial" w:hAnsi="Arial"/>
          <w:sz w:val="21"/>
          <w:szCs w:val="21"/>
          <w:color w:val="212121"/>
        </w:rPr>
        <w:t>If the unrecognized tax benefits for uncertain tax positions as of December 31, 2022 are recognized, there will be no impact to the effective tax rate due to the valuation allowance. The Company recognizes interest and penalties related to unrecognized tax benefits within the income tax expense line in the accompanying consolidated financial statements. At December 31, 2022, there were no material interest and penalties on uncertain tax benefits. The Company does not anticipate any significant changes to its unrecognized tax benefits in the next 12 months.</w:t>
      </w: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b w:val="1"/>
          <w:bCs w:val="1"/>
          <w:color w:val="212121"/>
        </w:rPr>
        <w:t>11. Employee Benefit Plans</w:t>
      </w:r>
    </w:p>
    <w:p>
      <w:pPr>
        <w:spacing w:after="0" w:line="123" w:lineRule="exact"/>
        <w:rPr>
          <w:sz w:val="20"/>
          <w:szCs w:val="20"/>
          <w:color w:val="auto"/>
        </w:rPr>
      </w:pPr>
    </w:p>
    <w:p>
      <w:pPr>
        <w:jc w:val="both"/>
        <w:ind w:firstLine="504"/>
        <w:spacing w:after="0" w:line="244" w:lineRule="auto"/>
        <w:rPr>
          <w:sz w:val="20"/>
          <w:szCs w:val="20"/>
          <w:color w:val="auto"/>
        </w:rPr>
      </w:pPr>
      <w:r>
        <w:rPr>
          <w:rFonts w:ascii="Arial" w:cs="Arial" w:eastAsia="Arial" w:hAnsi="Arial"/>
          <w:sz w:val="21"/>
          <w:szCs w:val="21"/>
          <w:color w:val="212121"/>
        </w:rPr>
        <w:t>The Company has a 401(k) Plan for all of its employees. The 401(k) Plan allows eligible employees to defer, at the employee’s discretion, up to 100% of their pretax compensation up to the Internal Revenue Service annual limit. The Company made matching contributions of $354,000 during the year ended December 31, 2022. The Company did not make any matching contributions during the year ended December 31, 2021.</w:t>
      </w: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b w:val="1"/>
          <w:bCs w:val="1"/>
          <w:color w:val="212121"/>
        </w:rPr>
        <w:t>12. Net Loss Per Share Attributable to Common Stockholders</w:t>
      </w:r>
    </w:p>
    <w:p>
      <w:pPr>
        <w:spacing w:after="0" w:line="123"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212121"/>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30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4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6"/>
          </w:tcPr>
          <w:p>
            <w:pPr>
              <w:jc w:val="right"/>
              <w:ind w:right="320"/>
              <w:spacing w:after="0"/>
              <w:rPr>
                <w:sz w:val="20"/>
                <w:szCs w:val="20"/>
                <w:color w:val="auto"/>
              </w:rPr>
            </w:pPr>
            <w:r>
              <w:rPr>
                <w:rFonts w:ascii="Arial" w:cs="Arial" w:eastAsia="Arial" w:hAnsi="Arial"/>
                <w:sz w:val="16"/>
                <w:szCs w:val="16"/>
                <w:b w:val="1"/>
                <w:bCs w:val="1"/>
                <w:color w:val="auto"/>
              </w:rPr>
              <w:t>Year Ended December 31,</w:t>
            </w:r>
          </w:p>
        </w:tc>
      </w:tr>
      <w:tr>
        <w:trPr>
          <w:trHeight w:val="180"/>
        </w:trPr>
        <w:tc>
          <w:tcPr>
            <w:tcW w:w="410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04"/>
              <w:spacing w:after="0" w:line="181" w:lineRule="exact"/>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bottom w:val="single" w:sz="8" w:color="E0E0E0"/>
            </w:tcBorders>
          </w:tcPr>
          <w:p>
            <w:pPr>
              <w:spacing w:after="0"/>
              <w:rPr>
                <w:sz w:val="15"/>
                <w:szCs w:val="15"/>
                <w:color w:val="auto"/>
              </w:rPr>
            </w:pPr>
          </w:p>
        </w:tc>
        <w:tc>
          <w:tcPr>
            <w:tcW w:w="100" w:type="dxa"/>
            <w:vAlign w:val="bottom"/>
            <w:tcBorders>
              <w:top w:val="single" w:sz="8" w:color="auto"/>
              <w:bottom w:val="single" w:sz="8" w:color="E0E0E0"/>
            </w:tcBorders>
          </w:tcPr>
          <w:p>
            <w:pPr>
              <w:spacing w:after="0"/>
              <w:rPr>
                <w:sz w:val="15"/>
                <w:szCs w:val="15"/>
                <w:color w:val="auto"/>
              </w:rPr>
            </w:pPr>
          </w:p>
        </w:tc>
        <w:tc>
          <w:tcPr>
            <w:tcW w:w="20" w:type="dxa"/>
            <w:vAlign w:val="bottom"/>
            <w:tcBorders>
              <w:top w:val="single" w:sz="8" w:color="auto"/>
              <w:bottom w:val="single" w:sz="8" w:color="E0E0E0"/>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01"/>
              <w:spacing w:after="0" w:line="181" w:lineRule="exact"/>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E0E0E0"/>
            </w:tcBorders>
          </w:tcPr>
          <w:p>
            <w:pPr>
              <w:spacing w:after="0"/>
              <w:rPr>
                <w:sz w:val="15"/>
                <w:szCs w:val="15"/>
                <w:color w:val="auto"/>
              </w:rPr>
            </w:pPr>
          </w:p>
        </w:tc>
      </w:tr>
      <w:tr>
        <w:trPr>
          <w:trHeight w:val="227"/>
        </w:trPr>
        <w:tc>
          <w:tcPr>
            <w:tcW w:w="4100" w:type="dxa"/>
            <w:vAlign w:val="bottom"/>
            <w:shd w:val="clear" w:color="auto" w:fill="E0E0E0"/>
          </w:tcPr>
          <w:p>
            <w:pPr>
              <w:spacing w:after="0" w:line="227" w:lineRule="exact"/>
              <w:rPr>
                <w:sz w:val="20"/>
                <w:szCs w:val="20"/>
                <w:color w:val="auto"/>
              </w:rPr>
            </w:pPr>
            <w:r>
              <w:rPr>
                <w:rFonts w:ascii="Arial" w:cs="Arial" w:eastAsia="Arial" w:hAnsi="Arial"/>
                <w:sz w:val="21"/>
                <w:szCs w:val="21"/>
                <w:color w:val="auto"/>
              </w:rPr>
              <w:t>Non-vested Restricted Stock Units</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0" w:type="dxa"/>
            <w:vAlign w:val="bottom"/>
            <w:gridSpan w:val="2"/>
            <w:shd w:val="clear" w:color="auto" w:fill="E0E0E0"/>
          </w:tcPr>
          <w:p>
            <w:pPr>
              <w:jc w:val="right"/>
              <w:ind w:right="20"/>
              <w:spacing w:after="0" w:line="227" w:lineRule="exact"/>
              <w:rPr>
                <w:sz w:val="20"/>
                <w:szCs w:val="20"/>
                <w:color w:val="auto"/>
              </w:rPr>
            </w:pPr>
            <w:r>
              <w:rPr>
                <w:rFonts w:ascii="Arial" w:cs="Arial" w:eastAsia="Arial" w:hAnsi="Arial"/>
                <w:sz w:val="21"/>
                <w:szCs w:val="21"/>
                <w:color w:val="auto"/>
              </w:rPr>
              <w:t>236,339</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ind w:right="80"/>
              <w:spacing w:after="0" w:line="227" w:lineRule="exact"/>
              <w:rPr>
                <w:sz w:val="20"/>
                <w:szCs w:val="20"/>
                <w:color w:val="auto"/>
              </w:rPr>
            </w:pPr>
            <w:r>
              <w:rPr>
                <w:rFonts w:ascii="Arial" w:cs="Arial" w:eastAsia="Arial" w:hAnsi="Arial"/>
                <w:sz w:val="21"/>
                <w:szCs w:val="21"/>
                <w:color w:val="auto"/>
              </w:rPr>
              <w:t>361,500</w:t>
            </w:r>
          </w:p>
        </w:tc>
      </w:tr>
      <w:tr>
        <w:trPr>
          <w:trHeight w:val="236"/>
        </w:trPr>
        <w:tc>
          <w:tcPr>
            <w:tcW w:w="4100" w:type="dxa"/>
            <w:vAlign w:val="bottom"/>
          </w:tcPr>
          <w:p>
            <w:pPr>
              <w:spacing w:after="0" w:line="236" w:lineRule="exact"/>
              <w:rPr>
                <w:sz w:val="20"/>
                <w:szCs w:val="20"/>
                <w:color w:val="auto"/>
              </w:rPr>
            </w:pPr>
            <w:r>
              <w:rPr>
                <w:rFonts w:ascii="Arial" w:cs="Arial" w:eastAsia="Arial" w:hAnsi="Arial"/>
                <w:sz w:val="21"/>
                <w:szCs w:val="21"/>
                <w:color w:val="auto"/>
              </w:rPr>
              <w:t>Stock options to purchase common stock</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jc w:val="right"/>
              <w:ind w:right="20"/>
              <w:spacing w:after="0" w:line="236" w:lineRule="exact"/>
              <w:rPr>
                <w:sz w:val="20"/>
                <w:szCs w:val="20"/>
                <w:color w:val="auto"/>
              </w:rPr>
            </w:pPr>
            <w:r>
              <w:rPr>
                <w:rFonts w:ascii="Arial" w:cs="Arial" w:eastAsia="Arial" w:hAnsi="Arial"/>
                <w:sz w:val="21"/>
                <w:szCs w:val="21"/>
                <w:color w:val="auto"/>
              </w:rPr>
              <w:t>4,033,522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jc w:val="right"/>
              <w:ind w:right="80"/>
              <w:spacing w:after="0" w:line="236" w:lineRule="exact"/>
              <w:rPr>
                <w:sz w:val="20"/>
                <w:szCs w:val="20"/>
                <w:color w:val="auto"/>
              </w:rPr>
            </w:pPr>
            <w:r>
              <w:rPr>
                <w:rFonts w:ascii="Arial" w:cs="Arial" w:eastAsia="Arial" w:hAnsi="Arial"/>
                <w:sz w:val="21"/>
                <w:szCs w:val="21"/>
                <w:color w:val="auto"/>
              </w:rPr>
              <w:t>2,270,896</w:t>
            </w:r>
          </w:p>
        </w:tc>
      </w:tr>
      <w:tr>
        <w:trPr>
          <w:trHeight w:val="237"/>
        </w:trPr>
        <w:tc>
          <w:tcPr>
            <w:tcW w:w="4100" w:type="dxa"/>
            <w:vAlign w:val="bottom"/>
            <w:shd w:val="clear" w:color="auto" w:fill="E0E0E0"/>
          </w:tcPr>
          <w:p>
            <w:pPr>
              <w:spacing w:after="0" w:line="237" w:lineRule="exact"/>
              <w:rPr>
                <w:sz w:val="20"/>
                <w:szCs w:val="20"/>
                <w:color w:val="auto"/>
              </w:rPr>
            </w:pPr>
            <w:r>
              <w:rPr>
                <w:rFonts w:ascii="Arial" w:cs="Arial" w:eastAsia="Arial" w:hAnsi="Arial"/>
                <w:sz w:val="21"/>
                <w:szCs w:val="21"/>
                <w:color w:val="auto"/>
              </w:rPr>
              <w:t>Employee stock purchase plan</w:t>
            </w: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300" w:type="dxa"/>
            <w:vAlign w:val="bottom"/>
            <w:gridSpan w:val="3"/>
            <w:shd w:val="clear" w:color="auto" w:fill="E0E0E0"/>
          </w:tcPr>
          <w:p>
            <w:pPr>
              <w:jc w:val="right"/>
              <w:ind w:right="120"/>
              <w:spacing w:after="0" w:line="237" w:lineRule="exact"/>
              <w:rPr>
                <w:sz w:val="20"/>
                <w:szCs w:val="20"/>
                <w:color w:val="auto"/>
              </w:rPr>
            </w:pPr>
            <w:r>
              <w:rPr>
                <w:rFonts w:ascii="Arial" w:cs="Arial" w:eastAsia="Arial" w:hAnsi="Arial"/>
                <w:sz w:val="21"/>
                <w:szCs w:val="21"/>
                <w:color w:val="auto"/>
              </w:rPr>
              <w:t>5,148</w:t>
            </w:r>
          </w:p>
        </w:tc>
        <w:tc>
          <w:tcPr>
            <w:tcW w:w="20" w:type="dxa"/>
            <w:vAlign w:val="bottom"/>
            <w:shd w:val="clear" w:color="auto" w:fill="E0E0E0"/>
          </w:tcPr>
          <w:p>
            <w:pPr>
              <w:spacing w:after="0"/>
              <w:rPr>
                <w:sz w:val="20"/>
                <w:szCs w:val="20"/>
                <w:color w:val="auto"/>
              </w:rPr>
            </w:pPr>
          </w:p>
        </w:tc>
        <w:tc>
          <w:tcPr>
            <w:tcW w:w="1260" w:type="dxa"/>
            <w:vAlign w:val="bottom"/>
            <w:gridSpan w:val="2"/>
            <w:shd w:val="clear" w:color="auto" w:fill="E0E0E0"/>
          </w:tcPr>
          <w:p>
            <w:pPr>
              <w:jc w:val="right"/>
              <w:ind w:right="80"/>
              <w:spacing w:after="0" w:line="237" w:lineRule="exact"/>
              <w:rPr>
                <w:sz w:val="20"/>
                <w:szCs w:val="20"/>
                <w:color w:val="auto"/>
              </w:rPr>
            </w:pPr>
            <w:r>
              <w:rPr>
                <w:rFonts w:ascii="Arial" w:cs="Arial" w:eastAsia="Arial" w:hAnsi="Arial"/>
                <w:sz w:val="21"/>
                <w:szCs w:val="21"/>
                <w:color w:val="auto"/>
              </w:rPr>
              <w:t>1,277</w:t>
            </w:r>
          </w:p>
        </w:tc>
      </w:tr>
      <w:tr>
        <w:trPr>
          <w:trHeight w:val="228"/>
        </w:trPr>
        <w:tc>
          <w:tcPr>
            <w:tcW w:w="4100" w:type="dxa"/>
            <w:vAlign w:val="bottom"/>
          </w:tcPr>
          <w:p>
            <w:pPr>
              <w:ind w:left="300"/>
              <w:spacing w:after="0" w:line="229" w:lineRule="exact"/>
              <w:rPr>
                <w:sz w:val="20"/>
                <w:szCs w:val="20"/>
                <w:color w:val="auto"/>
              </w:rPr>
            </w:pPr>
            <w:r>
              <w:rPr>
                <w:rFonts w:ascii="Arial" w:cs="Arial" w:eastAsia="Arial" w:hAnsi="Arial"/>
                <w:sz w:val="21"/>
                <w:szCs w:val="21"/>
                <w:color w:val="auto"/>
              </w:rPr>
              <w:t>Total</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9" w:lineRule="exact"/>
              <w:rPr>
                <w:sz w:val="20"/>
                <w:szCs w:val="20"/>
                <w:color w:val="auto"/>
              </w:rPr>
            </w:pPr>
            <w:r>
              <w:rPr>
                <w:rFonts w:ascii="Arial" w:cs="Arial" w:eastAsia="Arial" w:hAnsi="Arial"/>
                <w:sz w:val="21"/>
                <w:szCs w:val="21"/>
                <w:color w:val="auto"/>
              </w:rPr>
              <w:t>4,275,009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9" w:lineRule="exact"/>
              <w:rPr>
                <w:sz w:val="20"/>
                <w:szCs w:val="20"/>
                <w:color w:val="auto"/>
              </w:rPr>
            </w:pPr>
            <w:r>
              <w:rPr>
                <w:rFonts w:ascii="Arial" w:cs="Arial" w:eastAsia="Arial" w:hAnsi="Arial"/>
                <w:sz w:val="21"/>
                <w:szCs w:val="21"/>
                <w:color w:val="auto"/>
              </w:rPr>
              <w:t>2,633,673</w:t>
            </w:r>
          </w:p>
        </w:tc>
        <w:tc>
          <w:tcPr>
            <w:tcW w:w="8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640"/>
          </w:cols>
          <w:pgMar w:left="1300" w:top="122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155</w:t>
      </w:r>
    </w:p>
    <w:p>
      <w:pPr>
        <w:sectPr>
          <w:pgSz w:w="12240" w:h="15840" w:orient="portrait"/>
          <w:cols w:equalWidth="0" w:num="1">
            <w:col w:w="9640"/>
          </w:cols>
          <w:pgMar w:left="1300" w:top="1226" w:right="1300" w:bottom="0" w:gutter="0" w:footer="0" w:header="0"/>
          <w:type w:val="continuous"/>
        </w:sectPr>
      </w:pPr>
    </w:p>
    <w:bookmarkStart w:id="161" w:name="page162"/>
    <w:bookmarkEnd w:id="161"/>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21"/>
          <w:szCs w:val="21"/>
          <w:color w:val="auto"/>
        </w:rPr>
        <w:t>None.</w:t>
      </w: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9A. Controls and Procedures.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Evaluation of disclosure controls and procedures</w:t>
      </w:r>
    </w:p>
    <w:p>
      <w:pPr>
        <w:spacing w:after="0" w:line="114" w:lineRule="exact"/>
        <w:rPr>
          <w:sz w:val="20"/>
          <w:szCs w:val="20"/>
          <w:color w:val="auto"/>
        </w:rPr>
      </w:pPr>
    </w:p>
    <w:p>
      <w:pPr>
        <w:jc w:val="both"/>
        <w:ind w:firstLine="504"/>
        <w:spacing w:after="0" w:line="243" w:lineRule="auto"/>
        <w:rPr>
          <w:sz w:val="20"/>
          <w:szCs w:val="20"/>
          <w:color w:val="auto"/>
        </w:rPr>
      </w:pPr>
      <w:r>
        <w:rPr>
          <w:rFonts w:ascii="Arial" w:cs="Arial" w:eastAsia="Arial" w:hAnsi="Arial"/>
          <w:sz w:val="21"/>
          <w:szCs w:val="21"/>
          <w:color w:val="auto"/>
        </w:rPr>
        <w:t>Our disclosure controls and procedures are designed to ensure that information we are required to disclose in reports that we file or submit under the Securities Exchange Act of 1934, as amended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2"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10 -K. Based on such evaluation, our chief executive officer and chief financial officer have concluded that as of such date, our disclosure controls and procedures were, in design and operation, effective at a reasonable assurance level.</w:t>
      </w:r>
    </w:p>
    <w:p>
      <w:pPr>
        <w:spacing w:after="0" w:line="335"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Management’s annual report on internal control over financial reporting</w:t>
      </w:r>
    </w:p>
    <w:p>
      <w:pPr>
        <w:spacing w:after="0" w:line="115" w:lineRule="exact"/>
        <w:rPr>
          <w:sz w:val="20"/>
          <w:szCs w:val="20"/>
          <w:color w:val="auto"/>
        </w:rPr>
      </w:pPr>
    </w:p>
    <w:p>
      <w:pPr>
        <w:jc w:val="both"/>
        <w:ind w:firstLine="504"/>
        <w:spacing w:after="0" w:line="241" w:lineRule="auto"/>
        <w:rPr>
          <w:sz w:val="20"/>
          <w:szCs w:val="20"/>
          <w:color w:val="auto"/>
        </w:rPr>
      </w:pPr>
      <w:r>
        <w:rPr>
          <w:rFonts w:ascii="Arial" w:cs="Arial" w:eastAsia="Arial" w:hAnsi="Arial"/>
          <w:sz w:val="21"/>
          <w:szCs w:val="21"/>
          <w:color w:val="auto"/>
        </w:rPr>
        <w:t>Our management is responsible for establishing and maintaining adequate internal control over financial reporting, as such term is defined in Exchange Act Rule 13a-15(f) and Rule 15d-15(f). Our management conducted an evaluation of the effectiveness of our internal control over financial reporting as of December 31, 2022 based on the criteria established in Internal Control - Integrated Framework (2013) issued by the Committee of Sponsoring Organizations of the Treadway Commission. As a result of that assessment, our management has concluded that our internal control over financial reporting was effective as of December 31, 2022.</w:t>
      </w:r>
    </w:p>
    <w:p>
      <w:pPr>
        <w:spacing w:after="0" w:line="84"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21"/>
          <w:szCs w:val="21"/>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Changes in Internal Control</w:t>
      </w:r>
    </w:p>
    <w:p>
      <w:pPr>
        <w:spacing w:after="0" w:line="115"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There were no changes in our internal control over financial reporting identified in connection with the evaluation required by Rule 13a-15(d) and 15d-15(d) of the Exchange Act that occurred during the period covered by this Annual Report on Form 10-K that have materially affected, or are reasonably likely to materially affect, our internal control over financial reporting.</w:t>
      </w:r>
    </w:p>
    <w:p>
      <w:pPr>
        <w:spacing w:after="0" w:line="328" w:lineRule="exact"/>
        <w:rPr>
          <w:sz w:val="20"/>
          <w:szCs w:val="20"/>
          <w:color w:val="auto"/>
        </w:rPr>
      </w:pPr>
    </w:p>
    <w:p>
      <w:pPr>
        <w:ind w:left="500"/>
        <w:spacing w:after="0"/>
        <w:rPr>
          <w:sz w:val="20"/>
          <w:szCs w:val="20"/>
          <w:color w:val="auto"/>
        </w:rPr>
      </w:pPr>
      <w:r>
        <w:rPr>
          <w:rFonts w:ascii="Arial" w:cs="Arial" w:eastAsia="Arial" w:hAnsi="Arial"/>
          <w:sz w:val="21"/>
          <w:szCs w:val="21"/>
          <w:b w:val="1"/>
          <w:bCs w:val="1"/>
          <w:i w:val="1"/>
          <w:iCs w:val="1"/>
          <w:color w:val="auto"/>
        </w:rPr>
        <w:t>Inherent Limitations on the Effectiveness of Controls</w:t>
      </w:r>
    </w:p>
    <w:p>
      <w:pPr>
        <w:spacing w:after="0" w:line="115" w:lineRule="exact"/>
        <w:rPr>
          <w:sz w:val="20"/>
          <w:szCs w:val="20"/>
          <w:color w:val="auto"/>
        </w:rPr>
      </w:pPr>
    </w:p>
    <w:p>
      <w:pPr>
        <w:jc w:val="both"/>
        <w:ind w:firstLine="504"/>
        <w:spacing w:after="0" w:line="252" w:lineRule="auto"/>
        <w:rPr>
          <w:sz w:val="20"/>
          <w:szCs w:val="20"/>
          <w:color w:val="auto"/>
        </w:rPr>
      </w:pPr>
      <w:r>
        <w:rPr>
          <w:rFonts w:ascii="Arial" w:cs="Arial" w:eastAsia="Arial" w:hAnsi="Arial"/>
          <w:sz w:val="20"/>
          <w:szCs w:val="20"/>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156</w:t>
      </w:r>
    </w:p>
    <w:p>
      <w:pPr>
        <w:sectPr>
          <w:pgSz w:w="12240" w:h="15840" w:orient="portrait"/>
          <w:cols w:equalWidth="0" w:num="1">
            <w:col w:w="9640"/>
          </w:cols>
          <w:pgMar w:left="1300" w:top="1222" w:right="1300" w:bottom="0" w:gutter="0" w:footer="0" w:header="0"/>
          <w:type w:val="continuous"/>
        </w:sectPr>
      </w:pPr>
    </w:p>
    <w:bookmarkStart w:id="162" w:name="page163"/>
    <w:bookmarkEnd w:id="162"/>
    <w:p>
      <w:pPr>
        <w:spacing w:after="0"/>
        <w:rPr>
          <w:sz w:val="20"/>
          <w:szCs w:val="20"/>
          <w:color w:val="auto"/>
        </w:rPr>
      </w:pPr>
      <w:r>
        <w:rPr>
          <w:rFonts w:ascii="Arial" w:cs="Arial" w:eastAsia="Arial" w:hAnsi="Arial"/>
          <w:sz w:val="21"/>
          <w:szCs w:val="21"/>
          <w:b w:val="1"/>
          <w:bCs w:val="1"/>
          <w:color w:val="auto"/>
        </w:rPr>
        <w:t>Item 9B. Other Information.</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21"/>
          <w:szCs w:val="21"/>
          <w:color w:val="auto"/>
        </w:rPr>
        <w:t>None.</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21"/>
          <w:szCs w:val="21"/>
          <w:color w:val="auto"/>
        </w:rPr>
        <w:t>Not applicable.</w:t>
      </w:r>
    </w:p>
    <w:p>
      <w:pPr>
        <w:sectPr>
          <w:pgSz w:w="12240" w:h="15840" w:orient="portrait"/>
          <w:cols w:equalWidth="0" w:num="1">
            <w:col w:w="9500"/>
          </w:cols>
          <w:pgMar w:left="1300" w:top="12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157</w:t>
      </w:r>
    </w:p>
    <w:p>
      <w:pPr>
        <w:sectPr>
          <w:pgSz w:w="12240" w:h="15840" w:orient="portrait"/>
          <w:cols w:equalWidth="0" w:num="1">
            <w:col w:w="9500"/>
          </w:cols>
          <w:pgMar w:left="1300" w:top="1222" w:right="1440" w:bottom="0" w:gutter="0" w:footer="0" w:header="0"/>
          <w:type w:val="continuous"/>
        </w:sectPr>
      </w:pPr>
    </w:p>
    <w:bookmarkStart w:id="163" w:name="page164"/>
    <w:bookmarkEnd w:id="163"/>
    <w:p>
      <w:pPr>
        <w:jc w:val="center"/>
        <w:spacing w:after="0"/>
        <w:rPr>
          <w:sz w:val="20"/>
          <w:szCs w:val="20"/>
          <w:color w:val="auto"/>
        </w:rPr>
      </w:pPr>
      <w:r>
        <w:rPr>
          <w:rFonts w:ascii="Arial" w:cs="Arial" w:eastAsia="Arial" w:hAnsi="Arial"/>
          <w:sz w:val="21"/>
          <w:szCs w:val="21"/>
          <w:b w:val="1"/>
          <w:bCs w:val="1"/>
          <w:color w:val="auto"/>
        </w:rPr>
        <w:t>PART III</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10. Directors, Executive Officers and Corporate Governance.</w:t>
      </w:r>
    </w:p>
    <w:p>
      <w:pPr>
        <w:spacing w:after="0" w:line="123" w:lineRule="exact"/>
        <w:rPr>
          <w:sz w:val="20"/>
          <w:szCs w:val="20"/>
          <w:color w:val="auto"/>
        </w:rPr>
      </w:pPr>
    </w:p>
    <w:p>
      <w:pPr>
        <w:jc w:val="both"/>
        <w:ind w:firstLine="504"/>
        <w:spacing w:after="0" w:line="242" w:lineRule="auto"/>
        <w:rPr>
          <w:sz w:val="20"/>
          <w:szCs w:val="20"/>
          <w:color w:val="auto"/>
        </w:rPr>
      </w:pPr>
      <w:r>
        <w:rPr>
          <w:rFonts w:ascii="Arial" w:cs="Arial" w:eastAsia="Arial" w:hAnsi="Arial"/>
          <w:sz w:val="21"/>
          <w:szCs w:val="21"/>
          <w:color w:val="auto"/>
        </w:rPr>
        <w:t>We maintain a Code of Business Conduct and Ethics that incorporates our code of business conduct and ethics applicable to all employees, including all directors and executive officers. Our Code of Business Conduct and Ethics is published on our Investors website at https://investors.athira.com/ under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84" w:lineRule="exact"/>
        <w:rPr>
          <w:sz w:val="20"/>
          <w:szCs w:val="20"/>
          <w:color w:val="auto"/>
        </w:rPr>
      </w:pPr>
    </w:p>
    <w:p>
      <w:pPr>
        <w:jc w:val="both"/>
        <w:ind w:firstLine="504"/>
        <w:spacing w:after="0" w:line="247" w:lineRule="auto"/>
        <w:rPr>
          <w:sz w:val="20"/>
          <w:szCs w:val="20"/>
          <w:color w:val="auto"/>
        </w:rPr>
      </w:pPr>
      <w:r>
        <w:rPr>
          <w:rFonts w:ascii="Arial" w:cs="Arial" w:eastAsia="Arial" w:hAnsi="Arial"/>
          <w:sz w:val="21"/>
          <w:szCs w:val="21"/>
          <w:color w:val="auto"/>
        </w:rPr>
        <w:t>The remaining information required by this Item 10 of Form 10-K will be included in our definitive proxy statement to be filed with the SEC within 120 days after the end of the fiscal year ended December 31, 2022 in connection with the solicitation of proxies for our 2023 Annual Meeting of Stockholders (“2023 Proxy Statement”) and is incorporated herein by reference.</w:t>
      </w: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11. Executive Compensation.</w:t>
      </w:r>
    </w:p>
    <w:p>
      <w:pPr>
        <w:spacing w:after="0" w:line="123" w:lineRule="exact"/>
        <w:rPr>
          <w:sz w:val="20"/>
          <w:szCs w:val="20"/>
          <w:color w:val="auto"/>
        </w:rPr>
      </w:pPr>
    </w:p>
    <w:p>
      <w:pPr>
        <w:jc w:val="both"/>
        <w:ind w:firstLine="504"/>
        <w:spacing w:after="0" w:line="273" w:lineRule="auto"/>
        <w:rPr>
          <w:sz w:val="20"/>
          <w:szCs w:val="20"/>
          <w:color w:val="auto"/>
        </w:rPr>
      </w:pPr>
      <w:r>
        <w:rPr>
          <w:rFonts w:ascii="Arial" w:cs="Arial" w:eastAsia="Arial" w:hAnsi="Arial"/>
          <w:sz w:val="21"/>
          <w:szCs w:val="21"/>
          <w:color w:val="auto"/>
        </w:rPr>
        <w:t>The information required by this Item 11 of Form 10-K will be included in our 2023 Proxy Statement and is incorporated herein by reference.</w:t>
      </w:r>
    </w:p>
    <w:p>
      <w:pPr>
        <w:spacing w:after="0" w:line="291" w:lineRule="exact"/>
        <w:rPr>
          <w:sz w:val="20"/>
          <w:szCs w:val="20"/>
          <w:color w:val="auto"/>
        </w:rPr>
      </w:pPr>
    </w:p>
    <w:p>
      <w:pPr>
        <w:jc w:val="both"/>
        <w:spacing w:after="0" w:line="286" w:lineRule="auto"/>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27" w:lineRule="exact"/>
        <w:rPr>
          <w:sz w:val="20"/>
          <w:szCs w:val="20"/>
          <w:color w:val="auto"/>
        </w:rPr>
      </w:pPr>
    </w:p>
    <w:p>
      <w:pPr>
        <w:jc w:val="both"/>
        <w:ind w:firstLine="504"/>
        <w:spacing w:after="0" w:line="297" w:lineRule="auto"/>
        <w:rPr>
          <w:sz w:val="20"/>
          <w:szCs w:val="20"/>
          <w:color w:val="auto"/>
        </w:rPr>
      </w:pPr>
      <w:r>
        <w:rPr>
          <w:rFonts w:ascii="Arial" w:cs="Arial" w:eastAsia="Arial" w:hAnsi="Arial"/>
          <w:sz w:val="20"/>
          <w:szCs w:val="20"/>
          <w:color w:val="auto"/>
        </w:rPr>
        <w:t>The information required by this Item 12 of Form 10-K, including with respect to our equity compensation plans, will be included in our 2023 Proxy Statement and is incorporated herein by reference.</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13. Certain Relationships and Related Transactions, and Director Independence.</w:t>
      </w:r>
    </w:p>
    <w:p>
      <w:pPr>
        <w:spacing w:after="0" w:line="123"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The information required by this Item 13 of Form 10-K will be included in our 2023 Proxy Statement and is incorporated herein by reference.</w:t>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14. Principal Accounting Fees and Services.</w:t>
      </w:r>
    </w:p>
    <w:p>
      <w:pPr>
        <w:spacing w:after="0" w:line="123"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21"/>
          <w:szCs w:val="21"/>
          <w:color w:val="auto"/>
        </w:rPr>
        <w:t>The information required by this Item 14 of Form 10-K will be included in our 2023 Proxy Statement and is incorporated herein by reference.</w: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158</w:t>
      </w:r>
    </w:p>
    <w:p>
      <w:pPr>
        <w:sectPr>
          <w:pgSz w:w="12240" w:h="15840" w:orient="portrait"/>
          <w:cols w:equalWidth="0" w:num="1">
            <w:col w:w="9640"/>
          </w:cols>
          <w:pgMar w:left="1300" w:top="1222" w:right="1300" w:bottom="0" w:gutter="0" w:footer="0" w:header="0"/>
          <w:type w:val="continuous"/>
        </w:sectPr>
      </w:pPr>
    </w:p>
    <w:bookmarkStart w:id="164" w:name="page165"/>
    <w:bookmarkEnd w:id="164"/>
    <w:p>
      <w:pPr>
        <w:ind w:left="4420"/>
        <w:spacing w:after="0"/>
        <w:rPr>
          <w:sz w:val="20"/>
          <w:szCs w:val="20"/>
          <w:color w:val="auto"/>
        </w:rPr>
      </w:pPr>
      <w:r>
        <w:rPr>
          <w:rFonts w:ascii="Arial" w:cs="Arial" w:eastAsia="Arial" w:hAnsi="Arial"/>
          <w:sz w:val="21"/>
          <w:szCs w:val="21"/>
          <w:b w:val="1"/>
          <w:bCs w:val="1"/>
          <w:color w:val="auto"/>
        </w:rPr>
        <w:t>PART IV</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15. Exhibits, Financial Statement Schedules.</w:t>
      </w:r>
    </w:p>
    <w:p>
      <w:pPr>
        <w:spacing w:after="0" w:line="123" w:lineRule="exact"/>
        <w:rPr>
          <w:sz w:val="20"/>
          <w:szCs w:val="20"/>
          <w:color w:val="auto"/>
        </w:rPr>
      </w:pPr>
    </w:p>
    <w:p>
      <w:pPr>
        <w:ind w:left="1000" w:hanging="497"/>
        <w:spacing w:after="0"/>
        <w:tabs>
          <w:tab w:leader="none" w:pos="1000" w:val="left"/>
        </w:tabs>
        <w:numPr>
          <w:ilvl w:val="0"/>
          <w:numId w:val="67"/>
        </w:numPr>
        <w:rPr>
          <w:rFonts w:ascii="Arial" w:cs="Arial" w:eastAsia="Arial" w:hAnsi="Arial"/>
          <w:sz w:val="21"/>
          <w:szCs w:val="21"/>
          <w:color w:val="auto"/>
        </w:rPr>
      </w:pPr>
      <w:r>
        <w:rPr>
          <w:rFonts w:ascii="Arial" w:cs="Arial" w:eastAsia="Arial" w:hAnsi="Arial"/>
          <w:sz w:val="21"/>
          <w:szCs w:val="21"/>
          <w:color w:val="auto"/>
        </w:rPr>
        <w:t>List the following documents filed as a part of the report:</w:t>
      </w:r>
    </w:p>
    <w:p>
      <w:pPr>
        <w:spacing w:after="0" w:line="119" w:lineRule="exact"/>
        <w:rPr>
          <w:sz w:val="20"/>
          <w:szCs w:val="20"/>
          <w:color w:val="auto"/>
        </w:rPr>
      </w:pPr>
    </w:p>
    <w:p>
      <w:pPr>
        <w:ind w:left="1520" w:hanging="512"/>
        <w:spacing w:after="0"/>
        <w:tabs>
          <w:tab w:leader="none" w:pos="1520" w:val="left"/>
        </w:tabs>
        <w:numPr>
          <w:ilvl w:val="0"/>
          <w:numId w:val="68"/>
        </w:numPr>
        <w:rPr>
          <w:rFonts w:ascii="Arial" w:cs="Arial" w:eastAsia="Arial" w:hAnsi="Arial"/>
          <w:sz w:val="21"/>
          <w:szCs w:val="21"/>
          <w:color w:val="auto"/>
        </w:rPr>
      </w:pPr>
      <w:r>
        <w:rPr>
          <w:rFonts w:ascii="Arial" w:cs="Arial" w:eastAsia="Arial" w:hAnsi="Arial"/>
          <w:sz w:val="21"/>
          <w:szCs w:val="21"/>
          <w:color w:val="auto"/>
        </w:rPr>
        <w:t>All financial statements;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21"/>
          <w:szCs w:val="21"/>
          <w:color w:val="auto"/>
        </w:rPr>
        <w:t>See Index to Financial Statements in Part II, Item 8 of this Annual Report on Form 10-K.</w:t>
      </w:r>
    </w:p>
    <w:p>
      <w:pPr>
        <w:spacing w:after="0" w:line="119" w:lineRule="exact"/>
        <w:rPr>
          <w:sz w:val="20"/>
          <w:szCs w:val="20"/>
          <w:color w:val="auto"/>
        </w:rPr>
      </w:pPr>
    </w:p>
    <w:p>
      <w:pPr>
        <w:ind w:left="1520" w:hanging="512"/>
        <w:spacing w:after="0"/>
        <w:tabs>
          <w:tab w:leader="none" w:pos="1520" w:val="left"/>
        </w:tabs>
        <w:numPr>
          <w:ilvl w:val="0"/>
          <w:numId w:val="69"/>
        </w:numPr>
        <w:rPr>
          <w:rFonts w:ascii="Arial" w:cs="Arial" w:eastAsia="Arial" w:hAnsi="Arial"/>
          <w:sz w:val="21"/>
          <w:szCs w:val="21"/>
          <w:color w:val="auto"/>
        </w:rPr>
      </w:pPr>
      <w:r>
        <w:rPr>
          <w:rFonts w:ascii="Arial" w:cs="Arial" w:eastAsia="Arial" w:hAnsi="Arial"/>
          <w:sz w:val="21"/>
          <w:szCs w:val="21"/>
          <w:color w:val="auto"/>
        </w:rPr>
        <w:t>Financial Statement Schedules</w:t>
      </w:r>
    </w:p>
    <w:p>
      <w:pPr>
        <w:spacing w:after="0" w:line="119" w:lineRule="exact"/>
        <w:rPr>
          <w:sz w:val="20"/>
          <w:szCs w:val="20"/>
          <w:color w:val="auto"/>
        </w:rPr>
      </w:pPr>
    </w:p>
    <w:p>
      <w:pPr>
        <w:jc w:val="both"/>
        <w:ind w:left="980" w:firstLine="504"/>
        <w:spacing w:after="0" w:line="247" w:lineRule="auto"/>
        <w:rPr>
          <w:sz w:val="20"/>
          <w:szCs w:val="20"/>
          <w:color w:val="auto"/>
        </w:rPr>
      </w:pPr>
      <w:r>
        <w:rPr>
          <w:rFonts w:ascii="Arial" w:cs="Arial" w:eastAsia="Arial" w:hAnsi="Arial"/>
          <w:sz w:val="21"/>
          <w:szCs w:val="21"/>
          <w:color w:val="auto"/>
        </w:rPr>
        <w:t>All financial statement schedules have been omitted because the required information was not applicable or was not present in amounts sufficient to require submission of the schedules, or because the information required is included in the financial statements or the accompanying notes.</w:t>
      </w:r>
    </w:p>
    <w:p>
      <w:pPr>
        <w:spacing w:after="0" w:line="76" w:lineRule="exact"/>
        <w:rPr>
          <w:sz w:val="20"/>
          <w:szCs w:val="20"/>
          <w:color w:val="auto"/>
        </w:rPr>
      </w:pPr>
    </w:p>
    <w:p>
      <w:pPr>
        <w:ind w:left="1520" w:hanging="512"/>
        <w:spacing w:after="0"/>
        <w:tabs>
          <w:tab w:leader="none" w:pos="1520" w:val="left"/>
        </w:tabs>
        <w:numPr>
          <w:ilvl w:val="0"/>
          <w:numId w:val="70"/>
        </w:numPr>
        <w:rPr>
          <w:rFonts w:ascii="Arial" w:cs="Arial" w:eastAsia="Arial" w:hAnsi="Arial"/>
          <w:sz w:val="21"/>
          <w:szCs w:val="21"/>
          <w:color w:val="auto"/>
        </w:rPr>
      </w:pPr>
      <w:r>
        <w:rPr>
          <w:rFonts w:ascii="Arial" w:cs="Arial" w:eastAsia="Arial" w:hAnsi="Arial"/>
          <w:sz w:val="21"/>
          <w:szCs w:val="21"/>
          <w:color w:val="auto"/>
        </w:rPr>
        <w:t>Exhibits</w:t>
      </w:r>
    </w:p>
    <w:p>
      <w:pPr>
        <w:spacing w:after="0" w:line="119" w:lineRule="exact"/>
        <w:rPr>
          <w:sz w:val="20"/>
          <w:szCs w:val="20"/>
          <w:color w:val="auto"/>
        </w:rPr>
      </w:pPr>
    </w:p>
    <w:p>
      <w:pPr>
        <w:ind w:left="980" w:firstLine="504"/>
        <w:spacing w:after="0" w:line="271" w:lineRule="auto"/>
        <w:rPr>
          <w:sz w:val="20"/>
          <w:szCs w:val="20"/>
          <w:color w:val="auto"/>
        </w:rPr>
      </w:pPr>
      <w:r>
        <w:rPr>
          <w:rFonts w:ascii="Arial" w:cs="Arial" w:eastAsia="Arial" w:hAnsi="Arial"/>
          <w:sz w:val="21"/>
          <w:szCs w:val="21"/>
          <w:color w:val="auto"/>
        </w:rPr>
        <w:t>The exhibits listed in the following Index to Exhibits are filed, furnished or incorporated by reference as part of this Annual Report on Form 10-K.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 to Exhibits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72"/>
        </w:trPr>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4740" w:type="dxa"/>
            <w:vAlign w:val="bottom"/>
            <w:tcBorders>
              <w:bottom w:val="single" w:sz="8" w:color="auto"/>
            </w:tcBorders>
          </w:tcPr>
          <w:p>
            <w:pPr>
              <w:ind w:left="1900"/>
              <w:spacing w:after="0"/>
              <w:rPr>
                <w:sz w:val="20"/>
                <w:szCs w:val="20"/>
                <w:color w:val="auto"/>
              </w:rPr>
            </w:pPr>
            <w:r>
              <w:rPr>
                <w:rFonts w:ascii="Arial" w:cs="Arial" w:eastAsia="Arial" w:hAnsi="Arial"/>
                <w:sz w:val="16"/>
                <w:szCs w:val="16"/>
                <w:b w:val="1"/>
                <w:bCs w:val="1"/>
                <w:color w:val="auto"/>
              </w:rPr>
              <w:t>Description</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File No.</w:t>
            </w: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Exhibit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403"/>
        </w:trPr>
        <w:tc>
          <w:tcPr>
            <w:tcW w:w="860" w:type="dxa"/>
            <w:vAlign w:val="bottom"/>
          </w:tcPr>
          <w:p>
            <w:pPr>
              <w:jc w:val="right"/>
              <w:ind w:right="300"/>
              <w:spacing w:after="0"/>
              <w:rPr>
                <w:sz w:val="20"/>
                <w:szCs w:val="20"/>
                <w:color w:val="auto"/>
              </w:rPr>
            </w:pPr>
            <w:r>
              <w:rPr>
                <w:rFonts w:ascii="Arial" w:cs="Arial" w:eastAsia="Arial" w:hAnsi="Arial"/>
                <w:sz w:val="21"/>
                <w:szCs w:val="21"/>
                <w:color w:val="auto"/>
              </w:rPr>
              <w:t>3.1</w:t>
            </w: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w w:val="99"/>
              </w:rPr>
              <w:t>Amended and Restated Certificate of Incorporation</w:t>
            </w:r>
          </w:p>
        </w:tc>
        <w:tc>
          <w:tcPr>
            <w:tcW w:w="740" w:type="dxa"/>
            <w:vAlign w:val="bottom"/>
          </w:tcPr>
          <w:p>
            <w:pPr>
              <w:jc w:val="center"/>
              <w:spacing w:after="0"/>
              <w:rPr>
                <w:sz w:val="20"/>
                <w:szCs w:val="20"/>
                <w:color w:val="auto"/>
              </w:rPr>
            </w:pPr>
            <w:r>
              <w:rPr>
                <w:rFonts w:ascii="Arial" w:cs="Arial" w:eastAsia="Arial" w:hAnsi="Arial"/>
                <w:sz w:val="21"/>
                <w:szCs w:val="21"/>
                <w:color w:val="auto"/>
                <w:w w:val="98"/>
              </w:rPr>
              <w:t>10-Q</w:t>
            </w:r>
          </w:p>
        </w:tc>
        <w:tc>
          <w:tcPr>
            <w:tcW w:w="1120" w:type="dxa"/>
            <w:vAlign w:val="bottom"/>
          </w:tcPr>
          <w:p>
            <w:pPr>
              <w:jc w:val="center"/>
              <w:spacing w:after="0"/>
              <w:rPr>
                <w:sz w:val="20"/>
                <w:szCs w:val="20"/>
                <w:color w:val="auto"/>
              </w:rPr>
            </w:pPr>
            <w:r>
              <w:rPr>
                <w:rFonts w:ascii="Arial" w:cs="Arial" w:eastAsia="Arial" w:hAnsi="Arial"/>
                <w:sz w:val="21"/>
                <w:szCs w:val="21"/>
                <w:color w:val="auto"/>
                <w:w w:val="97"/>
              </w:rPr>
              <w:t>001-39503</w:t>
            </w:r>
          </w:p>
        </w:tc>
        <w:tc>
          <w:tcPr>
            <w:tcW w:w="620" w:type="dxa"/>
            <w:vAlign w:val="bottom"/>
          </w:tcPr>
          <w:p>
            <w:pPr>
              <w:jc w:val="center"/>
              <w:spacing w:after="0"/>
              <w:rPr>
                <w:sz w:val="20"/>
                <w:szCs w:val="20"/>
                <w:color w:val="auto"/>
              </w:rPr>
            </w:pPr>
            <w:r>
              <w:rPr>
                <w:rFonts w:ascii="Arial" w:cs="Arial" w:eastAsia="Arial" w:hAnsi="Arial"/>
                <w:sz w:val="21"/>
                <w:szCs w:val="21"/>
                <w:color w:val="auto"/>
              </w:rPr>
              <w:t>3.1</w:t>
            </w:r>
          </w:p>
        </w:tc>
        <w:tc>
          <w:tcPr>
            <w:tcW w:w="1460" w:type="dxa"/>
            <w:vAlign w:val="bottom"/>
          </w:tcPr>
          <w:p>
            <w:pPr>
              <w:jc w:val="center"/>
              <w:spacing w:after="0"/>
              <w:rPr>
                <w:sz w:val="20"/>
                <w:szCs w:val="20"/>
                <w:color w:val="auto"/>
              </w:rPr>
            </w:pPr>
            <w:r>
              <w:rPr>
                <w:rFonts w:ascii="Arial" w:cs="Arial" w:eastAsia="Arial" w:hAnsi="Arial"/>
                <w:sz w:val="21"/>
                <w:szCs w:val="21"/>
                <w:color w:val="auto"/>
                <w:w w:val="97"/>
              </w:rPr>
              <w:t>November 12,</w:t>
            </w:r>
          </w:p>
        </w:tc>
        <w:tc>
          <w:tcPr>
            <w:tcW w:w="0" w:type="dxa"/>
            <w:vAlign w:val="bottom"/>
          </w:tcPr>
          <w:p>
            <w:pPr>
              <w:spacing w:after="0"/>
              <w:rPr>
                <w:sz w:val="1"/>
                <w:szCs w:val="1"/>
                <w:color w:val="auto"/>
              </w:rPr>
            </w:pPr>
          </w:p>
        </w:tc>
      </w:tr>
      <w:tr>
        <w:trPr>
          <w:trHeight w:val="27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of the Company</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2020</w:t>
            </w:r>
          </w:p>
        </w:tc>
        <w:tc>
          <w:tcPr>
            <w:tcW w:w="0" w:type="dxa"/>
            <w:vAlign w:val="bottom"/>
          </w:tcPr>
          <w:p>
            <w:pPr>
              <w:spacing w:after="0"/>
              <w:rPr>
                <w:sz w:val="1"/>
                <w:szCs w:val="1"/>
                <w:color w:val="auto"/>
              </w:rPr>
            </w:pPr>
          </w:p>
        </w:tc>
      </w:tr>
      <w:tr>
        <w:trPr>
          <w:trHeight w:val="38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vMerge w:val="restart"/>
          </w:tcPr>
          <w:p>
            <w:pPr>
              <w:spacing w:after="0"/>
              <w:rPr>
                <w:sz w:val="20"/>
                <w:szCs w:val="20"/>
                <w:color w:val="auto"/>
              </w:rPr>
            </w:pPr>
            <w:r>
              <w:rPr>
                <w:rFonts w:ascii="Arial" w:cs="Arial" w:eastAsia="Arial" w:hAnsi="Arial"/>
                <w:sz w:val="21"/>
                <w:szCs w:val="21"/>
                <w:color w:val="auto"/>
              </w:rPr>
              <w:t>Amended and Restated Bylaws of the Company</w:t>
            </w:r>
          </w:p>
        </w:tc>
        <w:tc>
          <w:tcPr>
            <w:tcW w:w="740" w:type="dxa"/>
            <w:vAlign w:val="bottom"/>
          </w:tcPr>
          <w:p>
            <w:pPr>
              <w:jc w:val="center"/>
              <w:spacing w:after="0"/>
              <w:rPr>
                <w:sz w:val="20"/>
                <w:szCs w:val="20"/>
                <w:color w:val="auto"/>
              </w:rPr>
            </w:pPr>
            <w:r>
              <w:rPr>
                <w:rFonts w:ascii="Arial" w:cs="Arial" w:eastAsia="Arial" w:hAnsi="Arial"/>
                <w:sz w:val="21"/>
                <w:szCs w:val="21"/>
                <w:color w:val="auto"/>
                <w:w w:val="82"/>
              </w:rPr>
              <w:t>8- K</w:t>
            </w:r>
          </w:p>
        </w:tc>
        <w:tc>
          <w:tcPr>
            <w:tcW w:w="1120" w:type="dxa"/>
            <w:vAlign w:val="bottom"/>
          </w:tcPr>
          <w:p>
            <w:pPr>
              <w:jc w:val="center"/>
              <w:spacing w:after="0"/>
              <w:rPr>
                <w:sz w:val="20"/>
                <w:szCs w:val="20"/>
                <w:color w:val="auto"/>
              </w:rPr>
            </w:pPr>
            <w:r>
              <w:rPr>
                <w:rFonts w:ascii="Arial" w:cs="Arial" w:eastAsia="Arial" w:hAnsi="Arial"/>
                <w:sz w:val="21"/>
                <w:szCs w:val="21"/>
                <w:color w:val="auto"/>
                <w:w w:val="97"/>
              </w:rPr>
              <w:t>001-39503</w:t>
            </w:r>
          </w:p>
        </w:tc>
        <w:tc>
          <w:tcPr>
            <w:tcW w:w="620" w:type="dxa"/>
            <w:vAlign w:val="bottom"/>
          </w:tcPr>
          <w:p>
            <w:pPr>
              <w:jc w:val="center"/>
              <w:spacing w:after="0"/>
              <w:rPr>
                <w:sz w:val="20"/>
                <w:szCs w:val="20"/>
                <w:color w:val="auto"/>
              </w:rPr>
            </w:pPr>
            <w:r>
              <w:rPr>
                <w:rFonts w:ascii="Arial" w:cs="Arial" w:eastAsia="Arial" w:hAnsi="Arial"/>
                <w:sz w:val="21"/>
                <w:szCs w:val="21"/>
                <w:color w:val="auto"/>
              </w:rPr>
              <w:t>3.1</w:t>
            </w:r>
          </w:p>
        </w:tc>
        <w:tc>
          <w:tcPr>
            <w:tcW w:w="1460" w:type="dxa"/>
            <w:vAlign w:val="bottom"/>
          </w:tcPr>
          <w:p>
            <w:pPr>
              <w:jc w:val="center"/>
              <w:spacing w:after="0"/>
              <w:rPr>
                <w:sz w:val="20"/>
                <w:szCs w:val="20"/>
                <w:color w:val="auto"/>
              </w:rPr>
            </w:pPr>
            <w:r>
              <w:rPr>
                <w:rFonts w:ascii="Arial" w:cs="Arial" w:eastAsia="Arial" w:hAnsi="Arial"/>
                <w:sz w:val="21"/>
                <w:szCs w:val="21"/>
                <w:color w:val="auto"/>
                <w:w w:val="97"/>
              </w:rPr>
              <w:t>November 18,</w:t>
            </w:r>
          </w:p>
        </w:tc>
        <w:tc>
          <w:tcPr>
            <w:tcW w:w="0" w:type="dxa"/>
            <w:vAlign w:val="bottom"/>
          </w:tcPr>
          <w:p>
            <w:pPr>
              <w:spacing w:after="0"/>
              <w:rPr>
                <w:sz w:val="1"/>
                <w:szCs w:val="1"/>
                <w:color w:val="auto"/>
              </w:rPr>
            </w:pPr>
          </w:p>
        </w:tc>
      </w:tr>
      <w:tr>
        <w:trPr>
          <w:trHeight w:val="279"/>
        </w:trPr>
        <w:tc>
          <w:tcPr>
            <w:tcW w:w="860" w:type="dxa"/>
            <w:vAlign w:val="bottom"/>
          </w:tcPr>
          <w:p>
            <w:pPr>
              <w:jc w:val="right"/>
              <w:ind w:right="300"/>
              <w:spacing w:after="0"/>
              <w:rPr>
                <w:sz w:val="20"/>
                <w:szCs w:val="20"/>
                <w:color w:val="auto"/>
              </w:rPr>
            </w:pPr>
            <w:r>
              <w:rPr>
                <w:rFonts w:ascii="Arial" w:cs="Arial" w:eastAsia="Arial" w:hAnsi="Arial"/>
                <w:sz w:val="21"/>
                <w:szCs w:val="21"/>
                <w:color w:val="auto"/>
              </w:rPr>
              <w:t>3.2</w:t>
            </w:r>
          </w:p>
        </w:tc>
        <w:tc>
          <w:tcPr>
            <w:tcW w:w="1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2022</w:t>
            </w:r>
          </w:p>
        </w:tc>
        <w:tc>
          <w:tcPr>
            <w:tcW w:w="0" w:type="dxa"/>
            <w:vAlign w:val="bottom"/>
          </w:tcPr>
          <w:p>
            <w:pPr>
              <w:spacing w:after="0"/>
              <w:rPr>
                <w:sz w:val="1"/>
                <w:szCs w:val="1"/>
                <w:color w:val="auto"/>
              </w:rPr>
            </w:pPr>
          </w:p>
        </w:tc>
      </w:tr>
      <w:tr>
        <w:trPr>
          <w:trHeight w:val="388"/>
        </w:trPr>
        <w:tc>
          <w:tcPr>
            <w:tcW w:w="860" w:type="dxa"/>
            <w:vAlign w:val="bottom"/>
          </w:tcPr>
          <w:p>
            <w:pPr>
              <w:jc w:val="right"/>
              <w:ind w:right="300"/>
              <w:spacing w:after="0"/>
              <w:rPr>
                <w:sz w:val="20"/>
                <w:szCs w:val="20"/>
                <w:color w:val="auto"/>
              </w:rPr>
            </w:pPr>
            <w:r>
              <w:rPr>
                <w:rFonts w:ascii="Arial" w:cs="Arial" w:eastAsia="Arial" w:hAnsi="Arial"/>
                <w:sz w:val="21"/>
                <w:szCs w:val="21"/>
                <w:color w:val="auto"/>
              </w:rPr>
              <w:t>4.1</w:t>
            </w: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Specimen Common Stock Certificate of the</w:t>
            </w:r>
          </w:p>
        </w:tc>
        <w:tc>
          <w:tcPr>
            <w:tcW w:w="74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20" w:type="dxa"/>
            <w:vAlign w:val="bottom"/>
          </w:tcPr>
          <w:p>
            <w:pPr>
              <w:jc w:val="center"/>
              <w:spacing w:after="0"/>
              <w:rPr>
                <w:sz w:val="20"/>
                <w:szCs w:val="20"/>
                <w:color w:val="auto"/>
              </w:rPr>
            </w:pPr>
            <w:r>
              <w:rPr>
                <w:rFonts w:ascii="Arial" w:cs="Arial" w:eastAsia="Arial" w:hAnsi="Arial"/>
                <w:sz w:val="21"/>
                <w:szCs w:val="21"/>
                <w:color w:val="auto"/>
              </w:rPr>
              <w:t>4.1</w:t>
            </w: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September 14,</w:t>
            </w:r>
          </w:p>
        </w:tc>
        <w:tc>
          <w:tcPr>
            <w:tcW w:w="0" w:type="dxa"/>
            <w:vAlign w:val="bottom"/>
          </w:tcPr>
          <w:p>
            <w:pPr>
              <w:spacing w:after="0"/>
              <w:rPr>
                <w:sz w:val="1"/>
                <w:szCs w:val="1"/>
                <w:color w:val="auto"/>
              </w:rPr>
            </w:pPr>
          </w:p>
        </w:tc>
      </w:tr>
      <w:tr>
        <w:trPr>
          <w:trHeight w:val="27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Registrant</w:t>
            </w:r>
          </w:p>
        </w:tc>
        <w:tc>
          <w:tcPr>
            <w:tcW w:w="7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6"/>
              </w:rPr>
              <w:t>248428</w:t>
            </w:r>
          </w:p>
        </w:tc>
        <w:tc>
          <w:tcPr>
            <w:tcW w:w="6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2020</w:t>
            </w:r>
          </w:p>
        </w:tc>
        <w:tc>
          <w:tcPr>
            <w:tcW w:w="0" w:type="dxa"/>
            <w:vAlign w:val="bottom"/>
          </w:tcPr>
          <w:p>
            <w:pPr>
              <w:spacing w:after="0"/>
              <w:rPr>
                <w:sz w:val="1"/>
                <w:szCs w:val="1"/>
                <w:color w:val="auto"/>
              </w:rPr>
            </w:pPr>
          </w:p>
        </w:tc>
      </w:tr>
      <w:tr>
        <w:trPr>
          <w:trHeight w:val="389"/>
        </w:trPr>
        <w:tc>
          <w:tcPr>
            <w:tcW w:w="860" w:type="dxa"/>
            <w:vAlign w:val="bottom"/>
          </w:tcPr>
          <w:p>
            <w:pPr>
              <w:jc w:val="right"/>
              <w:ind w:right="300"/>
              <w:spacing w:after="0"/>
              <w:rPr>
                <w:sz w:val="20"/>
                <w:szCs w:val="20"/>
                <w:color w:val="auto"/>
              </w:rPr>
            </w:pPr>
            <w:r>
              <w:rPr>
                <w:rFonts w:ascii="Arial" w:cs="Arial" w:eastAsia="Arial" w:hAnsi="Arial"/>
                <w:sz w:val="21"/>
                <w:szCs w:val="21"/>
                <w:color w:val="auto"/>
              </w:rPr>
              <w:t>4.2</w:t>
            </w: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Investors’ Rights Agreement, dated May 29, 2020,</w:t>
            </w:r>
          </w:p>
        </w:tc>
        <w:tc>
          <w:tcPr>
            <w:tcW w:w="74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20" w:type="dxa"/>
            <w:vAlign w:val="bottom"/>
          </w:tcPr>
          <w:p>
            <w:pPr>
              <w:jc w:val="center"/>
              <w:spacing w:after="0"/>
              <w:rPr>
                <w:sz w:val="20"/>
                <w:szCs w:val="20"/>
                <w:color w:val="auto"/>
              </w:rPr>
            </w:pPr>
            <w:r>
              <w:rPr>
                <w:rFonts w:ascii="Arial" w:cs="Arial" w:eastAsia="Arial" w:hAnsi="Arial"/>
                <w:sz w:val="21"/>
                <w:szCs w:val="21"/>
                <w:color w:val="auto"/>
              </w:rPr>
              <w:t>4.2</w:t>
            </w: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September 9,</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line="237" w:lineRule="exact"/>
              <w:rPr>
                <w:sz w:val="20"/>
                <w:szCs w:val="20"/>
                <w:color w:val="auto"/>
              </w:rPr>
            </w:pPr>
            <w:r>
              <w:rPr>
                <w:rFonts w:ascii="Arial" w:cs="Arial" w:eastAsia="Arial" w:hAnsi="Arial"/>
                <w:sz w:val="21"/>
                <w:szCs w:val="21"/>
                <w:color w:val="auto"/>
                <w:w w:val="99"/>
              </w:rPr>
              <w:t>as amended, by and among the Registrant and the</w:t>
            </w:r>
          </w:p>
        </w:tc>
        <w:tc>
          <w:tcPr>
            <w:tcW w:w="740" w:type="dxa"/>
            <w:vAlign w:val="bottom"/>
          </w:tcPr>
          <w:p>
            <w:pPr>
              <w:spacing w:after="0"/>
              <w:rPr>
                <w:sz w:val="20"/>
                <w:szCs w:val="20"/>
                <w:color w:val="auto"/>
              </w:rPr>
            </w:pPr>
          </w:p>
        </w:tc>
        <w:tc>
          <w:tcPr>
            <w:tcW w:w="1120" w:type="dxa"/>
            <w:vAlign w:val="bottom"/>
          </w:tcPr>
          <w:p>
            <w:pPr>
              <w:jc w:val="center"/>
              <w:spacing w:after="0" w:line="237" w:lineRule="exact"/>
              <w:rPr>
                <w:sz w:val="20"/>
                <w:szCs w:val="20"/>
                <w:color w:val="auto"/>
              </w:rPr>
            </w:pPr>
            <w:r>
              <w:rPr>
                <w:rFonts w:ascii="Arial" w:cs="Arial" w:eastAsia="Arial" w:hAnsi="Arial"/>
                <w:sz w:val="21"/>
                <w:szCs w:val="21"/>
                <w:color w:val="auto"/>
                <w:w w:val="96"/>
              </w:rPr>
              <w:t>248428</w:t>
            </w:r>
          </w:p>
        </w:tc>
        <w:tc>
          <w:tcPr>
            <w:tcW w:w="620" w:type="dxa"/>
            <w:vAlign w:val="bottom"/>
          </w:tcPr>
          <w:p>
            <w:pPr>
              <w:spacing w:after="0"/>
              <w:rPr>
                <w:sz w:val="20"/>
                <w:szCs w:val="20"/>
                <w:color w:val="auto"/>
              </w:rPr>
            </w:pPr>
          </w:p>
        </w:tc>
        <w:tc>
          <w:tcPr>
            <w:tcW w:w="1460" w:type="dxa"/>
            <w:vAlign w:val="bottom"/>
          </w:tcPr>
          <w:p>
            <w:pPr>
              <w:jc w:val="center"/>
              <w:spacing w:after="0" w:line="237" w:lineRule="exact"/>
              <w:rPr>
                <w:sz w:val="20"/>
                <w:szCs w:val="20"/>
                <w:color w:val="auto"/>
              </w:rPr>
            </w:pPr>
            <w:r>
              <w:rPr>
                <w:rFonts w:ascii="Arial" w:cs="Arial" w:eastAsia="Arial" w:hAnsi="Arial"/>
                <w:sz w:val="21"/>
                <w:szCs w:val="21"/>
                <w:color w:val="auto"/>
                <w:w w:val="98"/>
              </w:rPr>
              <w:t>2020</w:t>
            </w:r>
          </w:p>
        </w:tc>
        <w:tc>
          <w:tcPr>
            <w:tcW w:w="0" w:type="dxa"/>
            <w:vAlign w:val="bottom"/>
          </w:tcPr>
          <w:p>
            <w:pPr>
              <w:spacing w:after="0"/>
              <w:rPr>
                <w:sz w:val="1"/>
                <w:szCs w:val="1"/>
                <w:color w:val="auto"/>
              </w:rPr>
            </w:pPr>
          </w:p>
        </w:tc>
      </w:tr>
      <w:tr>
        <w:trPr>
          <w:trHeight w:val="27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Investors and Key Holders party thereto</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60" w:type="dxa"/>
            <w:vAlign w:val="bottom"/>
          </w:tcPr>
          <w:p>
            <w:pPr>
              <w:jc w:val="right"/>
              <w:ind w:right="300"/>
              <w:spacing w:after="0"/>
              <w:rPr>
                <w:sz w:val="20"/>
                <w:szCs w:val="20"/>
                <w:color w:val="auto"/>
              </w:rPr>
            </w:pPr>
            <w:r>
              <w:rPr>
                <w:rFonts w:ascii="Arial" w:cs="Arial" w:eastAsia="Arial" w:hAnsi="Arial"/>
                <w:sz w:val="21"/>
                <w:szCs w:val="21"/>
                <w:color w:val="auto"/>
              </w:rPr>
              <w:t>4.3</w:t>
            </w: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Description of Capital Stock</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60" w:type="dxa"/>
            <w:vAlign w:val="bottom"/>
          </w:tcPr>
          <w:p>
            <w:pPr>
              <w:jc w:val="right"/>
              <w:ind w:right="140"/>
              <w:spacing w:after="0"/>
              <w:rPr>
                <w:sz w:val="20"/>
                <w:szCs w:val="20"/>
                <w:color w:val="auto"/>
              </w:rPr>
            </w:pPr>
            <w:r>
              <w:rPr>
                <w:rFonts w:ascii="Arial" w:cs="Arial" w:eastAsia="Arial" w:hAnsi="Arial"/>
                <w:sz w:val="21"/>
                <w:szCs w:val="21"/>
                <w:color w:val="auto"/>
              </w:rPr>
              <w:t>10.1**</w:t>
            </w: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Form of Director and Executive Officer</w:t>
            </w:r>
          </w:p>
        </w:tc>
        <w:tc>
          <w:tcPr>
            <w:tcW w:w="740" w:type="dxa"/>
            <w:vAlign w:val="bottom"/>
          </w:tcPr>
          <w:p>
            <w:pPr>
              <w:jc w:val="center"/>
              <w:spacing w:after="0"/>
              <w:rPr>
                <w:sz w:val="20"/>
                <w:szCs w:val="20"/>
                <w:color w:val="auto"/>
              </w:rPr>
            </w:pPr>
            <w:r>
              <w:rPr>
                <w:rFonts w:ascii="Arial" w:cs="Arial" w:eastAsia="Arial" w:hAnsi="Arial"/>
                <w:sz w:val="21"/>
                <w:szCs w:val="21"/>
                <w:color w:val="auto"/>
                <w:w w:val="97"/>
              </w:rPr>
              <w:t>S-1</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20" w:type="dxa"/>
            <w:vAlign w:val="bottom"/>
          </w:tcPr>
          <w:p>
            <w:pPr>
              <w:jc w:val="center"/>
              <w:spacing w:after="0"/>
              <w:rPr>
                <w:sz w:val="20"/>
                <w:szCs w:val="20"/>
                <w:color w:val="auto"/>
              </w:rPr>
            </w:pPr>
            <w:r>
              <w:rPr>
                <w:rFonts w:ascii="Arial" w:cs="Arial" w:eastAsia="Arial" w:hAnsi="Arial"/>
                <w:sz w:val="21"/>
                <w:szCs w:val="21"/>
                <w:color w:val="auto"/>
                <w:w w:val="97"/>
              </w:rPr>
              <w:t>10.1</w:t>
            </w:r>
          </w:p>
        </w:tc>
        <w:tc>
          <w:tcPr>
            <w:tcW w:w="1460" w:type="dxa"/>
            <w:vAlign w:val="bottom"/>
          </w:tcPr>
          <w:p>
            <w:pPr>
              <w:jc w:val="center"/>
              <w:spacing w:after="0"/>
              <w:rPr>
                <w:sz w:val="20"/>
                <w:szCs w:val="20"/>
                <w:color w:val="auto"/>
              </w:rPr>
            </w:pPr>
            <w:r>
              <w:rPr>
                <w:rFonts w:ascii="Arial" w:cs="Arial" w:eastAsia="Arial" w:hAnsi="Arial"/>
                <w:sz w:val="21"/>
                <w:szCs w:val="21"/>
                <w:color w:val="auto"/>
                <w:w w:val="99"/>
              </w:rPr>
              <w:t>August 26,</w:t>
            </w:r>
          </w:p>
        </w:tc>
        <w:tc>
          <w:tcPr>
            <w:tcW w:w="0" w:type="dxa"/>
            <w:vAlign w:val="bottom"/>
          </w:tcPr>
          <w:p>
            <w:pPr>
              <w:spacing w:after="0"/>
              <w:rPr>
                <w:sz w:val="1"/>
                <w:szCs w:val="1"/>
                <w:color w:val="auto"/>
              </w:rPr>
            </w:pPr>
          </w:p>
        </w:tc>
      </w:tr>
      <w:tr>
        <w:trPr>
          <w:trHeight w:val="27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Indemnification Agreement</w:t>
            </w:r>
          </w:p>
        </w:tc>
        <w:tc>
          <w:tcPr>
            <w:tcW w:w="7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6"/>
              </w:rPr>
              <w:t>248428</w:t>
            </w:r>
          </w:p>
        </w:tc>
        <w:tc>
          <w:tcPr>
            <w:tcW w:w="6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2020</w:t>
            </w:r>
          </w:p>
        </w:tc>
        <w:tc>
          <w:tcPr>
            <w:tcW w:w="0" w:type="dxa"/>
            <w:vAlign w:val="bottom"/>
          </w:tcPr>
          <w:p>
            <w:pPr>
              <w:spacing w:after="0"/>
              <w:rPr>
                <w:sz w:val="1"/>
                <w:szCs w:val="1"/>
                <w:color w:val="auto"/>
              </w:rPr>
            </w:pPr>
          </w:p>
        </w:tc>
      </w:tr>
      <w:tr>
        <w:trPr>
          <w:trHeight w:val="389"/>
        </w:trPr>
        <w:tc>
          <w:tcPr>
            <w:tcW w:w="860" w:type="dxa"/>
            <w:vAlign w:val="bottom"/>
          </w:tcPr>
          <w:p>
            <w:pPr>
              <w:jc w:val="right"/>
              <w:ind w:right="140"/>
              <w:spacing w:after="0"/>
              <w:rPr>
                <w:sz w:val="20"/>
                <w:szCs w:val="20"/>
                <w:color w:val="auto"/>
              </w:rPr>
            </w:pPr>
            <w:r>
              <w:rPr>
                <w:rFonts w:ascii="Arial" w:cs="Arial" w:eastAsia="Arial" w:hAnsi="Arial"/>
                <w:sz w:val="21"/>
                <w:szCs w:val="21"/>
                <w:color w:val="auto"/>
              </w:rPr>
              <w:t>10.2**</w:t>
            </w: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2014 Equity Incentive Plan, as amended</w:t>
            </w:r>
          </w:p>
        </w:tc>
        <w:tc>
          <w:tcPr>
            <w:tcW w:w="74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20" w:type="dxa"/>
            <w:vAlign w:val="bottom"/>
          </w:tcPr>
          <w:p>
            <w:pPr>
              <w:jc w:val="center"/>
              <w:spacing w:after="0"/>
              <w:rPr>
                <w:sz w:val="20"/>
                <w:szCs w:val="20"/>
                <w:color w:val="auto"/>
              </w:rPr>
            </w:pPr>
            <w:r>
              <w:rPr>
                <w:rFonts w:ascii="Arial" w:cs="Arial" w:eastAsia="Arial" w:hAnsi="Arial"/>
                <w:sz w:val="21"/>
                <w:szCs w:val="21"/>
                <w:color w:val="auto"/>
                <w:w w:val="97"/>
              </w:rPr>
              <w:t>10.2</w:t>
            </w: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September 9,</w:t>
            </w:r>
          </w:p>
        </w:tc>
        <w:tc>
          <w:tcPr>
            <w:tcW w:w="0" w:type="dxa"/>
            <w:vAlign w:val="bottom"/>
          </w:tcPr>
          <w:p>
            <w:pPr>
              <w:spacing w:after="0"/>
              <w:rPr>
                <w:sz w:val="1"/>
                <w:szCs w:val="1"/>
                <w:color w:val="auto"/>
              </w:rPr>
            </w:pPr>
          </w:p>
        </w:tc>
      </w:tr>
      <w:tr>
        <w:trPr>
          <w:trHeight w:val="27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6"/>
              </w:rPr>
              <w:t>248428</w:t>
            </w:r>
          </w:p>
        </w:tc>
        <w:tc>
          <w:tcPr>
            <w:tcW w:w="6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2020</w:t>
            </w:r>
          </w:p>
        </w:tc>
        <w:tc>
          <w:tcPr>
            <w:tcW w:w="0" w:type="dxa"/>
            <w:vAlign w:val="bottom"/>
          </w:tcPr>
          <w:p>
            <w:pPr>
              <w:spacing w:after="0"/>
              <w:rPr>
                <w:sz w:val="1"/>
                <w:szCs w:val="1"/>
                <w:color w:val="auto"/>
              </w:rPr>
            </w:pPr>
          </w:p>
        </w:tc>
      </w:tr>
      <w:tr>
        <w:trPr>
          <w:trHeight w:val="389"/>
        </w:trPr>
        <w:tc>
          <w:tcPr>
            <w:tcW w:w="860" w:type="dxa"/>
            <w:vAlign w:val="bottom"/>
          </w:tcPr>
          <w:p>
            <w:pPr>
              <w:jc w:val="right"/>
              <w:ind w:right="140"/>
              <w:spacing w:after="0"/>
              <w:rPr>
                <w:sz w:val="20"/>
                <w:szCs w:val="20"/>
                <w:color w:val="auto"/>
              </w:rPr>
            </w:pPr>
            <w:r>
              <w:rPr>
                <w:rFonts w:ascii="Arial" w:cs="Arial" w:eastAsia="Arial" w:hAnsi="Arial"/>
                <w:sz w:val="21"/>
                <w:szCs w:val="21"/>
                <w:color w:val="auto"/>
              </w:rPr>
              <w:t>10.3**</w:t>
            </w: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2020 Equity Incentive Plan</w:t>
            </w:r>
          </w:p>
        </w:tc>
        <w:tc>
          <w:tcPr>
            <w:tcW w:w="74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20" w:type="dxa"/>
            <w:vAlign w:val="bottom"/>
          </w:tcPr>
          <w:p>
            <w:pPr>
              <w:jc w:val="center"/>
              <w:spacing w:after="0"/>
              <w:rPr>
                <w:sz w:val="20"/>
                <w:szCs w:val="20"/>
                <w:color w:val="auto"/>
              </w:rPr>
            </w:pPr>
            <w:r>
              <w:rPr>
                <w:rFonts w:ascii="Arial" w:cs="Arial" w:eastAsia="Arial" w:hAnsi="Arial"/>
                <w:sz w:val="21"/>
                <w:szCs w:val="21"/>
                <w:color w:val="auto"/>
                <w:w w:val="97"/>
              </w:rPr>
              <w:t>10.5</w:t>
            </w: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September 9,</w:t>
            </w:r>
          </w:p>
        </w:tc>
        <w:tc>
          <w:tcPr>
            <w:tcW w:w="0" w:type="dxa"/>
            <w:vAlign w:val="bottom"/>
          </w:tcPr>
          <w:p>
            <w:pPr>
              <w:spacing w:after="0"/>
              <w:rPr>
                <w:sz w:val="1"/>
                <w:szCs w:val="1"/>
                <w:color w:val="auto"/>
              </w:rPr>
            </w:pPr>
          </w:p>
        </w:tc>
      </w:tr>
      <w:tr>
        <w:trPr>
          <w:trHeight w:val="27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6"/>
              </w:rPr>
              <w:t>248428</w:t>
            </w:r>
          </w:p>
        </w:tc>
        <w:tc>
          <w:tcPr>
            <w:tcW w:w="6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2020</w:t>
            </w:r>
          </w:p>
        </w:tc>
        <w:tc>
          <w:tcPr>
            <w:tcW w:w="0" w:type="dxa"/>
            <w:vAlign w:val="bottom"/>
          </w:tcPr>
          <w:p>
            <w:pPr>
              <w:spacing w:after="0"/>
              <w:rPr>
                <w:sz w:val="1"/>
                <w:szCs w:val="1"/>
                <w:color w:val="auto"/>
              </w:rPr>
            </w:pPr>
          </w:p>
        </w:tc>
      </w:tr>
      <w:tr>
        <w:trPr>
          <w:trHeight w:val="388"/>
        </w:trPr>
        <w:tc>
          <w:tcPr>
            <w:tcW w:w="860" w:type="dxa"/>
            <w:vAlign w:val="bottom"/>
          </w:tcPr>
          <w:p>
            <w:pPr>
              <w:jc w:val="right"/>
              <w:ind w:right="140"/>
              <w:spacing w:after="0"/>
              <w:rPr>
                <w:sz w:val="20"/>
                <w:szCs w:val="20"/>
                <w:color w:val="auto"/>
              </w:rPr>
            </w:pPr>
            <w:r>
              <w:rPr>
                <w:rFonts w:ascii="Arial" w:cs="Arial" w:eastAsia="Arial" w:hAnsi="Arial"/>
                <w:sz w:val="21"/>
                <w:szCs w:val="21"/>
                <w:color w:val="auto"/>
              </w:rPr>
              <w:t>10.4**</w:t>
            </w: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Form of Stock Option Agreement under the 2020</w:t>
            </w:r>
          </w:p>
        </w:tc>
        <w:tc>
          <w:tcPr>
            <w:tcW w:w="74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20" w:type="dxa"/>
            <w:vAlign w:val="bottom"/>
          </w:tcPr>
          <w:p>
            <w:pPr>
              <w:jc w:val="center"/>
              <w:spacing w:after="0"/>
              <w:rPr>
                <w:sz w:val="20"/>
                <w:szCs w:val="20"/>
                <w:color w:val="auto"/>
              </w:rPr>
            </w:pPr>
            <w:r>
              <w:rPr>
                <w:rFonts w:ascii="Arial" w:cs="Arial" w:eastAsia="Arial" w:hAnsi="Arial"/>
                <w:sz w:val="21"/>
                <w:szCs w:val="21"/>
                <w:color w:val="auto"/>
                <w:w w:val="97"/>
              </w:rPr>
              <w:t>10.6</w:t>
            </w: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September 9,</w:t>
            </w:r>
          </w:p>
        </w:tc>
        <w:tc>
          <w:tcPr>
            <w:tcW w:w="0" w:type="dxa"/>
            <w:vAlign w:val="bottom"/>
          </w:tcPr>
          <w:p>
            <w:pPr>
              <w:spacing w:after="0"/>
              <w:rPr>
                <w:sz w:val="1"/>
                <w:szCs w:val="1"/>
                <w:color w:val="auto"/>
              </w:rPr>
            </w:pPr>
          </w:p>
        </w:tc>
      </w:tr>
      <w:tr>
        <w:trPr>
          <w:trHeight w:val="27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Equity Incentive Plan</w:t>
            </w:r>
          </w:p>
        </w:tc>
        <w:tc>
          <w:tcPr>
            <w:tcW w:w="7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6"/>
              </w:rPr>
              <w:t>248428</w:t>
            </w:r>
          </w:p>
        </w:tc>
        <w:tc>
          <w:tcPr>
            <w:tcW w:w="6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2020</w:t>
            </w:r>
          </w:p>
        </w:tc>
        <w:tc>
          <w:tcPr>
            <w:tcW w:w="0" w:type="dxa"/>
            <w:vAlign w:val="bottom"/>
          </w:tcPr>
          <w:p>
            <w:pPr>
              <w:spacing w:after="0"/>
              <w:rPr>
                <w:sz w:val="1"/>
                <w:szCs w:val="1"/>
                <w:color w:val="auto"/>
              </w:rPr>
            </w:pPr>
          </w:p>
        </w:tc>
      </w:tr>
      <w:tr>
        <w:trPr>
          <w:trHeight w:val="388"/>
        </w:trPr>
        <w:tc>
          <w:tcPr>
            <w:tcW w:w="860" w:type="dxa"/>
            <w:vAlign w:val="bottom"/>
          </w:tcPr>
          <w:p>
            <w:pPr>
              <w:jc w:val="right"/>
              <w:ind w:right="140"/>
              <w:spacing w:after="0"/>
              <w:rPr>
                <w:sz w:val="20"/>
                <w:szCs w:val="20"/>
                <w:color w:val="auto"/>
              </w:rPr>
            </w:pPr>
            <w:r>
              <w:rPr>
                <w:rFonts w:ascii="Arial" w:cs="Arial" w:eastAsia="Arial" w:hAnsi="Arial"/>
                <w:sz w:val="21"/>
                <w:szCs w:val="21"/>
                <w:color w:val="auto"/>
              </w:rPr>
              <w:t>10.5**</w:t>
            </w: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Form of Restricted Stock Award Agreement under</w:t>
            </w:r>
          </w:p>
        </w:tc>
        <w:tc>
          <w:tcPr>
            <w:tcW w:w="74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20" w:type="dxa"/>
            <w:vAlign w:val="bottom"/>
          </w:tcPr>
          <w:p>
            <w:pPr>
              <w:jc w:val="center"/>
              <w:spacing w:after="0"/>
              <w:rPr>
                <w:sz w:val="20"/>
                <w:szCs w:val="20"/>
                <w:color w:val="auto"/>
              </w:rPr>
            </w:pPr>
            <w:r>
              <w:rPr>
                <w:rFonts w:ascii="Arial" w:cs="Arial" w:eastAsia="Arial" w:hAnsi="Arial"/>
                <w:sz w:val="21"/>
                <w:szCs w:val="21"/>
                <w:color w:val="auto"/>
                <w:w w:val="97"/>
              </w:rPr>
              <w:t>10.7</w:t>
            </w: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September 9,</w:t>
            </w:r>
          </w:p>
        </w:tc>
        <w:tc>
          <w:tcPr>
            <w:tcW w:w="0" w:type="dxa"/>
            <w:vAlign w:val="bottom"/>
          </w:tcPr>
          <w:p>
            <w:pPr>
              <w:spacing w:after="0"/>
              <w:rPr>
                <w:sz w:val="1"/>
                <w:szCs w:val="1"/>
                <w:color w:val="auto"/>
              </w:rPr>
            </w:pPr>
          </w:p>
        </w:tc>
      </w:tr>
      <w:tr>
        <w:trPr>
          <w:trHeight w:val="27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the 2020 Equity Incentive Plan</w:t>
            </w:r>
          </w:p>
        </w:tc>
        <w:tc>
          <w:tcPr>
            <w:tcW w:w="7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6"/>
              </w:rPr>
              <w:t>248428</w:t>
            </w:r>
          </w:p>
        </w:tc>
        <w:tc>
          <w:tcPr>
            <w:tcW w:w="6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2020</w:t>
            </w:r>
          </w:p>
        </w:tc>
        <w:tc>
          <w:tcPr>
            <w:tcW w:w="0" w:type="dxa"/>
            <w:vAlign w:val="bottom"/>
          </w:tcPr>
          <w:p>
            <w:pPr>
              <w:spacing w:after="0"/>
              <w:rPr>
                <w:sz w:val="1"/>
                <w:szCs w:val="1"/>
                <w:color w:val="auto"/>
              </w:rPr>
            </w:pPr>
          </w:p>
        </w:tc>
      </w:tr>
      <w:tr>
        <w:trPr>
          <w:trHeight w:val="389"/>
        </w:trPr>
        <w:tc>
          <w:tcPr>
            <w:tcW w:w="860" w:type="dxa"/>
            <w:vAlign w:val="bottom"/>
          </w:tcPr>
          <w:p>
            <w:pPr>
              <w:jc w:val="right"/>
              <w:ind w:right="140"/>
              <w:spacing w:after="0"/>
              <w:rPr>
                <w:sz w:val="20"/>
                <w:szCs w:val="20"/>
                <w:color w:val="auto"/>
              </w:rPr>
            </w:pPr>
            <w:r>
              <w:rPr>
                <w:rFonts w:ascii="Arial" w:cs="Arial" w:eastAsia="Arial" w:hAnsi="Arial"/>
                <w:sz w:val="21"/>
                <w:szCs w:val="21"/>
                <w:color w:val="auto"/>
              </w:rPr>
              <w:t>10.6**</w:t>
            </w: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Form of RSU Agreement under the 2020 Equity</w:t>
            </w:r>
          </w:p>
        </w:tc>
        <w:tc>
          <w:tcPr>
            <w:tcW w:w="74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20" w:type="dxa"/>
            <w:vAlign w:val="bottom"/>
          </w:tcPr>
          <w:p>
            <w:pPr>
              <w:jc w:val="center"/>
              <w:spacing w:after="0"/>
              <w:rPr>
                <w:sz w:val="20"/>
                <w:szCs w:val="20"/>
                <w:color w:val="auto"/>
              </w:rPr>
            </w:pPr>
            <w:r>
              <w:rPr>
                <w:rFonts w:ascii="Arial" w:cs="Arial" w:eastAsia="Arial" w:hAnsi="Arial"/>
                <w:sz w:val="21"/>
                <w:szCs w:val="21"/>
                <w:color w:val="auto"/>
                <w:w w:val="97"/>
              </w:rPr>
              <w:t>10.8</w:t>
            </w: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September 9,</w:t>
            </w:r>
          </w:p>
        </w:tc>
        <w:tc>
          <w:tcPr>
            <w:tcW w:w="0" w:type="dxa"/>
            <w:vAlign w:val="bottom"/>
          </w:tcPr>
          <w:p>
            <w:pPr>
              <w:spacing w:after="0"/>
              <w:rPr>
                <w:sz w:val="1"/>
                <w:szCs w:val="1"/>
                <w:color w:val="auto"/>
              </w:rPr>
            </w:pPr>
          </w:p>
        </w:tc>
      </w:tr>
      <w:tr>
        <w:trPr>
          <w:trHeight w:val="279"/>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21"/>
                <w:szCs w:val="21"/>
                <w:color w:val="auto"/>
              </w:rPr>
              <w:t>Incentive Plan</w:t>
            </w:r>
          </w:p>
        </w:tc>
        <w:tc>
          <w:tcPr>
            <w:tcW w:w="7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6"/>
              </w:rPr>
              <w:t>248428</w:t>
            </w:r>
          </w:p>
        </w:tc>
        <w:tc>
          <w:tcPr>
            <w:tcW w:w="6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1"/>
                <w:szCs w:val="21"/>
                <w:color w:val="auto"/>
                <w:w w:val="98"/>
              </w:rPr>
              <w:t>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159</w:t>
      </w:r>
    </w:p>
    <w:p>
      <w:pPr>
        <w:sectPr>
          <w:pgSz w:w="12240" w:h="15840" w:orient="portrait"/>
          <w:cols w:equalWidth="0" w:num="1">
            <w:col w:w="9640"/>
          </w:cols>
          <w:pgMar w:left="1300" w:top="1222" w:right="1300" w:bottom="0" w:gutter="0" w:footer="0" w:header="0"/>
          <w:type w:val="continuous"/>
        </w:sectPr>
      </w:pPr>
    </w:p>
    <w:bookmarkStart w:id="165" w:name="page166"/>
    <w:bookmarkEnd w:id="165"/>
    <w:tbl>
      <w:tblPr>
        <w:tblLayout w:type="fixed"/>
        <w:tblInd w:w="0" w:type="dxa"/>
        <w:tblCellMar>
          <w:top w:w="0" w:type="dxa"/>
          <w:left w:w="0" w:type="dxa"/>
          <w:bottom w:w="0" w:type="dxa"/>
          <w:right w:w="0" w:type="dxa"/>
        </w:tblCellMar>
      </w:tblPr>
      <w:tr>
        <w:trPr>
          <w:trHeight w:val="241"/>
        </w:trPr>
        <w:tc>
          <w:tcPr>
            <w:tcW w:w="840" w:type="dxa"/>
            <w:vAlign w:val="bottom"/>
          </w:tcPr>
          <w:p>
            <w:pPr>
              <w:ind w:left="60"/>
              <w:spacing w:after="0"/>
              <w:rPr>
                <w:sz w:val="20"/>
                <w:szCs w:val="20"/>
                <w:color w:val="auto"/>
              </w:rPr>
            </w:pPr>
            <w:r>
              <w:rPr>
                <w:rFonts w:ascii="Arial" w:cs="Arial" w:eastAsia="Arial" w:hAnsi="Arial"/>
                <w:sz w:val="21"/>
                <w:szCs w:val="21"/>
                <w:color w:val="auto"/>
              </w:rPr>
              <w:t>10.7</w:t>
            </w:r>
            <w:r>
              <w:rPr>
                <w:rFonts w:ascii="Arial" w:cs="Arial" w:eastAsia="Arial" w:hAnsi="Arial"/>
                <w:sz w:val="16"/>
                <w:szCs w:val="16"/>
                <w:color w:val="auto"/>
              </w:rPr>
              <w:t>†</w:t>
            </w:r>
          </w:p>
        </w:tc>
        <w:tc>
          <w:tcPr>
            <w:tcW w:w="4920" w:type="dxa"/>
            <w:vAlign w:val="bottom"/>
          </w:tcPr>
          <w:p>
            <w:pPr>
              <w:ind w:left="120"/>
              <w:spacing w:after="0"/>
              <w:rPr>
                <w:sz w:val="20"/>
                <w:szCs w:val="20"/>
                <w:color w:val="auto"/>
              </w:rPr>
            </w:pPr>
            <w:r>
              <w:rPr>
                <w:rFonts w:ascii="Arial" w:cs="Arial" w:eastAsia="Arial" w:hAnsi="Arial"/>
                <w:sz w:val="21"/>
                <w:szCs w:val="21"/>
                <w:color w:val="auto"/>
              </w:rPr>
              <w:t>Amended and Restated Standard Exclusive</w:t>
            </w:r>
          </w:p>
        </w:tc>
        <w:tc>
          <w:tcPr>
            <w:tcW w:w="680" w:type="dxa"/>
            <w:vAlign w:val="bottom"/>
          </w:tcPr>
          <w:p>
            <w:pPr>
              <w:jc w:val="center"/>
              <w:spacing w:after="0"/>
              <w:rPr>
                <w:sz w:val="20"/>
                <w:szCs w:val="20"/>
                <w:color w:val="auto"/>
              </w:rPr>
            </w:pPr>
            <w:r>
              <w:rPr>
                <w:rFonts w:ascii="Arial" w:cs="Arial" w:eastAsia="Arial" w:hAnsi="Arial"/>
                <w:sz w:val="21"/>
                <w:szCs w:val="21"/>
                <w:color w:val="auto"/>
                <w:w w:val="97"/>
              </w:rPr>
              <w:t>S-1</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40" w:type="dxa"/>
            <w:vAlign w:val="bottom"/>
          </w:tcPr>
          <w:p>
            <w:pPr>
              <w:jc w:val="center"/>
              <w:spacing w:after="0"/>
              <w:rPr>
                <w:sz w:val="20"/>
                <w:szCs w:val="20"/>
                <w:color w:val="auto"/>
              </w:rPr>
            </w:pPr>
            <w:r>
              <w:rPr>
                <w:rFonts w:ascii="Arial" w:cs="Arial" w:eastAsia="Arial" w:hAnsi="Arial"/>
                <w:sz w:val="21"/>
                <w:szCs w:val="21"/>
                <w:color w:val="auto"/>
                <w:w w:val="97"/>
              </w:rPr>
              <w:t>10.9</w:t>
            </w:r>
          </w:p>
        </w:tc>
        <w:tc>
          <w:tcPr>
            <w:tcW w:w="1420" w:type="dxa"/>
            <w:vAlign w:val="bottom"/>
          </w:tcPr>
          <w:p>
            <w:pPr>
              <w:jc w:val="center"/>
              <w:spacing w:after="0"/>
              <w:rPr>
                <w:sz w:val="20"/>
                <w:szCs w:val="20"/>
                <w:color w:val="auto"/>
              </w:rPr>
            </w:pPr>
            <w:r>
              <w:rPr>
                <w:rFonts w:ascii="Arial" w:cs="Arial" w:eastAsia="Arial" w:hAnsi="Arial"/>
                <w:sz w:val="21"/>
                <w:szCs w:val="21"/>
                <w:color w:val="auto"/>
                <w:w w:val="99"/>
              </w:rPr>
              <w:t>August 26,</w:t>
            </w:r>
          </w:p>
        </w:tc>
      </w:tr>
      <w:tr>
        <w:trPr>
          <w:trHeight w:val="237"/>
        </w:trPr>
        <w:tc>
          <w:tcPr>
            <w:tcW w:w="840" w:type="dxa"/>
            <w:vAlign w:val="bottom"/>
          </w:tcPr>
          <w:p>
            <w:pPr>
              <w:spacing w:after="0"/>
              <w:rPr>
                <w:sz w:val="20"/>
                <w:szCs w:val="20"/>
                <w:color w:val="auto"/>
              </w:rPr>
            </w:pPr>
          </w:p>
        </w:tc>
        <w:tc>
          <w:tcPr>
            <w:tcW w:w="4920" w:type="dxa"/>
            <w:vAlign w:val="bottom"/>
          </w:tcPr>
          <w:p>
            <w:pPr>
              <w:ind w:left="120"/>
              <w:spacing w:after="0" w:line="237" w:lineRule="exact"/>
              <w:rPr>
                <w:sz w:val="20"/>
                <w:szCs w:val="20"/>
                <w:color w:val="auto"/>
              </w:rPr>
            </w:pPr>
            <w:r>
              <w:rPr>
                <w:rFonts w:ascii="Arial" w:cs="Arial" w:eastAsia="Arial" w:hAnsi="Arial"/>
                <w:sz w:val="21"/>
                <w:szCs w:val="21"/>
                <w:color w:val="auto"/>
              </w:rPr>
              <w:t>Licensing Agreement with Sublicensing Terms,</w:t>
            </w:r>
          </w:p>
        </w:tc>
        <w:tc>
          <w:tcPr>
            <w:tcW w:w="680" w:type="dxa"/>
            <w:vAlign w:val="bottom"/>
          </w:tcPr>
          <w:p>
            <w:pPr>
              <w:spacing w:after="0"/>
              <w:rPr>
                <w:sz w:val="20"/>
                <w:szCs w:val="20"/>
                <w:color w:val="auto"/>
              </w:rPr>
            </w:pPr>
          </w:p>
        </w:tc>
        <w:tc>
          <w:tcPr>
            <w:tcW w:w="1120" w:type="dxa"/>
            <w:vAlign w:val="bottom"/>
          </w:tcPr>
          <w:p>
            <w:pPr>
              <w:jc w:val="center"/>
              <w:spacing w:after="0" w:line="237" w:lineRule="exact"/>
              <w:rPr>
                <w:sz w:val="20"/>
                <w:szCs w:val="20"/>
                <w:color w:val="auto"/>
              </w:rPr>
            </w:pPr>
            <w:r>
              <w:rPr>
                <w:rFonts w:ascii="Arial" w:cs="Arial" w:eastAsia="Arial" w:hAnsi="Arial"/>
                <w:sz w:val="21"/>
                <w:szCs w:val="21"/>
                <w:color w:val="auto"/>
                <w:w w:val="96"/>
              </w:rPr>
              <w:t>248428</w:t>
            </w:r>
          </w:p>
        </w:tc>
        <w:tc>
          <w:tcPr>
            <w:tcW w:w="640" w:type="dxa"/>
            <w:vAlign w:val="bottom"/>
          </w:tcPr>
          <w:p>
            <w:pPr>
              <w:spacing w:after="0"/>
              <w:rPr>
                <w:sz w:val="20"/>
                <w:szCs w:val="20"/>
                <w:color w:val="auto"/>
              </w:rPr>
            </w:pPr>
          </w:p>
        </w:tc>
        <w:tc>
          <w:tcPr>
            <w:tcW w:w="1420" w:type="dxa"/>
            <w:vAlign w:val="bottom"/>
          </w:tcPr>
          <w:p>
            <w:pPr>
              <w:jc w:val="center"/>
              <w:spacing w:after="0" w:line="237" w:lineRule="exact"/>
              <w:rPr>
                <w:sz w:val="20"/>
                <w:szCs w:val="20"/>
                <w:color w:val="auto"/>
              </w:rPr>
            </w:pPr>
            <w:r>
              <w:rPr>
                <w:rFonts w:ascii="Arial" w:cs="Arial" w:eastAsia="Arial" w:hAnsi="Arial"/>
                <w:sz w:val="21"/>
                <w:szCs w:val="21"/>
                <w:color w:val="auto"/>
                <w:w w:val="98"/>
              </w:rPr>
              <w:t>2020</w:t>
            </w:r>
          </w:p>
        </w:tc>
      </w:tr>
      <w:tr>
        <w:trPr>
          <w:trHeight w:val="236"/>
        </w:trPr>
        <w:tc>
          <w:tcPr>
            <w:tcW w:w="840" w:type="dxa"/>
            <w:vAlign w:val="bottom"/>
          </w:tcPr>
          <w:p>
            <w:pPr>
              <w:spacing w:after="0"/>
              <w:rPr>
                <w:sz w:val="20"/>
                <w:szCs w:val="20"/>
                <w:color w:val="auto"/>
              </w:rPr>
            </w:pPr>
          </w:p>
        </w:tc>
        <w:tc>
          <w:tcPr>
            <w:tcW w:w="4920" w:type="dxa"/>
            <w:vAlign w:val="bottom"/>
          </w:tcPr>
          <w:p>
            <w:pPr>
              <w:ind w:left="120"/>
              <w:spacing w:after="0" w:line="236" w:lineRule="exact"/>
              <w:rPr>
                <w:sz w:val="20"/>
                <w:szCs w:val="20"/>
                <w:color w:val="auto"/>
              </w:rPr>
            </w:pPr>
            <w:r>
              <w:rPr>
                <w:rFonts w:ascii="Arial" w:cs="Arial" w:eastAsia="Arial" w:hAnsi="Arial"/>
                <w:sz w:val="21"/>
                <w:szCs w:val="21"/>
                <w:color w:val="auto"/>
              </w:rPr>
              <w:t>dated October 28, 2015, by and between the</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7"/>
        </w:trPr>
        <w:tc>
          <w:tcPr>
            <w:tcW w:w="840" w:type="dxa"/>
            <w:vAlign w:val="bottom"/>
          </w:tcPr>
          <w:p>
            <w:pPr>
              <w:spacing w:after="0"/>
              <w:rPr>
                <w:sz w:val="20"/>
                <w:szCs w:val="20"/>
                <w:color w:val="auto"/>
              </w:rPr>
            </w:pPr>
          </w:p>
        </w:tc>
        <w:tc>
          <w:tcPr>
            <w:tcW w:w="4920" w:type="dxa"/>
            <w:vAlign w:val="bottom"/>
          </w:tcPr>
          <w:p>
            <w:pPr>
              <w:ind w:left="120"/>
              <w:spacing w:after="0" w:line="237" w:lineRule="exact"/>
              <w:rPr>
                <w:sz w:val="20"/>
                <w:szCs w:val="20"/>
                <w:color w:val="auto"/>
              </w:rPr>
            </w:pPr>
            <w:r>
              <w:rPr>
                <w:rFonts w:ascii="Arial" w:cs="Arial" w:eastAsia="Arial" w:hAnsi="Arial"/>
                <w:sz w:val="21"/>
                <w:szCs w:val="21"/>
                <w:color w:val="auto"/>
              </w:rPr>
              <w:t>Registrant and Washington State University, and</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amendments thereto</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88"/>
        </w:trPr>
        <w:tc>
          <w:tcPr>
            <w:tcW w:w="840" w:type="dxa"/>
            <w:vAlign w:val="bottom"/>
          </w:tcPr>
          <w:p>
            <w:pPr>
              <w:ind w:left="60"/>
              <w:spacing w:after="0"/>
              <w:rPr>
                <w:sz w:val="20"/>
                <w:szCs w:val="20"/>
                <w:color w:val="auto"/>
              </w:rPr>
            </w:pPr>
            <w:r>
              <w:rPr>
                <w:rFonts w:ascii="Arial" w:cs="Arial" w:eastAsia="Arial" w:hAnsi="Arial"/>
                <w:sz w:val="21"/>
                <w:szCs w:val="21"/>
                <w:color w:val="auto"/>
              </w:rPr>
              <w:t>10.8**</w:t>
            </w:r>
          </w:p>
        </w:tc>
        <w:tc>
          <w:tcPr>
            <w:tcW w:w="4920" w:type="dxa"/>
            <w:vAlign w:val="bottom"/>
          </w:tcPr>
          <w:p>
            <w:pPr>
              <w:ind w:left="120"/>
              <w:spacing w:after="0"/>
              <w:rPr>
                <w:sz w:val="20"/>
                <w:szCs w:val="20"/>
                <w:color w:val="auto"/>
              </w:rPr>
            </w:pPr>
            <w:r>
              <w:rPr>
                <w:rFonts w:ascii="Arial" w:cs="Arial" w:eastAsia="Arial" w:hAnsi="Arial"/>
                <w:sz w:val="21"/>
                <w:szCs w:val="21"/>
                <w:color w:val="auto"/>
              </w:rPr>
              <w:t>2020 Employee Stock Purchase Plan, as amended</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and Form of Subscription Agreement Thereunder</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89"/>
        </w:trPr>
        <w:tc>
          <w:tcPr>
            <w:tcW w:w="840" w:type="dxa"/>
            <w:vAlign w:val="bottom"/>
          </w:tcPr>
          <w:p>
            <w:pPr>
              <w:ind w:left="60"/>
              <w:spacing w:after="0"/>
              <w:rPr>
                <w:sz w:val="20"/>
                <w:szCs w:val="20"/>
                <w:color w:val="auto"/>
              </w:rPr>
            </w:pPr>
            <w:r>
              <w:rPr>
                <w:rFonts w:ascii="Arial" w:cs="Arial" w:eastAsia="Arial" w:hAnsi="Arial"/>
                <w:sz w:val="21"/>
                <w:szCs w:val="21"/>
                <w:color w:val="auto"/>
              </w:rPr>
              <w:t>10.9</w:t>
            </w:r>
          </w:p>
        </w:tc>
        <w:tc>
          <w:tcPr>
            <w:tcW w:w="4920" w:type="dxa"/>
            <w:vAlign w:val="bottom"/>
          </w:tcPr>
          <w:p>
            <w:pPr>
              <w:ind w:left="120"/>
              <w:spacing w:after="0"/>
              <w:rPr>
                <w:sz w:val="20"/>
                <w:szCs w:val="20"/>
                <w:color w:val="auto"/>
              </w:rPr>
            </w:pPr>
            <w:r>
              <w:rPr>
                <w:rFonts w:ascii="Arial" w:cs="Arial" w:eastAsia="Arial" w:hAnsi="Arial"/>
                <w:sz w:val="21"/>
                <w:szCs w:val="21"/>
                <w:color w:val="auto"/>
              </w:rPr>
              <w:t>Lease agreement, dated July 20, 2020, by and</w:t>
            </w:r>
          </w:p>
        </w:tc>
        <w:tc>
          <w:tcPr>
            <w:tcW w:w="68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40" w:type="dxa"/>
            <w:vAlign w:val="bottom"/>
          </w:tcPr>
          <w:p>
            <w:pPr>
              <w:jc w:val="center"/>
              <w:spacing w:after="0"/>
              <w:rPr>
                <w:sz w:val="20"/>
                <w:szCs w:val="20"/>
                <w:color w:val="auto"/>
              </w:rPr>
            </w:pPr>
            <w:r>
              <w:rPr>
                <w:rFonts w:ascii="Arial" w:cs="Arial" w:eastAsia="Arial" w:hAnsi="Arial"/>
                <w:sz w:val="21"/>
                <w:szCs w:val="21"/>
                <w:color w:val="auto"/>
                <w:w w:val="98"/>
              </w:rPr>
              <w:t>10.11</w:t>
            </w: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September 9,</w:t>
            </w:r>
          </w:p>
        </w:tc>
      </w:tr>
      <w:tr>
        <w:trPr>
          <w:trHeight w:val="236"/>
        </w:trPr>
        <w:tc>
          <w:tcPr>
            <w:tcW w:w="840" w:type="dxa"/>
            <w:vAlign w:val="bottom"/>
          </w:tcPr>
          <w:p>
            <w:pPr>
              <w:spacing w:after="0"/>
              <w:rPr>
                <w:sz w:val="20"/>
                <w:szCs w:val="20"/>
                <w:color w:val="auto"/>
              </w:rPr>
            </w:pPr>
          </w:p>
        </w:tc>
        <w:tc>
          <w:tcPr>
            <w:tcW w:w="4920" w:type="dxa"/>
            <w:vAlign w:val="bottom"/>
          </w:tcPr>
          <w:p>
            <w:pPr>
              <w:ind w:left="120"/>
              <w:spacing w:after="0" w:line="236" w:lineRule="exact"/>
              <w:rPr>
                <w:sz w:val="20"/>
                <w:szCs w:val="20"/>
                <w:color w:val="auto"/>
              </w:rPr>
            </w:pPr>
            <w:r>
              <w:rPr>
                <w:rFonts w:ascii="Arial" w:cs="Arial" w:eastAsia="Arial" w:hAnsi="Arial"/>
                <w:sz w:val="21"/>
                <w:szCs w:val="21"/>
                <w:color w:val="auto"/>
              </w:rPr>
              <w:t>between the Registrant and North Creek Parkway</w:t>
            </w:r>
          </w:p>
        </w:tc>
        <w:tc>
          <w:tcPr>
            <w:tcW w:w="680" w:type="dxa"/>
            <w:vAlign w:val="bottom"/>
          </w:tcPr>
          <w:p>
            <w:pPr>
              <w:spacing w:after="0"/>
              <w:rPr>
                <w:sz w:val="20"/>
                <w:szCs w:val="20"/>
                <w:color w:val="auto"/>
              </w:rPr>
            </w:pPr>
          </w:p>
        </w:tc>
        <w:tc>
          <w:tcPr>
            <w:tcW w:w="1120" w:type="dxa"/>
            <w:vAlign w:val="bottom"/>
          </w:tcPr>
          <w:p>
            <w:pPr>
              <w:jc w:val="center"/>
              <w:spacing w:after="0" w:line="236" w:lineRule="exact"/>
              <w:rPr>
                <w:sz w:val="20"/>
                <w:szCs w:val="20"/>
                <w:color w:val="auto"/>
              </w:rPr>
            </w:pPr>
            <w:r>
              <w:rPr>
                <w:rFonts w:ascii="Arial" w:cs="Arial" w:eastAsia="Arial" w:hAnsi="Arial"/>
                <w:sz w:val="21"/>
                <w:szCs w:val="21"/>
                <w:color w:val="auto"/>
                <w:w w:val="96"/>
              </w:rPr>
              <w:t>248428</w:t>
            </w:r>
          </w:p>
        </w:tc>
        <w:tc>
          <w:tcPr>
            <w:tcW w:w="640" w:type="dxa"/>
            <w:vAlign w:val="bottom"/>
          </w:tcPr>
          <w:p>
            <w:pPr>
              <w:spacing w:after="0"/>
              <w:rPr>
                <w:sz w:val="20"/>
                <w:szCs w:val="20"/>
                <w:color w:val="auto"/>
              </w:rPr>
            </w:pPr>
          </w:p>
        </w:tc>
        <w:tc>
          <w:tcPr>
            <w:tcW w:w="1420" w:type="dxa"/>
            <w:vAlign w:val="bottom"/>
          </w:tcPr>
          <w:p>
            <w:pPr>
              <w:jc w:val="center"/>
              <w:spacing w:after="0" w:line="236" w:lineRule="exact"/>
              <w:rPr>
                <w:sz w:val="20"/>
                <w:szCs w:val="20"/>
                <w:color w:val="auto"/>
              </w:rPr>
            </w:pPr>
            <w:r>
              <w:rPr>
                <w:rFonts w:ascii="Arial" w:cs="Arial" w:eastAsia="Arial" w:hAnsi="Arial"/>
                <w:sz w:val="21"/>
                <w:szCs w:val="21"/>
                <w:color w:val="auto"/>
                <w:w w:val="98"/>
              </w:rPr>
              <w:t>2020</w:t>
            </w: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Center Investors, LP</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1"/>
        </w:trPr>
        <w:tc>
          <w:tcPr>
            <w:tcW w:w="840" w:type="dxa"/>
            <w:vAlign w:val="bottom"/>
          </w:tcPr>
          <w:p>
            <w:pPr>
              <w:ind w:left="60"/>
              <w:spacing w:after="0"/>
              <w:rPr>
                <w:sz w:val="20"/>
                <w:szCs w:val="20"/>
                <w:color w:val="auto"/>
              </w:rPr>
            </w:pPr>
            <w:r>
              <w:rPr>
                <w:rFonts w:ascii="Arial" w:cs="Arial" w:eastAsia="Arial" w:hAnsi="Arial"/>
                <w:sz w:val="21"/>
                <w:szCs w:val="21"/>
                <w:color w:val="auto"/>
              </w:rPr>
              <w:t>10.10**</w:t>
            </w:r>
          </w:p>
        </w:tc>
        <w:tc>
          <w:tcPr>
            <w:tcW w:w="4920" w:type="dxa"/>
            <w:vAlign w:val="bottom"/>
          </w:tcPr>
          <w:p>
            <w:pPr>
              <w:ind w:left="120"/>
              <w:spacing w:after="0"/>
              <w:rPr>
                <w:sz w:val="20"/>
                <w:szCs w:val="20"/>
                <w:color w:val="auto"/>
              </w:rPr>
            </w:pPr>
            <w:r>
              <w:rPr>
                <w:rFonts w:ascii="Arial" w:cs="Arial" w:eastAsia="Arial" w:hAnsi="Arial"/>
                <w:sz w:val="21"/>
                <w:szCs w:val="21"/>
                <w:color w:val="auto"/>
                <w:w w:val="99"/>
              </w:rPr>
              <w:t>Outside Director Compensation Policy, as amended</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89"/>
        </w:trPr>
        <w:tc>
          <w:tcPr>
            <w:tcW w:w="840" w:type="dxa"/>
            <w:vAlign w:val="bottom"/>
          </w:tcPr>
          <w:p>
            <w:pPr>
              <w:ind w:left="60"/>
              <w:spacing w:after="0"/>
              <w:rPr>
                <w:sz w:val="20"/>
                <w:szCs w:val="20"/>
                <w:color w:val="auto"/>
              </w:rPr>
            </w:pPr>
            <w:r>
              <w:rPr>
                <w:rFonts w:ascii="Arial" w:cs="Arial" w:eastAsia="Arial" w:hAnsi="Arial"/>
                <w:sz w:val="21"/>
                <w:szCs w:val="21"/>
                <w:color w:val="auto"/>
              </w:rPr>
              <w:t>10.11**</w:t>
            </w:r>
          </w:p>
        </w:tc>
        <w:tc>
          <w:tcPr>
            <w:tcW w:w="4920" w:type="dxa"/>
            <w:vAlign w:val="bottom"/>
          </w:tcPr>
          <w:p>
            <w:pPr>
              <w:ind w:left="120"/>
              <w:spacing w:after="0"/>
              <w:rPr>
                <w:sz w:val="20"/>
                <w:szCs w:val="20"/>
                <w:color w:val="auto"/>
              </w:rPr>
            </w:pPr>
            <w:r>
              <w:rPr>
                <w:rFonts w:ascii="Arial" w:cs="Arial" w:eastAsia="Arial" w:hAnsi="Arial"/>
                <w:sz w:val="21"/>
                <w:szCs w:val="21"/>
                <w:color w:val="auto"/>
              </w:rPr>
              <w:t>Executive Incentive Compensation Plan</w:t>
            </w:r>
          </w:p>
        </w:tc>
        <w:tc>
          <w:tcPr>
            <w:tcW w:w="68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40" w:type="dxa"/>
            <w:vAlign w:val="bottom"/>
          </w:tcPr>
          <w:p>
            <w:pPr>
              <w:jc w:val="center"/>
              <w:spacing w:after="0"/>
              <w:rPr>
                <w:sz w:val="20"/>
                <w:szCs w:val="20"/>
                <w:color w:val="auto"/>
              </w:rPr>
            </w:pPr>
            <w:r>
              <w:rPr>
                <w:rFonts w:ascii="Arial" w:cs="Arial" w:eastAsia="Arial" w:hAnsi="Arial"/>
                <w:sz w:val="21"/>
                <w:szCs w:val="21"/>
                <w:color w:val="auto"/>
                <w:w w:val="98"/>
              </w:rPr>
              <w:t>10.13</w:t>
            </w: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September 9,</w:t>
            </w:r>
          </w:p>
        </w:tc>
      </w:tr>
      <w:tr>
        <w:trPr>
          <w:trHeight w:val="279"/>
        </w:trPr>
        <w:tc>
          <w:tcPr>
            <w:tcW w:w="8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6"/>
              </w:rPr>
              <w:t>248428</w:t>
            </w:r>
          </w:p>
        </w:tc>
        <w:tc>
          <w:tcPr>
            <w:tcW w:w="6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2020</w:t>
            </w:r>
          </w:p>
        </w:tc>
      </w:tr>
      <w:tr>
        <w:trPr>
          <w:trHeight w:val="388"/>
        </w:trPr>
        <w:tc>
          <w:tcPr>
            <w:tcW w:w="840" w:type="dxa"/>
            <w:vAlign w:val="bottom"/>
          </w:tcPr>
          <w:p>
            <w:pPr>
              <w:ind w:left="60"/>
              <w:spacing w:after="0"/>
              <w:rPr>
                <w:sz w:val="20"/>
                <w:szCs w:val="20"/>
                <w:color w:val="auto"/>
              </w:rPr>
            </w:pPr>
            <w:r>
              <w:rPr>
                <w:rFonts w:ascii="Arial" w:cs="Arial" w:eastAsia="Arial" w:hAnsi="Arial"/>
                <w:sz w:val="21"/>
                <w:szCs w:val="21"/>
                <w:color w:val="auto"/>
              </w:rPr>
              <w:t>10.12**</w:t>
            </w:r>
          </w:p>
        </w:tc>
        <w:tc>
          <w:tcPr>
            <w:tcW w:w="4920" w:type="dxa"/>
            <w:vAlign w:val="bottom"/>
          </w:tcPr>
          <w:p>
            <w:pPr>
              <w:ind w:left="120"/>
              <w:spacing w:after="0"/>
              <w:rPr>
                <w:sz w:val="20"/>
                <w:szCs w:val="20"/>
                <w:color w:val="auto"/>
              </w:rPr>
            </w:pPr>
            <w:r>
              <w:rPr>
                <w:rFonts w:ascii="Arial" w:cs="Arial" w:eastAsia="Arial" w:hAnsi="Arial"/>
                <w:sz w:val="21"/>
                <w:szCs w:val="21"/>
                <w:color w:val="auto"/>
              </w:rPr>
              <w:t>Confirmatory Employment Letter between the</w:t>
            </w:r>
          </w:p>
        </w:tc>
        <w:tc>
          <w:tcPr>
            <w:tcW w:w="68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40" w:type="dxa"/>
            <w:vAlign w:val="bottom"/>
          </w:tcPr>
          <w:p>
            <w:pPr>
              <w:jc w:val="center"/>
              <w:spacing w:after="0"/>
              <w:rPr>
                <w:sz w:val="20"/>
                <w:szCs w:val="20"/>
                <w:color w:val="auto"/>
              </w:rPr>
            </w:pPr>
            <w:r>
              <w:rPr>
                <w:rFonts w:ascii="Arial" w:cs="Arial" w:eastAsia="Arial" w:hAnsi="Arial"/>
                <w:sz w:val="21"/>
                <w:szCs w:val="21"/>
                <w:color w:val="auto"/>
                <w:w w:val="98"/>
              </w:rPr>
              <w:t>10.15</w:t>
            </w: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September 9,</w:t>
            </w: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Registrant and Mark Litton, Ph.D.</w:t>
            </w:r>
          </w:p>
        </w:tc>
        <w:tc>
          <w:tcPr>
            <w:tcW w:w="6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6"/>
              </w:rPr>
              <w:t>248428</w:t>
            </w:r>
          </w:p>
        </w:tc>
        <w:tc>
          <w:tcPr>
            <w:tcW w:w="6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2020</w:t>
            </w:r>
          </w:p>
        </w:tc>
      </w:tr>
      <w:tr>
        <w:trPr>
          <w:trHeight w:val="388"/>
        </w:trPr>
        <w:tc>
          <w:tcPr>
            <w:tcW w:w="840" w:type="dxa"/>
            <w:vAlign w:val="bottom"/>
          </w:tcPr>
          <w:p>
            <w:pPr>
              <w:ind w:left="60"/>
              <w:spacing w:after="0"/>
              <w:rPr>
                <w:sz w:val="20"/>
                <w:szCs w:val="20"/>
                <w:color w:val="auto"/>
              </w:rPr>
            </w:pPr>
            <w:r>
              <w:rPr>
                <w:rFonts w:ascii="Arial" w:cs="Arial" w:eastAsia="Arial" w:hAnsi="Arial"/>
                <w:sz w:val="21"/>
                <w:szCs w:val="21"/>
                <w:color w:val="auto"/>
              </w:rPr>
              <w:t>10.13**</w:t>
            </w:r>
          </w:p>
        </w:tc>
        <w:tc>
          <w:tcPr>
            <w:tcW w:w="4920" w:type="dxa"/>
            <w:vAlign w:val="bottom"/>
          </w:tcPr>
          <w:p>
            <w:pPr>
              <w:ind w:left="120"/>
              <w:spacing w:after="0"/>
              <w:rPr>
                <w:sz w:val="20"/>
                <w:szCs w:val="20"/>
                <w:color w:val="auto"/>
              </w:rPr>
            </w:pPr>
            <w:r>
              <w:rPr>
                <w:rFonts w:ascii="Arial" w:cs="Arial" w:eastAsia="Arial" w:hAnsi="Arial"/>
                <w:sz w:val="21"/>
                <w:szCs w:val="21"/>
                <w:color w:val="auto"/>
              </w:rPr>
              <w:t>Confirmatory Employment Letter between the</w:t>
            </w:r>
          </w:p>
        </w:tc>
        <w:tc>
          <w:tcPr>
            <w:tcW w:w="68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40" w:type="dxa"/>
            <w:vAlign w:val="bottom"/>
          </w:tcPr>
          <w:p>
            <w:pPr>
              <w:jc w:val="center"/>
              <w:spacing w:after="0"/>
              <w:rPr>
                <w:sz w:val="20"/>
                <w:szCs w:val="20"/>
                <w:color w:val="auto"/>
              </w:rPr>
            </w:pPr>
            <w:r>
              <w:rPr>
                <w:rFonts w:ascii="Arial" w:cs="Arial" w:eastAsia="Arial" w:hAnsi="Arial"/>
                <w:sz w:val="21"/>
                <w:szCs w:val="21"/>
                <w:color w:val="auto"/>
                <w:w w:val="98"/>
              </w:rPr>
              <w:t>10.16</w:t>
            </w: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September 9,</w:t>
            </w: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Registrant and Kevin Church, Ph.D.</w:t>
            </w:r>
          </w:p>
        </w:tc>
        <w:tc>
          <w:tcPr>
            <w:tcW w:w="6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6"/>
              </w:rPr>
              <w:t>248428</w:t>
            </w:r>
          </w:p>
        </w:tc>
        <w:tc>
          <w:tcPr>
            <w:tcW w:w="6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2020</w:t>
            </w:r>
          </w:p>
        </w:tc>
      </w:tr>
      <w:tr>
        <w:trPr>
          <w:trHeight w:val="388"/>
        </w:trPr>
        <w:tc>
          <w:tcPr>
            <w:tcW w:w="840" w:type="dxa"/>
            <w:vAlign w:val="bottom"/>
          </w:tcPr>
          <w:p>
            <w:pPr>
              <w:ind w:left="60"/>
              <w:spacing w:after="0"/>
              <w:rPr>
                <w:sz w:val="20"/>
                <w:szCs w:val="20"/>
                <w:color w:val="auto"/>
              </w:rPr>
            </w:pPr>
            <w:r>
              <w:rPr>
                <w:rFonts w:ascii="Arial" w:cs="Arial" w:eastAsia="Arial" w:hAnsi="Arial"/>
                <w:sz w:val="21"/>
                <w:szCs w:val="21"/>
                <w:color w:val="auto"/>
              </w:rPr>
              <w:t>10.14**</w:t>
            </w:r>
          </w:p>
        </w:tc>
        <w:tc>
          <w:tcPr>
            <w:tcW w:w="4920" w:type="dxa"/>
            <w:vAlign w:val="bottom"/>
          </w:tcPr>
          <w:p>
            <w:pPr>
              <w:ind w:left="120"/>
              <w:spacing w:after="0"/>
              <w:rPr>
                <w:sz w:val="20"/>
                <w:szCs w:val="20"/>
                <w:color w:val="auto"/>
              </w:rPr>
            </w:pPr>
            <w:r>
              <w:rPr>
                <w:rFonts w:ascii="Arial" w:cs="Arial" w:eastAsia="Arial" w:hAnsi="Arial"/>
                <w:sz w:val="21"/>
                <w:szCs w:val="21"/>
                <w:color w:val="auto"/>
              </w:rPr>
              <w:t>Confirmatory Employment Letter between the</w:t>
            </w:r>
          </w:p>
        </w:tc>
        <w:tc>
          <w:tcPr>
            <w:tcW w:w="68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40" w:type="dxa"/>
            <w:vAlign w:val="bottom"/>
          </w:tcPr>
          <w:p>
            <w:pPr>
              <w:jc w:val="center"/>
              <w:spacing w:after="0"/>
              <w:rPr>
                <w:sz w:val="20"/>
                <w:szCs w:val="20"/>
                <w:color w:val="auto"/>
              </w:rPr>
            </w:pPr>
            <w:r>
              <w:rPr>
                <w:rFonts w:ascii="Arial" w:cs="Arial" w:eastAsia="Arial" w:hAnsi="Arial"/>
                <w:sz w:val="21"/>
                <w:szCs w:val="21"/>
                <w:color w:val="auto"/>
                <w:w w:val="98"/>
              </w:rPr>
              <w:t>10.17</w:t>
            </w: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September 9,</w:t>
            </w: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Registrant and Glenna Mileson</w:t>
            </w:r>
          </w:p>
        </w:tc>
        <w:tc>
          <w:tcPr>
            <w:tcW w:w="6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6"/>
              </w:rPr>
              <w:t>248428</w:t>
            </w:r>
          </w:p>
        </w:tc>
        <w:tc>
          <w:tcPr>
            <w:tcW w:w="6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2020</w:t>
            </w:r>
          </w:p>
        </w:tc>
      </w:tr>
      <w:tr>
        <w:trPr>
          <w:trHeight w:val="389"/>
        </w:trPr>
        <w:tc>
          <w:tcPr>
            <w:tcW w:w="840" w:type="dxa"/>
            <w:vAlign w:val="bottom"/>
          </w:tcPr>
          <w:p>
            <w:pPr>
              <w:ind w:left="60"/>
              <w:spacing w:after="0"/>
              <w:rPr>
                <w:sz w:val="20"/>
                <w:szCs w:val="20"/>
                <w:color w:val="auto"/>
              </w:rPr>
            </w:pPr>
            <w:r>
              <w:rPr>
                <w:rFonts w:ascii="Arial" w:cs="Arial" w:eastAsia="Arial" w:hAnsi="Arial"/>
                <w:sz w:val="21"/>
                <w:szCs w:val="21"/>
                <w:color w:val="auto"/>
              </w:rPr>
              <w:t>10.15**</w:t>
            </w:r>
          </w:p>
        </w:tc>
        <w:tc>
          <w:tcPr>
            <w:tcW w:w="4920" w:type="dxa"/>
            <w:vAlign w:val="bottom"/>
          </w:tcPr>
          <w:p>
            <w:pPr>
              <w:ind w:left="120"/>
              <w:spacing w:after="0"/>
              <w:rPr>
                <w:sz w:val="20"/>
                <w:szCs w:val="20"/>
                <w:color w:val="auto"/>
              </w:rPr>
            </w:pPr>
            <w:r>
              <w:rPr>
                <w:rFonts w:ascii="Arial" w:cs="Arial" w:eastAsia="Arial" w:hAnsi="Arial"/>
                <w:sz w:val="21"/>
                <w:szCs w:val="21"/>
                <w:color w:val="auto"/>
              </w:rPr>
              <w:t>Amended and Restated Change in Control and</w:t>
            </w:r>
          </w:p>
        </w:tc>
        <w:tc>
          <w:tcPr>
            <w:tcW w:w="680" w:type="dxa"/>
            <w:vAlign w:val="bottom"/>
          </w:tcPr>
          <w:p>
            <w:pPr>
              <w:jc w:val="center"/>
              <w:spacing w:after="0"/>
              <w:rPr>
                <w:sz w:val="20"/>
                <w:szCs w:val="20"/>
                <w:color w:val="auto"/>
              </w:rPr>
            </w:pPr>
            <w:r>
              <w:rPr>
                <w:rFonts w:ascii="Arial" w:cs="Arial" w:eastAsia="Arial" w:hAnsi="Arial"/>
                <w:sz w:val="21"/>
                <w:szCs w:val="21"/>
                <w:color w:val="auto"/>
                <w:w w:val="82"/>
              </w:rPr>
              <w:t>8- K</w:t>
            </w:r>
          </w:p>
        </w:tc>
        <w:tc>
          <w:tcPr>
            <w:tcW w:w="1120" w:type="dxa"/>
            <w:vAlign w:val="bottom"/>
          </w:tcPr>
          <w:p>
            <w:pPr>
              <w:jc w:val="center"/>
              <w:spacing w:after="0"/>
              <w:rPr>
                <w:sz w:val="20"/>
                <w:szCs w:val="20"/>
                <w:color w:val="auto"/>
              </w:rPr>
            </w:pPr>
            <w:r>
              <w:rPr>
                <w:rFonts w:ascii="Arial" w:cs="Arial" w:eastAsia="Arial" w:hAnsi="Arial"/>
                <w:sz w:val="21"/>
                <w:szCs w:val="21"/>
                <w:color w:val="auto"/>
                <w:w w:val="97"/>
              </w:rPr>
              <w:t>001-39503</w:t>
            </w:r>
          </w:p>
        </w:tc>
        <w:tc>
          <w:tcPr>
            <w:tcW w:w="640" w:type="dxa"/>
            <w:vAlign w:val="bottom"/>
          </w:tcPr>
          <w:p>
            <w:pPr>
              <w:jc w:val="center"/>
              <w:spacing w:after="0"/>
              <w:rPr>
                <w:sz w:val="20"/>
                <w:szCs w:val="20"/>
                <w:color w:val="auto"/>
              </w:rPr>
            </w:pPr>
            <w:r>
              <w:rPr>
                <w:rFonts w:ascii="Arial" w:cs="Arial" w:eastAsia="Arial" w:hAnsi="Arial"/>
                <w:sz w:val="21"/>
                <w:szCs w:val="21"/>
                <w:color w:val="auto"/>
                <w:w w:val="97"/>
              </w:rPr>
              <w:t>10.1</w:t>
            </w: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January 31,</w:t>
            </w:r>
          </w:p>
        </w:tc>
      </w:tr>
      <w:tr>
        <w:trPr>
          <w:trHeight w:val="236"/>
        </w:trPr>
        <w:tc>
          <w:tcPr>
            <w:tcW w:w="840" w:type="dxa"/>
            <w:vAlign w:val="bottom"/>
          </w:tcPr>
          <w:p>
            <w:pPr>
              <w:spacing w:after="0"/>
              <w:rPr>
                <w:sz w:val="20"/>
                <w:szCs w:val="20"/>
                <w:color w:val="auto"/>
              </w:rPr>
            </w:pPr>
          </w:p>
        </w:tc>
        <w:tc>
          <w:tcPr>
            <w:tcW w:w="4920" w:type="dxa"/>
            <w:vAlign w:val="bottom"/>
          </w:tcPr>
          <w:p>
            <w:pPr>
              <w:ind w:left="120"/>
              <w:spacing w:after="0" w:line="236" w:lineRule="exact"/>
              <w:rPr>
                <w:sz w:val="20"/>
                <w:szCs w:val="20"/>
                <w:color w:val="auto"/>
              </w:rPr>
            </w:pPr>
            <w:r>
              <w:rPr>
                <w:rFonts w:ascii="Arial" w:cs="Arial" w:eastAsia="Arial" w:hAnsi="Arial"/>
                <w:sz w:val="21"/>
                <w:szCs w:val="21"/>
                <w:color w:val="auto"/>
              </w:rPr>
              <w:t>Severance Agreement between the Registrant and</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tcPr>
          <w:p>
            <w:pPr>
              <w:jc w:val="center"/>
              <w:spacing w:after="0" w:line="236" w:lineRule="exact"/>
              <w:rPr>
                <w:sz w:val="20"/>
                <w:szCs w:val="20"/>
                <w:color w:val="auto"/>
              </w:rPr>
            </w:pPr>
            <w:r>
              <w:rPr>
                <w:rFonts w:ascii="Arial" w:cs="Arial" w:eastAsia="Arial" w:hAnsi="Arial"/>
                <w:sz w:val="21"/>
                <w:szCs w:val="21"/>
                <w:color w:val="auto"/>
                <w:w w:val="98"/>
              </w:rPr>
              <w:t>2022</w:t>
            </w: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Mark Litton, Ph.D.</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88"/>
        </w:trPr>
        <w:tc>
          <w:tcPr>
            <w:tcW w:w="840" w:type="dxa"/>
            <w:vAlign w:val="bottom"/>
          </w:tcPr>
          <w:p>
            <w:pPr>
              <w:ind w:left="60"/>
              <w:spacing w:after="0"/>
              <w:rPr>
                <w:sz w:val="20"/>
                <w:szCs w:val="20"/>
                <w:color w:val="auto"/>
              </w:rPr>
            </w:pPr>
            <w:r>
              <w:rPr>
                <w:rFonts w:ascii="Arial" w:cs="Arial" w:eastAsia="Arial" w:hAnsi="Arial"/>
                <w:sz w:val="21"/>
                <w:szCs w:val="21"/>
                <w:color w:val="auto"/>
              </w:rPr>
              <w:t>10.16**</w:t>
            </w:r>
          </w:p>
        </w:tc>
        <w:tc>
          <w:tcPr>
            <w:tcW w:w="4920" w:type="dxa"/>
            <w:vAlign w:val="bottom"/>
          </w:tcPr>
          <w:p>
            <w:pPr>
              <w:ind w:left="120"/>
              <w:spacing w:after="0"/>
              <w:rPr>
                <w:sz w:val="20"/>
                <w:szCs w:val="20"/>
                <w:color w:val="auto"/>
              </w:rPr>
            </w:pPr>
            <w:r>
              <w:rPr>
                <w:rFonts w:ascii="Arial" w:cs="Arial" w:eastAsia="Arial" w:hAnsi="Arial"/>
                <w:sz w:val="21"/>
                <w:szCs w:val="21"/>
                <w:color w:val="auto"/>
              </w:rPr>
              <w:t>Change in Control and Severance Agreement</w:t>
            </w:r>
          </w:p>
        </w:tc>
        <w:tc>
          <w:tcPr>
            <w:tcW w:w="68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640" w:type="dxa"/>
            <w:vAlign w:val="bottom"/>
          </w:tcPr>
          <w:p>
            <w:pPr>
              <w:jc w:val="center"/>
              <w:spacing w:after="0"/>
              <w:rPr>
                <w:sz w:val="20"/>
                <w:szCs w:val="20"/>
                <w:color w:val="auto"/>
              </w:rPr>
            </w:pPr>
            <w:r>
              <w:rPr>
                <w:rFonts w:ascii="Arial" w:cs="Arial" w:eastAsia="Arial" w:hAnsi="Arial"/>
                <w:sz w:val="21"/>
                <w:szCs w:val="21"/>
                <w:color w:val="auto"/>
                <w:w w:val="98"/>
              </w:rPr>
              <w:t>10.20</w:t>
            </w: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September 9,</w:t>
            </w: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between the Registrant and Glenna Mileson</w:t>
            </w:r>
          </w:p>
        </w:tc>
        <w:tc>
          <w:tcPr>
            <w:tcW w:w="6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6"/>
              </w:rPr>
              <w:t>248428</w:t>
            </w:r>
          </w:p>
        </w:tc>
        <w:tc>
          <w:tcPr>
            <w:tcW w:w="6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2020</w:t>
            </w:r>
          </w:p>
        </w:tc>
      </w:tr>
      <w:tr>
        <w:trPr>
          <w:trHeight w:val="389"/>
        </w:trPr>
        <w:tc>
          <w:tcPr>
            <w:tcW w:w="840" w:type="dxa"/>
            <w:vAlign w:val="bottom"/>
          </w:tcPr>
          <w:p>
            <w:pPr>
              <w:ind w:left="60"/>
              <w:spacing w:after="0"/>
              <w:rPr>
                <w:sz w:val="20"/>
                <w:szCs w:val="20"/>
                <w:color w:val="auto"/>
              </w:rPr>
            </w:pPr>
            <w:r>
              <w:rPr>
                <w:rFonts w:ascii="Arial" w:cs="Arial" w:eastAsia="Arial" w:hAnsi="Arial"/>
                <w:sz w:val="21"/>
                <w:szCs w:val="21"/>
                <w:color w:val="auto"/>
              </w:rPr>
              <w:t>10.17**</w:t>
            </w:r>
          </w:p>
        </w:tc>
        <w:tc>
          <w:tcPr>
            <w:tcW w:w="4920" w:type="dxa"/>
            <w:vAlign w:val="bottom"/>
          </w:tcPr>
          <w:p>
            <w:pPr>
              <w:ind w:left="120"/>
              <w:spacing w:after="0"/>
              <w:rPr>
                <w:sz w:val="20"/>
                <w:szCs w:val="20"/>
                <w:color w:val="auto"/>
              </w:rPr>
            </w:pPr>
            <w:r>
              <w:rPr>
                <w:rFonts w:ascii="Arial" w:cs="Arial" w:eastAsia="Arial" w:hAnsi="Arial"/>
                <w:sz w:val="21"/>
                <w:szCs w:val="21"/>
                <w:color w:val="auto"/>
              </w:rPr>
              <w:t>Employment Offer Letter between the Registrant</w:t>
            </w:r>
          </w:p>
        </w:tc>
        <w:tc>
          <w:tcPr>
            <w:tcW w:w="68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2060" w:type="dxa"/>
            <w:vAlign w:val="bottom"/>
            <w:gridSpan w:val="2"/>
          </w:tcPr>
          <w:p>
            <w:pPr>
              <w:ind w:left="40"/>
              <w:spacing w:after="0"/>
              <w:rPr>
                <w:sz w:val="20"/>
                <w:szCs w:val="20"/>
                <w:color w:val="auto"/>
              </w:rPr>
            </w:pPr>
            <w:r>
              <w:rPr>
                <w:rFonts w:ascii="Arial" w:cs="Arial" w:eastAsia="Arial" w:hAnsi="Arial"/>
                <w:sz w:val="21"/>
                <w:szCs w:val="21"/>
                <w:color w:val="auto"/>
              </w:rPr>
              <w:t>10.21 September 14,</w:t>
            </w: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and Hans Moebius, Ph.D.</w:t>
            </w:r>
          </w:p>
        </w:tc>
        <w:tc>
          <w:tcPr>
            <w:tcW w:w="6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6"/>
              </w:rPr>
              <w:t>248428</w:t>
            </w:r>
          </w:p>
        </w:tc>
        <w:tc>
          <w:tcPr>
            <w:tcW w:w="6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2020</w:t>
            </w:r>
          </w:p>
        </w:tc>
      </w:tr>
      <w:tr>
        <w:trPr>
          <w:trHeight w:val="388"/>
        </w:trPr>
        <w:tc>
          <w:tcPr>
            <w:tcW w:w="840" w:type="dxa"/>
            <w:vAlign w:val="bottom"/>
          </w:tcPr>
          <w:p>
            <w:pPr>
              <w:spacing w:after="0"/>
              <w:rPr>
                <w:sz w:val="20"/>
                <w:szCs w:val="20"/>
                <w:color w:val="auto"/>
              </w:rPr>
            </w:pPr>
            <w:r>
              <w:rPr>
                <w:rFonts w:ascii="Arial" w:cs="Arial" w:eastAsia="Arial" w:hAnsi="Arial"/>
                <w:sz w:val="21"/>
                <w:szCs w:val="21"/>
                <w:color w:val="auto"/>
              </w:rPr>
              <w:t>10.18**</w:t>
            </w:r>
          </w:p>
        </w:tc>
        <w:tc>
          <w:tcPr>
            <w:tcW w:w="4920" w:type="dxa"/>
            <w:vAlign w:val="bottom"/>
          </w:tcPr>
          <w:p>
            <w:pPr>
              <w:ind w:left="120"/>
              <w:spacing w:after="0"/>
              <w:rPr>
                <w:sz w:val="20"/>
                <w:szCs w:val="20"/>
                <w:color w:val="auto"/>
              </w:rPr>
            </w:pPr>
            <w:r>
              <w:rPr>
                <w:rFonts w:ascii="Arial" w:cs="Arial" w:eastAsia="Arial" w:hAnsi="Arial"/>
                <w:sz w:val="21"/>
                <w:szCs w:val="21"/>
                <w:color w:val="auto"/>
              </w:rPr>
              <w:t>First Amendment to Employment Agreement</w:t>
            </w:r>
          </w:p>
        </w:tc>
        <w:tc>
          <w:tcPr>
            <w:tcW w:w="680" w:type="dxa"/>
            <w:vAlign w:val="bottom"/>
          </w:tcPr>
          <w:p>
            <w:pPr>
              <w:jc w:val="center"/>
              <w:spacing w:after="0"/>
              <w:rPr>
                <w:sz w:val="20"/>
                <w:szCs w:val="20"/>
                <w:color w:val="auto"/>
              </w:rPr>
            </w:pPr>
            <w:r>
              <w:rPr>
                <w:rFonts w:ascii="Arial" w:cs="Arial" w:eastAsia="Arial" w:hAnsi="Arial"/>
                <w:sz w:val="21"/>
                <w:szCs w:val="21"/>
                <w:color w:val="auto"/>
                <w:w w:val="87"/>
              </w:rPr>
              <w:t>10 -K</w:t>
            </w:r>
          </w:p>
        </w:tc>
        <w:tc>
          <w:tcPr>
            <w:tcW w:w="3180" w:type="dxa"/>
            <w:vAlign w:val="bottom"/>
            <w:gridSpan w:val="3"/>
          </w:tcPr>
          <w:p>
            <w:pPr>
              <w:ind w:left="100"/>
              <w:spacing w:after="0"/>
              <w:rPr>
                <w:sz w:val="20"/>
                <w:szCs w:val="20"/>
                <w:color w:val="auto"/>
              </w:rPr>
            </w:pPr>
            <w:r>
              <w:rPr>
                <w:rFonts w:ascii="Arial" w:cs="Arial" w:eastAsia="Arial" w:hAnsi="Arial"/>
                <w:sz w:val="21"/>
                <w:szCs w:val="21"/>
                <w:color w:val="auto"/>
                <w:w w:val="98"/>
              </w:rPr>
              <w:t>001-39503 10.27 March 28, 2022</w:t>
            </w: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between the Registrant and Hans Moebius, Ph.D.</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88"/>
        </w:trPr>
        <w:tc>
          <w:tcPr>
            <w:tcW w:w="840" w:type="dxa"/>
            <w:vAlign w:val="bottom"/>
          </w:tcPr>
          <w:p>
            <w:pPr>
              <w:ind w:left="60"/>
              <w:spacing w:after="0"/>
              <w:rPr>
                <w:sz w:val="20"/>
                <w:szCs w:val="20"/>
                <w:color w:val="auto"/>
              </w:rPr>
            </w:pPr>
            <w:r>
              <w:rPr>
                <w:rFonts w:ascii="Arial" w:cs="Arial" w:eastAsia="Arial" w:hAnsi="Arial"/>
                <w:sz w:val="21"/>
                <w:szCs w:val="21"/>
                <w:color w:val="auto"/>
              </w:rPr>
              <w:t>10.19**</w:t>
            </w:r>
          </w:p>
        </w:tc>
        <w:tc>
          <w:tcPr>
            <w:tcW w:w="4920" w:type="dxa"/>
            <w:vAlign w:val="bottom"/>
          </w:tcPr>
          <w:p>
            <w:pPr>
              <w:ind w:left="120"/>
              <w:spacing w:after="0"/>
              <w:rPr>
                <w:sz w:val="20"/>
                <w:szCs w:val="20"/>
                <w:color w:val="auto"/>
              </w:rPr>
            </w:pPr>
            <w:r>
              <w:rPr>
                <w:rFonts w:ascii="Arial" w:cs="Arial" w:eastAsia="Arial" w:hAnsi="Arial"/>
                <w:sz w:val="21"/>
                <w:szCs w:val="21"/>
                <w:color w:val="auto"/>
              </w:rPr>
              <w:t>Change in Control and Severance Agreement</w:t>
            </w:r>
          </w:p>
        </w:tc>
        <w:tc>
          <w:tcPr>
            <w:tcW w:w="680" w:type="dxa"/>
            <w:vAlign w:val="bottom"/>
          </w:tcPr>
          <w:p>
            <w:pPr>
              <w:jc w:val="center"/>
              <w:spacing w:after="0"/>
              <w:rPr>
                <w:sz w:val="20"/>
                <w:szCs w:val="20"/>
                <w:color w:val="auto"/>
              </w:rPr>
            </w:pPr>
            <w:r>
              <w:rPr>
                <w:rFonts w:ascii="Arial" w:cs="Arial" w:eastAsia="Arial" w:hAnsi="Arial"/>
                <w:sz w:val="21"/>
                <w:szCs w:val="21"/>
                <w:color w:val="auto"/>
                <w:w w:val="98"/>
              </w:rPr>
              <w:t>S-1/A</w:t>
            </w:r>
          </w:p>
        </w:tc>
        <w:tc>
          <w:tcPr>
            <w:tcW w:w="1120" w:type="dxa"/>
            <w:vAlign w:val="bottom"/>
          </w:tcPr>
          <w:p>
            <w:pPr>
              <w:jc w:val="center"/>
              <w:spacing w:after="0"/>
              <w:rPr>
                <w:sz w:val="20"/>
                <w:szCs w:val="20"/>
                <w:color w:val="auto"/>
              </w:rPr>
            </w:pPr>
            <w:r>
              <w:rPr>
                <w:rFonts w:ascii="Arial" w:cs="Arial" w:eastAsia="Arial" w:hAnsi="Arial"/>
                <w:sz w:val="21"/>
                <w:szCs w:val="21"/>
                <w:color w:val="auto"/>
                <w:w w:val="99"/>
              </w:rPr>
              <w:t>333-</w:t>
            </w:r>
          </w:p>
        </w:tc>
        <w:tc>
          <w:tcPr>
            <w:tcW w:w="2060" w:type="dxa"/>
            <w:vAlign w:val="bottom"/>
            <w:gridSpan w:val="2"/>
          </w:tcPr>
          <w:p>
            <w:pPr>
              <w:ind w:left="40"/>
              <w:spacing w:after="0"/>
              <w:rPr>
                <w:sz w:val="20"/>
                <w:szCs w:val="20"/>
                <w:color w:val="auto"/>
              </w:rPr>
            </w:pPr>
            <w:r>
              <w:rPr>
                <w:rFonts w:ascii="Arial" w:cs="Arial" w:eastAsia="Arial" w:hAnsi="Arial"/>
                <w:sz w:val="21"/>
                <w:szCs w:val="21"/>
                <w:color w:val="auto"/>
              </w:rPr>
              <w:t>10.22 September 14,</w:t>
            </w: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between the Registrant and Hans Moebius, Ph.D.</w:t>
            </w:r>
          </w:p>
        </w:tc>
        <w:tc>
          <w:tcPr>
            <w:tcW w:w="6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6"/>
              </w:rPr>
              <w:t>248428</w:t>
            </w:r>
          </w:p>
        </w:tc>
        <w:tc>
          <w:tcPr>
            <w:tcW w:w="6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2020</w:t>
            </w:r>
          </w:p>
        </w:tc>
      </w:tr>
      <w:tr>
        <w:trPr>
          <w:trHeight w:val="388"/>
        </w:trPr>
        <w:tc>
          <w:tcPr>
            <w:tcW w:w="840" w:type="dxa"/>
            <w:vAlign w:val="bottom"/>
          </w:tcPr>
          <w:p>
            <w:pPr>
              <w:spacing w:after="0"/>
              <w:rPr>
                <w:sz w:val="20"/>
                <w:szCs w:val="20"/>
                <w:color w:val="auto"/>
              </w:rPr>
            </w:pPr>
            <w:r>
              <w:rPr>
                <w:rFonts w:ascii="Arial" w:cs="Arial" w:eastAsia="Arial" w:hAnsi="Arial"/>
                <w:sz w:val="21"/>
                <w:szCs w:val="21"/>
                <w:color w:val="auto"/>
              </w:rPr>
              <w:t>10.20**</w:t>
            </w:r>
          </w:p>
        </w:tc>
        <w:tc>
          <w:tcPr>
            <w:tcW w:w="4920" w:type="dxa"/>
            <w:vAlign w:val="bottom"/>
          </w:tcPr>
          <w:p>
            <w:pPr>
              <w:ind w:left="120"/>
              <w:spacing w:after="0"/>
              <w:rPr>
                <w:sz w:val="20"/>
                <w:szCs w:val="20"/>
                <w:color w:val="auto"/>
              </w:rPr>
            </w:pPr>
            <w:r>
              <w:rPr>
                <w:rFonts w:ascii="Arial" w:cs="Arial" w:eastAsia="Arial" w:hAnsi="Arial"/>
                <w:sz w:val="21"/>
                <w:szCs w:val="21"/>
                <w:color w:val="auto"/>
              </w:rPr>
              <w:t>Employment Offer Letter between the Registrant</w:t>
            </w:r>
          </w:p>
        </w:tc>
        <w:tc>
          <w:tcPr>
            <w:tcW w:w="680" w:type="dxa"/>
            <w:vAlign w:val="bottom"/>
          </w:tcPr>
          <w:p>
            <w:pPr>
              <w:jc w:val="center"/>
              <w:spacing w:after="0"/>
              <w:rPr>
                <w:sz w:val="20"/>
                <w:szCs w:val="20"/>
                <w:color w:val="auto"/>
              </w:rPr>
            </w:pPr>
            <w:r>
              <w:rPr>
                <w:rFonts w:ascii="Arial" w:cs="Arial" w:eastAsia="Arial" w:hAnsi="Arial"/>
                <w:sz w:val="21"/>
                <w:szCs w:val="21"/>
                <w:color w:val="auto"/>
                <w:w w:val="98"/>
              </w:rPr>
              <w:t>10-Q</w:t>
            </w:r>
          </w:p>
        </w:tc>
        <w:tc>
          <w:tcPr>
            <w:tcW w:w="1120" w:type="dxa"/>
            <w:vAlign w:val="bottom"/>
          </w:tcPr>
          <w:p>
            <w:pPr>
              <w:jc w:val="center"/>
              <w:spacing w:after="0"/>
              <w:rPr>
                <w:sz w:val="20"/>
                <w:szCs w:val="20"/>
                <w:color w:val="auto"/>
              </w:rPr>
            </w:pPr>
            <w:r>
              <w:rPr>
                <w:rFonts w:ascii="Arial" w:cs="Arial" w:eastAsia="Arial" w:hAnsi="Arial"/>
                <w:sz w:val="21"/>
                <w:szCs w:val="21"/>
                <w:color w:val="auto"/>
                <w:w w:val="97"/>
              </w:rPr>
              <w:t>001-39503</w:t>
            </w:r>
          </w:p>
        </w:tc>
        <w:tc>
          <w:tcPr>
            <w:tcW w:w="640" w:type="dxa"/>
            <w:vAlign w:val="bottom"/>
          </w:tcPr>
          <w:p>
            <w:pPr>
              <w:jc w:val="center"/>
              <w:spacing w:after="0"/>
              <w:rPr>
                <w:sz w:val="20"/>
                <w:szCs w:val="20"/>
                <w:color w:val="auto"/>
              </w:rPr>
            </w:pPr>
            <w:r>
              <w:rPr>
                <w:rFonts w:ascii="Arial" w:cs="Arial" w:eastAsia="Arial" w:hAnsi="Arial"/>
                <w:sz w:val="21"/>
                <w:szCs w:val="21"/>
                <w:color w:val="auto"/>
                <w:w w:val="97"/>
              </w:rPr>
              <w:t>10.1</w:t>
            </w:r>
          </w:p>
        </w:tc>
        <w:tc>
          <w:tcPr>
            <w:tcW w:w="1420" w:type="dxa"/>
            <w:vAlign w:val="bottom"/>
          </w:tcPr>
          <w:p>
            <w:pPr>
              <w:jc w:val="center"/>
              <w:spacing w:after="0"/>
              <w:rPr>
                <w:sz w:val="20"/>
                <w:szCs w:val="20"/>
                <w:color w:val="auto"/>
              </w:rPr>
            </w:pPr>
            <w:r>
              <w:rPr>
                <w:rFonts w:ascii="Arial" w:cs="Arial" w:eastAsia="Arial" w:hAnsi="Arial"/>
                <w:sz w:val="21"/>
                <w:szCs w:val="21"/>
                <w:color w:val="auto"/>
                <w:w w:val="99"/>
              </w:rPr>
              <w:t>August 16,</w:t>
            </w: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and Rachel Lenington</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2021</w:t>
            </w:r>
          </w:p>
        </w:tc>
      </w:tr>
      <w:tr>
        <w:trPr>
          <w:trHeight w:val="388"/>
        </w:trPr>
        <w:tc>
          <w:tcPr>
            <w:tcW w:w="840" w:type="dxa"/>
            <w:vAlign w:val="bottom"/>
          </w:tcPr>
          <w:p>
            <w:pPr>
              <w:spacing w:after="0"/>
              <w:rPr>
                <w:sz w:val="20"/>
                <w:szCs w:val="20"/>
                <w:color w:val="auto"/>
              </w:rPr>
            </w:pPr>
            <w:r>
              <w:rPr>
                <w:rFonts w:ascii="Arial" w:cs="Arial" w:eastAsia="Arial" w:hAnsi="Arial"/>
                <w:sz w:val="21"/>
                <w:szCs w:val="21"/>
                <w:color w:val="auto"/>
              </w:rPr>
              <w:t>10.21**</w:t>
            </w:r>
          </w:p>
        </w:tc>
        <w:tc>
          <w:tcPr>
            <w:tcW w:w="4920" w:type="dxa"/>
            <w:vAlign w:val="bottom"/>
          </w:tcPr>
          <w:p>
            <w:pPr>
              <w:ind w:left="120"/>
              <w:spacing w:after="0"/>
              <w:rPr>
                <w:sz w:val="20"/>
                <w:szCs w:val="20"/>
                <w:color w:val="auto"/>
              </w:rPr>
            </w:pPr>
            <w:r>
              <w:rPr>
                <w:rFonts w:ascii="Arial" w:cs="Arial" w:eastAsia="Arial" w:hAnsi="Arial"/>
                <w:sz w:val="21"/>
                <w:szCs w:val="21"/>
                <w:color w:val="auto"/>
              </w:rPr>
              <w:t>Change in Control and Severance Agreement</w:t>
            </w:r>
          </w:p>
        </w:tc>
        <w:tc>
          <w:tcPr>
            <w:tcW w:w="680" w:type="dxa"/>
            <w:vAlign w:val="bottom"/>
          </w:tcPr>
          <w:p>
            <w:pPr>
              <w:jc w:val="center"/>
              <w:spacing w:after="0"/>
              <w:rPr>
                <w:sz w:val="20"/>
                <w:szCs w:val="20"/>
                <w:color w:val="auto"/>
              </w:rPr>
            </w:pPr>
            <w:r>
              <w:rPr>
                <w:rFonts w:ascii="Arial" w:cs="Arial" w:eastAsia="Arial" w:hAnsi="Arial"/>
                <w:sz w:val="21"/>
                <w:szCs w:val="21"/>
                <w:color w:val="auto"/>
                <w:w w:val="98"/>
              </w:rPr>
              <w:t>10-Q</w:t>
            </w:r>
          </w:p>
        </w:tc>
        <w:tc>
          <w:tcPr>
            <w:tcW w:w="1120" w:type="dxa"/>
            <w:vAlign w:val="bottom"/>
          </w:tcPr>
          <w:p>
            <w:pPr>
              <w:jc w:val="center"/>
              <w:spacing w:after="0"/>
              <w:rPr>
                <w:sz w:val="20"/>
                <w:szCs w:val="20"/>
                <w:color w:val="auto"/>
              </w:rPr>
            </w:pPr>
            <w:r>
              <w:rPr>
                <w:rFonts w:ascii="Arial" w:cs="Arial" w:eastAsia="Arial" w:hAnsi="Arial"/>
                <w:sz w:val="21"/>
                <w:szCs w:val="21"/>
                <w:color w:val="auto"/>
                <w:w w:val="97"/>
              </w:rPr>
              <w:t>001-39503</w:t>
            </w:r>
          </w:p>
        </w:tc>
        <w:tc>
          <w:tcPr>
            <w:tcW w:w="640" w:type="dxa"/>
            <w:vAlign w:val="bottom"/>
          </w:tcPr>
          <w:p>
            <w:pPr>
              <w:jc w:val="center"/>
              <w:spacing w:after="0"/>
              <w:rPr>
                <w:sz w:val="20"/>
                <w:szCs w:val="20"/>
                <w:color w:val="auto"/>
              </w:rPr>
            </w:pPr>
            <w:r>
              <w:rPr>
                <w:rFonts w:ascii="Arial" w:cs="Arial" w:eastAsia="Arial" w:hAnsi="Arial"/>
                <w:sz w:val="21"/>
                <w:szCs w:val="21"/>
                <w:color w:val="auto"/>
                <w:w w:val="97"/>
              </w:rPr>
              <w:t>10.2</w:t>
            </w:r>
          </w:p>
        </w:tc>
        <w:tc>
          <w:tcPr>
            <w:tcW w:w="1420" w:type="dxa"/>
            <w:vAlign w:val="bottom"/>
          </w:tcPr>
          <w:p>
            <w:pPr>
              <w:jc w:val="center"/>
              <w:spacing w:after="0"/>
              <w:rPr>
                <w:sz w:val="20"/>
                <w:szCs w:val="20"/>
                <w:color w:val="auto"/>
              </w:rPr>
            </w:pPr>
            <w:r>
              <w:rPr>
                <w:rFonts w:ascii="Arial" w:cs="Arial" w:eastAsia="Arial" w:hAnsi="Arial"/>
                <w:sz w:val="21"/>
                <w:szCs w:val="21"/>
                <w:color w:val="auto"/>
                <w:w w:val="99"/>
              </w:rPr>
              <w:t>August 16,</w:t>
            </w: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between the Registrant and Rachel Lenington</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2021</w:t>
            </w:r>
          </w:p>
        </w:tc>
      </w:tr>
      <w:tr>
        <w:trPr>
          <w:trHeight w:val="388"/>
        </w:trPr>
        <w:tc>
          <w:tcPr>
            <w:tcW w:w="840" w:type="dxa"/>
            <w:vAlign w:val="bottom"/>
          </w:tcPr>
          <w:p>
            <w:pPr>
              <w:spacing w:after="0"/>
              <w:rPr>
                <w:sz w:val="20"/>
                <w:szCs w:val="20"/>
                <w:color w:val="auto"/>
              </w:rPr>
            </w:pPr>
            <w:r>
              <w:rPr>
                <w:rFonts w:ascii="Arial" w:cs="Arial" w:eastAsia="Arial" w:hAnsi="Arial"/>
                <w:sz w:val="21"/>
                <w:szCs w:val="21"/>
                <w:color w:val="auto"/>
              </w:rPr>
              <w:t>10.22**</w:t>
            </w:r>
          </w:p>
        </w:tc>
        <w:tc>
          <w:tcPr>
            <w:tcW w:w="4920" w:type="dxa"/>
            <w:vAlign w:val="bottom"/>
          </w:tcPr>
          <w:p>
            <w:pPr>
              <w:ind w:left="120"/>
              <w:spacing w:after="0"/>
              <w:rPr>
                <w:sz w:val="20"/>
                <w:szCs w:val="20"/>
                <w:color w:val="auto"/>
              </w:rPr>
            </w:pPr>
            <w:r>
              <w:rPr>
                <w:rFonts w:ascii="Arial" w:cs="Arial" w:eastAsia="Arial" w:hAnsi="Arial"/>
                <w:sz w:val="21"/>
                <w:szCs w:val="21"/>
                <w:color w:val="auto"/>
              </w:rPr>
              <w:t>Employment Offer Letter between the Registrant</w:t>
            </w:r>
          </w:p>
        </w:tc>
        <w:tc>
          <w:tcPr>
            <w:tcW w:w="680" w:type="dxa"/>
            <w:vAlign w:val="bottom"/>
          </w:tcPr>
          <w:p>
            <w:pPr>
              <w:jc w:val="center"/>
              <w:spacing w:after="0"/>
              <w:rPr>
                <w:sz w:val="20"/>
                <w:szCs w:val="20"/>
                <w:color w:val="auto"/>
              </w:rPr>
            </w:pPr>
            <w:r>
              <w:rPr>
                <w:rFonts w:ascii="Arial" w:cs="Arial" w:eastAsia="Arial" w:hAnsi="Arial"/>
                <w:sz w:val="21"/>
                <w:szCs w:val="21"/>
                <w:color w:val="auto"/>
                <w:w w:val="98"/>
              </w:rPr>
              <w:t>10-Q</w:t>
            </w:r>
          </w:p>
        </w:tc>
        <w:tc>
          <w:tcPr>
            <w:tcW w:w="1120" w:type="dxa"/>
            <w:vAlign w:val="bottom"/>
          </w:tcPr>
          <w:p>
            <w:pPr>
              <w:jc w:val="center"/>
              <w:spacing w:after="0"/>
              <w:rPr>
                <w:sz w:val="20"/>
                <w:szCs w:val="20"/>
                <w:color w:val="auto"/>
              </w:rPr>
            </w:pPr>
            <w:r>
              <w:rPr>
                <w:rFonts w:ascii="Arial" w:cs="Arial" w:eastAsia="Arial" w:hAnsi="Arial"/>
                <w:sz w:val="21"/>
                <w:szCs w:val="21"/>
                <w:color w:val="auto"/>
                <w:w w:val="97"/>
              </w:rPr>
              <w:t>001-39503</w:t>
            </w:r>
          </w:p>
        </w:tc>
        <w:tc>
          <w:tcPr>
            <w:tcW w:w="640" w:type="dxa"/>
            <w:vAlign w:val="bottom"/>
          </w:tcPr>
          <w:p>
            <w:pPr>
              <w:jc w:val="center"/>
              <w:spacing w:after="0"/>
              <w:rPr>
                <w:sz w:val="20"/>
                <w:szCs w:val="20"/>
                <w:color w:val="auto"/>
              </w:rPr>
            </w:pPr>
            <w:r>
              <w:rPr>
                <w:rFonts w:ascii="Arial" w:cs="Arial" w:eastAsia="Arial" w:hAnsi="Arial"/>
                <w:sz w:val="21"/>
                <w:szCs w:val="21"/>
                <w:color w:val="auto"/>
                <w:w w:val="97"/>
              </w:rPr>
              <w:t>10.3</w:t>
            </w:r>
          </w:p>
        </w:tc>
        <w:tc>
          <w:tcPr>
            <w:tcW w:w="1420" w:type="dxa"/>
            <w:vAlign w:val="bottom"/>
          </w:tcPr>
          <w:p>
            <w:pPr>
              <w:jc w:val="center"/>
              <w:spacing w:after="0"/>
              <w:rPr>
                <w:sz w:val="20"/>
                <w:szCs w:val="20"/>
                <w:color w:val="auto"/>
              </w:rPr>
            </w:pPr>
            <w:r>
              <w:rPr>
                <w:rFonts w:ascii="Arial" w:cs="Arial" w:eastAsia="Arial" w:hAnsi="Arial"/>
                <w:sz w:val="21"/>
                <w:szCs w:val="21"/>
                <w:color w:val="auto"/>
                <w:w w:val="99"/>
              </w:rPr>
              <w:t>August 16,</w:t>
            </w: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and Mark Worthington</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2021</w:t>
            </w:r>
          </w:p>
        </w:tc>
      </w:tr>
      <w:tr>
        <w:trPr>
          <w:trHeight w:val="388"/>
        </w:trPr>
        <w:tc>
          <w:tcPr>
            <w:tcW w:w="840" w:type="dxa"/>
            <w:vAlign w:val="bottom"/>
          </w:tcPr>
          <w:p>
            <w:pPr>
              <w:spacing w:after="0"/>
              <w:rPr>
                <w:sz w:val="20"/>
                <w:szCs w:val="20"/>
                <w:color w:val="auto"/>
              </w:rPr>
            </w:pPr>
            <w:r>
              <w:rPr>
                <w:rFonts w:ascii="Arial" w:cs="Arial" w:eastAsia="Arial" w:hAnsi="Arial"/>
                <w:sz w:val="21"/>
                <w:szCs w:val="21"/>
                <w:color w:val="auto"/>
              </w:rPr>
              <w:t>10.23**</w:t>
            </w:r>
          </w:p>
        </w:tc>
        <w:tc>
          <w:tcPr>
            <w:tcW w:w="4920" w:type="dxa"/>
            <w:vAlign w:val="bottom"/>
          </w:tcPr>
          <w:p>
            <w:pPr>
              <w:ind w:left="120"/>
              <w:spacing w:after="0"/>
              <w:rPr>
                <w:sz w:val="20"/>
                <w:szCs w:val="20"/>
                <w:color w:val="auto"/>
              </w:rPr>
            </w:pPr>
            <w:r>
              <w:rPr>
                <w:rFonts w:ascii="Arial" w:cs="Arial" w:eastAsia="Arial" w:hAnsi="Arial"/>
                <w:sz w:val="21"/>
                <w:szCs w:val="21"/>
                <w:color w:val="auto"/>
              </w:rPr>
              <w:t>Change in Control and Severance Agreement</w:t>
            </w:r>
          </w:p>
        </w:tc>
        <w:tc>
          <w:tcPr>
            <w:tcW w:w="680" w:type="dxa"/>
            <w:vAlign w:val="bottom"/>
          </w:tcPr>
          <w:p>
            <w:pPr>
              <w:jc w:val="center"/>
              <w:spacing w:after="0"/>
              <w:rPr>
                <w:sz w:val="20"/>
                <w:szCs w:val="20"/>
                <w:color w:val="auto"/>
              </w:rPr>
            </w:pPr>
            <w:r>
              <w:rPr>
                <w:rFonts w:ascii="Arial" w:cs="Arial" w:eastAsia="Arial" w:hAnsi="Arial"/>
                <w:sz w:val="21"/>
                <w:szCs w:val="21"/>
                <w:color w:val="auto"/>
                <w:w w:val="98"/>
              </w:rPr>
              <w:t>10-Q</w:t>
            </w:r>
          </w:p>
        </w:tc>
        <w:tc>
          <w:tcPr>
            <w:tcW w:w="1120" w:type="dxa"/>
            <w:vAlign w:val="bottom"/>
          </w:tcPr>
          <w:p>
            <w:pPr>
              <w:jc w:val="center"/>
              <w:spacing w:after="0"/>
              <w:rPr>
                <w:sz w:val="20"/>
                <w:szCs w:val="20"/>
                <w:color w:val="auto"/>
              </w:rPr>
            </w:pPr>
            <w:r>
              <w:rPr>
                <w:rFonts w:ascii="Arial" w:cs="Arial" w:eastAsia="Arial" w:hAnsi="Arial"/>
                <w:sz w:val="21"/>
                <w:szCs w:val="21"/>
                <w:color w:val="auto"/>
                <w:w w:val="97"/>
              </w:rPr>
              <w:t>001-39503</w:t>
            </w:r>
          </w:p>
        </w:tc>
        <w:tc>
          <w:tcPr>
            <w:tcW w:w="640" w:type="dxa"/>
            <w:vAlign w:val="bottom"/>
          </w:tcPr>
          <w:p>
            <w:pPr>
              <w:jc w:val="center"/>
              <w:spacing w:after="0"/>
              <w:rPr>
                <w:sz w:val="20"/>
                <w:szCs w:val="20"/>
                <w:color w:val="auto"/>
              </w:rPr>
            </w:pPr>
            <w:r>
              <w:rPr>
                <w:rFonts w:ascii="Arial" w:cs="Arial" w:eastAsia="Arial" w:hAnsi="Arial"/>
                <w:sz w:val="21"/>
                <w:szCs w:val="21"/>
                <w:color w:val="auto"/>
                <w:w w:val="97"/>
              </w:rPr>
              <w:t>10.4</w:t>
            </w:r>
          </w:p>
        </w:tc>
        <w:tc>
          <w:tcPr>
            <w:tcW w:w="1420" w:type="dxa"/>
            <w:vAlign w:val="bottom"/>
          </w:tcPr>
          <w:p>
            <w:pPr>
              <w:jc w:val="center"/>
              <w:spacing w:after="0"/>
              <w:rPr>
                <w:sz w:val="20"/>
                <w:szCs w:val="20"/>
                <w:color w:val="auto"/>
              </w:rPr>
            </w:pPr>
            <w:r>
              <w:rPr>
                <w:rFonts w:ascii="Arial" w:cs="Arial" w:eastAsia="Arial" w:hAnsi="Arial"/>
                <w:sz w:val="21"/>
                <w:szCs w:val="21"/>
                <w:color w:val="auto"/>
                <w:w w:val="99"/>
              </w:rPr>
              <w:t>August 16,</w:t>
            </w: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between the Registrant and Mark Worthington</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1"/>
                <w:szCs w:val="21"/>
                <w:color w:val="auto"/>
                <w:w w:val="98"/>
              </w:rPr>
              <w:t>2021</w:t>
            </w:r>
          </w:p>
        </w:tc>
      </w:tr>
      <w:tr>
        <w:trPr>
          <w:trHeight w:val="389"/>
        </w:trPr>
        <w:tc>
          <w:tcPr>
            <w:tcW w:w="840" w:type="dxa"/>
            <w:vAlign w:val="bottom"/>
          </w:tcPr>
          <w:p>
            <w:pPr>
              <w:spacing w:after="0"/>
              <w:rPr>
                <w:sz w:val="20"/>
                <w:szCs w:val="20"/>
                <w:color w:val="auto"/>
              </w:rPr>
            </w:pPr>
            <w:r>
              <w:rPr>
                <w:rFonts w:ascii="Arial" w:cs="Arial" w:eastAsia="Arial" w:hAnsi="Arial"/>
                <w:sz w:val="21"/>
                <w:szCs w:val="21"/>
                <w:color w:val="auto"/>
              </w:rPr>
              <w:t>10.24</w:t>
            </w:r>
          </w:p>
        </w:tc>
        <w:tc>
          <w:tcPr>
            <w:tcW w:w="4920" w:type="dxa"/>
            <w:vAlign w:val="bottom"/>
          </w:tcPr>
          <w:p>
            <w:pPr>
              <w:ind w:left="120"/>
              <w:spacing w:after="0"/>
              <w:rPr>
                <w:sz w:val="20"/>
                <w:szCs w:val="20"/>
                <w:color w:val="auto"/>
              </w:rPr>
            </w:pPr>
            <w:r>
              <w:rPr>
                <w:rFonts w:ascii="Arial" w:cs="Arial" w:eastAsia="Arial" w:hAnsi="Arial"/>
                <w:sz w:val="21"/>
                <w:szCs w:val="21"/>
                <w:color w:val="auto"/>
              </w:rPr>
              <w:t>First Amendment to Lease by and between the</w:t>
            </w:r>
          </w:p>
        </w:tc>
        <w:tc>
          <w:tcPr>
            <w:tcW w:w="680" w:type="dxa"/>
            <w:vAlign w:val="bottom"/>
          </w:tcPr>
          <w:p>
            <w:pPr>
              <w:jc w:val="center"/>
              <w:spacing w:after="0"/>
              <w:rPr>
                <w:sz w:val="20"/>
                <w:szCs w:val="20"/>
                <w:color w:val="auto"/>
              </w:rPr>
            </w:pPr>
            <w:r>
              <w:rPr>
                <w:rFonts w:ascii="Arial" w:cs="Arial" w:eastAsia="Arial" w:hAnsi="Arial"/>
                <w:sz w:val="21"/>
                <w:szCs w:val="21"/>
                <w:color w:val="auto"/>
                <w:w w:val="98"/>
              </w:rPr>
              <w:t>10-Q</w:t>
            </w:r>
          </w:p>
        </w:tc>
        <w:tc>
          <w:tcPr>
            <w:tcW w:w="1120" w:type="dxa"/>
            <w:vAlign w:val="bottom"/>
          </w:tcPr>
          <w:p>
            <w:pPr>
              <w:jc w:val="center"/>
              <w:spacing w:after="0"/>
              <w:rPr>
                <w:sz w:val="20"/>
                <w:szCs w:val="20"/>
                <w:color w:val="auto"/>
              </w:rPr>
            </w:pPr>
            <w:r>
              <w:rPr>
                <w:rFonts w:ascii="Arial" w:cs="Arial" w:eastAsia="Arial" w:hAnsi="Arial"/>
                <w:sz w:val="21"/>
                <w:szCs w:val="21"/>
                <w:color w:val="auto"/>
                <w:w w:val="97"/>
              </w:rPr>
              <w:t>001-39503</w:t>
            </w:r>
          </w:p>
        </w:tc>
        <w:tc>
          <w:tcPr>
            <w:tcW w:w="640" w:type="dxa"/>
            <w:vAlign w:val="bottom"/>
          </w:tcPr>
          <w:p>
            <w:pPr>
              <w:jc w:val="center"/>
              <w:spacing w:after="0"/>
              <w:rPr>
                <w:sz w:val="20"/>
                <w:szCs w:val="20"/>
                <w:color w:val="auto"/>
              </w:rPr>
            </w:pPr>
            <w:r>
              <w:rPr>
                <w:rFonts w:ascii="Arial" w:cs="Arial" w:eastAsia="Arial" w:hAnsi="Arial"/>
                <w:sz w:val="21"/>
                <w:szCs w:val="21"/>
                <w:color w:val="auto"/>
                <w:w w:val="97"/>
              </w:rPr>
              <w:t>10.5</w:t>
            </w:r>
          </w:p>
        </w:tc>
        <w:tc>
          <w:tcPr>
            <w:tcW w:w="1420" w:type="dxa"/>
            <w:vAlign w:val="bottom"/>
          </w:tcPr>
          <w:p>
            <w:pPr>
              <w:jc w:val="center"/>
              <w:spacing w:after="0"/>
              <w:rPr>
                <w:sz w:val="20"/>
                <w:szCs w:val="20"/>
                <w:color w:val="auto"/>
              </w:rPr>
            </w:pPr>
            <w:r>
              <w:rPr>
                <w:rFonts w:ascii="Arial" w:cs="Arial" w:eastAsia="Arial" w:hAnsi="Arial"/>
                <w:sz w:val="21"/>
                <w:szCs w:val="21"/>
                <w:color w:val="auto"/>
                <w:w w:val="99"/>
              </w:rPr>
              <w:t>August 16,</w:t>
            </w:r>
          </w:p>
        </w:tc>
      </w:tr>
      <w:tr>
        <w:trPr>
          <w:trHeight w:val="237"/>
        </w:trPr>
        <w:tc>
          <w:tcPr>
            <w:tcW w:w="840" w:type="dxa"/>
            <w:vAlign w:val="bottom"/>
          </w:tcPr>
          <w:p>
            <w:pPr>
              <w:spacing w:after="0"/>
              <w:rPr>
                <w:sz w:val="20"/>
                <w:szCs w:val="20"/>
                <w:color w:val="auto"/>
              </w:rPr>
            </w:pPr>
          </w:p>
        </w:tc>
        <w:tc>
          <w:tcPr>
            <w:tcW w:w="4920" w:type="dxa"/>
            <w:vAlign w:val="bottom"/>
          </w:tcPr>
          <w:p>
            <w:pPr>
              <w:ind w:left="120"/>
              <w:spacing w:after="0" w:line="237" w:lineRule="exact"/>
              <w:rPr>
                <w:sz w:val="20"/>
                <w:szCs w:val="20"/>
                <w:color w:val="auto"/>
              </w:rPr>
            </w:pPr>
            <w:r>
              <w:rPr>
                <w:rFonts w:ascii="Arial" w:cs="Arial" w:eastAsia="Arial" w:hAnsi="Arial"/>
                <w:sz w:val="21"/>
                <w:szCs w:val="21"/>
                <w:color w:val="auto"/>
              </w:rPr>
              <w:t>Registrant and Nitrogen Propco 2020, L.P., as</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tcPr>
          <w:p>
            <w:pPr>
              <w:jc w:val="center"/>
              <w:spacing w:after="0" w:line="237" w:lineRule="exact"/>
              <w:rPr>
                <w:sz w:val="20"/>
                <w:szCs w:val="20"/>
                <w:color w:val="auto"/>
              </w:rPr>
            </w:pPr>
            <w:r>
              <w:rPr>
                <w:rFonts w:ascii="Arial" w:cs="Arial" w:eastAsia="Arial" w:hAnsi="Arial"/>
                <w:sz w:val="21"/>
                <w:szCs w:val="21"/>
                <w:color w:val="auto"/>
                <w:w w:val="98"/>
              </w:rPr>
              <w:t>2021</w:t>
            </w:r>
          </w:p>
        </w:tc>
      </w:tr>
      <w:tr>
        <w:trPr>
          <w:trHeight w:val="236"/>
        </w:trPr>
        <w:tc>
          <w:tcPr>
            <w:tcW w:w="840" w:type="dxa"/>
            <w:vAlign w:val="bottom"/>
          </w:tcPr>
          <w:p>
            <w:pPr>
              <w:spacing w:after="0"/>
              <w:rPr>
                <w:sz w:val="20"/>
                <w:szCs w:val="20"/>
                <w:color w:val="auto"/>
              </w:rPr>
            </w:pPr>
          </w:p>
        </w:tc>
        <w:tc>
          <w:tcPr>
            <w:tcW w:w="4920" w:type="dxa"/>
            <w:vAlign w:val="bottom"/>
          </w:tcPr>
          <w:p>
            <w:pPr>
              <w:ind w:left="120"/>
              <w:spacing w:after="0" w:line="236" w:lineRule="exact"/>
              <w:rPr>
                <w:sz w:val="20"/>
                <w:szCs w:val="20"/>
                <w:color w:val="auto"/>
              </w:rPr>
            </w:pPr>
            <w:r>
              <w:rPr>
                <w:rFonts w:ascii="Arial" w:cs="Arial" w:eastAsia="Arial" w:hAnsi="Arial"/>
                <w:sz w:val="21"/>
                <w:szCs w:val="21"/>
                <w:color w:val="auto"/>
              </w:rPr>
              <w:t>successor-in-interest to North Creek Parkway</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9"/>
        </w:trPr>
        <w:tc>
          <w:tcPr>
            <w:tcW w:w="840" w:type="dxa"/>
            <w:vAlign w:val="bottom"/>
          </w:tcPr>
          <w:p>
            <w:pPr>
              <w:spacing w:after="0"/>
              <w:rPr>
                <w:sz w:val="24"/>
                <w:szCs w:val="24"/>
                <w:color w:val="auto"/>
              </w:rPr>
            </w:pPr>
          </w:p>
        </w:tc>
        <w:tc>
          <w:tcPr>
            <w:tcW w:w="4920" w:type="dxa"/>
            <w:vAlign w:val="bottom"/>
          </w:tcPr>
          <w:p>
            <w:pPr>
              <w:ind w:left="120"/>
              <w:spacing w:after="0"/>
              <w:rPr>
                <w:sz w:val="20"/>
                <w:szCs w:val="20"/>
                <w:color w:val="auto"/>
              </w:rPr>
            </w:pPr>
            <w:r>
              <w:rPr>
                <w:rFonts w:ascii="Arial" w:cs="Arial" w:eastAsia="Arial" w:hAnsi="Arial"/>
                <w:sz w:val="21"/>
                <w:szCs w:val="21"/>
                <w:color w:val="auto"/>
              </w:rPr>
              <w:t>Center Investors, L.P., dated June 28, 2021</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9620"/>
          </w:cols>
          <w:pgMar w:left="1300" w:top="1242" w:right="1320" w:bottom="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160</w:t>
      </w:r>
    </w:p>
    <w:p>
      <w:pPr>
        <w:sectPr>
          <w:pgSz w:w="12240" w:h="15840" w:orient="portrait"/>
          <w:cols w:equalWidth="0" w:num="1">
            <w:col w:w="9620"/>
          </w:cols>
          <w:pgMar w:left="1300" w:top="1242" w:right="1320" w:bottom="0" w:gutter="0" w:footer="0" w:header="0"/>
          <w:type w:val="continuous"/>
        </w:sectPr>
      </w:pPr>
    </w:p>
    <w:bookmarkStart w:id="166" w:name="page167"/>
    <w:bookmarkEnd w:id="166"/>
    <w:p>
      <w:pPr>
        <w:ind w:left="960" w:right="500" w:hanging="949"/>
        <w:spacing w:after="0" w:line="298" w:lineRule="auto"/>
        <w:tabs>
          <w:tab w:leader="none" w:pos="940" w:val="left"/>
        </w:tabs>
        <w:rPr>
          <w:sz w:val="20"/>
          <w:szCs w:val="20"/>
          <w:color w:val="auto"/>
        </w:rPr>
      </w:pPr>
      <w:r>
        <w:rPr>
          <w:rFonts w:ascii="Arial" w:cs="Arial" w:eastAsia="Arial" w:hAnsi="Arial"/>
          <w:sz w:val="21"/>
          <w:szCs w:val="21"/>
          <w:color w:val="auto"/>
        </w:rPr>
        <w:t>10.25**</w:t>
      </w:r>
      <w:r>
        <w:rPr>
          <w:sz w:val="20"/>
          <w:szCs w:val="20"/>
          <w:color w:val="auto"/>
        </w:rPr>
        <w:tab/>
      </w:r>
      <w:r>
        <w:rPr>
          <w:rFonts w:ascii="Arial" w:cs="Arial" w:eastAsia="Arial" w:hAnsi="Arial"/>
          <w:sz w:val="20"/>
          <w:szCs w:val="20"/>
          <w:color w:val="auto"/>
        </w:rPr>
        <w:t>Change in Control and Severance Agreement between the Registrant and Kevin Church</w:t>
      </w:r>
    </w:p>
    <w:p>
      <w:pPr>
        <w:spacing w:after="0" w:line="96" w:lineRule="exact"/>
        <w:rPr>
          <w:sz w:val="20"/>
          <w:szCs w:val="20"/>
          <w:color w:val="auto"/>
        </w:rPr>
      </w:pPr>
    </w:p>
    <w:p>
      <w:pPr>
        <w:jc w:val="both"/>
        <w:ind w:left="960" w:right="420" w:hanging="949"/>
        <w:spacing w:after="0" w:line="242" w:lineRule="auto"/>
        <w:tabs>
          <w:tab w:leader="none" w:pos="940" w:val="left"/>
        </w:tabs>
        <w:rPr>
          <w:sz w:val="20"/>
          <w:szCs w:val="20"/>
          <w:color w:val="auto"/>
        </w:rPr>
      </w:pPr>
      <w:r>
        <w:rPr>
          <w:rFonts w:ascii="Arial" w:cs="Arial" w:eastAsia="Arial" w:hAnsi="Arial"/>
          <w:sz w:val="21"/>
          <w:szCs w:val="21"/>
          <w:color w:val="auto"/>
        </w:rPr>
        <w:t>10.26</w:t>
      </w:r>
      <w:r>
        <w:rPr>
          <w:sz w:val="20"/>
          <w:szCs w:val="20"/>
          <w:color w:val="auto"/>
        </w:rPr>
        <w:tab/>
      </w:r>
      <w:r>
        <w:rPr>
          <w:rFonts w:ascii="Arial" w:cs="Arial" w:eastAsia="Arial" w:hAnsi="Arial"/>
          <w:sz w:val="20"/>
          <w:szCs w:val="20"/>
          <w:color w:val="auto"/>
        </w:rPr>
        <w:t>Controlled Equity Offering Sales Agreement</w:t>
      </w:r>
      <w:r>
        <w:rPr>
          <w:rFonts w:ascii="Arial" w:cs="Arial" w:eastAsia="Arial" w:hAnsi="Arial"/>
          <w:sz w:val="25"/>
          <w:szCs w:val="25"/>
          <w:color w:val="auto"/>
          <w:vertAlign w:val="superscript"/>
        </w:rPr>
        <w:t>SM</w:t>
      </w:r>
      <w:r>
        <w:rPr>
          <w:rFonts w:ascii="Arial" w:cs="Arial" w:eastAsia="Arial" w:hAnsi="Arial"/>
          <w:sz w:val="20"/>
          <w:szCs w:val="20"/>
          <w:color w:val="auto"/>
        </w:rPr>
        <w:t>, dated January 6, 2023, among the Registrant, Cantor Fitzgerald &amp; Co. and BTIG, LLC</w:t>
      </w:r>
    </w:p>
    <w:p>
      <w:pPr>
        <w:spacing w:after="0" w:line="151"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21"/>
          <w:szCs w:val="21"/>
          <w:color w:val="auto"/>
        </w:rPr>
        <w:t>21.1</w:t>
      </w:r>
      <w:r>
        <w:rPr>
          <w:sz w:val="20"/>
          <w:szCs w:val="20"/>
          <w:color w:val="auto"/>
        </w:rPr>
        <w:tab/>
      </w:r>
      <w:r>
        <w:rPr>
          <w:rFonts w:ascii="Arial" w:cs="Arial" w:eastAsia="Arial" w:hAnsi="Arial"/>
          <w:sz w:val="20"/>
          <w:szCs w:val="20"/>
          <w:color w:val="auto"/>
        </w:rPr>
        <w:t>List of Subsidiaries of the Registrant</w:t>
      </w:r>
    </w:p>
    <w:p>
      <w:pPr>
        <w:spacing w:after="0" w:line="200" w:lineRule="exact"/>
        <w:rPr>
          <w:sz w:val="20"/>
          <w:szCs w:val="20"/>
          <w:color w:val="auto"/>
        </w:rPr>
      </w:pPr>
    </w:p>
    <w:p>
      <w:pPr>
        <w:spacing w:after="0" w:line="226" w:lineRule="exact"/>
        <w:rPr>
          <w:sz w:val="20"/>
          <w:szCs w:val="20"/>
          <w:color w:val="auto"/>
        </w:rPr>
      </w:pPr>
    </w:p>
    <w:p>
      <w:pPr>
        <w:ind w:left="960" w:right="800" w:hanging="893"/>
        <w:spacing w:after="0" w:line="271" w:lineRule="auto"/>
        <w:tabs>
          <w:tab w:leader="none" w:pos="940" w:val="left"/>
        </w:tabs>
        <w:rPr>
          <w:sz w:val="20"/>
          <w:szCs w:val="20"/>
          <w:color w:val="auto"/>
        </w:rPr>
      </w:pPr>
      <w:r>
        <w:rPr>
          <w:rFonts w:ascii="Arial" w:cs="Arial" w:eastAsia="Arial" w:hAnsi="Arial"/>
          <w:sz w:val="21"/>
          <w:szCs w:val="21"/>
          <w:color w:val="auto"/>
        </w:rPr>
        <w:t>23.1</w:t>
      </w:r>
      <w:r>
        <w:rPr>
          <w:sz w:val="20"/>
          <w:szCs w:val="20"/>
          <w:color w:val="auto"/>
        </w:rPr>
        <w:tab/>
      </w:r>
      <w:r>
        <w:rPr>
          <w:rFonts w:ascii="Arial" w:cs="Arial" w:eastAsia="Arial" w:hAnsi="Arial"/>
          <w:sz w:val="21"/>
          <w:szCs w:val="21"/>
          <w:color w:val="auto"/>
        </w:rPr>
        <w:t>Consent of Independent Registered Public Accounting Firm</w:t>
      </w:r>
    </w:p>
    <w:p>
      <w:pPr>
        <w:spacing w:after="0" w:line="122" w:lineRule="exact"/>
        <w:rPr>
          <w:sz w:val="20"/>
          <w:szCs w:val="20"/>
          <w:color w:val="auto"/>
        </w:rPr>
      </w:pPr>
    </w:p>
    <w:p>
      <w:pPr>
        <w:ind w:left="960" w:right="400" w:hanging="893"/>
        <w:spacing w:after="0" w:line="271" w:lineRule="auto"/>
        <w:tabs>
          <w:tab w:leader="none" w:pos="940" w:val="left"/>
        </w:tabs>
        <w:rPr>
          <w:sz w:val="20"/>
          <w:szCs w:val="20"/>
          <w:color w:val="auto"/>
        </w:rPr>
      </w:pPr>
      <w:r>
        <w:rPr>
          <w:rFonts w:ascii="Arial" w:cs="Arial" w:eastAsia="Arial" w:hAnsi="Arial"/>
          <w:sz w:val="21"/>
          <w:szCs w:val="21"/>
          <w:color w:val="auto"/>
        </w:rPr>
        <w:t>24.1</w:t>
      </w:r>
      <w:r>
        <w:rPr>
          <w:sz w:val="20"/>
          <w:szCs w:val="20"/>
          <w:color w:val="auto"/>
        </w:rPr>
        <w:tab/>
      </w:r>
      <w:r>
        <w:rPr>
          <w:rFonts w:ascii="Arial" w:cs="Arial" w:eastAsia="Arial" w:hAnsi="Arial"/>
          <w:sz w:val="21"/>
          <w:szCs w:val="21"/>
          <w:color w:val="auto"/>
        </w:rPr>
        <w:t>Power of Attorney (included in signature pages hereto)</w:t>
      </w:r>
    </w:p>
    <w:p>
      <w:pPr>
        <w:spacing w:after="0" w:line="122" w:lineRule="exact"/>
        <w:rPr>
          <w:sz w:val="20"/>
          <w:szCs w:val="20"/>
          <w:color w:val="auto"/>
        </w:rPr>
      </w:pPr>
    </w:p>
    <w:p>
      <w:pPr>
        <w:ind w:left="960" w:hanging="893"/>
        <w:spacing w:after="0" w:line="244" w:lineRule="auto"/>
        <w:tabs>
          <w:tab w:leader="none" w:pos="940" w:val="left"/>
        </w:tabs>
        <w:rPr>
          <w:sz w:val="20"/>
          <w:szCs w:val="20"/>
          <w:color w:val="auto"/>
        </w:rPr>
      </w:pPr>
      <w:r>
        <w:rPr>
          <w:rFonts w:ascii="Arial" w:cs="Arial" w:eastAsia="Arial" w:hAnsi="Arial"/>
          <w:sz w:val="21"/>
          <w:szCs w:val="21"/>
          <w:color w:val="auto"/>
        </w:rPr>
        <w:t>31.1</w:t>
      </w:r>
      <w:r>
        <w:rPr>
          <w:sz w:val="20"/>
          <w:szCs w:val="20"/>
          <w:color w:val="auto"/>
        </w:rPr>
        <w:tab/>
      </w:r>
      <w:r>
        <w:rPr>
          <w:rFonts w:ascii="Arial" w:cs="Arial" w:eastAsia="Arial" w:hAnsi="Arial"/>
          <w:sz w:val="21"/>
          <w:szCs w:val="21"/>
          <w:color w:val="auto"/>
        </w:rPr>
        <w:t>Certification of Principal Executive Officer Pursuant to Rules 13a-14(a) and 15d-14(a) under the Securities Exchange Act of 1934, as Adopted Pursuant to Section 302 of the Sarbanes-Oxley Act of 2002</w:t>
      </w:r>
    </w:p>
    <w:p>
      <w:pPr>
        <w:spacing w:after="0" w:line="149" w:lineRule="exact"/>
        <w:rPr>
          <w:sz w:val="20"/>
          <w:szCs w:val="20"/>
          <w:color w:val="auto"/>
        </w:rPr>
      </w:pPr>
    </w:p>
    <w:p>
      <w:pPr>
        <w:ind w:left="960" w:right="60" w:hanging="893"/>
        <w:spacing w:after="0" w:line="244" w:lineRule="auto"/>
        <w:tabs>
          <w:tab w:leader="none" w:pos="940" w:val="left"/>
        </w:tabs>
        <w:rPr>
          <w:sz w:val="20"/>
          <w:szCs w:val="20"/>
          <w:color w:val="auto"/>
        </w:rPr>
      </w:pPr>
      <w:r>
        <w:rPr>
          <w:rFonts w:ascii="Arial" w:cs="Arial" w:eastAsia="Arial" w:hAnsi="Arial"/>
          <w:sz w:val="21"/>
          <w:szCs w:val="21"/>
          <w:color w:val="auto"/>
        </w:rPr>
        <w:t>31.2</w:t>
      </w:r>
      <w:r>
        <w:rPr>
          <w:sz w:val="20"/>
          <w:szCs w:val="20"/>
          <w:color w:val="auto"/>
        </w:rPr>
        <w:tab/>
      </w:r>
      <w:r>
        <w:rPr>
          <w:rFonts w:ascii="Arial" w:cs="Arial" w:eastAsia="Arial" w:hAnsi="Arial"/>
          <w:sz w:val="21"/>
          <w:szCs w:val="21"/>
          <w:color w:val="auto"/>
        </w:rPr>
        <w:t>Certification of Principal Accounting and Financial Officer Pursuant to Rules 13a-14(a) and 15d-14(a) under the Securities Exchange Act of 1934, as Adopted Pursuant to Section 302 of the Sarbanes-Oxley Act of 2002</w:t>
      </w:r>
    </w:p>
    <w:p>
      <w:pPr>
        <w:spacing w:after="0" w:line="151" w:lineRule="exact"/>
        <w:rPr>
          <w:sz w:val="20"/>
          <w:szCs w:val="20"/>
          <w:color w:val="auto"/>
        </w:rPr>
      </w:pPr>
    </w:p>
    <w:p>
      <w:pPr>
        <w:jc w:val="both"/>
        <w:ind w:left="960" w:hanging="893"/>
        <w:spacing w:after="0" w:line="273" w:lineRule="auto"/>
        <w:tabs>
          <w:tab w:leader="none" w:pos="940" w:val="left"/>
        </w:tabs>
        <w:rPr>
          <w:sz w:val="20"/>
          <w:szCs w:val="20"/>
          <w:color w:val="auto"/>
        </w:rPr>
      </w:pPr>
      <w:r>
        <w:rPr>
          <w:rFonts w:ascii="Arial" w:cs="Arial" w:eastAsia="Arial" w:hAnsi="Arial"/>
          <w:sz w:val="21"/>
          <w:szCs w:val="21"/>
          <w:color w:val="auto"/>
        </w:rPr>
        <w:t>32.1*</w:t>
      </w:r>
      <w:r>
        <w:rPr>
          <w:sz w:val="20"/>
          <w:szCs w:val="20"/>
          <w:color w:val="auto"/>
        </w:rPr>
        <w:tab/>
      </w:r>
      <w:r>
        <w:rPr>
          <w:rFonts w:ascii="Arial" w:cs="Arial" w:eastAsia="Arial" w:hAnsi="Arial"/>
          <w:sz w:val="20"/>
          <w:szCs w:val="20"/>
          <w:color w:val="auto"/>
        </w:rPr>
        <w:t>Certification of Principal Executive Officer Pursuant to 18 U.S.C. Section 1350, as Adopted Pursuant to Section 906 of the Sarbanes-Oxley Act of 2002</w:t>
      </w:r>
    </w:p>
    <w:p>
      <w:pPr>
        <w:spacing w:after="0" w:line="120" w:lineRule="exact"/>
        <w:rPr>
          <w:sz w:val="20"/>
          <w:szCs w:val="20"/>
          <w:color w:val="auto"/>
        </w:rPr>
      </w:pPr>
    </w:p>
    <w:p>
      <w:pPr>
        <w:ind w:left="960" w:right="60" w:hanging="893"/>
        <w:spacing w:after="0" w:line="247" w:lineRule="auto"/>
        <w:tabs>
          <w:tab w:leader="none" w:pos="940" w:val="left"/>
        </w:tabs>
        <w:rPr>
          <w:sz w:val="20"/>
          <w:szCs w:val="20"/>
          <w:color w:val="auto"/>
        </w:rPr>
      </w:pPr>
      <w:r>
        <w:rPr>
          <w:rFonts w:ascii="Arial" w:cs="Arial" w:eastAsia="Arial" w:hAnsi="Arial"/>
          <w:sz w:val="21"/>
          <w:szCs w:val="21"/>
          <w:color w:val="auto"/>
        </w:rPr>
        <w:t>32.2*</w:t>
      </w:r>
      <w:r>
        <w:rPr>
          <w:sz w:val="20"/>
          <w:szCs w:val="20"/>
          <w:color w:val="auto"/>
        </w:rPr>
        <w:tab/>
      </w:r>
      <w:r>
        <w:rPr>
          <w:rFonts w:ascii="Arial" w:cs="Arial" w:eastAsia="Arial" w:hAnsi="Arial"/>
          <w:sz w:val="21"/>
          <w:szCs w:val="21"/>
          <w:color w:val="auto"/>
        </w:rPr>
        <w:t>Certification of Principal Accounting and Financial Officer Pursuant to 18 U.S.C. Section 1350, as Adopted Pursuant to Section 906 of the Sarbanes-Oxley Act of 2002</w:t>
      </w:r>
    </w:p>
    <w:p>
      <w:pPr>
        <w:spacing w:after="0" w:line="147"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101.INS</w:t>
      </w:r>
      <w:r>
        <w:rPr>
          <w:sz w:val="20"/>
          <w:szCs w:val="20"/>
          <w:color w:val="auto"/>
        </w:rPr>
        <w:tab/>
      </w:r>
      <w:r>
        <w:rPr>
          <w:rFonts w:ascii="Arial" w:cs="Arial" w:eastAsia="Arial" w:hAnsi="Arial"/>
          <w:sz w:val="20"/>
          <w:szCs w:val="20"/>
          <w:color w:val="auto"/>
        </w:rPr>
        <w:t>Inline XBRL Instance Document</w:t>
      </w:r>
    </w:p>
    <w:p>
      <w:pPr>
        <w:spacing w:after="0" w:line="190" w:lineRule="exact"/>
        <w:rPr>
          <w:sz w:val="20"/>
          <w:szCs w:val="20"/>
          <w:color w:val="auto"/>
        </w:rPr>
      </w:pPr>
    </w:p>
    <w:p>
      <w:pPr>
        <w:ind w:left="960" w:right="780" w:hanging="949"/>
        <w:spacing w:after="0" w:line="271" w:lineRule="auto"/>
        <w:rPr>
          <w:sz w:val="20"/>
          <w:szCs w:val="20"/>
          <w:color w:val="auto"/>
        </w:rPr>
      </w:pPr>
      <w:r>
        <w:rPr>
          <w:rFonts w:ascii="Arial" w:cs="Arial" w:eastAsia="Arial" w:hAnsi="Arial"/>
          <w:sz w:val="21"/>
          <w:szCs w:val="21"/>
          <w:color w:val="auto"/>
        </w:rPr>
        <w:t>101.SCH Inline XBRL Taxonomy Extension Schema Document</w:t>
      </w:r>
    </w:p>
    <w:p>
      <w:pPr>
        <w:spacing w:after="0" w:line="122" w:lineRule="exact"/>
        <w:rPr>
          <w:sz w:val="20"/>
          <w:szCs w:val="20"/>
          <w:color w:val="auto"/>
        </w:rPr>
      </w:pPr>
    </w:p>
    <w:p>
      <w:pPr>
        <w:ind w:left="960" w:right="520" w:hanging="949"/>
        <w:spacing w:after="0" w:line="271" w:lineRule="auto"/>
        <w:rPr>
          <w:sz w:val="20"/>
          <w:szCs w:val="20"/>
          <w:color w:val="auto"/>
        </w:rPr>
      </w:pPr>
      <w:r>
        <w:rPr>
          <w:rFonts w:ascii="Arial" w:cs="Arial" w:eastAsia="Arial" w:hAnsi="Arial"/>
          <w:sz w:val="21"/>
          <w:szCs w:val="21"/>
          <w:color w:val="auto"/>
        </w:rPr>
        <w:t>101.CAL Inline XBRL Taxonomy Extension Calculation Linkbase Document</w:t>
      </w:r>
    </w:p>
    <w:p>
      <w:pPr>
        <w:spacing w:after="0" w:line="121" w:lineRule="exact"/>
        <w:rPr>
          <w:sz w:val="20"/>
          <w:szCs w:val="20"/>
          <w:color w:val="auto"/>
        </w:rPr>
      </w:pPr>
    </w:p>
    <w:p>
      <w:pPr>
        <w:ind w:left="960" w:right="680" w:hanging="949"/>
        <w:spacing w:after="0" w:line="272" w:lineRule="auto"/>
        <w:rPr>
          <w:sz w:val="20"/>
          <w:szCs w:val="20"/>
          <w:color w:val="auto"/>
        </w:rPr>
      </w:pPr>
      <w:r>
        <w:rPr>
          <w:rFonts w:ascii="Arial" w:cs="Arial" w:eastAsia="Arial" w:hAnsi="Arial"/>
          <w:sz w:val="21"/>
          <w:szCs w:val="21"/>
          <w:color w:val="auto"/>
        </w:rPr>
        <w:t>101.DEF Inline XBRL Taxonomy Extension Definition Linkbase Document</w:t>
      </w:r>
    </w:p>
    <w:p>
      <w:pPr>
        <w:spacing w:after="0" w:line="120" w:lineRule="exact"/>
        <w:rPr>
          <w:sz w:val="20"/>
          <w:szCs w:val="20"/>
          <w:color w:val="auto"/>
        </w:rPr>
      </w:pPr>
    </w:p>
    <w:p>
      <w:pPr>
        <w:ind w:left="960" w:right="160" w:hanging="949"/>
        <w:spacing w:after="0" w:line="272" w:lineRule="auto"/>
        <w:rPr>
          <w:sz w:val="20"/>
          <w:szCs w:val="20"/>
          <w:color w:val="auto"/>
        </w:rPr>
      </w:pPr>
      <w:r>
        <w:rPr>
          <w:rFonts w:ascii="Arial" w:cs="Arial" w:eastAsia="Arial" w:hAnsi="Arial"/>
          <w:sz w:val="21"/>
          <w:szCs w:val="21"/>
          <w:color w:val="auto"/>
        </w:rPr>
        <w:t>101.LAB Inline XBRL Taxonomy Extension Label Linkbase Document</w:t>
      </w:r>
    </w:p>
    <w:p>
      <w:pPr>
        <w:spacing w:after="0" w:line="120" w:lineRule="exact"/>
        <w:rPr>
          <w:sz w:val="20"/>
          <w:szCs w:val="20"/>
          <w:color w:val="auto"/>
        </w:rPr>
      </w:pPr>
    </w:p>
    <w:p>
      <w:pPr>
        <w:ind w:left="960" w:right="380" w:hanging="949"/>
        <w:spacing w:after="0" w:line="272" w:lineRule="auto"/>
        <w:rPr>
          <w:sz w:val="20"/>
          <w:szCs w:val="20"/>
          <w:color w:val="auto"/>
        </w:rPr>
      </w:pPr>
      <w:r>
        <w:rPr>
          <w:rFonts w:ascii="Arial" w:cs="Arial" w:eastAsia="Arial" w:hAnsi="Arial"/>
          <w:sz w:val="21"/>
          <w:szCs w:val="21"/>
          <w:color w:val="auto"/>
        </w:rPr>
        <w:t>101.PRE Inline XBRL Taxonomy Extension Presentation Linkbase Document</w:t>
      </w:r>
    </w:p>
    <w:p>
      <w:pPr>
        <w:spacing w:after="0" w:line="120" w:lineRule="exact"/>
        <w:rPr>
          <w:sz w:val="20"/>
          <w:szCs w:val="20"/>
          <w:color w:val="auto"/>
        </w:rPr>
      </w:pPr>
    </w:p>
    <w:p>
      <w:pPr>
        <w:ind w:left="960" w:right="480" w:hanging="955"/>
        <w:spacing w:after="0" w:line="272" w:lineRule="auto"/>
        <w:tabs>
          <w:tab w:leader="none" w:pos="9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Cover Page Interactive Data File (formatted in Inline XBRL and included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-19685</wp:posOffset>
                </wp:positionH>
                <wp:positionV relativeFrom="paragraph">
                  <wp:posOffset>74295</wp:posOffset>
                </wp:positionV>
                <wp:extent cx="66675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0" cy="4763"/>
                        </a:xfrm>
                        <a:prstGeom prst="line">
                          <a:avLst/>
                        </a:prstGeom>
                        <a:solidFill>
                          <a:srgbClr val="FFFFFF"/>
                        </a:solidFill>
                        <a:ln w="6273">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99pt,5.85pt" to="50.95pt,5.85pt" o:allowincell="f" strokecolor="#000000" strokeweight="0.493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161</w:t>
      </w:r>
    </w:p>
    <w:p>
      <w:pPr>
        <w:spacing w:after="0" w:line="20" w:lineRule="exact"/>
        <w:rPr>
          <w:sz w:val="20"/>
          <w:szCs w:val="20"/>
          <w:color w:val="auto"/>
        </w:rPr>
      </w:pPr>
      <w:r>
        <w:rPr>
          <w:sz w:val="20"/>
          <w:szCs w:val="20"/>
          <w:color w:val="auto"/>
        </w:rPr>
        <w:br w:type="column"/>
      </w:r>
    </w:p>
    <w:p>
      <w:pPr>
        <w:spacing w:after="0"/>
        <w:tabs>
          <w:tab w:leader="none" w:pos="640" w:val="left"/>
        </w:tabs>
        <w:rPr>
          <w:sz w:val="20"/>
          <w:szCs w:val="20"/>
          <w:color w:val="auto"/>
        </w:rPr>
      </w:pPr>
      <w:r>
        <w:rPr>
          <w:rFonts w:ascii="Arial" w:cs="Arial" w:eastAsia="Arial" w:hAnsi="Arial"/>
          <w:sz w:val="21"/>
          <w:szCs w:val="21"/>
          <w:color w:val="auto"/>
        </w:rPr>
        <w:t>10-K</w:t>
      </w:r>
      <w:r>
        <w:rPr>
          <w:sz w:val="20"/>
          <w:szCs w:val="20"/>
          <w:color w:val="auto"/>
        </w:rPr>
        <w:tab/>
      </w:r>
      <w:r>
        <w:rPr>
          <w:rFonts w:ascii="Arial" w:cs="Arial" w:eastAsia="Arial" w:hAnsi="Arial"/>
          <w:sz w:val="20"/>
          <w:szCs w:val="20"/>
          <w:color w:val="auto"/>
        </w:rPr>
        <w:t>001-39503 10.28 March 28, 2022</w:t>
      </w:r>
    </w:p>
    <w:p>
      <w:pPr>
        <w:spacing w:after="0" w:line="200" w:lineRule="exact"/>
        <w:rPr>
          <w:sz w:val="20"/>
          <w:szCs w:val="20"/>
          <w:color w:val="auto"/>
        </w:rPr>
      </w:pP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r>
              <w:rPr>
                <w:rFonts w:ascii="Arial" w:cs="Arial" w:eastAsia="Arial" w:hAnsi="Arial"/>
                <w:sz w:val="21"/>
                <w:szCs w:val="21"/>
                <w:color w:val="auto"/>
              </w:rPr>
              <w:t>8-K   001-39503  1.01</w:t>
            </w:r>
          </w:p>
        </w:tc>
        <w:tc>
          <w:tcPr>
            <w:tcW w:w="1140" w:type="dxa"/>
            <w:vAlign w:val="bottom"/>
          </w:tcPr>
          <w:p>
            <w:pPr>
              <w:jc w:val="center"/>
              <w:ind w:left="77"/>
              <w:spacing w:after="0"/>
              <w:rPr>
                <w:sz w:val="20"/>
                <w:szCs w:val="20"/>
                <w:color w:val="auto"/>
              </w:rPr>
            </w:pPr>
            <w:r>
              <w:rPr>
                <w:rFonts w:ascii="Arial" w:cs="Arial" w:eastAsia="Arial" w:hAnsi="Arial"/>
                <w:sz w:val="21"/>
                <w:szCs w:val="21"/>
                <w:color w:val="auto"/>
                <w:w w:val="97"/>
              </w:rPr>
              <w:t>January 6,</w:t>
            </w:r>
          </w:p>
        </w:tc>
      </w:tr>
      <w:tr>
        <w:trPr>
          <w:trHeight w:val="279"/>
        </w:trPr>
        <w:tc>
          <w:tcPr>
            <w:tcW w:w="2300" w:type="dxa"/>
            <w:vAlign w:val="bottom"/>
          </w:tcPr>
          <w:p>
            <w:pPr>
              <w:spacing w:after="0"/>
              <w:rPr>
                <w:sz w:val="24"/>
                <w:szCs w:val="24"/>
                <w:color w:val="auto"/>
              </w:rPr>
            </w:pPr>
          </w:p>
        </w:tc>
        <w:tc>
          <w:tcPr>
            <w:tcW w:w="1140" w:type="dxa"/>
            <w:vAlign w:val="bottom"/>
          </w:tcPr>
          <w:p>
            <w:pPr>
              <w:jc w:val="right"/>
              <w:ind w:right="137"/>
              <w:spacing w:after="0"/>
              <w:rPr>
                <w:sz w:val="20"/>
                <w:szCs w:val="20"/>
                <w:color w:val="auto"/>
              </w:rPr>
            </w:pPr>
            <w:r>
              <w:rPr>
                <w:rFonts w:ascii="Arial" w:cs="Arial" w:eastAsia="Arial" w:hAnsi="Arial"/>
                <w:sz w:val="21"/>
                <w:szCs w:val="21"/>
                <w:color w:val="auto"/>
              </w:rPr>
              <w:t>2023</w:t>
            </w:r>
          </w:p>
        </w:tc>
      </w:tr>
    </w:tbl>
    <w:p>
      <w:pPr>
        <w:spacing w:after="0" w:line="389" w:lineRule="exact"/>
        <w:rPr>
          <w:sz w:val="20"/>
          <w:szCs w:val="20"/>
          <w:color w:val="auto"/>
        </w:rPr>
      </w:pPr>
    </w:p>
    <w:p>
      <w:pPr>
        <w:ind w:left="660" w:right="100" w:hanging="2828"/>
        <w:spacing w:after="0" w:line="271" w:lineRule="auto"/>
        <w:tabs>
          <w:tab w:leader="none" w:pos="640" w:val="left"/>
        </w:tabs>
        <w:rPr>
          <w:sz w:val="20"/>
          <w:szCs w:val="20"/>
          <w:color w:val="auto"/>
        </w:rPr>
      </w:pPr>
      <w:r>
        <w:rPr>
          <w:rFonts w:ascii="Arial" w:cs="Arial" w:eastAsia="Arial" w:hAnsi="Arial"/>
          <w:sz w:val="21"/>
          <w:szCs w:val="21"/>
          <w:color w:val="auto"/>
        </w:rPr>
        <w:t>S-1/A</w:t>
        <w:tab/>
        <w:t>333-24828 21.1 September 9, 2020</w:t>
      </w:r>
    </w:p>
    <w:p>
      <w:pPr>
        <w:sectPr>
          <w:pgSz w:w="12240" w:h="15840" w:orient="portrait"/>
          <w:cols w:equalWidth="0" w:num="2">
            <w:col w:w="5620" w:space="260"/>
            <w:col w:w="3740"/>
          </w:cols>
          <w:pgMar w:left="1300" w:top="1414" w:right="1320" w:bottom="0" w:gutter="0" w:footer="0" w:header="0"/>
        </w:sectPr>
      </w:pPr>
    </w:p>
    <w:bookmarkStart w:id="167" w:name="page168"/>
    <w:bookmarkEnd w:id="167"/>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6"/>
          <w:szCs w:val="16"/>
          <w:color w:val="auto"/>
        </w:rPr>
        <w:t>The certifications filed as Exhibits 32.1 and 32.2 are not deemed “filed” for purposes of Section 18 of the Securities Exchange Act of 1934 and are not to be incorporated by reference into any filing of the Company under the Securities Act of 1933 or the Securities Exchange Act of 1934, whether made before or after the date hereof irrespective of any general incorporation by reference language contained in any such filing, except to the extent that the registrant specifically incorporates it by reference. Indicates a management contract or compensatory plan.</w:t>
      </w:r>
    </w:p>
    <w:p>
      <w:pPr>
        <w:jc w:val="both"/>
        <w:spacing w:after="0" w:line="257" w:lineRule="auto"/>
        <w:rPr>
          <w:sz w:val="20"/>
          <w:szCs w:val="20"/>
          <w:color w:val="auto"/>
        </w:rPr>
      </w:pPr>
      <w:r>
        <w:rPr>
          <w:rFonts w:ascii="Arial" w:cs="Arial" w:eastAsia="Arial" w:hAnsi="Arial"/>
          <w:sz w:val="16"/>
          <w:szCs w:val="16"/>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200" w:lineRule="exact"/>
        <w:rPr>
          <w:sz w:val="20"/>
          <w:szCs w:val="20"/>
          <w:color w:val="auto"/>
        </w:rPr>
      </w:pPr>
    </w:p>
    <w:p>
      <w:pPr>
        <w:sectPr>
          <w:pgSz w:w="12240" w:h="15840" w:orient="portrait"/>
          <w:cols w:equalWidth="0" w:num="2">
            <w:col w:w="80" w:space="420"/>
            <w:col w:w="9140"/>
          </w:cols>
          <w:pgMar w:left="1300" w:top="1229" w:right="1300" w:bottom="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21"/>
          <w:szCs w:val="21"/>
          <w:color w:val="auto"/>
        </w:rPr>
        <w:t>Not applicable.</w:t>
      </w:r>
    </w:p>
    <w:p>
      <w:pPr>
        <w:sectPr>
          <w:pgSz w:w="12240" w:h="15840" w:orient="portrait"/>
          <w:cols w:equalWidth="0" w:num="1">
            <w:col w:w="9640"/>
          </w:cols>
          <w:pgMar w:left="1300" w:top="1229" w:right="13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162</w:t>
      </w:r>
    </w:p>
    <w:p>
      <w:pPr>
        <w:sectPr>
          <w:pgSz w:w="12240" w:h="15840" w:orient="portrait"/>
          <w:cols w:equalWidth="0" w:num="1">
            <w:col w:w="9640"/>
          </w:cols>
          <w:pgMar w:left="1300" w:top="1229" w:right="1300" w:bottom="0" w:gutter="0" w:footer="0" w:header="0"/>
          <w:type w:val="continuous"/>
        </w:sectPr>
      </w:pPr>
    </w:p>
    <w:bookmarkStart w:id="168" w:name="page169"/>
    <w:bookmarkEnd w:id="168"/>
    <w:p>
      <w:pPr>
        <w:jc w:val="center"/>
        <w:spacing w:after="0"/>
        <w:rPr>
          <w:sz w:val="20"/>
          <w:szCs w:val="20"/>
          <w:color w:val="auto"/>
        </w:rPr>
      </w:pPr>
      <w:r>
        <w:rPr>
          <w:rFonts w:ascii="Arial" w:cs="Arial" w:eastAsia="Arial" w:hAnsi="Arial"/>
          <w:sz w:val="21"/>
          <w:szCs w:val="21"/>
          <w:b w:val="1"/>
          <w:bCs w:val="1"/>
          <w:color w:val="auto"/>
        </w:rPr>
        <w:t>SIGNATURES</w:t>
      </w:r>
    </w:p>
    <w:p>
      <w:pPr>
        <w:spacing w:after="0" w:line="246"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21"/>
          <w:szCs w:val="21"/>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21"/>
          <w:szCs w:val="21"/>
          <w:b w:val="1"/>
          <w:bCs w:val="1"/>
          <w:color w:val="auto"/>
        </w:rPr>
        <w:t>.</w:t>
      </w:r>
    </w:p>
    <w:p>
      <w:pPr>
        <w:spacing w:after="0" w:line="177" w:lineRule="exact"/>
        <w:rPr>
          <w:sz w:val="20"/>
          <w:szCs w:val="20"/>
          <w:color w:val="auto"/>
        </w:rPr>
      </w:pPr>
    </w:p>
    <w:p>
      <w:pPr>
        <w:ind w:left="4780"/>
        <w:spacing w:after="0"/>
        <w:rPr>
          <w:sz w:val="20"/>
          <w:szCs w:val="20"/>
          <w:color w:val="auto"/>
        </w:rPr>
      </w:pPr>
      <w:r>
        <w:rPr>
          <w:rFonts w:ascii="Arial" w:cs="Arial" w:eastAsia="Arial" w:hAnsi="Arial"/>
          <w:sz w:val="21"/>
          <w:szCs w:val="21"/>
          <w:b w:val="1"/>
          <w:bCs w:val="1"/>
          <w:color w:val="auto"/>
        </w:rPr>
        <w:t>Athira Pharma, Inc.</w:t>
      </w:r>
    </w:p>
    <w:p>
      <w:pPr>
        <w:spacing w:after="0" w:line="267" w:lineRule="exact"/>
        <w:rPr>
          <w:sz w:val="20"/>
          <w:szCs w:val="20"/>
          <w:color w:val="auto"/>
        </w:rPr>
      </w:pPr>
    </w:p>
    <w:p>
      <w:pPr>
        <w:spacing w:after="0"/>
        <w:tabs>
          <w:tab w:leader="none" w:pos="4760" w:val="left"/>
          <w:tab w:leader="none" w:pos="6720" w:val="left"/>
        </w:tabs>
        <w:rPr>
          <w:sz w:val="20"/>
          <w:szCs w:val="20"/>
          <w:color w:val="auto"/>
        </w:rPr>
      </w:pPr>
      <w:r>
        <w:rPr>
          <w:rFonts w:ascii="Arial" w:cs="Arial" w:eastAsia="Arial" w:hAnsi="Arial"/>
          <w:sz w:val="21"/>
          <w:szCs w:val="21"/>
          <w:color w:val="auto"/>
        </w:rPr>
        <w:t>Date: March 23, 2023</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/s/ Mark Litton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3277235</wp:posOffset>
                </wp:positionH>
                <wp:positionV relativeFrom="paragraph">
                  <wp:posOffset>10795</wp:posOffset>
                </wp:positionV>
                <wp:extent cx="284416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44165" cy="4763"/>
                        </a:xfrm>
                        <a:prstGeom prst="line">
                          <a:avLst/>
                        </a:prstGeom>
                        <a:solidFill>
                          <a:srgbClr val="FFFFFF"/>
                        </a:solidFill>
                        <a:ln w="3137">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05pt,0.85pt" to="482pt,0.85pt" o:allowincell="f" strokecolor="#000000" strokeweight="0.247pt"/>
            </w:pict>
          </mc:Fallback>
        </mc:AlternateContent>
      </w:r>
    </w:p>
    <w:p>
      <w:pPr>
        <w:spacing w:after="0" w:line="18"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Mark Litton</w:t>
      </w:r>
    </w:p>
    <w:p>
      <w:pPr>
        <w:spacing w:after="0" w:line="11"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President and Chief Executive Officer (</w:t>
      </w:r>
      <w:r>
        <w:rPr>
          <w:rFonts w:ascii="Arial" w:cs="Arial" w:eastAsia="Arial" w:hAnsi="Arial"/>
          <w:sz w:val="21"/>
          <w:szCs w:val="21"/>
          <w:i w:val="1"/>
          <w:iCs w:val="1"/>
          <w:color w:val="auto"/>
        </w:rPr>
        <w:t>Principal</w:t>
      </w:r>
    </w:p>
    <w:p>
      <w:pPr>
        <w:ind w:left="5160"/>
        <w:spacing w:after="0"/>
        <w:rPr>
          <w:sz w:val="20"/>
          <w:szCs w:val="20"/>
          <w:color w:val="auto"/>
        </w:rPr>
      </w:pPr>
      <w:r>
        <w:rPr>
          <w:rFonts w:ascii="Arial" w:cs="Arial" w:eastAsia="Arial" w:hAnsi="Arial"/>
          <w:sz w:val="21"/>
          <w:szCs w:val="21"/>
          <w:i w:val="1"/>
          <w:iCs w:val="1"/>
          <w:color w:val="auto"/>
        </w:rPr>
        <w:t>Executive Officer</w:t>
      </w:r>
      <w:r>
        <w:rPr>
          <w:rFonts w:ascii="Arial" w:cs="Arial" w:eastAsia="Arial" w:hAnsi="Arial"/>
          <w:sz w:val="21"/>
          <w:szCs w:val="21"/>
          <w:color w:val="auto"/>
        </w:rPr>
        <w:t>)</w:t>
      </w:r>
    </w:p>
    <w:p>
      <w:pPr>
        <w:spacing w:after="0" w:line="247"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20"/>
          <w:szCs w:val="20"/>
          <w:color w:val="auto"/>
        </w:rPr>
        <w:t>KNOW ALL PERSONS BY THESE PRESENTS, that each person whose signature appears below constitutes and appoints Mark Litton and Glenna Mileson,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96" w:lineRule="exact"/>
        <w:rPr>
          <w:sz w:val="20"/>
          <w:szCs w:val="20"/>
          <w:color w:val="auto"/>
        </w:rPr>
      </w:pPr>
    </w:p>
    <w:p>
      <w:pPr>
        <w:jc w:val="both"/>
        <w:ind w:firstLine="504"/>
        <w:spacing w:after="0" w:line="253" w:lineRule="auto"/>
        <w:rPr>
          <w:sz w:val="20"/>
          <w:szCs w:val="20"/>
          <w:color w:val="auto"/>
        </w:rPr>
      </w:pPr>
      <w:r>
        <w:rPr>
          <w:rFonts w:ascii="Arial" w:cs="Arial" w:eastAsia="Arial" w:hAnsi="Arial"/>
          <w:sz w:val="21"/>
          <w:szCs w:val="21"/>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200" w:type="dxa"/>
            <w:vAlign w:val="bottom"/>
          </w:tcPr>
          <w:p>
            <w:pPr>
              <w:spacing w:after="0"/>
              <w:rPr>
                <w:sz w:val="18"/>
                <w:szCs w:val="18"/>
                <w:color w:val="auto"/>
              </w:rPr>
            </w:pPr>
          </w:p>
        </w:tc>
        <w:tc>
          <w:tcPr>
            <w:tcW w:w="4140" w:type="dxa"/>
            <w:vAlign w:val="bottom"/>
            <w:tcBorders>
              <w:bottom w:val="single" w:sz="8" w:color="auto"/>
            </w:tcBorders>
          </w:tcPr>
          <w:p>
            <w:pPr>
              <w:ind w:left="1900"/>
              <w:spacing w:after="0"/>
              <w:rPr>
                <w:sz w:val="20"/>
                <w:szCs w:val="20"/>
                <w:color w:val="auto"/>
              </w:rPr>
            </w:pPr>
            <w:r>
              <w:rPr>
                <w:rFonts w:ascii="Arial" w:cs="Arial" w:eastAsia="Arial" w:hAnsi="Arial"/>
                <w:sz w:val="16"/>
                <w:szCs w:val="16"/>
                <w:b w:val="1"/>
                <w:bCs w:val="1"/>
                <w:color w:val="auto"/>
              </w:rPr>
              <w:t>Title</w:t>
            </w:r>
          </w:p>
        </w:tc>
        <w:tc>
          <w:tcPr>
            <w:tcW w:w="200" w:type="dxa"/>
            <w:vAlign w:val="bottom"/>
          </w:tcPr>
          <w:p>
            <w:pPr>
              <w:spacing w:after="0"/>
              <w:rPr>
                <w:sz w:val="18"/>
                <w:szCs w:val="18"/>
                <w:color w:val="auto"/>
              </w:rPr>
            </w:pPr>
          </w:p>
        </w:tc>
        <w:tc>
          <w:tcPr>
            <w:tcW w:w="196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color w:val="auto"/>
              </w:rPr>
              <w:t>Date</w:t>
            </w:r>
          </w:p>
        </w:tc>
      </w:tr>
      <w:tr>
        <w:trPr>
          <w:trHeight w:val="379"/>
        </w:trPr>
        <w:tc>
          <w:tcPr>
            <w:tcW w:w="3140" w:type="dxa"/>
            <w:vAlign w:val="bottom"/>
          </w:tcPr>
          <w:p>
            <w:pPr>
              <w:spacing w:after="0"/>
              <w:rPr>
                <w:sz w:val="24"/>
                <w:szCs w:val="24"/>
                <w:color w:val="auto"/>
              </w:rPr>
            </w:pPr>
          </w:p>
        </w:tc>
        <w:tc>
          <w:tcPr>
            <w:tcW w:w="4340" w:type="dxa"/>
            <w:vAlign w:val="bottom"/>
            <w:gridSpan w:val="2"/>
          </w:tcPr>
          <w:p>
            <w:pPr>
              <w:ind w:left="200"/>
              <w:spacing w:after="0"/>
              <w:rPr>
                <w:sz w:val="20"/>
                <w:szCs w:val="20"/>
                <w:color w:val="auto"/>
              </w:rPr>
            </w:pPr>
            <w:r>
              <w:rPr>
                <w:rFonts w:ascii="Arial" w:cs="Arial" w:eastAsia="Arial" w:hAnsi="Arial"/>
                <w:sz w:val="21"/>
                <w:szCs w:val="21"/>
                <w:color w:val="auto"/>
              </w:rPr>
              <w:t>President, Chief Executive Officer and</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56"/>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8"/>
              </w:rPr>
              <w:t>/s/ Mark Litton</w:t>
            </w:r>
          </w:p>
        </w:tc>
        <w:tc>
          <w:tcPr>
            <w:tcW w:w="4340" w:type="dxa"/>
            <w:vAlign w:val="bottom"/>
            <w:gridSpan w:val="2"/>
          </w:tcPr>
          <w:p>
            <w:pPr>
              <w:ind w:left="200"/>
              <w:spacing w:after="0"/>
              <w:rPr>
                <w:sz w:val="20"/>
                <w:szCs w:val="20"/>
                <w:color w:val="auto"/>
              </w:rPr>
            </w:pPr>
            <w:r>
              <w:rPr>
                <w:rFonts w:ascii="Arial" w:cs="Arial" w:eastAsia="Arial" w:hAnsi="Arial"/>
                <w:sz w:val="21"/>
                <w:szCs w:val="21"/>
                <w:color w:val="auto"/>
              </w:rPr>
              <w:t>Director</w:t>
            </w:r>
          </w:p>
        </w:tc>
        <w:tc>
          <w:tcPr>
            <w:tcW w:w="200" w:type="dxa"/>
            <w:vAlign w:val="bottom"/>
          </w:tcPr>
          <w:p>
            <w:pPr>
              <w:spacing w:after="0"/>
              <w:rPr>
                <w:sz w:val="22"/>
                <w:szCs w:val="22"/>
                <w:color w:val="auto"/>
              </w:rPr>
            </w:pPr>
          </w:p>
        </w:tc>
        <w:tc>
          <w:tcPr>
            <w:tcW w:w="1960" w:type="dxa"/>
            <w:vAlign w:val="bottom"/>
          </w:tcPr>
          <w:p>
            <w:pPr>
              <w:spacing w:after="0"/>
              <w:rPr>
                <w:sz w:val="20"/>
                <w:szCs w:val="20"/>
                <w:color w:val="auto"/>
              </w:rPr>
            </w:pPr>
            <w:r>
              <w:rPr>
                <w:rFonts w:ascii="Arial" w:cs="Arial" w:eastAsia="Arial" w:hAnsi="Arial"/>
                <w:sz w:val="21"/>
                <w:szCs w:val="21"/>
                <w:color w:val="auto"/>
              </w:rPr>
              <w:t>March 23, 2023</w:t>
            </w:r>
          </w:p>
        </w:tc>
      </w:tr>
      <w:tr>
        <w:trPr>
          <w:trHeight w:val="264"/>
        </w:trPr>
        <w:tc>
          <w:tcPr>
            <w:tcW w:w="3140" w:type="dxa"/>
            <w:vAlign w:val="bottom"/>
          </w:tcPr>
          <w:p>
            <w:pPr>
              <w:jc w:val="center"/>
              <w:spacing w:after="0"/>
              <w:rPr>
                <w:sz w:val="20"/>
                <w:szCs w:val="20"/>
                <w:color w:val="auto"/>
              </w:rPr>
            </w:pPr>
            <w:r>
              <w:rPr>
                <w:rFonts w:ascii="Arial" w:cs="Arial" w:eastAsia="Arial" w:hAnsi="Arial"/>
                <w:sz w:val="21"/>
                <w:szCs w:val="21"/>
                <w:color w:val="auto"/>
                <w:w w:val="98"/>
              </w:rPr>
              <w:t>Mark Litton</w:t>
            </w:r>
          </w:p>
        </w:tc>
        <w:tc>
          <w:tcPr>
            <w:tcW w:w="4340" w:type="dxa"/>
            <w:vAlign w:val="bottom"/>
            <w:gridSpan w:val="2"/>
          </w:tcPr>
          <w:p>
            <w:pPr>
              <w:ind w:left="2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Principal Executive Officer</w:t>
            </w:r>
            <w:r>
              <w:rPr>
                <w:rFonts w:ascii="Arial" w:cs="Arial" w:eastAsia="Arial" w:hAnsi="Arial"/>
                <w:sz w:val="21"/>
                <w:szCs w:val="21"/>
                <w:color w:val="auto"/>
              </w:rPr>
              <w:t>)</w:t>
            </w:r>
          </w:p>
        </w:tc>
        <w:tc>
          <w:tcPr>
            <w:tcW w:w="2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380"/>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7"/>
              </w:rPr>
              <w:t>/s/ Glenna Mileson</w:t>
            </w:r>
          </w:p>
        </w:tc>
        <w:tc>
          <w:tcPr>
            <w:tcW w:w="4340" w:type="dxa"/>
            <w:vAlign w:val="bottom"/>
            <w:gridSpan w:val="2"/>
          </w:tcPr>
          <w:p>
            <w:pPr>
              <w:ind w:left="200"/>
              <w:spacing w:after="0"/>
              <w:rPr>
                <w:sz w:val="20"/>
                <w:szCs w:val="20"/>
                <w:color w:val="auto"/>
              </w:rPr>
            </w:pPr>
            <w:r>
              <w:rPr>
                <w:rFonts w:ascii="Arial" w:cs="Arial" w:eastAsia="Arial" w:hAnsi="Arial"/>
                <w:sz w:val="21"/>
                <w:szCs w:val="21"/>
                <w:color w:val="auto"/>
              </w:rPr>
              <w:t>Chief Financial Officer</w:t>
            </w:r>
          </w:p>
        </w:tc>
        <w:tc>
          <w:tcPr>
            <w:tcW w:w="20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21"/>
                <w:szCs w:val="21"/>
                <w:color w:val="auto"/>
              </w:rPr>
              <w:t>March 23, 2023</w:t>
            </w:r>
          </w:p>
        </w:tc>
      </w:tr>
      <w:tr>
        <w:trPr>
          <w:trHeight w:val="264"/>
        </w:trPr>
        <w:tc>
          <w:tcPr>
            <w:tcW w:w="3140" w:type="dxa"/>
            <w:vAlign w:val="bottom"/>
          </w:tcPr>
          <w:p>
            <w:pPr>
              <w:jc w:val="center"/>
              <w:spacing w:after="0"/>
              <w:rPr>
                <w:sz w:val="20"/>
                <w:szCs w:val="20"/>
                <w:color w:val="auto"/>
              </w:rPr>
            </w:pPr>
            <w:r>
              <w:rPr>
                <w:rFonts w:ascii="Arial" w:cs="Arial" w:eastAsia="Arial" w:hAnsi="Arial"/>
                <w:sz w:val="21"/>
                <w:szCs w:val="21"/>
                <w:color w:val="auto"/>
                <w:w w:val="97"/>
              </w:rPr>
              <w:t>Glenna Mileson</w:t>
            </w:r>
          </w:p>
        </w:tc>
        <w:tc>
          <w:tcPr>
            <w:tcW w:w="4340" w:type="dxa"/>
            <w:vAlign w:val="bottom"/>
            <w:gridSpan w:val="2"/>
          </w:tcPr>
          <w:p>
            <w:pPr>
              <w:ind w:left="2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Principal Financial and Accounting Officer</w:t>
            </w:r>
            <w:r>
              <w:rPr>
                <w:rFonts w:ascii="Arial" w:cs="Arial" w:eastAsia="Arial" w:hAnsi="Arial"/>
                <w:sz w:val="21"/>
                <w:szCs w:val="21"/>
                <w:color w:val="auto"/>
              </w:rPr>
              <w:t>)</w:t>
            </w:r>
          </w:p>
        </w:tc>
        <w:tc>
          <w:tcPr>
            <w:tcW w:w="2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381"/>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8"/>
              </w:rPr>
              <w:t>/s/ Kelly A. Romano</w:t>
            </w:r>
          </w:p>
        </w:tc>
        <w:tc>
          <w:tcPr>
            <w:tcW w:w="4340" w:type="dxa"/>
            <w:vAlign w:val="bottom"/>
            <w:gridSpan w:val="2"/>
          </w:tcPr>
          <w:p>
            <w:pPr>
              <w:ind w:left="200"/>
              <w:spacing w:after="0"/>
              <w:rPr>
                <w:sz w:val="20"/>
                <w:szCs w:val="20"/>
                <w:color w:val="auto"/>
              </w:rPr>
            </w:pPr>
            <w:r>
              <w:rPr>
                <w:rFonts w:ascii="Arial" w:cs="Arial" w:eastAsia="Arial" w:hAnsi="Arial"/>
                <w:sz w:val="21"/>
                <w:szCs w:val="21"/>
                <w:color w:val="auto"/>
              </w:rPr>
              <w:t>Chairwoman of the Board of Directors</w:t>
            </w:r>
          </w:p>
        </w:tc>
        <w:tc>
          <w:tcPr>
            <w:tcW w:w="20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21"/>
                <w:szCs w:val="21"/>
                <w:color w:val="auto"/>
              </w:rPr>
              <w:t>March 23, 2023</w:t>
            </w:r>
          </w:p>
        </w:tc>
      </w:tr>
      <w:tr>
        <w:trPr>
          <w:trHeight w:val="264"/>
        </w:trPr>
        <w:tc>
          <w:tcPr>
            <w:tcW w:w="3140" w:type="dxa"/>
            <w:vAlign w:val="bottom"/>
          </w:tcPr>
          <w:p>
            <w:pPr>
              <w:jc w:val="center"/>
              <w:spacing w:after="0"/>
              <w:rPr>
                <w:sz w:val="20"/>
                <w:szCs w:val="20"/>
                <w:color w:val="auto"/>
              </w:rPr>
            </w:pPr>
            <w:r>
              <w:rPr>
                <w:rFonts w:ascii="Arial" w:cs="Arial" w:eastAsia="Arial" w:hAnsi="Arial"/>
                <w:sz w:val="21"/>
                <w:szCs w:val="21"/>
                <w:color w:val="auto"/>
                <w:w w:val="98"/>
              </w:rPr>
              <w:t>Kelly A. Romano</w:t>
            </w:r>
          </w:p>
        </w:tc>
        <w:tc>
          <w:tcPr>
            <w:tcW w:w="2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379"/>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8"/>
              </w:rPr>
              <w:t>/s/ Joseph Edelman</w:t>
            </w:r>
          </w:p>
        </w:tc>
        <w:tc>
          <w:tcPr>
            <w:tcW w:w="4340" w:type="dxa"/>
            <w:vAlign w:val="bottom"/>
            <w:gridSpan w:val="2"/>
          </w:tcPr>
          <w:p>
            <w:pPr>
              <w:ind w:left="200"/>
              <w:spacing w:after="0"/>
              <w:rPr>
                <w:sz w:val="20"/>
                <w:szCs w:val="20"/>
                <w:color w:val="auto"/>
              </w:rPr>
            </w:pPr>
            <w:r>
              <w:rPr>
                <w:rFonts w:ascii="Arial" w:cs="Arial" w:eastAsia="Arial" w:hAnsi="Arial"/>
                <w:sz w:val="21"/>
                <w:szCs w:val="21"/>
                <w:color w:val="auto"/>
              </w:rPr>
              <w:t>Director</w:t>
            </w:r>
          </w:p>
        </w:tc>
        <w:tc>
          <w:tcPr>
            <w:tcW w:w="20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21"/>
                <w:szCs w:val="21"/>
                <w:color w:val="auto"/>
              </w:rPr>
              <w:t>March 23, 2023</w:t>
            </w:r>
          </w:p>
        </w:tc>
      </w:tr>
      <w:tr>
        <w:trPr>
          <w:trHeight w:val="264"/>
        </w:trPr>
        <w:tc>
          <w:tcPr>
            <w:tcW w:w="3140" w:type="dxa"/>
            <w:vAlign w:val="bottom"/>
          </w:tcPr>
          <w:p>
            <w:pPr>
              <w:jc w:val="center"/>
              <w:spacing w:after="0"/>
              <w:rPr>
                <w:sz w:val="20"/>
                <w:szCs w:val="20"/>
                <w:color w:val="auto"/>
              </w:rPr>
            </w:pPr>
            <w:r>
              <w:rPr>
                <w:rFonts w:ascii="Arial" w:cs="Arial" w:eastAsia="Arial" w:hAnsi="Arial"/>
                <w:sz w:val="21"/>
                <w:szCs w:val="21"/>
                <w:color w:val="auto"/>
                <w:w w:val="98"/>
              </w:rPr>
              <w:t>Joseph Edelman</w:t>
            </w:r>
          </w:p>
        </w:tc>
        <w:tc>
          <w:tcPr>
            <w:tcW w:w="2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381"/>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7"/>
              </w:rPr>
              <w:t>/s/ John M. Fluke, Jr.</w:t>
            </w:r>
          </w:p>
        </w:tc>
        <w:tc>
          <w:tcPr>
            <w:tcW w:w="4340" w:type="dxa"/>
            <w:vAlign w:val="bottom"/>
            <w:gridSpan w:val="2"/>
          </w:tcPr>
          <w:p>
            <w:pPr>
              <w:ind w:left="200"/>
              <w:spacing w:after="0"/>
              <w:rPr>
                <w:sz w:val="20"/>
                <w:szCs w:val="20"/>
                <w:color w:val="auto"/>
              </w:rPr>
            </w:pPr>
            <w:r>
              <w:rPr>
                <w:rFonts w:ascii="Arial" w:cs="Arial" w:eastAsia="Arial" w:hAnsi="Arial"/>
                <w:sz w:val="21"/>
                <w:szCs w:val="21"/>
                <w:color w:val="auto"/>
              </w:rPr>
              <w:t>Director</w:t>
            </w:r>
          </w:p>
        </w:tc>
        <w:tc>
          <w:tcPr>
            <w:tcW w:w="20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21"/>
                <w:szCs w:val="21"/>
                <w:color w:val="auto"/>
              </w:rPr>
              <w:t>March 23, 2023</w:t>
            </w:r>
          </w:p>
        </w:tc>
      </w:tr>
      <w:tr>
        <w:trPr>
          <w:trHeight w:val="264"/>
        </w:trPr>
        <w:tc>
          <w:tcPr>
            <w:tcW w:w="3140" w:type="dxa"/>
            <w:vAlign w:val="bottom"/>
          </w:tcPr>
          <w:p>
            <w:pPr>
              <w:jc w:val="center"/>
              <w:spacing w:after="0"/>
              <w:rPr>
                <w:sz w:val="20"/>
                <w:szCs w:val="20"/>
                <w:color w:val="auto"/>
              </w:rPr>
            </w:pPr>
            <w:r>
              <w:rPr>
                <w:rFonts w:ascii="Arial" w:cs="Arial" w:eastAsia="Arial" w:hAnsi="Arial"/>
                <w:sz w:val="21"/>
                <w:szCs w:val="21"/>
                <w:color w:val="auto"/>
                <w:w w:val="98"/>
              </w:rPr>
              <w:t>John M. Fluke, Jr.</w:t>
            </w:r>
          </w:p>
        </w:tc>
        <w:tc>
          <w:tcPr>
            <w:tcW w:w="2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380"/>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8"/>
              </w:rPr>
              <w:t>/s/ James A. Johnson</w:t>
            </w:r>
          </w:p>
        </w:tc>
        <w:tc>
          <w:tcPr>
            <w:tcW w:w="4340" w:type="dxa"/>
            <w:vAlign w:val="bottom"/>
            <w:gridSpan w:val="2"/>
          </w:tcPr>
          <w:p>
            <w:pPr>
              <w:ind w:left="200"/>
              <w:spacing w:after="0"/>
              <w:rPr>
                <w:sz w:val="20"/>
                <w:szCs w:val="20"/>
                <w:color w:val="auto"/>
              </w:rPr>
            </w:pPr>
            <w:r>
              <w:rPr>
                <w:rFonts w:ascii="Arial" w:cs="Arial" w:eastAsia="Arial" w:hAnsi="Arial"/>
                <w:sz w:val="21"/>
                <w:szCs w:val="21"/>
                <w:color w:val="auto"/>
              </w:rPr>
              <w:t>Director</w:t>
            </w:r>
          </w:p>
        </w:tc>
        <w:tc>
          <w:tcPr>
            <w:tcW w:w="20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21"/>
                <w:szCs w:val="21"/>
                <w:color w:val="auto"/>
              </w:rPr>
              <w:t>March 23, 2023</w:t>
            </w:r>
          </w:p>
        </w:tc>
      </w:tr>
      <w:tr>
        <w:trPr>
          <w:trHeight w:val="269"/>
        </w:trPr>
        <w:tc>
          <w:tcPr>
            <w:tcW w:w="3140" w:type="dxa"/>
            <w:vAlign w:val="bottom"/>
          </w:tcPr>
          <w:p>
            <w:pPr>
              <w:jc w:val="center"/>
              <w:spacing w:after="0"/>
              <w:rPr>
                <w:sz w:val="20"/>
                <w:szCs w:val="20"/>
                <w:color w:val="auto"/>
              </w:rPr>
            </w:pPr>
            <w:r>
              <w:rPr>
                <w:rFonts w:ascii="Arial" w:cs="Arial" w:eastAsia="Arial" w:hAnsi="Arial"/>
                <w:sz w:val="21"/>
                <w:szCs w:val="21"/>
                <w:color w:val="auto"/>
                <w:w w:val="98"/>
              </w:rPr>
              <w:t>James A. Johnson</w:t>
            </w:r>
          </w:p>
        </w:tc>
        <w:tc>
          <w:tcPr>
            <w:tcW w:w="20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381"/>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8"/>
              </w:rPr>
              <w:t>/s/ Barbara Kosacz</w:t>
            </w:r>
          </w:p>
        </w:tc>
        <w:tc>
          <w:tcPr>
            <w:tcW w:w="4340" w:type="dxa"/>
            <w:vAlign w:val="bottom"/>
            <w:gridSpan w:val="2"/>
          </w:tcPr>
          <w:p>
            <w:pPr>
              <w:ind w:left="200"/>
              <w:spacing w:after="0"/>
              <w:rPr>
                <w:sz w:val="20"/>
                <w:szCs w:val="20"/>
                <w:color w:val="auto"/>
              </w:rPr>
            </w:pPr>
            <w:r>
              <w:rPr>
                <w:rFonts w:ascii="Arial" w:cs="Arial" w:eastAsia="Arial" w:hAnsi="Arial"/>
                <w:sz w:val="21"/>
                <w:szCs w:val="21"/>
                <w:color w:val="auto"/>
              </w:rPr>
              <w:t>Director</w:t>
            </w:r>
          </w:p>
        </w:tc>
        <w:tc>
          <w:tcPr>
            <w:tcW w:w="20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21"/>
                <w:szCs w:val="21"/>
                <w:color w:val="auto"/>
              </w:rPr>
              <w:t>March 23, 2023</w:t>
            </w:r>
          </w:p>
        </w:tc>
      </w:tr>
      <w:tr>
        <w:trPr>
          <w:trHeight w:val="269"/>
        </w:trPr>
        <w:tc>
          <w:tcPr>
            <w:tcW w:w="3140" w:type="dxa"/>
            <w:vAlign w:val="bottom"/>
          </w:tcPr>
          <w:p>
            <w:pPr>
              <w:jc w:val="center"/>
              <w:spacing w:after="0"/>
              <w:rPr>
                <w:sz w:val="20"/>
                <w:szCs w:val="20"/>
                <w:color w:val="auto"/>
              </w:rPr>
            </w:pPr>
            <w:r>
              <w:rPr>
                <w:rFonts w:ascii="Arial" w:cs="Arial" w:eastAsia="Arial" w:hAnsi="Arial"/>
                <w:sz w:val="21"/>
                <w:szCs w:val="21"/>
                <w:color w:val="auto"/>
                <w:w w:val="97"/>
              </w:rPr>
              <w:t>Barbara Kosacz</w:t>
            </w:r>
          </w:p>
        </w:tc>
        <w:tc>
          <w:tcPr>
            <w:tcW w:w="20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380"/>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8"/>
              </w:rPr>
              <w:t>/s/ Michael Panzara</w:t>
            </w:r>
          </w:p>
        </w:tc>
        <w:tc>
          <w:tcPr>
            <w:tcW w:w="4340" w:type="dxa"/>
            <w:vAlign w:val="bottom"/>
            <w:gridSpan w:val="2"/>
          </w:tcPr>
          <w:p>
            <w:pPr>
              <w:ind w:left="200"/>
              <w:spacing w:after="0"/>
              <w:rPr>
                <w:sz w:val="20"/>
                <w:szCs w:val="20"/>
                <w:color w:val="auto"/>
              </w:rPr>
            </w:pPr>
            <w:r>
              <w:rPr>
                <w:rFonts w:ascii="Arial" w:cs="Arial" w:eastAsia="Arial" w:hAnsi="Arial"/>
                <w:sz w:val="21"/>
                <w:szCs w:val="21"/>
                <w:color w:val="auto"/>
              </w:rPr>
              <w:t>Director</w:t>
            </w:r>
          </w:p>
        </w:tc>
        <w:tc>
          <w:tcPr>
            <w:tcW w:w="20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21"/>
                <w:szCs w:val="21"/>
                <w:color w:val="auto"/>
              </w:rPr>
              <w:t>March 23, 2023</w:t>
            </w:r>
          </w:p>
        </w:tc>
      </w:tr>
      <w:tr>
        <w:trPr>
          <w:trHeight w:val="269"/>
        </w:trPr>
        <w:tc>
          <w:tcPr>
            <w:tcW w:w="3140" w:type="dxa"/>
            <w:vAlign w:val="bottom"/>
          </w:tcPr>
          <w:p>
            <w:pPr>
              <w:jc w:val="center"/>
              <w:spacing w:after="0"/>
              <w:rPr>
                <w:sz w:val="20"/>
                <w:szCs w:val="20"/>
                <w:color w:val="auto"/>
              </w:rPr>
            </w:pPr>
            <w:r>
              <w:rPr>
                <w:rFonts w:ascii="Arial" w:cs="Arial" w:eastAsia="Arial" w:hAnsi="Arial"/>
                <w:sz w:val="21"/>
                <w:szCs w:val="21"/>
                <w:color w:val="auto"/>
                <w:w w:val="98"/>
              </w:rPr>
              <w:t>Michael Panzara</w:t>
            </w:r>
          </w:p>
        </w:tc>
        <w:tc>
          <w:tcPr>
            <w:tcW w:w="20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381"/>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8"/>
              </w:rPr>
              <w:t>/s/ Grant Pickering</w:t>
            </w:r>
          </w:p>
        </w:tc>
        <w:tc>
          <w:tcPr>
            <w:tcW w:w="4340" w:type="dxa"/>
            <w:vAlign w:val="bottom"/>
            <w:gridSpan w:val="2"/>
          </w:tcPr>
          <w:p>
            <w:pPr>
              <w:ind w:left="200"/>
              <w:spacing w:after="0"/>
              <w:rPr>
                <w:sz w:val="20"/>
                <w:szCs w:val="20"/>
                <w:color w:val="auto"/>
              </w:rPr>
            </w:pPr>
            <w:r>
              <w:rPr>
                <w:rFonts w:ascii="Arial" w:cs="Arial" w:eastAsia="Arial" w:hAnsi="Arial"/>
                <w:sz w:val="21"/>
                <w:szCs w:val="21"/>
                <w:color w:val="auto"/>
              </w:rPr>
              <w:t>Director</w:t>
            </w:r>
          </w:p>
        </w:tc>
        <w:tc>
          <w:tcPr>
            <w:tcW w:w="20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21"/>
                <w:szCs w:val="21"/>
                <w:color w:val="auto"/>
              </w:rPr>
              <w:t>March 23, 2023</w:t>
            </w:r>
          </w:p>
        </w:tc>
      </w:tr>
      <w:tr>
        <w:trPr>
          <w:trHeight w:val="269"/>
        </w:trPr>
        <w:tc>
          <w:tcPr>
            <w:tcW w:w="3140" w:type="dxa"/>
            <w:vAlign w:val="bottom"/>
          </w:tcPr>
          <w:p>
            <w:pPr>
              <w:jc w:val="center"/>
              <w:spacing w:after="0"/>
              <w:rPr>
                <w:sz w:val="20"/>
                <w:szCs w:val="20"/>
                <w:color w:val="auto"/>
              </w:rPr>
            </w:pPr>
            <w:r>
              <w:rPr>
                <w:rFonts w:ascii="Arial" w:cs="Arial" w:eastAsia="Arial" w:hAnsi="Arial"/>
                <w:sz w:val="21"/>
                <w:szCs w:val="21"/>
                <w:color w:val="auto"/>
                <w:w w:val="98"/>
              </w:rPr>
              <w:t>Grant Pickering</w:t>
            </w:r>
          </w:p>
        </w:tc>
        <w:tc>
          <w:tcPr>
            <w:tcW w:w="20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-3138170</wp:posOffset>
                </wp:positionV>
                <wp:extent cx="199898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8980" cy="4763"/>
                        </a:xfrm>
                        <a:prstGeom prst="line">
                          <a:avLst/>
                        </a:prstGeom>
                        <a:solidFill>
                          <a:srgbClr val="FFFFFF"/>
                        </a:solidFill>
                        <a:ln w="9423">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7.0999pt" to="157.4pt,-247.0999pt" o:allowincell="f" strokecolor="#FFFFFF" strokeweight="0.74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-1022350</wp:posOffset>
                </wp:positionV>
                <wp:extent cx="199898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8980" cy="4763"/>
                        </a:xfrm>
                        <a:prstGeom prst="line">
                          <a:avLst/>
                        </a:prstGeom>
                        <a:solidFill>
                          <a:srgbClr val="FFFFFF"/>
                        </a:solidFill>
                        <a:ln w="9423">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0.4999pt" to="157.4pt,-80.4999pt" o:allowincell="f" strokecolor="#FFFFFF" strokeweight="0.74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-597535</wp:posOffset>
                </wp:positionV>
                <wp:extent cx="199898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8980" cy="4763"/>
                        </a:xfrm>
                        <a:prstGeom prst="line">
                          <a:avLst/>
                        </a:prstGeom>
                        <a:solidFill>
                          <a:srgbClr val="FFFFFF"/>
                        </a:solidFill>
                        <a:ln w="9411">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0499pt" to="157.4pt,-47.0499pt" o:allowincell="f" strokecolor="#FFFFFF" strokeweight="0.741pt"/>
            </w:pict>
          </mc:Fallback>
        </mc:AlternateContent>
      </w:r>
    </w:p>
    <w:p>
      <w:pPr>
        <w:sectPr>
          <w:pgSz w:w="12240" w:h="15840" w:orient="portrait"/>
          <w:cols w:equalWidth="0" w:num="1">
            <w:col w:w="9640"/>
          </w:cols>
          <w:pgMar w:left="1300" w:top="1222"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163</w:t>
      </w:r>
    </w:p>
    <w:p>
      <w:pPr>
        <w:sectPr>
          <w:pgSz w:w="12240" w:h="15840" w:orient="portrait"/>
          <w:cols w:equalWidth="0" w:num="1">
            <w:col w:w="9640"/>
          </w:cols>
          <w:pgMar w:left="1300" w:top="1222" w:right="1300" w:bottom="0" w:gutter="0" w:footer="0" w:header="0"/>
          <w:type w:val="continuous"/>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60"/>
        <w:spacing w:after="0"/>
        <w:rPr>
          <w:sz w:val="20"/>
          <w:szCs w:val="20"/>
          <w:color w:val="auto"/>
        </w:rPr>
      </w:pPr>
      <w:r>
        <w:rPr>
          <w:rFonts w:ascii="Garamond" w:cs="Garamond" w:eastAsia="Garamond" w:hAnsi="Garamond"/>
          <w:sz w:val="21"/>
          <w:szCs w:val="21"/>
          <w:color w:val="auto"/>
        </w:rPr>
        <w:t>(Last Page of 10K)</w:t>
      </w:r>
    </w:p>
    <w:p>
      <w:pPr>
        <w:sectPr>
          <w:pgSz w:w="12240" w:h="15840" w:orient="portrait"/>
          <w:cols w:equalWidth="0" w:num="1">
            <w:col w:w="9360"/>
          </w:cols>
          <w:pgMar w:left="1440" w:top="1440" w:right="1440" w:bottom="1440"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1270</wp:posOffset>
            </wp:positionH>
            <wp:positionV relativeFrom="page">
              <wp:posOffset>0</wp:posOffset>
            </wp:positionV>
            <wp:extent cx="7769225" cy="10057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7">
                      <a:extLst>
                        <a:ext uri="{28A0092B-C50C-407E-A947-70E740481C1C}"/>
                      </a:extLst>
                    </a:blip>
                    <a:srcRect/>
                    <a:stretch>
                      <a:fillRect/>
                    </a:stretch>
                  </pic:blipFill>
                  <pic:spPr bwMode="auto">
                    <a:xfrm>
                      <a:off x="0" y="0"/>
                      <a:ext cx="7769225"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1270</wp:posOffset>
            </wp:positionH>
            <wp:positionV relativeFrom="page">
              <wp:posOffset>0</wp:posOffset>
            </wp:positionV>
            <wp:extent cx="7769225" cy="10057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8">
                      <a:extLst>
                        <a:ext uri="{28A0092B-C50C-407E-A947-70E740481C1C}"/>
                      </a:extLst>
                    </a:blip>
                    <a:srcRect/>
                    <a:stretch>
                      <a:fillRect/>
                    </a:stretch>
                  </pic:blipFill>
                  <pic:spPr bwMode="auto">
                    <a:xfrm>
                      <a:off x="0" y="0"/>
                      <a:ext cx="7769225"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color w:val="44B199"/>
        </w:rPr>
        <w:t>NASDAQ: ATHA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FFFFFF"/>
        </w:rPr>
        <w:t>Athira Pharma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FFFFFF"/>
        </w:rPr>
        <w:t>18706 North Creek Parkway</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color w:val="FFFFFF"/>
        </w:rPr>
        <w:t>Suite 104</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FFFFFF"/>
        </w:rPr>
        <w:t>Bothell, WA 98011</w:t>
      </w:r>
    </w:p>
    <w:p>
      <w:pPr>
        <w:spacing w:after="0" w:line="341" w:lineRule="exact"/>
        <w:rPr>
          <w:sz w:val="20"/>
          <w:szCs w:val="20"/>
          <w:color w:val="auto"/>
        </w:rPr>
      </w:pPr>
    </w:p>
    <w:p>
      <w:pPr>
        <w:spacing w:after="0"/>
        <w:rPr>
          <w:sz w:val="20"/>
          <w:szCs w:val="20"/>
          <w:color w:val="auto"/>
        </w:rPr>
      </w:pPr>
      <w:r>
        <w:rPr>
          <w:rFonts w:ascii="Arial" w:cs="Arial" w:eastAsia="Arial" w:hAnsi="Arial"/>
          <w:sz w:val="25"/>
          <w:szCs w:val="25"/>
          <w:color w:val="FFFFFF"/>
        </w:rPr>
        <w:t>athira.com</w:t>
      </w:r>
    </w:p>
    <w:sectPr>
      <w:pgSz w:w="12240" w:h="15840" w:orient="portrait"/>
      <w:cols w:equalWidth="0" w:num="1">
        <w:col w:w="9680"/>
      </w:cols>
      <w:pgMar w:left="11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 w:name="Segoe UI">
    <w:panose1 w:val="020B0502040204020203"/>
    <w:charset w:val="00"/>
    <w:family w:val="swiss"/>
    <w:pitch w:val="variable"/>
    <w:sig w:usb0="E4002EFF" w:usb1="C000E47F" w:usb2="00000009" w:usb3="00000000" w:csb0="200001FF" w:csb1="00000000"/>
  </w:font>
  <w:font w:name="PMingLiU">
    <w:panose1 w:val="02020500000000000000"/>
    <w:charset w:val="00"/>
    <w:family w:val="roman"/>
    <w:pitch w:val="variable"/>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ց"/>
      <w:numFmt w:val="bullet"/>
      <w:start w:val="1"/>
    </w:lvl>
  </w:abstractNum>
  <w:abstractNum w:abstractNumId="1">
    <w:nsid w:val="3804823E"/>
    <w:multiLevelType w:val="hybridMultilevel"/>
    <w:lvl w:ilvl="0">
      <w:lvlJc w:val="left"/>
      <w:lvlText w:val="տ"/>
      <w:numFmt w:val="bullet"/>
      <w:start w:val="1"/>
    </w:lvl>
  </w:abstractNum>
  <w:abstractNum w:abstractNumId="2">
    <w:nsid w:val="77465F01"/>
    <w:multiLevelType w:val="hybridMultilevel"/>
    <w:lvl w:ilvl="0">
      <w:lvlJc w:val="left"/>
      <w:lvlText w:val="x"/>
      <w:numFmt w:val="bullet"/>
      <w:start w:val="1"/>
    </w:lvl>
  </w:abstractNum>
  <w:abstractNum w:abstractNumId="3">
    <w:nsid w:val="7724C67E"/>
    <w:multiLevelType w:val="hybridMultilevel"/>
    <w:lvl w:ilvl="0">
      <w:lvlJc w:val="left"/>
      <w:lvlText w:val="x"/>
      <w:numFmt w:val="bullet"/>
      <w:start w:val="1"/>
    </w:lvl>
  </w:abstractNum>
  <w:abstractNum w:abstractNumId="4">
    <w:nsid w:val="5C482A97"/>
    <w:multiLevelType w:val="hybridMultilevel"/>
    <w:lvl w:ilvl="0">
      <w:lvlJc w:val="left"/>
      <w:lvlText w:val="x"/>
      <w:numFmt w:val="bullet"/>
      <w:start w:val="1"/>
    </w:lvl>
  </w:abstractNum>
  <w:abstractNum w:abstractNumId="5">
    <w:nsid w:val="2463B9EA"/>
    <w:multiLevelType w:val="hybridMultilevel"/>
    <w:lvl w:ilvl="0">
      <w:lvlJc w:val="left"/>
      <w:lvlText w:val="x"/>
      <w:numFmt w:val="bullet"/>
      <w:start w:val="1"/>
    </w:lvl>
  </w:abstractNum>
  <w:abstractNum w:abstractNumId="6">
    <w:nsid w:val="5E884ADC"/>
    <w:multiLevelType w:val="hybridMultilevel"/>
    <w:lvl w:ilvl="0">
      <w:lvlJc w:val="left"/>
      <w:lvlText w:val="x"/>
      <w:numFmt w:val="bullet"/>
      <w:start w:val="1"/>
    </w:lvl>
  </w:abstractNum>
  <w:abstractNum w:abstractNumId="7">
    <w:nsid w:val="51EAD36B"/>
    <w:multiLevelType w:val="hybridMultilevel"/>
    <w:lvl w:ilvl="0">
      <w:lvlJc w:val="left"/>
      <w:lvlText w:val="x"/>
      <w:numFmt w:val="bullet"/>
      <w:start w:val="1"/>
    </w:lvl>
  </w:abstractNum>
  <w:abstractNum w:abstractNumId="8">
    <w:nsid w:val="2D517796"/>
    <w:multiLevelType w:val="hybridMultilevel"/>
    <w:lvl w:ilvl="0">
      <w:lvlJc w:val="left"/>
      <w:lvlText w:val="x"/>
      <w:numFmt w:val="bullet"/>
      <w:start w:val="1"/>
    </w:lvl>
  </w:abstractNum>
  <w:abstractNum w:abstractNumId="9">
    <w:nsid w:val="580BD78F"/>
    <w:multiLevelType w:val="hybridMultilevel"/>
    <w:lvl w:ilvl="0">
      <w:lvlJc w:val="left"/>
      <w:lvlText w:val="x"/>
      <w:numFmt w:val="bullet"/>
      <w:start w:val="1"/>
    </w:lvl>
  </w:abstractNum>
  <w:abstractNum w:abstractNumId="10">
    <w:nsid w:val="153EA438"/>
    <w:multiLevelType w:val="hybridMultilevel"/>
    <w:lvl w:ilvl="0">
      <w:lvlJc w:val="left"/>
      <w:lvlText w:val="x"/>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x"/>
      <w:numFmt w:val="bullet"/>
      <w:start w:val="1"/>
    </w:lvl>
  </w:abstractNum>
  <w:abstractNum w:abstractNumId="13">
    <w:nsid w:val="6A2342EC"/>
    <w:multiLevelType w:val="hybridMultilevel"/>
    <w:lvl w:ilvl="0">
      <w:lvlJc w:val="left"/>
      <w:lvlText w:val="x"/>
      <w:numFmt w:val="bullet"/>
      <w:start w:val="1"/>
    </w:lvl>
  </w:abstractNum>
  <w:abstractNum w:abstractNumId="14">
    <w:nsid w:val="2A487CB0"/>
    <w:multiLevelType w:val="hybridMultilevel"/>
    <w:lvl w:ilvl="0">
      <w:lvlJc w:val="left"/>
      <w:lvlText w:val="x"/>
      <w:numFmt w:val="bullet"/>
      <w:start w:val="1"/>
    </w:lvl>
  </w:abstractNum>
  <w:abstractNum w:abstractNumId="15">
    <w:nsid w:val="1D4ED43B"/>
    <w:multiLevelType w:val="hybridMultilevel"/>
    <w:lvl w:ilvl="0">
      <w:lvlJc w:val="left"/>
      <w:lvlText w:val="x"/>
      <w:numFmt w:val="bullet"/>
      <w:start w:val="1"/>
    </w:lvl>
  </w:abstractNum>
  <w:abstractNum w:abstractNumId="16">
    <w:nsid w:val="725A06FB"/>
    <w:multiLevelType w:val="hybridMultilevel"/>
    <w:lvl w:ilvl="0">
      <w:lvlJc w:val="left"/>
      <w:lvlText w:val="x"/>
      <w:numFmt w:val="bullet"/>
      <w:start w:val="1"/>
    </w:lvl>
  </w:abstractNum>
  <w:abstractNum w:abstractNumId="17">
    <w:nsid w:val="2CD89A32"/>
    <w:multiLevelType w:val="hybridMultilevel"/>
    <w:lvl w:ilvl="0">
      <w:lvlJc w:val="left"/>
      <w:lvlText w:val="x"/>
      <w:numFmt w:val="bullet"/>
      <w:start w:val="1"/>
    </w:lvl>
  </w:abstractNum>
  <w:abstractNum w:abstractNumId="18">
    <w:nsid w:val="57E4CCAF"/>
    <w:multiLevelType w:val="hybridMultilevel"/>
    <w:lvl w:ilvl="0">
      <w:lvlJc w:val="left"/>
      <w:lvlText w:val="x"/>
      <w:numFmt w:val="bullet"/>
      <w:start w:val="1"/>
    </w:lvl>
  </w:abstractNum>
  <w:abstractNum w:abstractNumId="19">
    <w:nsid w:val="7A6D8D3C"/>
    <w:multiLevelType w:val="hybridMultilevel"/>
    <w:lvl w:ilvl="0">
      <w:lvlJc w:val="left"/>
      <w:lvlText w:val="x"/>
      <w:numFmt w:val="bullet"/>
      <w:start w:val="1"/>
    </w:lvl>
  </w:abstractNum>
  <w:abstractNum w:abstractNumId="20">
    <w:nsid w:val="4B588F54"/>
    <w:multiLevelType w:val="hybridMultilevel"/>
    <w:lvl w:ilvl="0">
      <w:lvlJc w:val="left"/>
      <w:lvlText w:val="x"/>
      <w:numFmt w:val="bullet"/>
      <w:start w:val="1"/>
    </w:lvl>
  </w:abstractNum>
  <w:abstractNum w:abstractNumId="21">
    <w:nsid w:val="542289EC"/>
    <w:multiLevelType w:val="hybridMultilevel"/>
    <w:lvl w:ilvl="0">
      <w:lvlJc w:val="left"/>
      <w:lvlText w:val="x"/>
      <w:numFmt w:val="bullet"/>
      <w:start w:val="1"/>
    </w:lvl>
  </w:abstractNum>
  <w:abstractNum w:abstractNumId="22">
    <w:nsid w:val="6DE91B18"/>
    <w:multiLevelType w:val="hybridMultilevel"/>
    <w:lvl w:ilvl="0">
      <w:lvlJc w:val="left"/>
      <w:lvlText w:val="x"/>
      <w:numFmt w:val="bullet"/>
      <w:start w:val="1"/>
    </w:lvl>
  </w:abstractNum>
  <w:abstractNum w:abstractNumId="23">
    <w:nsid w:val="38437FDB"/>
    <w:multiLevelType w:val="hybridMultilevel"/>
    <w:lvl w:ilvl="0">
      <w:lvlJc w:val="left"/>
      <w:lvlText w:val="x"/>
      <w:numFmt w:val="bullet"/>
      <w:start w:val="1"/>
    </w:lvl>
  </w:abstractNum>
  <w:abstractNum w:abstractNumId="24">
    <w:nsid w:val="7644A45C"/>
    <w:multiLevelType w:val="hybridMultilevel"/>
    <w:lvl w:ilvl="0">
      <w:lvlJc w:val="left"/>
      <w:lvlText w:val="x"/>
      <w:numFmt w:val="bullet"/>
      <w:start w:val="1"/>
    </w:lvl>
  </w:abstractNum>
  <w:abstractNum w:abstractNumId="25">
    <w:nsid w:val="32FFF902"/>
    <w:multiLevelType w:val="hybridMultilevel"/>
    <w:lvl w:ilvl="0">
      <w:lvlJc w:val="left"/>
      <w:lvlText w:val="x"/>
      <w:numFmt w:val="bullet"/>
      <w:start w:val="1"/>
    </w:lvl>
  </w:abstractNum>
  <w:abstractNum w:abstractNumId="26">
    <w:nsid w:val="684A481A"/>
    <w:multiLevelType w:val="hybridMultilevel"/>
    <w:lvl w:ilvl="0">
      <w:lvlJc w:val="left"/>
      <w:lvlText w:val="x"/>
      <w:numFmt w:val="bullet"/>
      <w:start w:val="1"/>
    </w:lvl>
  </w:abstractNum>
  <w:abstractNum w:abstractNumId="27">
    <w:nsid w:val="579478FE"/>
    <w:multiLevelType w:val="hybridMultilevel"/>
    <w:lvl w:ilvl="0">
      <w:lvlJc w:val="left"/>
      <w:lvlText w:val="x"/>
      <w:numFmt w:val="bullet"/>
      <w:start w:val="1"/>
    </w:lvl>
  </w:abstractNum>
  <w:abstractNum w:abstractNumId="28">
    <w:nsid w:val="749ABB43"/>
    <w:multiLevelType w:val="hybridMultilevel"/>
    <w:lvl w:ilvl="0">
      <w:lvlJc w:val="left"/>
      <w:lvlText w:val="x"/>
      <w:numFmt w:val="bullet"/>
      <w:start w:val="1"/>
    </w:lvl>
  </w:abstractNum>
  <w:abstractNum w:abstractNumId="29">
    <w:nsid w:val="3DC240FB"/>
    <w:multiLevelType w:val="hybridMultilevel"/>
    <w:lvl w:ilvl="0">
      <w:lvlJc w:val="left"/>
      <w:lvlText w:val="x"/>
      <w:numFmt w:val="bullet"/>
      <w:start w:val="1"/>
    </w:lvl>
  </w:abstractNum>
  <w:abstractNum w:abstractNumId="30">
    <w:nsid w:val="1BA026FA"/>
    <w:multiLevelType w:val="hybridMultilevel"/>
    <w:lvl w:ilvl="0">
      <w:lvlJc w:val="left"/>
      <w:lvlText w:val="x"/>
      <w:numFmt w:val="bullet"/>
      <w:start w:val="1"/>
    </w:lvl>
  </w:abstractNum>
  <w:abstractNum w:abstractNumId="31">
    <w:nsid w:val="79A1DEAA"/>
    <w:multiLevelType w:val="hybridMultilevel"/>
    <w:lvl w:ilvl="0">
      <w:lvlJc w:val="left"/>
      <w:lvlText w:val="x"/>
      <w:numFmt w:val="bullet"/>
      <w:start w:val="1"/>
    </w:lvl>
  </w:abstractNum>
  <w:abstractNum w:abstractNumId="32">
    <w:nsid w:val="75C6C33A"/>
    <w:multiLevelType w:val="hybridMultilevel"/>
    <w:lvl w:ilvl="0">
      <w:lvlJc w:val="left"/>
      <w:lvlText w:val="&amp;"/>
      <w:numFmt w:val="bullet"/>
      <w:start w:val="1"/>
    </w:lvl>
  </w:abstractNum>
  <w:abstractNum w:abstractNumId="33">
    <w:nsid w:val="12E685FB"/>
    <w:multiLevelType w:val="hybridMultilevel"/>
    <w:lvl w:ilvl="0">
      <w:lvlJc w:val="left"/>
      <w:lvlText w:val="x"/>
      <w:numFmt w:val="bullet"/>
      <w:start w:val="1"/>
    </w:lvl>
  </w:abstractNum>
  <w:abstractNum w:abstractNumId="34">
    <w:nsid w:val="70C6A529"/>
    <w:multiLevelType w:val="hybridMultilevel"/>
    <w:lvl w:ilvl="0">
      <w:lvlJc w:val="left"/>
      <w:lvlText w:val="x"/>
      <w:numFmt w:val="bullet"/>
      <w:start w:val="1"/>
    </w:lvl>
  </w:abstractNum>
  <w:abstractNum w:abstractNumId="35">
    <w:nsid w:val="520EEDD1"/>
    <w:multiLevelType w:val="hybridMultilevel"/>
    <w:lvl w:ilvl="0">
      <w:lvlJc w:val="left"/>
      <w:lvlText w:val="x"/>
      <w:numFmt w:val="bullet"/>
      <w:start w:val="1"/>
    </w:lvl>
  </w:abstractNum>
  <w:abstractNum w:abstractNumId="36">
    <w:nsid w:val="374A3FE6"/>
    <w:multiLevelType w:val="hybridMultilevel"/>
    <w:lvl w:ilvl="0">
      <w:lvlJc w:val="left"/>
      <w:lvlText w:val="x"/>
      <w:numFmt w:val="bullet"/>
      <w:start w:val="1"/>
    </w:lvl>
  </w:abstractNum>
  <w:abstractNum w:abstractNumId="37">
    <w:nsid w:val="4F4EF005"/>
    <w:multiLevelType w:val="hybridMultilevel"/>
    <w:lvl w:ilvl="0">
      <w:lvlJc w:val="left"/>
      <w:lvlText w:val="x"/>
      <w:numFmt w:val="bullet"/>
      <w:start w:val="1"/>
    </w:lvl>
  </w:abstractNum>
  <w:abstractNum w:abstractNumId="38">
    <w:nsid w:val="23F9C13C"/>
    <w:multiLevelType w:val="hybridMultilevel"/>
    <w:lvl w:ilvl="0">
      <w:lvlJc w:val="left"/>
      <w:lvlText w:val="x"/>
      <w:numFmt w:val="bullet"/>
      <w:start w:val="1"/>
    </w:lvl>
  </w:abstractNum>
  <w:abstractNum w:abstractNumId="39">
    <w:nsid w:val="649BB77C"/>
    <w:multiLevelType w:val="hybridMultilevel"/>
    <w:lvl w:ilvl="0">
      <w:lvlJc w:val="left"/>
      <w:lvlText w:val="x"/>
      <w:numFmt w:val="bullet"/>
      <w:start w:val="1"/>
    </w:lvl>
  </w:abstractNum>
  <w:abstractNum w:abstractNumId="40">
    <w:nsid w:val="275AC794"/>
    <w:multiLevelType w:val="hybridMultilevel"/>
    <w:lvl w:ilvl="0">
      <w:lvlJc w:val="left"/>
      <w:lvlText w:val="x"/>
      <w:numFmt w:val="bullet"/>
      <w:start w:val="1"/>
    </w:lvl>
  </w:abstractNum>
  <w:abstractNum w:abstractNumId="41">
    <w:nsid w:val="39386575"/>
    <w:multiLevelType w:val="hybridMultilevel"/>
    <w:lvl w:ilvl="0">
      <w:lvlJc w:val="left"/>
      <w:lvlText w:val="x"/>
      <w:numFmt w:val="bullet"/>
      <w:start w:val="1"/>
    </w:lvl>
  </w:abstractNum>
  <w:abstractNum w:abstractNumId="42">
    <w:nsid w:val="1CF10FD8"/>
    <w:multiLevelType w:val="hybridMultilevel"/>
    <w:lvl w:ilvl="0">
      <w:lvlJc w:val="left"/>
      <w:lvlText w:val="x"/>
      <w:numFmt w:val="bullet"/>
      <w:start w:val="1"/>
    </w:lvl>
  </w:abstractNum>
  <w:abstractNum w:abstractNumId="43">
    <w:nsid w:val="180115BE"/>
    <w:multiLevelType w:val="hybridMultilevel"/>
    <w:lvl w:ilvl="0">
      <w:lvlJc w:val="left"/>
      <w:lvlText w:val="x"/>
      <w:numFmt w:val="bullet"/>
      <w:start w:val="1"/>
    </w:lvl>
  </w:abstractNum>
  <w:abstractNum w:abstractNumId="44">
    <w:nsid w:val="235BA861"/>
    <w:multiLevelType w:val="hybridMultilevel"/>
    <w:lvl w:ilvl="0">
      <w:lvlJc w:val="left"/>
      <w:lvlText w:val="x"/>
      <w:numFmt w:val="bullet"/>
      <w:start w:val="1"/>
    </w:lvl>
  </w:abstractNum>
  <w:abstractNum w:abstractNumId="45">
    <w:nsid w:val="47398C89"/>
    <w:multiLevelType w:val="hybridMultilevel"/>
    <w:lvl w:ilvl="0">
      <w:lvlJc w:val="left"/>
      <w:lvlText w:val="x"/>
      <w:numFmt w:val="bullet"/>
      <w:start w:val="1"/>
    </w:lvl>
  </w:abstractNum>
  <w:abstractNum w:abstractNumId="46">
    <w:nsid w:val="354FE9F9"/>
    <w:multiLevelType w:val="hybridMultilevel"/>
    <w:lvl w:ilvl="0">
      <w:lvlJc w:val="left"/>
      <w:lvlText w:val="x"/>
      <w:numFmt w:val="bullet"/>
      <w:start w:val="1"/>
    </w:lvl>
  </w:abstractNum>
  <w:abstractNum w:abstractNumId="47">
    <w:nsid w:val="15B5AF5C"/>
    <w:multiLevelType w:val="hybridMultilevel"/>
    <w:lvl w:ilvl="0">
      <w:lvlJc w:val="left"/>
      <w:lvlText w:val="x"/>
      <w:numFmt w:val="bullet"/>
      <w:start w:val="1"/>
    </w:lvl>
  </w:abstractNum>
  <w:abstractNum w:abstractNumId="48">
    <w:nsid w:val="741226BB"/>
    <w:multiLevelType w:val="hybridMultilevel"/>
    <w:lvl w:ilvl="0">
      <w:lvlJc w:val="left"/>
      <w:lvlText w:val="x"/>
      <w:numFmt w:val="bullet"/>
      <w:start w:val="1"/>
    </w:lvl>
  </w:abstractNum>
  <w:abstractNum w:abstractNumId="49">
    <w:nsid w:val="D34B6A8"/>
    <w:multiLevelType w:val="hybridMultilevel"/>
    <w:lvl w:ilvl="0">
      <w:lvlJc w:val="left"/>
      <w:lvlText w:val="x"/>
      <w:numFmt w:val="bullet"/>
      <w:start w:val="1"/>
    </w:lvl>
  </w:abstractNum>
  <w:abstractNum w:abstractNumId="50">
    <w:nsid w:val="10233C99"/>
    <w:multiLevelType w:val="hybridMultilevel"/>
    <w:lvl w:ilvl="0">
      <w:lvlJc w:val="left"/>
      <w:lvlText w:val="x"/>
      <w:numFmt w:val="bullet"/>
      <w:start w:val="1"/>
    </w:lvl>
  </w:abstractNum>
  <w:abstractNum w:abstractNumId="51">
    <w:nsid w:val="3F6AB60F"/>
    <w:multiLevelType w:val="hybridMultilevel"/>
    <w:lvl w:ilvl="0">
      <w:lvlJc w:val="left"/>
      <w:lvlText w:val="x"/>
      <w:numFmt w:val="bullet"/>
      <w:start w:val="1"/>
    </w:lvl>
  </w:abstractNum>
  <w:abstractNum w:abstractNumId="52">
    <w:nsid w:val="61574095"/>
    <w:multiLevelType w:val="hybridMultilevel"/>
    <w:lvl w:ilvl="0">
      <w:lvlJc w:val="left"/>
      <w:lvlText w:val="x"/>
      <w:numFmt w:val="bullet"/>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x"/>
      <w:numFmt w:val="bullet"/>
      <w:start w:val="1"/>
    </w:lvl>
  </w:abstractNum>
  <w:abstractNum w:abstractNumId="55">
    <w:nsid w:val="579BE4F1"/>
    <w:multiLevelType w:val="hybridMultilevel"/>
    <w:lvl w:ilvl="0">
      <w:lvlJc w:val="left"/>
      <w:lvlText w:val="x"/>
      <w:numFmt w:val="bullet"/>
      <w:start w:val="1"/>
    </w:lvl>
  </w:abstractNum>
  <w:abstractNum w:abstractNumId="56">
    <w:nsid w:val="310C50B3"/>
    <w:multiLevelType w:val="hybridMultilevel"/>
    <w:lvl w:ilvl="0">
      <w:lvlJc w:val="left"/>
      <w:lvlText w:val="x"/>
      <w:numFmt w:val="bullet"/>
      <w:start w:val="1"/>
    </w:lvl>
  </w:abstractNum>
  <w:abstractNum w:abstractNumId="57">
    <w:nsid w:val="5FF87E05"/>
    <w:multiLevelType w:val="hybridMultilevel"/>
    <w:lvl w:ilvl="0">
      <w:lvlJc w:val="left"/>
      <w:lvlText w:val="x"/>
      <w:numFmt w:val="bullet"/>
      <w:start w:val="1"/>
    </w:lvl>
  </w:abstractNum>
  <w:abstractNum w:abstractNumId="58">
    <w:nsid w:val="2F305DEF"/>
    <w:multiLevelType w:val="hybridMultilevel"/>
    <w:lvl w:ilvl="0">
      <w:lvlJc w:val="left"/>
      <w:lvlText w:val="x"/>
      <w:numFmt w:val="bullet"/>
      <w:start w:val="1"/>
    </w:lvl>
  </w:abstractNum>
  <w:abstractNum w:abstractNumId="59">
    <w:nsid w:val="25A70BF7"/>
    <w:multiLevelType w:val="hybridMultilevel"/>
    <w:lvl w:ilvl="0">
      <w:lvlJc w:val="left"/>
      <w:lvlText w:val="x"/>
      <w:numFmt w:val="bullet"/>
      <w:start w:val="1"/>
    </w:lvl>
  </w:abstractNum>
  <w:abstractNum w:abstractNumId="60">
    <w:nsid w:val="1DBABF00"/>
    <w:multiLevelType w:val="hybridMultilevel"/>
    <w:lvl w:ilvl="0">
      <w:lvlJc w:val="left"/>
      <w:lvlText w:val="x"/>
      <w:numFmt w:val="bullet"/>
      <w:start w:val="1"/>
    </w:lvl>
  </w:abstractNum>
  <w:abstractNum w:abstractNumId="61">
    <w:nsid w:val="4AD084E9"/>
    <w:multiLevelType w:val="hybridMultilevel"/>
    <w:lvl w:ilvl="0">
      <w:lvlJc w:val="left"/>
      <w:lvlText w:val="x"/>
      <w:numFmt w:val="bullet"/>
      <w:start w:val="1"/>
    </w:lvl>
  </w:abstractNum>
  <w:abstractNum w:abstractNumId="62">
    <w:nsid w:val="1F48EAA1"/>
    <w:multiLevelType w:val="hybridMultilevel"/>
    <w:lvl w:ilvl="0">
      <w:lvlJc w:val="left"/>
      <w:lvlText w:val="x"/>
      <w:numFmt w:val="bullet"/>
      <w:start w:val="1"/>
    </w:lvl>
  </w:abstractNum>
  <w:abstractNum w:abstractNumId="63">
    <w:nsid w:val="1381823A"/>
    <w:multiLevelType w:val="hybridMultilevel"/>
    <w:lvl w:ilvl="0">
      <w:lvlJc w:val="left"/>
      <w:lvlText w:val="x"/>
      <w:numFmt w:val="bullet"/>
      <w:start w:val="1"/>
    </w:lvl>
  </w:abstractNum>
  <w:abstractNum w:abstractNumId="64">
    <w:nsid w:val="5DB70AE5"/>
    <w:multiLevelType w:val="hybridMultilevel"/>
    <w:lvl w:ilvl="0">
      <w:lvlJc w:val="left"/>
      <w:lvlText w:val="x"/>
      <w:numFmt w:val="bullet"/>
      <w:start w:val="1"/>
    </w:lvl>
  </w:abstractNum>
  <w:abstractNum w:abstractNumId="65">
    <w:nsid w:val="100F8FCA"/>
    <w:multiLevelType w:val="hybridMultilevel"/>
    <w:lvl w:ilvl="0">
      <w:lvlJc w:val="left"/>
      <w:lvlText w:val="x"/>
      <w:numFmt w:val="bullet"/>
      <w:start w:val="1"/>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1)"/>
      <w:numFmt w:val="decimal"/>
      <w:start w:val="2"/>
    </w:lvl>
  </w:abstractNum>
  <w:abstractNum w:abstractNumId="69">
    <w:nsid w:val="98A3148"/>
    <w:multiLevelType w:val="hybridMultilevel"/>
    <w:lvl w:ilvl="0">
      <w:lvlJc w:val="left"/>
      <w:lvlText w:val="(%1)"/>
      <w:numFmt w:val="decimal"/>
      <w:start w:val="3"/>
    </w:lvl>
  </w:abstractNum>
  <w:abstractNum w:abstractNumId="70">
    <w:nsid w:val="799D0247"/>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2023-04-05T06:22:50Z</dcterms:created>
  <dcterms:modified xsi:type="dcterms:W3CDTF">2023-04-05T06:22:50Z</dcterms:modified>
</cp:coreProperties>
</file>