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PERCEPTIVE ADVISORS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51 ASTOR PLACE,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Athira 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4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06/29/2022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270,000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ind w:left="1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2.99</w:t>
            </w:r>
            <w:r>
              <w:rPr>
                <w:rFonts w:ascii="Times New Roman" w:cs="Times New Roman" w:eastAsia="Times New Roman" w:hAnsi="Times New Roman"/>
                <w:sz w:val="22"/>
                <w:szCs w:val="22"/>
                <w:color w:val="008000"/>
                <w:w w:val="99"/>
                <w:vertAlign w:val="superscript"/>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3,695,916</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4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06/30/2022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rPr>
              <w:t>1,101,362</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ind w:left="1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2.99</w:t>
            </w:r>
            <w:r>
              <w:rPr>
                <w:rFonts w:ascii="Times New Roman" w:cs="Times New Roman" w:eastAsia="Times New Roman" w:hAnsi="Times New Roman"/>
                <w:sz w:val="22"/>
                <w:szCs w:val="22"/>
                <w:color w:val="008000"/>
                <w:w w:val="99"/>
                <w:vertAlign w:val="superscript"/>
              </w:rPr>
              <w:t>(2)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4,797,278</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2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3"/>
          </w:tcPr>
          <w:p>
            <w:pPr>
              <w:ind w:lef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PERCEPTIVE ADVISORS LLC</w:t>
              </w:r>
            </w:hyperlink>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51 ASTOR PLACE, 10TH FLOOR</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10003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PERCEPTIVE LIFE SCIENCES MASTER</w:t>
        </w:r>
      </w:hyperlink>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FUND LTD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51 ASTOR PLACE, 10TH FLOOR</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2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EDELMAN JOSEPH</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7"/>
          <w:szCs w:val="17"/>
          <w:color w:val="0000FF"/>
        </w:rPr>
        <w:t>51 ASTOR PLACE, 10TH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-114300</wp:posOffset>
            </wp:positionV>
            <wp:extent cx="2809240" cy="985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85520"/>
                    </a:xfrm>
                    <a:prstGeom prst="rect">
                      <a:avLst/>
                    </a:prstGeom>
                    <a:noFill/>
                  </pic:spPr>
                </pic:pic>
              </a:graphicData>
            </a:graphic>
          </wp:anchor>
        </w:drawing>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$2.83 to $3.00, inclusive. The reporting person undertakes to provide the Issuer, any security holder of the Issuer, or the staff of the SEC, upon request, full information regarding the number of purchased at each separate price within such range.</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$2.87 to $3.00, inclusive. The reporting person undertakes to provide the Issuer, any security holder of the Issuer, or the staff of the SEC, upon request, full information regarding the number of purchased at each separate price within such range.</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Perceptive Life Sciences Master Fund Ltd. (the "Master Fund").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sectPr>
          <w:pgSz w:w="11900" w:h="16838" w:orient="portrait"/>
          <w:cols w:equalWidth="0" w:num="1">
            <w:col w:w="10760"/>
          </w:cols>
          <w:pgMar w:left="500" w:top="125" w:right="63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0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Perceptive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85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Perceptive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2020"/>
          </w:cols>
          <w:pgMar w:left="500" w:top="125" w:right="6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5"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620463" TargetMode="External"/><Relationship Id="rId15" Type="http://schemas.openxmlformats.org/officeDocument/2006/relationships/hyperlink" Target="http://www.sec.gov/cgi-bin/browse-edgar?action=getcompany&amp;CIK=0001249675" TargetMode="External"/><Relationship Id="rId16" Type="http://schemas.openxmlformats.org/officeDocument/2006/relationships/hyperlink" Target="http://www.sec.gov/cgi-bin/browse-edgar?action=getcompany&amp;CIK=00011644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2022-07-01T13:25:50Z</dcterms:created>
  <dcterms:modified xsi:type="dcterms:W3CDTF">2022-07-01T13:25:50Z</dcterms:modified>
</cp:coreProperties>
</file>