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7967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7967980"/>
                    </a:xfrm>
                    <a:prstGeom prst="rect">
                      <a:avLst/>
                    </a:prstGeom>
                    <a:noFill/>
                  </pic:spPr>
                </pic:pic>
              </a:graphicData>
            </a:graphic>
          </wp:anchor>
        </w:drawing>
      </w:r>
    </w:p>
    <w:p>
      <w:pPr>
        <w:spacing w:after="0" w:line="96" w:lineRule="exact"/>
        <w:rPr>
          <w:sz w:val="24"/>
          <w:szCs w:val="24"/>
          <w:color w:val="auto"/>
        </w:rPr>
      </w:pPr>
    </w:p>
    <w:p>
      <w:pPr>
        <w:sectPr>
          <w:pgSz w:w="11900" w:h="16839" w:orient="portrait"/>
          <w:cols w:equalWidth="0" w:num="2">
            <w:col w:w="2260" w:space="300"/>
            <w:col w:w="8520"/>
          </w:cols>
          <w:pgMar w:left="460" w:top="221"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PERCEPTIVE ADVISORS LLC</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51 ASTOR PLACE, 10TH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Athira Pharma,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ATHA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05/20/2022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173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56" w:lineRule="exact"/>
        <w:rPr>
          <w:sz w:val="24"/>
          <w:szCs w:val="24"/>
          <w:color w:val="auto"/>
        </w:rPr>
      </w:pPr>
    </w:p>
    <w:p>
      <w:pPr>
        <w:sectPr>
          <w:pgSz w:w="11900" w:h="16839" w:orient="portrait"/>
          <w:cols w:equalWidth="0" w:num="3">
            <w:col w:w="3200" w:space="720"/>
            <w:col w:w="3100" w:space="720"/>
            <w:col w:w="3340"/>
          </w:cols>
          <w:pgMar w:left="460" w:top="221" w:right="359" w:bottom="0" w:gutter="0" w:footer="0" w:header="0"/>
          <w:type w:val="continuous"/>
        </w:sectPr>
      </w:pPr>
    </w:p>
    <w:p>
      <w:pPr>
        <w:spacing w:after="0" w:line="18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10003</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380" w:hanging="3829"/>
        <w:spacing w:after="0" w:line="238"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234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340" w:type="dxa"/>
            <w:vAlign w:val="bottom"/>
          </w:tcPr>
          <w:p>
            <w:pPr>
              <w:ind w:left="100"/>
              <w:spacing w:after="0"/>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23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3" w:lineRule="exact"/>
        <w:rPr>
          <w:sz w:val="24"/>
          <w:szCs w:val="24"/>
          <w:color w:val="auto"/>
        </w:rPr>
      </w:pPr>
    </w:p>
    <w:p>
      <w:pPr>
        <w:sectPr>
          <w:pgSz w:w="11900" w:h="16839" w:orient="portrait"/>
          <w:cols w:equalWidth="0" w:num="2">
            <w:col w:w="7020" w:space="720"/>
            <w:col w:w="3340"/>
          </w:cols>
          <w:pgMar w:left="460" w:top="221"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40" w:type="dxa"/>
            <w:vAlign w:val="bottom"/>
          </w:tcPr>
          <w:p>
            <w:pPr>
              <w:spacing w:after="0"/>
              <w:rPr>
                <w:sz w:val="12"/>
                <w:szCs w:val="12"/>
                <w:color w:val="auto"/>
              </w:rPr>
            </w:pP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8.93</w:t>
            </w:r>
          </w:p>
        </w:tc>
        <w:tc>
          <w:tcPr>
            <w:tcW w:w="1140" w:type="dxa"/>
            <w:vAlign w:val="bottom"/>
            <w:vMerge w:val="restart"/>
          </w:tcPr>
          <w:p>
            <w:pPr>
              <w:ind w:left="280"/>
              <w:spacing w:after="0"/>
              <w:rPr>
                <w:sz w:val="20"/>
                <w:szCs w:val="20"/>
                <w:color w:val="auto"/>
              </w:rPr>
            </w:pPr>
            <w:r>
              <w:rPr>
                <w:rFonts w:ascii="Arial" w:cs="Arial" w:eastAsia="Arial" w:hAnsi="Arial"/>
                <w:sz w:val="13"/>
                <w:szCs w:val="13"/>
                <w:color w:val="0000FF"/>
              </w:rPr>
              <w:t>05/20/2022</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rPr>
              <w:t>13,871</w:t>
            </w:r>
          </w:p>
        </w:tc>
        <w:tc>
          <w:tcPr>
            <w:tcW w:w="280" w:type="dxa"/>
            <w:vAlign w:val="bottom"/>
          </w:tcPr>
          <w:p>
            <w:pPr>
              <w:spacing w:after="0"/>
              <w:rPr>
                <w:sz w:val="14"/>
                <w:szCs w:val="14"/>
                <w:color w:val="auto"/>
              </w:rPr>
            </w:pP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05/19/2032</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13,871</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vMerge w:val="restart"/>
          </w:tcPr>
          <w:p>
            <w:pPr>
              <w:ind w:left="300"/>
              <w:spacing w:after="0"/>
              <w:rPr>
                <w:sz w:val="20"/>
                <w:szCs w:val="20"/>
                <w:color w:val="auto"/>
              </w:rPr>
            </w:pPr>
            <w:r>
              <w:rPr>
                <w:rFonts w:ascii="Arial" w:cs="Arial" w:eastAsia="Arial" w:hAnsi="Arial"/>
                <w:sz w:val="13"/>
                <w:szCs w:val="13"/>
                <w:color w:val="0000FF"/>
              </w:rPr>
              <w:t>13,871</w:t>
            </w:r>
          </w:p>
        </w:tc>
        <w:tc>
          <w:tcPr>
            <w:tcW w:w="720" w:type="dxa"/>
            <w:vAlign w:val="bottom"/>
            <w:vMerge w:val="restart"/>
          </w:tcPr>
          <w:p>
            <w:pPr>
              <w:ind w:left="340"/>
              <w:spacing w:after="0"/>
              <w:rPr>
                <w:sz w:val="20"/>
                <w:szCs w:val="20"/>
                <w:color w:val="auto"/>
              </w:rPr>
            </w:pPr>
            <w:r>
              <w:rPr>
                <w:rFonts w:ascii="Arial" w:cs="Arial" w:eastAsia="Arial" w:hAnsi="Arial"/>
                <w:sz w:val="13"/>
                <w:szCs w:val="13"/>
                <w:color w:val="0000FF"/>
              </w:rPr>
              <w:t>I</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0" w:type="dxa"/>
            <w:vAlign w:val="bottom"/>
            <w:gridSpan w:val="3"/>
          </w:tcPr>
          <w:p>
            <w:pPr>
              <w:ind w:left="60"/>
              <w:spacing w:after="0" w:line="120" w:lineRule="exact"/>
              <w:rPr>
                <w:sz w:val="20"/>
                <w:szCs w:val="20"/>
                <w:color w:val="auto"/>
              </w:rPr>
            </w:pPr>
            <w:r>
              <w:rPr>
                <w:rFonts w:ascii="Arial" w:cs="Arial" w:eastAsia="Arial" w:hAnsi="Arial"/>
                <w:sz w:val="13"/>
                <w:szCs w:val="13"/>
                <w:color w:val="0000FF"/>
              </w:rPr>
              <w:t>(Right to</w:t>
            </w:r>
          </w:p>
        </w:tc>
        <w:tc>
          <w:tcPr>
            <w:tcW w:w="76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680" w:type="dxa"/>
            <w:vAlign w:val="bottom"/>
          </w:tcPr>
          <w:p>
            <w:pPr>
              <w:ind w:left="160"/>
              <w:spacing w:after="0" w:line="120"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tcPr>
          <w:p>
            <w:pPr>
              <w:ind w:left="80"/>
              <w:spacing w:after="0" w:line="120" w:lineRule="exact"/>
              <w:rPr>
                <w:sz w:val="20"/>
                <w:szCs w:val="20"/>
                <w:color w:val="auto"/>
              </w:rPr>
            </w:pPr>
            <w:r>
              <w:rPr>
                <w:rFonts w:ascii="Arial" w:cs="Arial" w:eastAsia="Arial" w:hAnsi="Arial"/>
                <w:sz w:val="9"/>
                <w:szCs w:val="9"/>
                <w:color w:val="0000FF"/>
              </w:rPr>
              <w:t>footnote</w:t>
            </w:r>
            <w:r>
              <w:rPr>
                <w:rFonts w:ascii="Arial" w:cs="Arial" w:eastAsia="Arial" w:hAnsi="Arial"/>
                <w:sz w:val="13"/>
                <w:szCs w:val="13"/>
                <w:color w:val="008000"/>
                <w:vertAlign w:val="superscript"/>
              </w:rPr>
              <w:t>(2)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6"/>
          </w:tcPr>
          <w:p>
            <w:pPr>
              <w:ind w:left="60"/>
              <w:spacing w:after="0" w:line="235"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8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gridSpan w:val="6"/>
          </w:tcPr>
          <w:p>
            <w:pPr>
              <w:spacing w:after="0" w:line="215" w:lineRule="exact"/>
              <w:rPr>
                <w:rFonts w:ascii="Arial" w:cs="Arial" w:eastAsia="Arial" w:hAnsi="Arial"/>
                <w:sz w:val="21"/>
                <w:szCs w:val="21"/>
                <w:color w:val="0000EE"/>
              </w:rPr>
            </w:pPr>
            <w:hyperlink r:id="rId12">
              <w:r>
                <w:rPr>
                  <w:rFonts w:ascii="Arial" w:cs="Arial" w:eastAsia="Arial" w:hAnsi="Arial"/>
                  <w:sz w:val="21"/>
                  <w:szCs w:val="21"/>
                  <w:color w:val="0000EE"/>
                </w:rPr>
                <w:t>PERCEPTIVE ADVISORS LLC</w:t>
              </w:r>
            </w:hyperlink>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4"/>
          </w:tcPr>
          <w:p>
            <w:pPr>
              <w:spacing w:after="0"/>
              <w:rPr>
                <w:sz w:val="20"/>
                <w:szCs w:val="20"/>
                <w:color w:val="auto"/>
              </w:rPr>
            </w:pPr>
            <w:r>
              <w:rPr>
                <w:rFonts w:ascii="Arial" w:cs="Arial" w:eastAsia="Arial" w:hAnsi="Arial"/>
                <w:sz w:val="17"/>
                <w:szCs w:val="17"/>
                <w:color w:val="0000FF"/>
                <w:w w:val="95"/>
              </w:rPr>
              <w:t>51 ASTOR PLACE, 10TH FLOOR</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7"/>
                <w:szCs w:val="17"/>
                <w:color w:val="0000FF"/>
              </w:rPr>
              <w:t>NEW YORK</w:t>
            </w:r>
          </w:p>
        </w:tc>
        <w:tc>
          <w:tcPr>
            <w:tcW w:w="1140" w:type="dxa"/>
            <w:vAlign w:val="bottom"/>
          </w:tcPr>
          <w:p>
            <w:pPr>
              <w:ind w:left="60"/>
              <w:spacing w:after="0"/>
              <w:rPr>
                <w:sz w:val="20"/>
                <w:szCs w:val="20"/>
                <w:color w:val="auto"/>
              </w:rPr>
            </w:pPr>
            <w:r>
              <w:rPr>
                <w:rFonts w:ascii="Arial" w:cs="Arial" w:eastAsia="Arial" w:hAnsi="Arial"/>
                <w:sz w:val="17"/>
                <w:szCs w:val="17"/>
                <w:color w:val="0000FF"/>
              </w:rPr>
              <w:t>NY</w:t>
            </w:r>
          </w:p>
        </w:tc>
        <w:tc>
          <w:tcPr>
            <w:tcW w:w="1060" w:type="dxa"/>
            <w:vAlign w:val="bottom"/>
            <w:gridSpan w:val="2"/>
          </w:tcPr>
          <w:p>
            <w:pPr>
              <w:ind w:left="320"/>
              <w:spacing w:after="0"/>
              <w:rPr>
                <w:sz w:val="20"/>
                <w:szCs w:val="20"/>
                <w:color w:val="auto"/>
              </w:rPr>
            </w:pPr>
            <w:r>
              <w:rPr>
                <w:rFonts w:ascii="Arial" w:cs="Arial" w:eastAsia="Arial" w:hAnsi="Arial"/>
                <w:sz w:val="17"/>
                <w:szCs w:val="17"/>
                <w:color w:val="0000FF"/>
              </w:rPr>
              <w:t>10003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60" w:type="dxa"/>
            <w:vAlign w:val="bottom"/>
            <w:gridSpan w:val="9"/>
          </w:tcPr>
          <w:p>
            <w:pPr>
              <w:spacing w:after="0" w:line="215" w:lineRule="exact"/>
              <w:rPr>
                <w:rFonts w:ascii="Arial" w:cs="Arial" w:eastAsia="Arial" w:hAnsi="Arial"/>
                <w:sz w:val="21"/>
                <w:szCs w:val="21"/>
                <w:color w:val="0000EE"/>
              </w:rPr>
            </w:pPr>
            <w:hyperlink r:id="rId14">
              <w:r>
                <w:rPr>
                  <w:rFonts w:ascii="Arial" w:cs="Arial" w:eastAsia="Arial" w:hAnsi="Arial"/>
                  <w:sz w:val="21"/>
                  <w:szCs w:val="21"/>
                  <w:color w:val="0000EE"/>
                </w:rPr>
                <w:t>PERCEPTIVE LIFE SCIENCES MASTER</w:t>
              </w:r>
            </w:hyperlink>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Borders>
              <w:top w:val="single" w:sz="8" w:color="0000EE"/>
            </w:tcBorders>
            <w:gridSpan w:val="3"/>
          </w:tcPr>
          <w:p>
            <w:pPr>
              <w:spacing w:after="0" w:line="212" w:lineRule="exact"/>
              <w:rPr>
                <w:rFonts w:ascii="Arial" w:cs="Arial" w:eastAsia="Arial" w:hAnsi="Arial"/>
                <w:sz w:val="21"/>
                <w:szCs w:val="21"/>
                <w:color w:val="0000EE"/>
              </w:rPr>
            </w:pPr>
            <w:hyperlink r:id="rId14">
              <w:r>
                <w:rPr>
                  <w:rFonts w:ascii="Arial" w:cs="Arial" w:eastAsia="Arial" w:hAnsi="Arial"/>
                  <w:sz w:val="21"/>
                  <w:szCs w:val="21"/>
                  <w:color w:val="0000EE"/>
                </w:rPr>
                <w:t>FUND LTD</w:t>
              </w:r>
            </w:hyperlink>
          </w:p>
        </w:tc>
        <w:tc>
          <w:tcPr>
            <w:tcW w:w="11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20" w:type="dxa"/>
            <w:vAlign w:val="bottom"/>
            <w:tcBorders>
              <w:top w:val="single" w:sz="8" w:color="0000EE"/>
              <w:bottom w:val="single" w:sz="8" w:color="9A9A9A"/>
            </w:tcBorders>
          </w:tcPr>
          <w:p>
            <w:pPr>
              <w:spacing w:after="0"/>
              <w:rPr>
                <w:sz w:val="14"/>
                <w:szCs w:val="14"/>
                <w:color w:val="auto"/>
              </w:rPr>
            </w:pPr>
          </w:p>
        </w:tc>
        <w:tc>
          <w:tcPr>
            <w:tcW w:w="3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gridSpan w:val="4"/>
          </w:tcPr>
          <w:p>
            <w:pPr>
              <w:spacing w:after="0"/>
              <w:rPr>
                <w:sz w:val="20"/>
                <w:szCs w:val="20"/>
                <w:color w:val="auto"/>
              </w:rPr>
            </w:pPr>
            <w:r>
              <w:rPr>
                <w:rFonts w:ascii="Arial" w:cs="Arial" w:eastAsia="Arial" w:hAnsi="Arial"/>
                <w:sz w:val="17"/>
                <w:szCs w:val="17"/>
                <w:color w:val="0000FF"/>
                <w:w w:val="95"/>
              </w:rPr>
              <w:t>51 ASTOR PLACE, 10TH FLOOR</w:t>
            </w:r>
          </w:p>
        </w:tc>
        <w:tc>
          <w:tcPr>
            <w:tcW w:w="2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34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7"/>
                <w:szCs w:val="17"/>
                <w:color w:val="0000FF"/>
              </w:rPr>
              <w:t>NEW YORK</w:t>
            </w:r>
          </w:p>
        </w:tc>
        <w:tc>
          <w:tcPr>
            <w:tcW w:w="1140" w:type="dxa"/>
            <w:vAlign w:val="bottom"/>
          </w:tcPr>
          <w:p>
            <w:pPr>
              <w:ind w:left="60"/>
              <w:spacing w:after="0"/>
              <w:rPr>
                <w:sz w:val="20"/>
                <w:szCs w:val="20"/>
                <w:color w:val="auto"/>
              </w:rPr>
            </w:pPr>
            <w:r>
              <w:rPr>
                <w:rFonts w:ascii="Arial" w:cs="Arial" w:eastAsia="Arial" w:hAnsi="Arial"/>
                <w:sz w:val="17"/>
                <w:szCs w:val="17"/>
                <w:color w:val="0000FF"/>
              </w:rPr>
              <w:t>NY</w:t>
            </w:r>
          </w:p>
        </w:tc>
        <w:tc>
          <w:tcPr>
            <w:tcW w:w="1060" w:type="dxa"/>
            <w:vAlign w:val="bottom"/>
            <w:gridSpan w:val="2"/>
          </w:tcPr>
          <w:p>
            <w:pPr>
              <w:ind w:left="320"/>
              <w:spacing w:after="0"/>
              <w:rPr>
                <w:sz w:val="20"/>
                <w:szCs w:val="20"/>
                <w:color w:val="auto"/>
              </w:rPr>
            </w:pPr>
            <w:r>
              <w:rPr>
                <w:rFonts w:ascii="Arial" w:cs="Arial" w:eastAsia="Arial" w:hAnsi="Arial"/>
                <w:sz w:val="17"/>
                <w:szCs w:val="17"/>
                <w:color w:val="0000FF"/>
              </w:rPr>
              <w:t>10003</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shares subject to the option will vest on the earlier of (i) May 28, 2023, or (ii) the day immediately before the date of the next annual meeting of the Issuer's stockholders that occurs after May 20, 2022.</w:t>
      </w:r>
    </w:p>
    <w:p>
      <w:pPr>
        <w:spacing w:after="0" w:line="55" w:lineRule="exact"/>
        <w:rPr>
          <w:rFonts w:ascii="Arial" w:cs="Arial" w:eastAsia="Arial" w:hAnsi="Arial"/>
          <w:sz w:val="12"/>
          <w:szCs w:val="12"/>
          <w:color w:val="008000"/>
        </w:rPr>
      </w:pPr>
    </w:p>
    <w:p>
      <w:pPr>
        <w:jc w:val="both"/>
        <w:ind w:left="40" w:right="520" w:firstLine="2"/>
        <w:spacing w:after="0" w:line="268"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options to purchase shares of the Issuer's common stock awarded to Joseph Edelman in connection with his role as a member of the Issuer's Board of Directors. Mr. Edelman is the managing member of Perceptive Advisors LLC (the "Advisor"). The Advisor may be deemed to have an indirect pecuniary interest in the options to purchase common stock of the Issuer reported herein because the Advisor has the right to receive the director compensation provided in respect of Mr. Edelman's board service through a partial management fee offset.</w:t>
      </w:r>
    </w:p>
    <w:p>
      <w:pPr>
        <w:spacing w:after="0" w:line="41"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Perceptive Life Sciences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1791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Master Fund Ltd.,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949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Perceptive Advisors LLC, its</w:t>
      </w:r>
      <w:r>
        <w:rPr>
          <w:sz w:val="20"/>
          <w:szCs w:val="20"/>
          <w:color w:val="auto"/>
        </w:rPr>
        <w:tab/>
      </w:r>
      <w:r>
        <w:rPr>
          <w:rFonts w:ascii="Arial" w:cs="Arial" w:eastAsia="Arial" w:hAnsi="Arial"/>
          <w:sz w:val="15"/>
          <w:szCs w:val="15"/>
          <w:color w:val="0000FF"/>
        </w:rPr>
        <w:t>05/27/2022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investment manager By: Joseph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356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Edelman, 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3538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7"/>
          <w:szCs w:val="17"/>
          <w:color w:val="0000FF"/>
        </w:rPr>
        <w:t>/s/ Perceptive Advisors LLC,</w:t>
      </w:r>
      <w:r>
        <w:rPr>
          <w:sz w:val="20"/>
          <w:szCs w:val="20"/>
          <w:color w:val="auto"/>
        </w:rPr>
        <w:tab/>
      </w:r>
      <w:r>
        <w:rPr>
          <w:rFonts w:ascii="Arial" w:cs="Arial" w:eastAsia="Arial" w:hAnsi="Arial"/>
          <w:sz w:val="15"/>
          <w:szCs w:val="15"/>
          <w:color w:val="0000FF"/>
        </w:rPr>
        <w:t>05/27/2022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-11430</wp:posOffset>
            </wp:positionV>
            <wp:extent cx="1885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ectPr>
          <w:pgSz w:w="11900" w:h="16839" w:orient="portrait"/>
          <w:cols w:equalWidth="0" w:num="1">
            <w:col w:w="11080"/>
          </w:cols>
          <w:pgMar w:left="460" w:top="221" w:right="359" w:bottom="0" w:gutter="0" w:footer="0" w:header="0"/>
          <w:type w:val="continuous"/>
        </w:sectPr>
      </w:pPr>
    </w:p>
    <w:bookmarkStart w:id="1" w:name="page2"/>
    <w:bookmarkEnd w:id="1"/>
    <w:p>
      <w:pPr>
        <w:ind w:left="6560"/>
        <w:spacing w:after="0"/>
        <w:rPr>
          <w:sz w:val="20"/>
          <w:szCs w:val="20"/>
          <w:color w:val="auto"/>
        </w:rPr>
      </w:pPr>
      <w:r>
        <w:rPr>
          <w:rFonts w:ascii="Arial" w:cs="Arial" w:eastAsia="Arial" w:hAnsi="Arial"/>
          <w:sz w:val="17"/>
          <w:szCs w:val="17"/>
          <w:color w:val="0000FF"/>
        </w:rPr>
        <w:t>By: Joseph Edelman,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028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-15875</wp:posOffset>
            </wp:positionV>
            <wp:extent cx="7950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95020" cy="8255"/>
                    </a:xfrm>
                    <a:prstGeom prst="rect">
                      <a:avLst/>
                    </a:prstGeom>
                    <a:noFill/>
                  </pic:spPr>
                </pic:pic>
              </a:graphicData>
            </a:graphic>
          </wp:anchor>
        </w:drawing>
      </w:r>
    </w:p>
    <w:p>
      <w:pPr>
        <w:spacing w:after="0" w:line="43"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519"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2" Type="http://schemas.openxmlformats.org/officeDocument/2006/relationships/hyperlink" Target="http://www.sec.gov/cgi-bin/browse-edgar?action=getcompany&amp;CIK=0001224962" TargetMode="External"/><Relationship Id="rId13" Type="http://schemas.openxmlformats.org/officeDocument/2006/relationships/hyperlink" Target="http://www.sec.gov/cgi-bin/browse-edgar?action=getcompany&amp;CIK=0001620463" TargetMode="External"/><Relationship Id="rId14" Type="http://schemas.openxmlformats.org/officeDocument/2006/relationships/hyperlink" Target="http://www.sec.gov/cgi-bin/browse-edgar?action=getcompany&amp;CIK=00012496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2022-05-28T12:35:56Z</dcterms:created>
  <dcterms:modified xsi:type="dcterms:W3CDTF">2022-05-28T12:35:56Z</dcterms:modified>
</cp:coreProperties>
</file>