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15, 2021</w:t>
      </w:r>
    </w:p>
    <w:p>
      <w:pPr>
        <w:spacing w:after="0" w:line="19" w:lineRule="exact"/>
        <w:rPr>
          <w:sz w:val="24"/>
          <w:szCs w:val="24"/>
          <w:color w:val="auto"/>
        </w:rPr>
      </w:pPr>
    </w:p>
    <w:p>
      <w:pPr>
        <w:ind w:left="92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36195</wp:posOffset>
            </wp:positionV>
            <wp:extent cx="1457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67" w:lineRule="exact"/>
        <w:rPr>
          <w:sz w:val="24"/>
          <w:szCs w:val="24"/>
          <w:color w:val="auto"/>
        </w:rPr>
      </w:pPr>
    </w:p>
    <w:p>
      <w:pPr>
        <w:jc w:val="center"/>
        <w:spacing w:after="0" w:line="265" w:lineRule="exact"/>
        <w:rPr>
          <w:sz w:val="20"/>
          <w:szCs w:val="20"/>
          <w:color w:val="auto"/>
        </w:rPr>
      </w:pPr>
      <w:r>
        <w:rPr>
          <w:rFonts w:ascii="Arial" w:cs="Arial" w:eastAsia="Arial" w:hAnsi="Arial"/>
          <w:sz w:val="23"/>
          <w:szCs w:val="23"/>
          <w:b w:val="1"/>
          <w:bCs w:val="1"/>
          <w:color w:val="auto"/>
        </w:rPr>
        <w:t>FORM S</w:t>
      </w:r>
      <w:r>
        <w:rPr>
          <w:rFonts w:ascii="MS PGothic" w:cs="MS PGothic" w:eastAsia="MS PGothic" w:hAnsi="MS PGothic"/>
          <w:sz w:val="23"/>
          <w:szCs w:val="23"/>
          <w:b w:val="1"/>
          <w:bCs w:val="1"/>
          <w:color w:val="auto"/>
        </w:rPr>
        <w:t>‑</w:t>
      </w:r>
      <w:r>
        <w:rPr>
          <w:rFonts w:ascii="Arial" w:cs="Arial" w:eastAsia="Arial" w:hAnsi="Arial"/>
          <w:sz w:val="23"/>
          <w:szCs w:val="23"/>
          <w:b w:val="1"/>
          <w:bCs w:val="1"/>
          <w:color w:val="auto"/>
        </w:rPr>
        <w:t>3</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jc w:val="center"/>
        <w:spacing w:after="0" w:line="234" w:lineRule="auto"/>
        <w:rPr>
          <w:sz w:val="20"/>
          <w:szCs w:val="20"/>
          <w:color w:val="auto"/>
        </w:rPr>
      </w:pPr>
      <w:r>
        <w:rPr>
          <w:rFonts w:ascii="Arial" w:cs="Arial" w:eastAsia="Arial" w:hAnsi="Arial"/>
          <w:sz w:val="18"/>
          <w:szCs w:val="18"/>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31750</wp:posOffset>
            </wp:positionV>
            <wp:extent cx="1457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ATHIRA PHARMA, INC.</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31750</wp:posOffset>
            </wp:positionV>
            <wp:extent cx="1457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71" w:lineRule="exact"/>
        <w:rPr>
          <w:sz w:val="24"/>
          <w:szCs w:val="24"/>
          <w:color w:val="auto"/>
        </w:rPr>
      </w:pPr>
    </w:p>
    <w:tbl>
      <w:tblPr>
        <w:tblLayout w:type="fixed"/>
        <w:tblInd w:w="1940" w:type="dxa"/>
        <w:tblCellMar>
          <w:top w:w="0" w:type="dxa"/>
          <w:left w:w="0" w:type="dxa"/>
          <w:bottom w:w="0" w:type="dxa"/>
          <w:right w:w="0" w:type="dxa"/>
        </w:tblCellMar>
      </w:tblPr>
      <w:tr>
        <w:trPr>
          <w:trHeight w:val="180"/>
        </w:trPr>
        <w:tc>
          <w:tcPr>
            <w:tcW w:w="3800" w:type="dxa"/>
            <w:vAlign w:val="bottom"/>
          </w:tcPr>
          <w:p>
            <w:pPr>
              <w:jc w:val="center"/>
              <w:ind w:right="1968"/>
              <w:spacing w:after="0"/>
              <w:rPr>
                <w:sz w:val="20"/>
                <w:szCs w:val="20"/>
                <w:color w:val="auto"/>
              </w:rPr>
            </w:pPr>
            <w:r>
              <w:rPr>
                <w:rFonts w:ascii="Arial" w:cs="Arial" w:eastAsia="Arial" w:hAnsi="Arial"/>
                <w:sz w:val="14"/>
                <w:szCs w:val="14"/>
                <w:b w:val="1"/>
                <w:bCs w:val="1"/>
                <w:color w:val="auto"/>
                <w:w w:val="97"/>
              </w:rPr>
              <w:t>Delaware</w:t>
            </w:r>
          </w:p>
        </w:tc>
        <w:tc>
          <w:tcPr>
            <w:tcW w:w="3360" w:type="dxa"/>
            <w:vAlign w:val="bottom"/>
          </w:tcPr>
          <w:p>
            <w:pPr>
              <w:jc w:val="center"/>
              <w:ind w:left="1948"/>
              <w:spacing w:after="0"/>
              <w:rPr>
                <w:sz w:val="20"/>
                <w:szCs w:val="20"/>
                <w:color w:val="auto"/>
              </w:rPr>
            </w:pPr>
            <w:r>
              <w:rPr>
                <w:rFonts w:ascii="Arial" w:cs="Arial" w:eastAsia="Arial" w:hAnsi="Arial"/>
                <w:sz w:val="14"/>
                <w:szCs w:val="14"/>
                <w:b w:val="1"/>
                <w:bCs w:val="1"/>
                <w:color w:val="auto"/>
                <w:w w:val="98"/>
              </w:rPr>
              <w:t>45-3368487</w:t>
            </w:r>
          </w:p>
        </w:tc>
      </w:tr>
      <w:tr>
        <w:trPr>
          <w:trHeight w:val="162"/>
        </w:trPr>
        <w:tc>
          <w:tcPr>
            <w:tcW w:w="3800" w:type="dxa"/>
            <w:vAlign w:val="bottom"/>
          </w:tcPr>
          <w:p>
            <w:pPr>
              <w:jc w:val="center"/>
              <w:ind w:right="2008"/>
              <w:spacing w:after="0"/>
              <w:rPr>
                <w:sz w:val="20"/>
                <w:szCs w:val="20"/>
                <w:color w:val="auto"/>
              </w:rPr>
            </w:pPr>
            <w:r>
              <w:rPr>
                <w:rFonts w:ascii="Arial" w:cs="Arial" w:eastAsia="Arial" w:hAnsi="Arial"/>
                <w:sz w:val="14"/>
                <w:szCs w:val="14"/>
                <w:color w:val="auto"/>
                <w:w w:val="95"/>
              </w:rPr>
              <w:t>(State or other jurisdiction of</w:t>
            </w:r>
          </w:p>
        </w:tc>
        <w:tc>
          <w:tcPr>
            <w:tcW w:w="3360" w:type="dxa"/>
            <w:vAlign w:val="bottom"/>
          </w:tcPr>
          <w:p>
            <w:pPr>
              <w:jc w:val="center"/>
              <w:ind w:left="1968"/>
              <w:spacing w:after="0"/>
              <w:rPr>
                <w:sz w:val="20"/>
                <w:szCs w:val="20"/>
                <w:color w:val="auto"/>
              </w:rPr>
            </w:pPr>
            <w:r>
              <w:rPr>
                <w:rFonts w:ascii="Arial" w:cs="Arial" w:eastAsia="Arial" w:hAnsi="Arial"/>
                <w:sz w:val="14"/>
                <w:szCs w:val="14"/>
                <w:color w:val="auto"/>
                <w:w w:val="97"/>
              </w:rPr>
              <w:t>(I.R.S. Employer</w:t>
            </w:r>
          </w:p>
        </w:tc>
      </w:tr>
      <w:tr>
        <w:trPr>
          <w:trHeight w:val="172"/>
        </w:trPr>
        <w:tc>
          <w:tcPr>
            <w:tcW w:w="3800" w:type="dxa"/>
            <w:vAlign w:val="bottom"/>
          </w:tcPr>
          <w:p>
            <w:pPr>
              <w:jc w:val="center"/>
              <w:ind w:right="1968"/>
              <w:spacing w:after="0"/>
              <w:rPr>
                <w:sz w:val="20"/>
                <w:szCs w:val="20"/>
                <w:color w:val="auto"/>
              </w:rPr>
            </w:pPr>
            <w:r>
              <w:rPr>
                <w:rFonts w:ascii="Arial" w:cs="Arial" w:eastAsia="Arial" w:hAnsi="Arial"/>
                <w:sz w:val="14"/>
                <w:szCs w:val="14"/>
                <w:color w:val="auto"/>
                <w:w w:val="96"/>
              </w:rPr>
              <w:t>incorporation or organization)</w:t>
            </w:r>
          </w:p>
        </w:tc>
        <w:tc>
          <w:tcPr>
            <w:tcW w:w="3360" w:type="dxa"/>
            <w:vAlign w:val="bottom"/>
          </w:tcPr>
          <w:p>
            <w:pPr>
              <w:jc w:val="center"/>
              <w:ind w:left="1948"/>
              <w:spacing w:after="0"/>
              <w:rPr>
                <w:sz w:val="20"/>
                <w:szCs w:val="20"/>
                <w:color w:val="auto"/>
              </w:rPr>
            </w:pPr>
            <w:r>
              <w:rPr>
                <w:rFonts w:ascii="Arial" w:cs="Arial" w:eastAsia="Arial" w:hAnsi="Arial"/>
                <w:sz w:val="14"/>
                <w:szCs w:val="14"/>
                <w:color w:val="auto"/>
                <w:w w:val="97"/>
              </w:rPr>
              <w:t>Identification Number)</w:t>
            </w:r>
          </w:p>
        </w:tc>
      </w:tr>
    </w:tbl>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18706 North Creek Parkway, Suite 104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Bothell, Washington 98011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(425) 620-8501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Litton, Ph.D.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18706 North Creek Parkway, Suite 104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Bothell, Washington 98011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(425) 620-8501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6" w:lineRule="exact"/>
        <w:rPr>
          <w:sz w:val="24"/>
          <w:szCs w:val="24"/>
          <w:color w:val="auto"/>
        </w:rPr>
      </w:pPr>
    </w:p>
    <w:tbl>
      <w:tblPr>
        <w:tblLayout w:type="fixed"/>
        <w:tblInd w:w="1680" w:type="dxa"/>
        <w:tblCellMar>
          <w:top w:w="0" w:type="dxa"/>
          <w:left w:w="0" w:type="dxa"/>
          <w:bottom w:w="0" w:type="dxa"/>
          <w:right w:w="0" w:type="dxa"/>
        </w:tblCellMar>
      </w:tblPr>
      <w:tr>
        <w:trPr>
          <w:trHeight w:val="188"/>
        </w:trPr>
        <w:tc>
          <w:tcPr>
            <w:tcW w:w="2940" w:type="dxa"/>
            <w:vAlign w:val="bottom"/>
          </w:tcPr>
          <w:p>
            <w:pPr>
              <w:spacing w:after="0"/>
              <w:rPr>
                <w:sz w:val="16"/>
                <w:szCs w:val="16"/>
                <w:color w:val="auto"/>
              </w:rPr>
            </w:pPr>
          </w:p>
        </w:tc>
        <w:tc>
          <w:tcPr>
            <w:tcW w:w="5040" w:type="dxa"/>
            <w:vAlign w:val="bottom"/>
          </w:tcPr>
          <w:p>
            <w:pPr>
              <w:ind w:left="680"/>
              <w:spacing w:after="0"/>
              <w:rPr>
                <w:sz w:val="20"/>
                <w:szCs w:val="20"/>
                <w:color w:val="auto"/>
              </w:rPr>
            </w:pPr>
            <w:r>
              <w:rPr>
                <w:rFonts w:ascii="Arial" w:cs="Arial" w:eastAsia="Arial" w:hAnsi="Arial"/>
                <w:sz w:val="14"/>
                <w:szCs w:val="14"/>
                <w:b w:val="1"/>
                <w:bCs w:val="1"/>
                <w:i w:val="1"/>
                <w:iCs w:val="1"/>
                <w:color w:val="auto"/>
              </w:rPr>
              <w:t>Copies to:</w:t>
            </w:r>
          </w:p>
        </w:tc>
      </w:tr>
      <w:tr>
        <w:trPr>
          <w:trHeight w:val="174"/>
        </w:trPr>
        <w:tc>
          <w:tcPr>
            <w:tcW w:w="2940" w:type="dxa"/>
            <w:vAlign w:val="bottom"/>
          </w:tcPr>
          <w:p>
            <w:pPr>
              <w:jc w:val="center"/>
              <w:ind w:right="588"/>
              <w:spacing w:after="0"/>
              <w:rPr>
                <w:sz w:val="20"/>
                <w:szCs w:val="20"/>
                <w:color w:val="auto"/>
              </w:rPr>
            </w:pPr>
            <w:r>
              <w:rPr>
                <w:rFonts w:ascii="Arial" w:cs="Arial" w:eastAsia="Arial" w:hAnsi="Arial"/>
                <w:sz w:val="14"/>
                <w:szCs w:val="14"/>
                <w:b w:val="1"/>
                <w:bCs w:val="1"/>
                <w:color w:val="auto"/>
                <w:w w:val="98"/>
              </w:rPr>
              <w:t>Michael Nordtvedt</w:t>
            </w: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w w:val="98"/>
              </w:rPr>
              <w:t>Mark Worthington</w:t>
            </w:r>
          </w:p>
        </w:tc>
      </w:tr>
      <w:tr>
        <w:trPr>
          <w:trHeight w:val="162"/>
        </w:trPr>
        <w:tc>
          <w:tcPr>
            <w:tcW w:w="2940" w:type="dxa"/>
            <w:vAlign w:val="bottom"/>
          </w:tcPr>
          <w:p>
            <w:pPr>
              <w:jc w:val="center"/>
              <w:ind w:right="588"/>
              <w:spacing w:after="0"/>
              <w:rPr>
                <w:sz w:val="20"/>
                <w:szCs w:val="20"/>
                <w:color w:val="auto"/>
              </w:rPr>
            </w:pPr>
            <w:r>
              <w:rPr>
                <w:rFonts w:ascii="Arial" w:cs="Arial" w:eastAsia="Arial" w:hAnsi="Arial"/>
                <w:sz w:val="14"/>
                <w:szCs w:val="14"/>
                <w:b w:val="1"/>
                <w:bCs w:val="1"/>
                <w:color w:val="auto"/>
                <w:w w:val="99"/>
              </w:rPr>
              <w:t>Bryan D. King</w:t>
            </w: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w w:val="98"/>
              </w:rPr>
              <w:t>General Counsel</w:t>
            </w:r>
          </w:p>
        </w:tc>
      </w:tr>
      <w:tr>
        <w:trPr>
          <w:trHeight w:val="162"/>
        </w:trPr>
        <w:tc>
          <w:tcPr>
            <w:tcW w:w="2940" w:type="dxa"/>
            <w:vAlign w:val="bottom"/>
          </w:tcPr>
          <w:p>
            <w:pPr>
              <w:jc w:val="center"/>
              <w:ind w:right="608"/>
              <w:spacing w:after="0"/>
              <w:rPr>
                <w:sz w:val="20"/>
                <w:szCs w:val="20"/>
                <w:color w:val="auto"/>
              </w:rPr>
            </w:pPr>
            <w:r>
              <w:rPr>
                <w:rFonts w:ascii="Arial" w:cs="Arial" w:eastAsia="Arial" w:hAnsi="Arial"/>
                <w:sz w:val="14"/>
                <w:szCs w:val="14"/>
                <w:b w:val="1"/>
                <w:bCs w:val="1"/>
                <w:color w:val="auto"/>
                <w:w w:val="97"/>
              </w:rPr>
              <w:t>Wilson Sonsini Goodrich &amp; Rosati,</w:t>
            </w:r>
          </w:p>
        </w:tc>
        <w:tc>
          <w:tcPr>
            <w:tcW w:w="5040" w:type="dxa"/>
            <w:vAlign w:val="bottom"/>
          </w:tcPr>
          <w:p>
            <w:pPr>
              <w:jc w:val="center"/>
              <w:ind w:left="2528"/>
              <w:spacing w:after="0"/>
              <w:rPr>
                <w:sz w:val="20"/>
                <w:szCs w:val="20"/>
                <w:color w:val="auto"/>
              </w:rPr>
            </w:pPr>
            <w:r>
              <w:rPr>
                <w:rFonts w:ascii="Arial" w:cs="Arial" w:eastAsia="Arial" w:hAnsi="Arial"/>
                <w:sz w:val="14"/>
                <w:szCs w:val="14"/>
                <w:b w:val="1"/>
                <w:bCs w:val="1"/>
                <w:color w:val="auto"/>
                <w:w w:val="97"/>
              </w:rPr>
              <w:t>Athira Pharma, Inc.</w:t>
            </w:r>
          </w:p>
        </w:tc>
      </w:tr>
      <w:tr>
        <w:trPr>
          <w:trHeight w:val="162"/>
        </w:trPr>
        <w:tc>
          <w:tcPr>
            <w:tcW w:w="2940" w:type="dxa"/>
            <w:vAlign w:val="bottom"/>
          </w:tcPr>
          <w:p>
            <w:pPr>
              <w:jc w:val="center"/>
              <w:ind w:right="588"/>
              <w:spacing w:after="0"/>
              <w:rPr>
                <w:sz w:val="20"/>
                <w:szCs w:val="20"/>
                <w:color w:val="auto"/>
              </w:rPr>
            </w:pPr>
            <w:r>
              <w:rPr>
                <w:rFonts w:ascii="Arial" w:cs="Arial" w:eastAsia="Arial" w:hAnsi="Arial"/>
                <w:sz w:val="14"/>
                <w:szCs w:val="14"/>
                <w:b w:val="1"/>
                <w:bCs w:val="1"/>
                <w:color w:val="auto"/>
                <w:w w:val="97"/>
              </w:rPr>
              <w:t>Professional Corporation</w:t>
            </w: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w w:val="97"/>
              </w:rPr>
              <w:t>18706 North Creek Parkway, Suite 104</w:t>
            </w:r>
          </w:p>
        </w:tc>
      </w:tr>
      <w:tr>
        <w:trPr>
          <w:trHeight w:val="162"/>
        </w:trPr>
        <w:tc>
          <w:tcPr>
            <w:tcW w:w="2940" w:type="dxa"/>
            <w:vAlign w:val="bottom"/>
          </w:tcPr>
          <w:p>
            <w:pPr>
              <w:jc w:val="center"/>
              <w:ind w:right="588"/>
              <w:spacing w:after="0"/>
              <w:rPr>
                <w:sz w:val="20"/>
                <w:szCs w:val="20"/>
                <w:color w:val="auto"/>
              </w:rPr>
            </w:pPr>
            <w:r>
              <w:rPr>
                <w:rFonts w:ascii="Arial" w:cs="Arial" w:eastAsia="Arial" w:hAnsi="Arial"/>
                <w:sz w:val="14"/>
                <w:szCs w:val="14"/>
                <w:b w:val="1"/>
                <w:bCs w:val="1"/>
                <w:color w:val="auto"/>
                <w:w w:val="97"/>
              </w:rPr>
              <w:t>701 Fifth Avenue, Suite 5100</w:t>
            </w: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w w:val="97"/>
              </w:rPr>
              <w:t>Bothell, Washington 98011</w:t>
            </w:r>
          </w:p>
        </w:tc>
      </w:tr>
      <w:tr>
        <w:trPr>
          <w:trHeight w:val="162"/>
        </w:trPr>
        <w:tc>
          <w:tcPr>
            <w:tcW w:w="2940" w:type="dxa"/>
            <w:vAlign w:val="bottom"/>
          </w:tcPr>
          <w:p>
            <w:pPr>
              <w:jc w:val="center"/>
              <w:ind w:right="588"/>
              <w:spacing w:after="0"/>
              <w:rPr>
                <w:sz w:val="20"/>
                <w:szCs w:val="20"/>
                <w:color w:val="auto"/>
              </w:rPr>
            </w:pPr>
            <w:r>
              <w:rPr>
                <w:rFonts w:ascii="Arial" w:cs="Arial" w:eastAsia="Arial" w:hAnsi="Arial"/>
                <w:sz w:val="14"/>
                <w:szCs w:val="14"/>
                <w:b w:val="1"/>
                <w:bCs w:val="1"/>
                <w:color w:val="auto"/>
                <w:w w:val="97"/>
              </w:rPr>
              <w:t>Seattle, WA 98104-7036</w:t>
            </w: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w w:val="98"/>
              </w:rPr>
              <w:t>(425) 620-8501</w:t>
            </w:r>
          </w:p>
        </w:tc>
      </w:tr>
      <w:tr>
        <w:trPr>
          <w:trHeight w:val="190"/>
        </w:trPr>
        <w:tc>
          <w:tcPr>
            <w:tcW w:w="2940" w:type="dxa"/>
            <w:vAlign w:val="bottom"/>
          </w:tcPr>
          <w:p>
            <w:pPr>
              <w:jc w:val="center"/>
              <w:ind w:right="608"/>
              <w:spacing w:after="0"/>
              <w:rPr>
                <w:sz w:val="20"/>
                <w:szCs w:val="20"/>
                <w:color w:val="auto"/>
              </w:rPr>
            </w:pPr>
            <w:r>
              <w:rPr>
                <w:rFonts w:ascii="Arial" w:cs="Arial" w:eastAsia="Arial" w:hAnsi="Arial"/>
                <w:sz w:val="14"/>
                <w:szCs w:val="14"/>
                <w:b w:val="1"/>
                <w:bCs w:val="1"/>
                <w:color w:val="auto"/>
                <w:w w:val="98"/>
              </w:rPr>
              <w:t>(206) 883-2500</w:t>
            </w:r>
          </w:p>
        </w:tc>
        <w:tc>
          <w:tcPr>
            <w:tcW w:w="5040" w:type="dxa"/>
            <w:vAlign w:val="bottom"/>
          </w:tcPr>
          <w:p>
            <w:pPr>
              <w:spacing w:after="0"/>
              <w:rPr>
                <w:sz w:val="16"/>
                <w:szCs w:val="16"/>
                <w:color w:val="auto"/>
              </w:rPr>
            </w:pPr>
          </w:p>
        </w:tc>
      </w:tr>
    </w:tbl>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(Approximate date of commencement of proposed sale to the public)</w:t>
      </w:r>
    </w:p>
    <w:p>
      <w:pPr>
        <w:spacing w:after="0" w:line="1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right="2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right="2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ind w:right="2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20"/>
        <w:spacing w:after="0" w:line="176"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right="20"/>
        <w:spacing w:after="0" w:line="176"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2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46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5"/>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332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46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6"/>
        </w:trPr>
        <w:tc>
          <w:tcPr>
            <w:tcW w:w="2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900" w:type="dxa"/>
            <w:vAlign w:val="bottom"/>
          </w:tcPr>
          <w:p>
            <w:pPr>
              <w:ind w:left="2460"/>
              <w:spacing w:after="0"/>
              <w:rPr>
                <w:sz w:val="20"/>
                <w:szCs w:val="20"/>
                <w:color w:val="auto"/>
              </w:rPr>
            </w:pPr>
            <w:r>
              <w:rPr>
                <w:rFonts w:ascii="Arial" w:cs="Arial" w:eastAsia="Arial" w:hAnsi="Arial"/>
                <w:sz w:val="14"/>
                <w:szCs w:val="14"/>
                <w:color w:val="auto"/>
              </w:rPr>
              <w:t>Emerging growth company</w:t>
            </w:r>
          </w:p>
        </w:tc>
        <w:tc>
          <w:tcPr>
            <w:tcW w:w="9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38"/>
        </w:trPr>
        <w:tc>
          <w:tcPr>
            <w:tcW w:w="210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49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34" w:right="319" w:bottom="1440" w:gutter="0" w:footer="0" w:header="0"/>
        </w:sectPr>
      </w:pPr>
    </w:p>
    <w:bookmarkStart w:id="1" w:name="page2"/>
    <w:bookmarkEnd w:id="1"/>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23495</wp:posOffset>
            </wp:positionV>
            <wp:extent cx="1457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572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r>
      <w:tr>
        <w:trPr>
          <w:trHeight w:val="143"/>
        </w:trPr>
        <w:tc>
          <w:tcPr>
            <w:tcW w:w="57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060" w:type="dxa"/>
            <w:vAlign w:val="bottom"/>
          </w:tcPr>
          <w:p>
            <w:pPr>
              <w:jc w:val="center"/>
              <w:ind w:left="210"/>
              <w:spacing w:after="0" w:line="143" w:lineRule="exact"/>
              <w:rPr>
                <w:sz w:val="20"/>
                <w:szCs w:val="20"/>
                <w:color w:val="auto"/>
              </w:rPr>
            </w:pPr>
            <w:r>
              <w:rPr>
                <w:rFonts w:ascii="Arial" w:cs="Arial" w:eastAsia="Arial" w:hAnsi="Arial"/>
                <w:sz w:val="14"/>
                <w:szCs w:val="14"/>
                <w:b w:val="1"/>
                <w:bCs w:val="1"/>
                <w:color w:val="auto"/>
              </w:rPr>
              <w:t>Proposed</w:t>
            </w:r>
          </w:p>
        </w:tc>
        <w:tc>
          <w:tcPr>
            <w:tcW w:w="3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Proposed</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2"/>
        </w:trPr>
        <w:tc>
          <w:tcPr>
            <w:tcW w:w="57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060" w:type="dxa"/>
            <w:vAlign w:val="bottom"/>
          </w:tcPr>
          <w:p>
            <w:pPr>
              <w:jc w:val="center"/>
              <w:ind w:left="230"/>
              <w:spacing w:after="0"/>
              <w:rPr>
                <w:sz w:val="20"/>
                <w:szCs w:val="20"/>
                <w:color w:val="auto"/>
              </w:rPr>
            </w:pPr>
            <w:r>
              <w:rPr>
                <w:rFonts w:ascii="Arial" w:cs="Arial" w:eastAsia="Arial" w:hAnsi="Arial"/>
                <w:sz w:val="14"/>
                <w:szCs w:val="14"/>
                <w:b w:val="1"/>
                <w:bCs w:val="1"/>
                <w:color w:val="auto"/>
              </w:rPr>
              <w:t>maximum</w:t>
            </w:r>
          </w:p>
        </w:tc>
        <w:tc>
          <w:tcPr>
            <w:tcW w:w="3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7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060" w:type="dxa"/>
            <w:vAlign w:val="bottom"/>
          </w:tcPr>
          <w:p>
            <w:pPr>
              <w:jc w:val="center"/>
              <w:ind w:left="210"/>
              <w:spacing w:after="0"/>
              <w:rPr>
                <w:sz w:val="20"/>
                <w:szCs w:val="20"/>
                <w:color w:val="auto"/>
              </w:rPr>
            </w:pPr>
            <w:r>
              <w:rPr>
                <w:rFonts w:ascii="Arial" w:cs="Arial" w:eastAsia="Arial" w:hAnsi="Arial"/>
                <w:sz w:val="14"/>
                <w:szCs w:val="14"/>
                <w:b w:val="1"/>
                <w:bCs w:val="1"/>
                <w:color w:val="auto"/>
              </w:rPr>
              <w:t>offering</w:t>
            </w:r>
          </w:p>
        </w:tc>
        <w:tc>
          <w:tcPr>
            <w:tcW w:w="3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4"/>
                <w:szCs w:val="14"/>
                <w:color w:val="auto"/>
              </w:rPr>
            </w:pPr>
          </w:p>
        </w:tc>
        <w:tc>
          <w:tcPr>
            <w:tcW w:w="1120" w:type="dxa"/>
            <w:vAlign w:val="bottom"/>
          </w:tcPr>
          <w:p>
            <w:pPr>
              <w:jc w:val="center"/>
              <w:ind w:right="169"/>
              <w:spacing w:after="0"/>
              <w:rPr>
                <w:sz w:val="20"/>
                <w:szCs w:val="20"/>
                <w:color w:val="auto"/>
              </w:rPr>
            </w:pPr>
            <w:r>
              <w:rPr>
                <w:rFonts w:ascii="Arial" w:cs="Arial" w:eastAsia="Arial" w:hAnsi="Arial"/>
                <w:sz w:val="14"/>
                <w:szCs w:val="14"/>
                <w:b w:val="1"/>
                <w:bCs w:val="1"/>
                <w:color w:val="auto"/>
              </w:rPr>
              <w:t>Amount of</w:t>
            </w:r>
          </w:p>
        </w:tc>
      </w:tr>
      <w:tr>
        <w:trPr>
          <w:trHeight w:val="159"/>
        </w:trPr>
        <w:tc>
          <w:tcPr>
            <w:tcW w:w="5720" w:type="dxa"/>
            <w:vAlign w:val="bottom"/>
            <w:tcBorders>
              <w:right w:val="single" w:sz="8" w:color="auto"/>
            </w:tcBorders>
          </w:tcPr>
          <w:p>
            <w:pPr>
              <w:ind w:left="2240"/>
              <w:spacing w:after="0" w:line="159" w:lineRule="exact"/>
              <w:rPr>
                <w:sz w:val="20"/>
                <w:szCs w:val="20"/>
                <w:color w:val="auto"/>
              </w:rPr>
            </w:pPr>
            <w:r>
              <w:rPr>
                <w:rFonts w:ascii="Arial" w:cs="Arial" w:eastAsia="Arial" w:hAnsi="Arial"/>
                <w:sz w:val="14"/>
                <w:szCs w:val="14"/>
                <w:b w:val="1"/>
                <w:bCs w:val="1"/>
                <w:color w:val="auto"/>
              </w:rPr>
              <w:t>Title of each class</w:t>
            </w:r>
          </w:p>
        </w:tc>
        <w:tc>
          <w:tcPr>
            <w:tcW w:w="13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to be</w:t>
            </w:r>
          </w:p>
        </w:tc>
        <w:tc>
          <w:tcPr>
            <w:tcW w:w="1060" w:type="dxa"/>
            <w:vAlign w:val="bottom"/>
          </w:tcPr>
          <w:p>
            <w:pPr>
              <w:jc w:val="center"/>
              <w:ind w:left="230"/>
              <w:spacing w:after="0" w:line="159" w:lineRule="exact"/>
              <w:rPr>
                <w:sz w:val="20"/>
                <w:szCs w:val="20"/>
                <w:color w:val="auto"/>
              </w:rPr>
            </w:pPr>
            <w:r>
              <w:rPr>
                <w:rFonts w:ascii="Arial" w:cs="Arial" w:eastAsia="Arial" w:hAnsi="Arial"/>
                <w:sz w:val="14"/>
                <w:szCs w:val="14"/>
                <w:b w:val="1"/>
                <w:bCs w:val="1"/>
                <w:color w:val="auto"/>
              </w:rPr>
              <w:t>price per</w:t>
            </w:r>
          </w:p>
        </w:tc>
        <w:tc>
          <w:tcPr>
            <w:tcW w:w="32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9"/>
              </w:rPr>
              <w:t>offering</w:t>
            </w:r>
          </w:p>
        </w:tc>
        <w:tc>
          <w:tcPr>
            <w:tcW w:w="260" w:type="dxa"/>
            <w:vAlign w:val="bottom"/>
          </w:tcPr>
          <w:p>
            <w:pPr>
              <w:spacing w:after="0"/>
              <w:rPr>
                <w:sz w:val="13"/>
                <w:szCs w:val="13"/>
                <w:color w:val="auto"/>
              </w:rPr>
            </w:pPr>
          </w:p>
        </w:tc>
        <w:tc>
          <w:tcPr>
            <w:tcW w:w="1120" w:type="dxa"/>
            <w:vAlign w:val="bottom"/>
          </w:tcPr>
          <w:p>
            <w:pPr>
              <w:jc w:val="center"/>
              <w:ind w:right="189"/>
              <w:spacing w:after="0" w:line="159" w:lineRule="exact"/>
              <w:rPr>
                <w:sz w:val="20"/>
                <w:szCs w:val="20"/>
                <w:color w:val="auto"/>
              </w:rPr>
            </w:pPr>
            <w:r>
              <w:rPr>
                <w:rFonts w:ascii="Arial" w:cs="Arial" w:eastAsia="Arial" w:hAnsi="Arial"/>
                <w:sz w:val="14"/>
                <w:szCs w:val="14"/>
                <w:b w:val="1"/>
                <w:bCs w:val="1"/>
                <w:color w:val="auto"/>
              </w:rPr>
              <w:t>registration</w:t>
            </w:r>
          </w:p>
        </w:tc>
      </w:tr>
      <w:tr>
        <w:trPr>
          <w:trHeight w:val="179"/>
        </w:trPr>
        <w:tc>
          <w:tcPr>
            <w:tcW w:w="5720" w:type="dxa"/>
            <w:vAlign w:val="bottom"/>
            <w:tcBorders>
              <w:bottom w:val="single" w:sz="8" w:color="auto"/>
              <w:right w:val="single" w:sz="8" w:color="auto"/>
            </w:tcBorders>
          </w:tcPr>
          <w:p>
            <w:pPr>
              <w:ind w:left="1860"/>
              <w:spacing w:after="0"/>
              <w:rPr>
                <w:sz w:val="20"/>
                <w:szCs w:val="20"/>
                <w:color w:val="auto"/>
              </w:rPr>
            </w:pPr>
            <w:r>
              <w:rPr>
                <w:rFonts w:ascii="Arial" w:cs="Arial" w:eastAsia="Arial" w:hAnsi="Arial"/>
                <w:sz w:val="14"/>
                <w:szCs w:val="14"/>
                <w:b w:val="1"/>
                <w:bCs w:val="1"/>
                <w:color w:val="auto"/>
              </w:rPr>
              <w:t>of securities to be registered</w:t>
            </w:r>
          </w:p>
        </w:tc>
        <w:tc>
          <w:tcPr>
            <w:tcW w:w="138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rPr>
              <w:t>registered</w:t>
            </w:r>
            <w:r>
              <w:rPr>
                <w:rFonts w:ascii="Arial" w:cs="Arial" w:eastAsia="Arial" w:hAnsi="Arial"/>
                <w:sz w:val="20"/>
                <w:szCs w:val="20"/>
                <w:b w:val="1"/>
                <w:bCs w:val="1"/>
                <w:color w:val="auto"/>
                <w:vertAlign w:val="superscript"/>
              </w:rPr>
              <w:t>(1)(2)</w:t>
            </w:r>
          </w:p>
        </w:tc>
        <w:tc>
          <w:tcPr>
            <w:tcW w:w="1060" w:type="dxa"/>
            <w:vAlign w:val="bottom"/>
            <w:tcBorders>
              <w:bottom w:val="single" w:sz="8" w:color="auto"/>
            </w:tcBorders>
          </w:tcPr>
          <w:p>
            <w:pPr>
              <w:jc w:val="center"/>
              <w:ind w:left="210"/>
              <w:spacing w:after="0" w:line="179" w:lineRule="exact"/>
              <w:rPr>
                <w:sz w:val="20"/>
                <w:szCs w:val="20"/>
                <w:color w:val="auto"/>
              </w:rPr>
            </w:pPr>
            <w:r>
              <w:rPr>
                <w:rFonts w:ascii="Arial" w:cs="Arial" w:eastAsia="Arial" w:hAnsi="Arial"/>
                <w:sz w:val="12"/>
                <w:szCs w:val="12"/>
                <w:b w:val="1"/>
                <w:bCs w:val="1"/>
                <w:color w:val="auto"/>
              </w:rPr>
              <w:t>security</w:t>
            </w:r>
            <w:r>
              <w:rPr>
                <w:rFonts w:ascii="Arial" w:cs="Arial" w:eastAsia="Arial" w:hAnsi="Arial"/>
                <w:sz w:val="20"/>
                <w:szCs w:val="20"/>
                <w:b w:val="1"/>
                <w:bCs w:val="1"/>
                <w:color w:val="auto"/>
                <w:vertAlign w:val="superscript"/>
              </w:rPr>
              <w:t>(3)</w:t>
            </w:r>
          </w:p>
        </w:tc>
        <w:tc>
          <w:tcPr>
            <w:tcW w:w="32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20"/>
                <w:szCs w:val="20"/>
                <w:b w:val="1"/>
                <w:bCs w:val="1"/>
                <w:color w:val="auto"/>
                <w:vertAlign w:val="subscript"/>
              </w:rPr>
              <w:t>price</w:t>
            </w:r>
            <w:r>
              <w:rPr>
                <w:rFonts w:ascii="Arial" w:cs="Arial" w:eastAsia="Arial" w:hAnsi="Arial"/>
                <w:sz w:val="10"/>
                <w:szCs w:val="10"/>
                <w:b w:val="1"/>
                <w:bCs w:val="1"/>
                <w:color w:val="auto"/>
              </w:rPr>
              <w:t>(3)(4)</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9"/>
              <w:spacing w:after="0" w:line="179" w:lineRule="exact"/>
              <w:rPr>
                <w:sz w:val="20"/>
                <w:szCs w:val="20"/>
                <w:color w:val="auto"/>
              </w:rPr>
            </w:pPr>
            <w:r>
              <w:rPr>
                <w:rFonts w:ascii="Arial" w:cs="Arial" w:eastAsia="Arial" w:hAnsi="Arial"/>
                <w:sz w:val="12"/>
                <w:szCs w:val="12"/>
                <w:b w:val="1"/>
                <w:bCs w:val="1"/>
                <w:color w:val="auto"/>
              </w:rPr>
              <w:t>fee</w:t>
            </w:r>
            <w:r>
              <w:rPr>
                <w:rFonts w:ascii="Arial" w:cs="Arial" w:eastAsia="Arial" w:hAnsi="Arial"/>
                <w:sz w:val="20"/>
                <w:szCs w:val="20"/>
                <w:b w:val="1"/>
                <w:bCs w:val="1"/>
                <w:color w:val="auto"/>
                <w:vertAlign w:val="superscript"/>
              </w:rPr>
              <w:t>(5)</w:t>
            </w:r>
          </w:p>
        </w:tc>
      </w:tr>
      <w:tr>
        <w:trPr>
          <w:trHeight w:val="169"/>
        </w:trPr>
        <w:tc>
          <w:tcPr>
            <w:tcW w:w="5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Common Stock, par value $0.0001 per share</w:t>
            </w:r>
          </w:p>
        </w:tc>
        <w:tc>
          <w:tcPr>
            <w:tcW w:w="13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5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Preferred Stock, par value $0.0001 per share</w:t>
            </w:r>
          </w:p>
        </w:tc>
        <w:tc>
          <w:tcPr>
            <w:tcW w:w="13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5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Debt Securities</w:t>
            </w:r>
          </w:p>
        </w:tc>
        <w:tc>
          <w:tcPr>
            <w:tcW w:w="13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5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Depositary Shares</w:t>
            </w:r>
          </w:p>
        </w:tc>
        <w:tc>
          <w:tcPr>
            <w:tcW w:w="13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5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Warrants</w:t>
            </w:r>
          </w:p>
        </w:tc>
        <w:tc>
          <w:tcPr>
            <w:tcW w:w="13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5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Subscription Rights</w:t>
            </w:r>
          </w:p>
        </w:tc>
        <w:tc>
          <w:tcPr>
            <w:tcW w:w="13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5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Purchase Contracts</w:t>
            </w:r>
          </w:p>
        </w:tc>
        <w:tc>
          <w:tcPr>
            <w:tcW w:w="13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5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Units</w:t>
            </w:r>
          </w:p>
        </w:tc>
        <w:tc>
          <w:tcPr>
            <w:tcW w:w="13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5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13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    300,000,000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27,810</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left="480" w:hanging="472"/>
        <w:spacing w:after="0" w:line="211" w:lineRule="auto"/>
        <w:tabs>
          <w:tab w:leader="none" w:pos="48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color w:val="auto"/>
        </w:rPr>
        <w:t>The securities registered hereunder include such indeterminate number of (a) shares of common stock, (b) shares of preferred stock, (c) debt securities, (d) depositary shares, (e) warrants to purchase common stock, preferred stock, debt securities or depositary shares of the registrant, (f) subscription rights to purchase common stock, preferred stock, debt securities, depositary shares, warrants or units consisting of some or all of these securities of the registrant, (g) purchase contracts, and (h) units consisting of some or all of these securities, as may be sold from time to time by the registrant. There are also being registered hereunder an indeterminate number of shares of common stock and preferred stock as shall be issuable upon conversion, exchange or exercise of any securities that provide for such issuance.</w:t>
      </w:r>
    </w:p>
    <w:p>
      <w:pPr>
        <w:spacing w:after="0" w:line="1" w:lineRule="exact"/>
        <w:rPr>
          <w:rFonts w:ascii="Arial" w:cs="Arial" w:eastAsia="Arial" w:hAnsi="Arial"/>
          <w:sz w:val="24"/>
          <w:szCs w:val="24"/>
          <w:color w:val="auto"/>
          <w:vertAlign w:val="superscript"/>
        </w:rPr>
      </w:pPr>
    </w:p>
    <w:p>
      <w:pPr>
        <w:ind w:left="480" w:right="20" w:hanging="472"/>
        <w:spacing w:after="0" w:line="182" w:lineRule="auto"/>
        <w:tabs>
          <w:tab w:leader="none" w:pos="480" w:val="left"/>
        </w:tabs>
        <w:numPr>
          <w:ilvl w:val="0"/>
          <w:numId w:val="1"/>
        </w:numPr>
        <w:rPr>
          <w:rFonts w:ascii="Arial" w:cs="Arial" w:eastAsia="Arial" w:hAnsi="Arial"/>
          <w:sz w:val="23"/>
          <w:szCs w:val="23"/>
          <w:color w:val="auto"/>
          <w:vertAlign w:val="superscript"/>
        </w:rPr>
      </w:pPr>
      <w:r>
        <w:rPr>
          <w:rFonts w:ascii="Arial" w:cs="Arial" w:eastAsia="Arial" w:hAnsi="Arial"/>
          <w:sz w:val="14"/>
          <w:szCs w:val="14"/>
          <w:color w:val="auto"/>
        </w:rPr>
        <w:t>Pursuant to Rule 416 under the Securities Act of 1933, as amended, or the Securities Act, this registration statement shall also cover any additional shares of the registrant’s securities that become issuable by reason of any share splits, share dividends or similar transactions.</w:t>
      </w:r>
    </w:p>
    <w:p>
      <w:pPr>
        <w:spacing w:after="0" w:line="1" w:lineRule="exact"/>
        <w:rPr>
          <w:rFonts w:ascii="Arial" w:cs="Arial" w:eastAsia="Arial" w:hAnsi="Arial"/>
          <w:sz w:val="23"/>
          <w:szCs w:val="23"/>
          <w:color w:val="auto"/>
          <w:vertAlign w:val="superscript"/>
        </w:rPr>
      </w:pPr>
    </w:p>
    <w:p>
      <w:pPr>
        <w:jc w:val="both"/>
        <w:ind w:left="480" w:hanging="472"/>
        <w:spacing w:after="0" w:line="162" w:lineRule="exact"/>
        <w:tabs>
          <w:tab w:leader="none" w:pos="48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w:t>
      </w:r>
      <w:r>
        <w:rPr>
          <w:rFonts w:ascii="MS PGothic" w:cs="MS PGothic" w:eastAsia="MS PGothic" w:hAnsi="MS PGothic"/>
          <w:sz w:val="14"/>
          <w:szCs w:val="14"/>
          <w:color w:val="auto"/>
        </w:rPr>
        <w:t>‑</w:t>
      </w:r>
      <w:r>
        <w:rPr>
          <w:rFonts w:ascii="Arial" w:cs="Arial" w:eastAsia="Arial" w:hAnsi="Arial"/>
          <w:sz w:val="14"/>
          <w:szCs w:val="14"/>
          <w:color w:val="auto"/>
        </w:rPr>
        <w:t>3 under the Securities Act. Separate consideration may or may not be received for securities that are issuable on exercise, conversion or exchange of other securities, or that are issued in units.</w:t>
      </w:r>
    </w:p>
    <w:p>
      <w:pPr>
        <w:spacing w:after="0" w:line="2" w:lineRule="exact"/>
        <w:rPr>
          <w:rFonts w:ascii="Arial" w:cs="Arial" w:eastAsia="Arial" w:hAnsi="Arial"/>
          <w:sz w:val="24"/>
          <w:szCs w:val="24"/>
          <w:color w:val="auto"/>
          <w:vertAlign w:val="superscript"/>
        </w:rPr>
      </w:pPr>
    </w:p>
    <w:p>
      <w:pPr>
        <w:ind w:left="480" w:hanging="472"/>
        <w:spacing w:after="0" w:line="182" w:lineRule="auto"/>
        <w:tabs>
          <w:tab w:leader="none" w:pos="480" w:val="left"/>
        </w:tabs>
        <w:numPr>
          <w:ilvl w:val="0"/>
          <w:numId w:val="1"/>
        </w:numPr>
        <w:rPr>
          <w:rFonts w:ascii="Arial" w:cs="Arial" w:eastAsia="Arial" w:hAnsi="Arial"/>
          <w:sz w:val="23"/>
          <w:szCs w:val="23"/>
          <w:color w:val="auto"/>
          <w:vertAlign w:val="superscript"/>
        </w:rPr>
      </w:pPr>
      <w:r>
        <w:rPr>
          <w:rFonts w:ascii="Arial" w:cs="Arial" w:eastAsia="Arial" w:hAnsi="Arial"/>
          <w:sz w:val="14"/>
          <w:szCs w:val="14"/>
          <w:color w:val="auto"/>
        </w:rPr>
        <w:t>Estimated solely for the purpose of calculating the registration fee. Subject to Rule 462(b) under the Securities Act, the aggregate maximum offering price of all securities issued by the registrant pursuant to this registration statement will not exceed $300,000,000.</w:t>
      </w:r>
    </w:p>
    <w:p>
      <w:pPr>
        <w:spacing w:after="0" w:line="1" w:lineRule="exact"/>
        <w:rPr>
          <w:rFonts w:ascii="Arial" w:cs="Arial" w:eastAsia="Arial" w:hAnsi="Arial"/>
          <w:sz w:val="23"/>
          <w:szCs w:val="23"/>
          <w:color w:val="auto"/>
          <w:vertAlign w:val="superscript"/>
        </w:rPr>
      </w:pPr>
    </w:p>
    <w:p>
      <w:pPr>
        <w:ind w:left="480" w:hanging="472"/>
        <w:spacing w:after="0" w:line="189" w:lineRule="auto"/>
        <w:tabs>
          <w:tab w:leader="none" w:pos="480" w:val="left"/>
        </w:tabs>
        <w:numPr>
          <w:ilvl w:val="0"/>
          <w:numId w:val="1"/>
        </w:numPr>
        <w:rPr>
          <w:rFonts w:ascii="Arial" w:cs="Arial" w:eastAsia="Arial" w:hAnsi="Arial"/>
          <w:sz w:val="19"/>
          <w:szCs w:val="19"/>
          <w:color w:val="auto"/>
          <w:vertAlign w:val="superscript"/>
        </w:rPr>
      </w:pPr>
      <w:r>
        <w:rPr>
          <w:rFonts w:ascii="Arial" w:cs="Arial" w:eastAsia="Arial" w:hAnsi="Arial"/>
          <w:sz w:val="12"/>
          <w:szCs w:val="12"/>
          <w:color w:val="auto"/>
        </w:rPr>
        <w:t>Calculated pursuant to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33655</wp:posOffset>
            </wp:positionV>
            <wp:extent cx="1457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266065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 w:name="page3"/>
    <w:bookmarkEnd w:id="2"/>
    <w:p>
      <w:pPr>
        <w:jc w:val="both"/>
        <w:ind w:right="20"/>
        <w:spacing w:after="0"/>
        <w:rPr>
          <w:sz w:val="20"/>
          <w:szCs w:val="20"/>
          <w:color w:val="auto"/>
        </w:rPr>
      </w:pPr>
      <w:r>
        <w:rPr>
          <w:rFonts w:ascii="Arial" w:cs="Arial" w:eastAsia="Arial" w:hAnsi="Arial"/>
          <w:sz w:val="18"/>
          <w:szCs w:val="18"/>
          <w:color w:val="FF0000"/>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FF0000"/>
        </w:rPr>
        <w:t>Subject to Completion, dated November 15, 2021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74930</wp:posOffset>
            </wp:positionV>
            <wp:extent cx="3154680" cy="1569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5468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ATHIRA PHARMA, INC.</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$300,000,000</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Common Stock</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Preferred Stock</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Debt Securities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Depositary Shares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Warrants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Subscription Rights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Purchase Contracts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Units</w:t>
      </w:r>
    </w:p>
    <w:p>
      <w:pPr>
        <w:spacing w:after="0" w:line="179" w:lineRule="exact"/>
        <w:rPr>
          <w:sz w:val="20"/>
          <w:szCs w:val="20"/>
          <w:color w:val="auto"/>
        </w:rPr>
      </w:pPr>
    </w:p>
    <w:p>
      <w:pPr>
        <w:jc w:val="both"/>
        <w:ind w:right="20" w:firstLine="576"/>
        <w:spacing w:after="0" w:line="250" w:lineRule="auto"/>
        <w:rPr>
          <w:sz w:val="20"/>
          <w:szCs w:val="20"/>
          <w:color w:val="auto"/>
        </w:rPr>
      </w:pPr>
      <w:r>
        <w:rPr>
          <w:rFonts w:ascii="Arial" w:cs="Arial" w:eastAsia="Arial" w:hAnsi="Arial"/>
          <w:sz w:val="16"/>
          <w:szCs w:val="16"/>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spacing w:after="0" w:line="149" w:lineRule="exact"/>
        <w:rPr>
          <w:sz w:val="20"/>
          <w:szCs w:val="20"/>
          <w:color w:val="auto"/>
        </w:rPr>
      </w:pPr>
    </w:p>
    <w:p>
      <w:pPr>
        <w:jc w:val="both"/>
        <w:ind w:right="20" w:firstLine="576"/>
        <w:spacing w:after="0" w:line="253" w:lineRule="auto"/>
        <w:rPr>
          <w:sz w:val="20"/>
          <w:szCs w:val="20"/>
          <w:color w:val="auto"/>
        </w:rPr>
      </w:pPr>
      <w:r>
        <w:rPr>
          <w:rFonts w:ascii="Arial" w:cs="Arial" w:eastAsia="Arial" w:hAnsi="Arial"/>
          <w:sz w:val="16"/>
          <w:szCs w:val="16"/>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47" w:lineRule="exact"/>
        <w:rPr>
          <w:sz w:val="20"/>
          <w:szCs w:val="20"/>
          <w:color w:val="auto"/>
        </w:rPr>
      </w:pPr>
    </w:p>
    <w:p>
      <w:pPr>
        <w:jc w:val="both"/>
        <w:ind w:right="20" w:firstLine="576"/>
        <w:spacing w:after="0" w:line="260" w:lineRule="auto"/>
        <w:rPr>
          <w:sz w:val="20"/>
          <w:szCs w:val="20"/>
          <w:color w:val="auto"/>
        </w:rPr>
      </w:pPr>
      <w:r>
        <w:rPr>
          <w:rFonts w:ascii="Arial" w:cs="Arial" w:eastAsia="Arial" w:hAnsi="Arial"/>
          <w:sz w:val="16"/>
          <w:szCs w:val="16"/>
          <w:color w:val="auto"/>
        </w:rPr>
        <w:t>Our common stock is listed on the Nasdaq Global Select Market under the symbol “ATHA.” Each prospectus supplement will indicate whether the securities offered thereby will be listed on any securities exchange.</w:t>
      </w:r>
    </w:p>
    <w:p>
      <w:pPr>
        <w:spacing w:after="0" w:line="141" w:lineRule="exact"/>
        <w:rPr>
          <w:sz w:val="20"/>
          <w:szCs w:val="20"/>
          <w:color w:val="auto"/>
        </w:rPr>
      </w:pPr>
    </w:p>
    <w:p>
      <w:pPr>
        <w:jc w:val="both"/>
        <w:ind w:right="20" w:firstLine="576"/>
        <w:spacing w:after="0" w:line="253" w:lineRule="auto"/>
        <w:rPr>
          <w:sz w:val="20"/>
          <w:szCs w:val="20"/>
          <w:color w:val="auto"/>
        </w:rPr>
      </w:pPr>
      <w:r>
        <w:rPr>
          <w:rFonts w:ascii="Arial" w:cs="Arial" w:eastAsia="Arial" w:hAnsi="Arial"/>
          <w:sz w:val="16"/>
          <w:szCs w:val="16"/>
          <w:color w:val="auto"/>
        </w:rPr>
        <w:t>We are an “emerging growth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127" w:lineRule="exact"/>
        <w:rPr>
          <w:sz w:val="20"/>
          <w:szCs w:val="20"/>
          <w:color w:val="auto"/>
        </w:rPr>
      </w:pPr>
    </w:p>
    <w:p>
      <w:pPr>
        <w:jc w:val="both"/>
        <w:ind w:right="40" w:firstLine="576"/>
        <w:spacing w:after="0" w:line="266" w:lineRule="auto"/>
        <w:rPr>
          <w:sz w:val="20"/>
          <w:szCs w:val="20"/>
          <w:color w:val="auto"/>
        </w:rPr>
      </w:pPr>
      <w:r>
        <w:rPr>
          <w:rFonts w:ascii="Arial" w:cs="Arial" w:eastAsia="Arial" w:hAnsi="Arial"/>
          <w:sz w:val="16"/>
          <w:szCs w:val="16"/>
          <w:b w:val="1"/>
          <w:bCs w:val="1"/>
          <w:color w:val="auto"/>
        </w:rPr>
        <w:t>Investing in these securities involves risks. Please carefully read the information under the headings “Risk Factors” beginning on page 3 of this prospectus and “Item 1A – Risk Factors” of our most recent report on Form 10-K or 10-Q that is incorporated by reference in this prospectus before you invest in our securities.</w:t>
      </w:r>
    </w:p>
    <w:p>
      <w:pPr>
        <w:spacing w:after="0" w:line="117" w:lineRule="exact"/>
        <w:rPr>
          <w:sz w:val="20"/>
          <w:szCs w:val="20"/>
          <w:color w:val="auto"/>
        </w:rPr>
      </w:pPr>
    </w:p>
    <w:p>
      <w:pPr>
        <w:jc w:val="both"/>
        <w:ind w:right="20" w:firstLine="576"/>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40" w:type="dxa"/>
            <w:vAlign w:val="bottom"/>
          </w:tcPr>
          <w:p>
            <w:pPr>
              <w:ind w:left="3920"/>
              <w:spacing w:after="0"/>
              <w:rPr>
                <w:sz w:val="20"/>
                <w:szCs w:val="20"/>
                <w:color w:val="auto"/>
              </w:rPr>
            </w:pPr>
            <w:r>
              <w:rPr>
                <w:rFonts w:ascii="Arial" w:cs="Arial" w:eastAsia="Arial" w:hAnsi="Arial"/>
                <w:sz w:val="16"/>
                <w:szCs w:val="16"/>
                <w:color w:val="auto"/>
              </w:rPr>
              <w:t>The date of this prospectus is</w:t>
            </w:r>
          </w:p>
        </w:tc>
        <w:tc>
          <w:tcPr>
            <w:tcW w:w="4820" w:type="dxa"/>
            <w:vAlign w:val="bottom"/>
          </w:tcPr>
          <w:p>
            <w:pPr>
              <w:jc w:val="right"/>
              <w:ind w:right="3839"/>
              <w:spacing w:after="0"/>
              <w:rPr>
                <w:sz w:val="20"/>
                <w:szCs w:val="20"/>
                <w:color w:val="auto"/>
              </w:rPr>
            </w:pPr>
            <w:r>
              <w:rPr>
                <w:rFonts w:ascii="Arial" w:cs="Arial" w:eastAsia="Arial" w:hAnsi="Arial"/>
                <w:sz w:val="16"/>
                <w:szCs w:val="16"/>
                <w:color w:val="auto"/>
              </w:rPr>
              <w:t>, 2021.</w:t>
            </w:r>
          </w:p>
        </w:tc>
      </w:tr>
      <w:tr>
        <w:trPr>
          <w:trHeight w:val="796"/>
        </w:trPr>
        <w:tc>
          <w:tcPr>
            <w:tcW w:w="64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360" w:type="dxa"/>
            <w:vAlign w:val="bottom"/>
            <w:gridSpan w:val="2"/>
          </w:tcPr>
          <w:p>
            <w:pPr>
              <w:jc w:val="right"/>
              <w:ind w:right="4579"/>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760" w:type="dxa"/>
            <w:vAlign w:val="bottom"/>
            <w:gridSpan w:val="8"/>
            <w:vMerge w:val="restart"/>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About this Prospectus</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760" w:type="dxa"/>
            <w:vAlign w:val="bottom"/>
            <w:tcBorders>
              <w:bottom w:val="single" w:sz="8" w:color="0000EE"/>
            </w:tcBorders>
            <w:gridSpan w:val="8"/>
            <w:vMerge w:val="continue"/>
          </w:tcPr>
          <w:p>
            <w:pPr>
              <w:spacing w:after="0"/>
              <w:rPr>
                <w:sz w:val="14"/>
                <w:szCs w:val="14"/>
                <w:color w:val="auto"/>
              </w:rPr>
            </w:pPr>
          </w:p>
        </w:tc>
        <w:tc>
          <w:tcPr>
            <w:tcW w:w="120" w:type="dxa"/>
            <w:vAlign w:val="bottom"/>
            <w:vMerge w:val="restart"/>
          </w:tcPr>
          <w:p>
            <w:pPr>
              <w:spacing w:after="0"/>
              <w:rPr>
                <w:sz w:val="14"/>
                <w:szCs w:val="14"/>
                <w:color w:val="auto"/>
              </w:rPr>
            </w:pPr>
          </w:p>
        </w:tc>
        <w:tc>
          <w:tcPr>
            <w:tcW w:w="30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65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61"/>
        </w:trPr>
        <w:tc>
          <w:tcPr>
            <w:tcW w:w="1720" w:type="dxa"/>
            <w:vAlign w:val="bottom"/>
            <w:gridSpan w:val="7"/>
            <w:vMerge w:val="restart"/>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Prospectus Summary</w:t>
              </w:r>
            </w:hyperlink>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5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720" w:type="dxa"/>
            <w:vAlign w:val="bottom"/>
            <w:tcBorders>
              <w:bottom w:val="single" w:sz="8" w:color="0000EE"/>
            </w:tcBorders>
            <w:gridSpan w:val="7"/>
            <w:vMerge w:val="continue"/>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30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1"/>
        </w:trPr>
        <w:tc>
          <w:tcPr>
            <w:tcW w:w="1000" w:type="dxa"/>
            <w:vAlign w:val="bottom"/>
            <w:gridSpan w:val="2"/>
            <w:vMerge w:val="restart"/>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Risk Factors</w:t>
              </w:r>
            </w:hyperlink>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000" w:type="dxa"/>
            <w:vAlign w:val="bottom"/>
            <w:tcBorders>
              <w:bottom w:val="single" w:sz="8" w:color="0000EE"/>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2320" w:type="dxa"/>
            <w:vAlign w:val="bottom"/>
            <w:gridSpan w:val="12"/>
            <w:vMerge w:val="restart"/>
          </w:tcPr>
          <w:p>
            <w:pPr>
              <w:spacing w:after="0" w:line="207"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Forward</w:t>
              </w:r>
              <w:r>
                <w:rPr>
                  <w:rFonts w:ascii="MS PGothic" w:cs="MS PGothic" w:eastAsia="MS PGothic" w:hAnsi="MS PGothic"/>
                  <w:sz w:val="18"/>
                  <w:szCs w:val="18"/>
                  <w:color w:val="0000EE"/>
                  <w:w w:val="99"/>
                </w:rPr>
                <w:t>‑</w:t>
              </w:r>
              <w:r>
                <w:rPr>
                  <w:rFonts w:ascii="Arial" w:cs="Arial" w:eastAsia="Arial" w:hAnsi="Arial"/>
                  <w:sz w:val="18"/>
                  <w:szCs w:val="18"/>
                  <w:color w:val="0000EE"/>
                  <w:w w:val="99"/>
                </w:rPr>
                <w:t>Looking Statements</w:t>
              </w:r>
            </w:hyperlink>
          </w:p>
        </w:tc>
        <w:tc>
          <w:tcPr>
            <w:tcW w:w="6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320" w:type="dxa"/>
            <w:vAlign w:val="bottom"/>
            <w:tcBorders>
              <w:bottom w:val="single" w:sz="8" w:color="0000EE"/>
            </w:tcBorders>
            <w:gridSpan w:val="12"/>
            <w:vMerge w:val="continue"/>
          </w:tcPr>
          <w:p>
            <w:pPr>
              <w:spacing w:after="0"/>
              <w:rPr>
                <w:sz w:val="14"/>
                <w:szCs w:val="14"/>
                <w:color w:val="auto"/>
              </w:rPr>
            </w:pPr>
          </w:p>
        </w:tc>
        <w:tc>
          <w:tcPr>
            <w:tcW w:w="6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1340" w:type="dxa"/>
            <w:vAlign w:val="bottom"/>
            <w:gridSpan w:val="4"/>
            <w:vMerge w:val="restart"/>
          </w:tcPr>
          <w:p>
            <w:pP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Use of Proceeds</w:t>
              </w:r>
            </w:hyperlink>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gridSpan w:val="3"/>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340" w:type="dxa"/>
            <w:vAlign w:val="bottom"/>
            <w:tcBorders>
              <w:bottom w:val="single" w:sz="8" w:color="0000EE"/>
            </w:tcBorders>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1"/>
        </w:trPr>
        <w:tc>
          <w:tcPr>
            <w:tcW w:w="2220" w:type="dxa"/>
            <w:vAlign w:val="bottom"/>
            <w:gridSpan w:val="11"/>
            <w:vMerge w:val="restart"/>
          </w:tcPr>
          <w:p>
            <w:pP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Description of Capital Stock</w:t>
              </w:r>
            </w:hyperlink>
          </w:p>
        </w:tc>
        <w:tc>
          <w:tcPr>
            <w:tcW w:w="16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220" w:type="dxa"/>
            <w:vAlign w:val="bottom"/>
            <w:tcBorders>
              <w:bottom w:val="single" w:sz="8" w:color="0000EE"/>
            </w:tcBorders>
            <w:gridSpan w:val="11"/>
            <w:vMerge w:val="continue"/>
          </w:tcPr>
          <w:p>
            <w:pPr>
              <w:spacing w:after="0"/>
              <w:rPr>
                <w:sz w:val="14"/>
                <w:szCs w:val="14"/>
                <w:color w:val="auto"/>
              </w:rPr>
            </w:pPr>
          </w:p>
        </w:tc>
        <w:tc>
          <w:tcPr>
            <w:tcW w:w="160" w:type="dxa"/>
            <w:vAlign w:val="bottom"/>
            <w:gridSpan w:val="2"/>
          </w:tcPr>
          <w:p>
            <w:pPr>
              <w:spacing w:after="0"/>
              <w:rPr>
                <w:sz w:val="14"/>
                <w:szCs w:val="14"/>
                <w:color w:val="auto"/>
              </w:rPr>
            </w:pPr>
          </w:p>
        </w:tc>
        <w:tc>
          <w:tcPr>
            <w:tcW w:w="2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1"/>
        </w:trPr>
        <w:tc>
          <w:tcPr>
            <w:tcW w:w="2380" w:type="dxa"/>
            <w:vAlign w:val="bottom"/>
            <w:gridSpan w:val="13"/>
            <w:vMerge w:val="restart"/>
          </w:tcPr>
          <w:p>
            <w:pP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Description of Debt Securities</w:t>
              </w:r>
            </w:hyperlink>
          </w:p>
        </w:tc>
        <w:tc>
          <w:tcPr>
            <w:tcW w:w="2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380" w:type="dxa"/>
            <w:vAlign w:val="bottom"/>
            <w:tcBorders>
              <w:bottom w:val="single" w:sz="8" w:color="0000EE"/>
            </w:tcBorders>
            <w:gridSpan w:val="13"/>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1"/>
        </w:trPr>
        <w:tc>
          <w:tcPr>
            <w:tcW w:w="2640" w:type="dxa"/>
            <w:vAlign w:val="bottom"/>
            <w:gridSpan w:val="14"/>
            <w:vMerge w:val="restart"/>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Description of Depositary Shares</w:t>
              </w:r>
            </w:hyperlink>
          </w:p>
        </w:tc>
        <w:tc>
          <w:tcPr>
            <w:tcW w:w="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640" w:type="dxa"/>
            <w:vAlign w:val="bottom"/>
            <w:tcBorders>
              <w:bottom w:val="single" w:sz="8" w:color="0000EE"/>
            </w:tcBorders>
            <w:gridSpan w:val="14"/>
            <w:vMerge w:val="continue"/>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61"/>
        </w:trPr>
        <w:tc>
          <w:tcPr>
            <w:tcW w:w="1880" w:type="dxa"/>
            <w:vAlign w:val="bottom"/>
            <w:gridSpan w:val="9"/>
            <w:vMerge w:val="restart"/>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Description of Warrants</w:t>
              </w:r>
            </w:hyperlink>
          </w:p>
        </w:tc>
        <w:tc>
          <w:tcPr>
            <w:tcW w:w="300" w:type="dxa"/>
            <w:vAlign w:val="bottom"/>
          </w:tcPr>
          <w:p>
            <w:pPr>
              <w:spacing w:after="0"/>
              <w:rPr>
                <w:sz w:val="5"/>
                <w:szCs w:val="5"/>
                <w:color w:val="auto"/>
              </w:rPr>
            </w:pPr>
          </w:p>
        </w:tc>
        <w:tc>
          <w:tcPr>
            <w:tcW w:w="460" w:type="dxa"/>
            <w:vAlign w:val="bottom"/>
            <w:gridSpan w:val="4"/>
          </w:tcPr>
          <w:p>
            <w:pPr>
              <w:spacing w:after="0"/>
              <w:rPr>
                <w:sz w:val="5"/>
                <w:szCs w:val="5"/>
                <w:color w:val="auto"/>
              </w:rPr>
            </w:pPr>
          </w:p>
        </w:tc>
        <w:tc>
          <w:tcPr>
            <w:tcW w:w="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880" w:type="dxa"/>
            <w:vAlign w:val="bottom"/>
            <w:tcBorders>
              <w:bottom w:val="single" w:sz="8" w:color="0000EE"/>
            </w:tcBorders>
            <w:gridSpan w:val="9"/>
            <w:vMerge w:val="continue"/>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gridSpan w:val="5"/>
          </w:tcPr>
          <w:p>
            <w:pPr>
              <w:spacing w:after="0"/>
              <w:rPr>
                <w:sz w:val="14"/>
                <w:szCs w:val="14"/>
                <w:color w:val="auto"/>
              </w:rPr>
            </w:pPr>
          </w:p>
        </w:tc>
        <w:tc>
          <w:tcPr>
            <w:tcW w:w="4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1"/>
        </w:trPr>
        <w:tc>
          <w:tcPr>
            <w:tcW w:w="2700" w:type="dxa"/>
            <w:vAlign w:val="bottom"/>
            <w:gridSpan w:val="15"/>
            <w:vMerge w:val="restart"/>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Description of Subscription Rights</w:t>
              </w:r>
            </w:hyperlink>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700" w:type="dxa"/>
            <w:vAlign w:val="bottom"/>
            <w:tcBorders>
              <w:bottom w:val="single" w:sz="8" w:color="0000EE"/>
            </w:tcBorders>
            <w:gridSpan w:val="15"/>
            <w:vMerge w:val="continue"/>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1"/>
        </w:trPr>
        <w:tc>
          <w:tcPr>
            <w:tcW w:w="2740" w:type="dxa"/>
            <w:vAlign w:val="bottom"/>
            <w:gridSpan w:val="16"/>
            <w:vMerge w:val="restart"/>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Description of Purchase Contracts</w:t>
              </w:r>
            </w:hyperlink>
          </w:p>
        </w:tc>
        <w:tc>
          <w:tcPr>
            <w:tcW w:w="3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740" w:type="dxa"/>
            <w:vAlign w:val="bottom"/>
            <w:tcBorders>
              <w:bottom w:val="single" w:sz="8" w:color="0000EE"/>
            </w:tcBorders>
            <w:gridSpan w:val="16"/>
            <w:vMerge w:val="continue"/>
          </w:tcPr>
          <w:p>
            <w:pPr>
              <w:spacing w:after="0"/>
              <w:rPr>
                <w:sz w:val="14"/>
                <w:szCs w:val="14"/>
                <w:color w:val="auto"/>
              </w:rPr>
            </w:pPr>
          </w:p>
        </w:tc>
        <w:tc>
          <w:tcPr>
            <w:tcW w:w="340" w:type="dxa"/>
            <w:vAlign w:val="bottom"/>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61"/>
        </w:trPr>
        <w:tc>
          <w:tcPr>
            <w:tcW w:w="1560" w:type="dxa"/>
            <w:vAlign w:val="bottom"/>
            <w:gridSpan w:val="6"/>
            <w:vMerge w:val="restart"/>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Description of Units</w:t>
              </w:r>
            </w:hyperlink>
          </w:p>
        </w:tc>
        <w:tc>
          <w:tcPr>
            <w:tcW w:w="620" w:type="dxa"/>
            <w:vAlign w:val="bottom"/>
            <w:gridSpan w:val="4"/>
          </w:tcPr>
          <w:p>
            <w:pPr>
              <w:spacing w:after="0"/>
              <w:rPr>
                <w:sz w:val="5"/>
                <w:szCs w:val="5"/>
                <w:color w:val="auto"/>
              </w:rPr>
            </w:pPr>
          </w:p>
        </w:tc>
        <w:tc>
          <w:tcPr>
            <w:tcW w:w="560" w:type="dxa"/>
            <w:vAlign w:val="bottom"/>
            <w:gridSpan w:val="6"/>
          </w:tcPr>
          <w:p>
            <w:pPr>
              <w:spacing w:after="0"/>
              <w:rPr>
                <w:sz w:val="5"/>
                <w:szCs w:val="5"/>
                <w:color w:val="auto"/>
              </w:rPr>
            </w:pPr>
          </w:p>
        </w:tc>
        <w:tc>
          <w:tcPr>
            <w:tcW w:w="3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560" w:type="dxa"/>
            <w:vAlign w:val="bottom"/>
            <w:tcBorders>
              <w:bottom w:val="single" w:sz="8" w:color="0000EE"/>
            </w:tcBorders>
            <w:gridSpan w:val="6"/>
            <w:vMerge w:val="continue"/>
          </w:tcPr>
          <w:p>
            <w:pPr>
              <w:spacing w:after="0"/>
              <w:rPr>
                <w:sz w:val="14"/>
                <w:szCs w:val="14"/>
                <w:color w:val="auto"/>
              </w:rPr>
            </w:pPr>
          </w:p>
        </w:tc>
        <w:tc>
          <w:tcPr>
            <w:tcW w:w="620" w:type="dxa"/>
            <w:vAlign w:val="bottom"/>
            <w:gridSpan w:val="4"/>
            <w:vMerge w:val="restart"/>
          </w:tcPr>
          <w:p>
            <w:pPr>
              <w:spacing w:after="0"/>
              <w:rPr>
                <w:sz w:val="14"/>
                <w:szCs w:val="14"/>
                <w:color w:val="auto"/>
              </w:rPr>
            </w:pPr>
          </w:p>
        </w:tc>
        <w:tc>
          <w:tcPr>
            <w:tcW w:w="900" w:type="dxa"/>
            <w:vAlign w:val="bottom"/>
            <w:gridSpan w:val="7"/>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61"/>
        </w:trPr>
        <w:tc>
          <w:tcPr>
            <w:tcW w:w="1520" w:type="dxa"/>
            <w:vAlign w:val="bottom"/>
            <w:gridSpan w:val="5"/>
            <w:vMerge w:val="restart"/>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Plan of Distribution</w:t>
              </w:r>
            </w:hyperlink>
          </w:p>
        </w:tc>
        <w:tc>
          <w:tcPr>
            <w:tcW w:w="40" w:type="dxa"/>
            <w:vAlign w:val="bottom"/>
          </w:tcPr>
          <w:p>
            <w:pPr>
              <w:spacing w:after="0"/>
              <w:rPr>
                <w:sz w:val="5"/>
                <w:szCs w:val="5"/>
                <w:color w:val="auto"/>
              </w:rPr>
            </w:pPr>
          </w:p>
        </w:tc>
        <w:tc>
          <w:tcPr>
            <w:tcW w:w="620" w:type="dxa"/>
            <w:vAlign w:val="bottom"/>
            <w:gridSpan w:val="4"/>
            <w:vMerge w:val="continue"/>
          </w:tcPr>
          <w:p>
            <w:pPr>
              <w:spacing w:after="0"/>
              <w:rPr>
                <w:sz w:val="5"/>
                <w:szCs w:val="5"/>
                <w:color w:val="auto"/>
              </w:rPr>
            </w:pPr>
          </w:p>
        </w:tc>
        <w:tc>
          <w:tcPr>
            <w:tcW w:w="900" w:type="dxa"/>
            <w:vAlign w:val="bottom"/>
            <w:gridSpan w:val="7"/>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520" w:type="dxa"/>
            <w:vAlign w:val="bottom"/>
            <w:tcBorders>
              <w:bottom w:val="single" w:sz="8" w:color="0000EE"/>
            </w:tcBorders>
            <w:gridSpan w:val="5"/>
            <w:vMerge w:val="continue"/>
          </w:tcPr>
          <w:p>
            <w:pPr>
              <w:spacing w:after="0"/>
              <w:rPr>
                <w:sz w:val="14"/>
                <w:szCs w:val="14"/>
                <w:color w:val="auto"/>
              </w:rPr>
            </w:pPr>
          </w:p>
        </w:tc>
        <w:tc>
          <w:tcPr>
            <w:tcW w:w="660" w:type="dxa"/>
            <w:vAlign w:val="bottom"/>
            <w:gridSpan w:val="5"/>
            <w:vMerge w:val="restart"/>
          </w:tcPr>
          <w:p>
            <w:pPr>
              <w:spacing w:after="0"/>
              <w:rPr>
                <w:sz w:val="14"/>
                <w:szCs w:val="14"/>
                <w:color w:val="auto"/>
              </w:rPr>
            </w:pPr>
          </w:p>
        </w:tc>
        <w:tc>
          <w:tcPr>
            <w:tcW w:w="900" w:type="dxa"/>
            <w:vAlign w:val="bottom"/>
            <w:gridSpan w:val="7"/>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61"/>
        </w:trPr>
        <w:tc>
          <w:tcPr>
            <w:tcW w:w="1100" w:type="dxa"/>
            <w:vAlign w:val="bottom"/>
            <w:gridSpan w:val="3"/>
            <w:vMerge w:val="restart"/>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Legal Matters</w:t>
              </w:r>
            </w:hyperlink>
          </w:p>
        </w:tc>
        <w:tc>
          <w:tcPr>
            <w:tcW w:w="420" w:type="dxa"/>
            <w:vAlign w:val="bottom"/>
            <w:gridSpan w:val="2"/>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900" w:type="dxa"/>
            <w:vAlign w:val="bottom"/>
            <w:gridSpan w:val="7"/>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100" w:type="dxa"/>
            <w:vAlign w:val="bottom"/>
            <w:tcBorders>
              <w:bottom w:val="single" w:sz="8" w:color="0000EE"/>
            </w:tcBorders>
            <w:gridSpan w:val="3"/>
            <w:vMerge w:val="continue"/>
          </w:tcPr>
          <w:p>
            <w:pPr>
              <w:spacing w:after="0"/>
              <w:rPr>
                <w:sz w:val="14"/>
                <w:szCs w:val="14"/>
                <w:color w:val="auto"/>
              </w:rPr>
            </w:pPr>
          </w:p>
        </w:tc>
        <w:tc>
          <w:tcPr>
            <w:tcW w:w="1080" w:type="dxa"/>
            <w:vAlign w:val="bottom"/>
            <w:gridSpan w:val="7"/>
            <w:vMerge w:val="restart"/>
          </w:tcPr>
          <w:p>
            <w:pPr>
              <w:spacing w:after="0"/>
              <w:rPr>
                <w:sz w:val="14"/>
                <w:szCs w:val="14"/>
                <w:color w:val="auto"/>
              </w:rPr>
            </w:pPr>
          </w:p>
        </w:tc>
        <w:tc>
          <w:tcPr>
            <w:tcW w:w="900" w:type="dxa"/>
            <w:vAlign w:val="bottom"/>
            <w:gridSpan w:val="7"/>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1"/>
        </w:trPr>
        <w:tc>
          <w:tcPr>
            <w:tcW w:w="620" w:type="dxa"/>
            <w:vAlign w:val="bottom"/>
            <w:vMerge w:val="restart"/>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Experts</w:t>
              </w:r>
            </w:hyperlink>
          </w:p>
        </w:tc>
        <w:tc>
          <w:tcPr>
            <w:tcW w:w="480" w:type="dxa"/>
            <w:vAlign w:val="bottom"/>
            <w:gridSpan w:val="2"/>
          </w:tcPr>
          <w:p>
            <w:pPr>
              <w:spacing w:after="0"/>
              <w:rPr>
                <w:sz w:val="5"/>
                <w:szCs w:val="5"/>
                <w:color w:val="auto"/>
              </w:rPr>
            </w:pPr>
          </w:p>
        </w:tc>
        <w:tc>
          <w:tcPr>
            <w:tcW w:w="1080" w:type="dxa"/>
            <w:vAlign w:val="bottom"/>
            <w:gridSpan w:val="7"/>
            <w:vMerge w:val="continue"/>
          </w:tcPr>
          <w:p>
            <w:pPr>
              <w:spacing w:after="0"/>
              <w:rPr>
                <w:sz w:val="5"/>
                <w:szCs w:val="5"/>
                <w:color w:val="auto"/>
              </w:rPr>
            </w:pPr>
          </w:p>
        </w:tc>
        <w:tc>
          <w:tcPr>
            <w:tcW w:w="900" w:type="dxa"/>
            <w:vAlign w:val="bottom"/>
            <w:gridSpan w:val="7"/>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20" w:type="dxa"/>
            <w:vAlign w:val="bottom"/>
            <w:tcBorders>
              <w:bottom w:val="single" w:sz="8" w:color="0000EE"/>
            </w:tcBorders>
            <w:vMerge w:val="continue"/>
          </w:tcPr>
          <w:p>
            <w:pPr>
              <w:spacing w:after="0"/>
              <w:rPr>
                <w:sz w:val="14"/>
                <w:szCs w:val="14"/>
                <w:color w:val="auto"/>
              </w:rPr>
            </w:pPr>
          </w:p>
        </w:tc>
        <w:tc>
          <w:tcPr>
            <w:tcW w:w="1560" w:type="dxa"/>
            <w:vAlign w:val="bottom"/>
            <w:gridSpan w:val="9"/>
          </w:tcPr>
          <w:p>
            <w:pPr>
              <w:spacing w:after="0"/>
              <w:rPr>
                <w:sz w:val="14"/>
                <w:szCs w:val="14"/>
                <w:color w:val="auto"/>
              </w:rPr>
            </w:pPr>
          </w:p>
        </w:tc>
        <w:tc>
          <w:tcPr>
            <w:tcW w:w="900" w:type="dxa"/>
            <w:vAlign w:val="bottom"/>
            <w:gridSpan w:val="7"/>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1"/>
        </w:trPr>
        <w:tc>
          <w:tcPr>
            <w:tcW w:w="3080" w:type="dxa"/>
            <w:vAlign w:val="bottom"/>
            <w:gridSpan w:val="17"/>
            <w:vMerge w:val="restart"/>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Where You Can Find More Information</w:t>
              </w:r>
            </w:hyperlink>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080" w:type="dxa"/>
            <w:vAlign w:val="bottom"/>
            <w:tcBorders>
              <w:bottom w:val="single" w:sz="8" w:color="0000EE"/>
            </w:tcBorders>
            <w:gridSpan w:val="17"/>
            <w:vMerge w:val="continue"/>
          </w:tcPr>
          <w:p>
            <w:pPr>
              <w:spacing w:after="0"/>
              <w:rPr>
                <w:sz w:val="14"/>
                <w:szCs w:val="14"/>
                <w:color w:val="auto"/>
              </w:rPr>
            </w:pPr>
          </w:p>
        </w:tc>
        <w:tc>
          <w:tcPr>
            <w:tcW w:w="800" w:type="dxa"/>
            <w:vAlign w:val="bottom"/>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61"/>
        </w:trPr>
        <w:tc>
          <w:tcPr>
            <w:tcW w:w="2180" w:type="dxa"/>
            <w:vAlign w:val="bottom"/>
            <w:gridSpan w:val="10"/>
            <w:vMerge w:val="restart"/>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Incorporation by Reference</w:t>
              </w:r>
            </w:hyperlink>
          </w:p>
        </w:tc>
        <w:tc>
          <w:tcPr>
            <w:tcW w:w="900" w:type="dxa"/>
            <w:vAlign w:val="bottom"/>
            <w:gridSpan w:val="7"/>
          </w:tcPr>
          <w:p>
            <w:pPr>
              <w:spacing w:after="0"/>
              <w:rPr>
                <w:sz w:val="5"/>
                <w:szCs w:val="5"/>
                <w:color w:val="auto"/>
              </w:rPr>
            </w:pPr>
          </w:p>
        </w:tc>
        <w:tc>
          <w:tcPr>
            <w:tcW w:w="800" w:type="dxa"/>
            <w:vAlign w:val="bottom"/>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180" w:type="dxa"/>
            <w:vAlign w:val="bottom"/>
            <w:tcBorders>
              <w:bottom w:val="single" w:sz="8" w:color="0000EE"/>
            </w:tcBorders>
            <w:gridSpan w:val="10"/>
            <w:vMerge w:val="continue"/>
          </w:tcPr>
          <w:p>
            <w:pPr>
              <w:spacing w:after="0"/>
              <w:rPr>
                <w:sz w:val="14"/>
                <w:szCs w:val="14"/>
                <w:color w:val="auto"/>
              </w:rPr>
            </w:pPr>
          </w:p>
        </w:tc>
        <w:tc>
          <w:tcPr>
            <w:tcW w:w="1700" w:type="dxa"/>
            <w:vAlign w:val="bottom"/>
            <w:gridSpan w:val="8"/>
            <w:vMerge w:val="restart"/>
          </w:tcPr>
          <w:p>
            <w:pPr>
              <w:spacing w:after="0"/>
              <w:rPr>
                <w:sz w:val="14"/>
                <w:szCs w:val="14"/>
                <w:color w:val="auto"/>
              </w:rPr>
            </w:pPr>
          </w:p>
        </w:tc>
        <w:tc>
          <w:tcPr>
            <w:tcW w:w="7360" w:type="dxa"/>
            <w:vAlign w:val="bottom"/>
            <w:gridSpan w:val="2"/>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61"/>
        </w:trPr>
        <w:tc>
          <w:tcPr>
            <w:tcW w:w="2180" w:type="dxa"/>
            <w:vAlign w:val="bottom"/>
            <w:gridSpan w:val="10"/>
          </w:tcPr>
          <w:p>
            <w:pPr>
              <w:spacing w:after="0"/>
              <w:rPr>
                <w:sz w:val="5"/>
                <w:szCs w:val="5"/>
                <w:color w:val="auto"/>
              </w:rPr>
            </w:pPr>
          </w:p>
        </w:tc>
        <w:tc>
          <w:tcPr>
            <w:tcW w:w="1700" w:type="dxa"/>
            <w:vAlign w:val="bottom"/>
            <w:gridSpan w:val="8"/>
            <w:vMerge w:val="continue"/>
          </w:tcPr>
          <w:p>
            <w:pPr>
              <w:spacing w:after="0"/>
              <w:rPr>
                <w:sz w:val="5"/>
                <w:szCs w:val="5"/>
                <w:color w:val="auto"/>
              </w:rPr>
            </w:pPr>
          </w:p>
        </w:tc>
        <w:tc>
          <w:tcPr>
            <w:tcW w:w="7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w:t>
      </w:r>
    </w:p>
    <w:p>
      <w:pPr>
        <w:spacing w:after="0" w:line="203"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“Where You Can Find More Information.”</w:t>
      </w:r>
    </w:p>
    <w:p>
      <w:pPr>
        <w:spacing w:after="0" w:line="202" w:lineRule="exact"/>
        <w:rPr>
          <w:sz w:val="20"/>
          <w:szCs w:val="20"/>
          <w:color w:val="auto"/>
        </w:rPr>
      </w:pPr>
    </w:p>
    <w:p>
      <w:pPr>
        <w:jc w:val="both"/>
        <w:ind w:firstLine="576"/>
        <w:spacing w:after="0" w:line="236" w:lineRule="auto"/>
        <w:rPr>
          <w:sz w:val="20"/>
          <w:szCs w:val="20"/>
          <w:color w:val="auto"/>
        </w:rPr>
      </w:pPr>
      <w:r>
        <w:rPr>
          <w:rFonts w:ascii="Arial" w:cs="Arial" w:eastAsia="Arial" w:hAnsi="Arial"/>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733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733925"/>
                    </a:xfrm>
                    <a:prstGeom prst="rect">
                      <a:avLst/>
                    </a:prstGeom>
                    <a:noFill/>
                  </pic:spPr>
                </pic:pic>
              </a:graphicData>
            </a:graphic>
          </wp:anchor>
        </w:drawing>
        <w:t>PROSPECTUS SUMMARY</w:t>
      </w:r>
    </w:p>
    <w:p>
      <w:pPr>
        <w:spacing w:after="0" w:line="216" w:lineRule="exact"/>
        <w:rPr>
          <w:sz w:val="20"/>
          <w:szCs w:val="20"/>
          <w:color w:val="auto"/>
        </w:rPr>
      </w:pPr>
    </w:p>
    <w:p>
      <w:pPr>
        <w:jc w:val="both"/>
        <w:ind w:firstLine="559"/>
        <w:spacing w:after="0"/>
        <w:rPr>
          <w:sz w:val="20"/>
          <w:szCs w:val="20"/>
          <w:color w:val="auto"/>
        </w:rPr>
      </w:pPr>
      <w:r>
        <w:rPr>
          <w:rFonts w:ascii="Arial" w:cs="Arial" w:eastAsia="Arial" w:hAnsi="Arial"/>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“ATHIRA PHARMA, INC.,” “we,” “our” and “us” refer, collectively, to ATHIRA PHARMA, INC., a Delaware corporation, and its subsidiaries taken as a whole.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4" w:lineRule="exact"/>
        <w:rPr>
          <w:sz w:val="20"/>
          <w:szCs w:val="20"/>
          <w:color w:val="auto"/>
        </w:rPr>
      </w:pPr>
    </w:p>
    <w:p>
      <w:pPr>
        <w:jc w:val="both"/>
        <w:ind w:firstLine="559"/>
        <w:spacing w:after="0" w:line="236"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w:t>
      </w:r>
    </w:p>
    <w:p>
      <w:pPr>
        <w:spacing w:after="0" w:line="208" w:lineRule="exact"/>
        <w:rPr>
          <w:sz w:val="20"/>
          <w:szCs w:val="20"/>
          <w:color w:val="auto"/>
        </w:rPr>
      </w:pPr>
    </w:p>
    <w:p>
      <w:pPr>
        <w:jc w:val="both"/>
        <w:ind w:firstLine="559"/>
        <w:spacing w:after="0" w:line="235" w:lineRule="auto"/>
        <w:rPr>
          <w:sz w:val="20"/>
          <w:szCs w:val="20"/>
          <w:color w:val="auto"/>
        </w:rPr>
      </w:pPr>
      <w:r>
        <w:rPr>
          <w:rFonts w:ascii="Arial" w:cs="Arial" w:eastAsia="Arial" w:hAnsi="Arial"/>
          <w:sz w:val="18"/>
          <w:szCs w:val="18"/>
          <w:color w:val="auto"/>
        </w:rPr>
        <w:t>Our lead candidate, ATH-1017, is a subcutaneous administered, BBB-penetrating, small molecule HGF/MET positive modulator. In our Phase 1a/1b clinical trial, ATH-1017 for the treatment of Alzheimer’s disease, or AD, was well tolerated with no serious adverse events. This clinical trial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our Phase 2/3 clinical trial for ATH-1017 that may provide pivotal data in support of registration, for the treatment of mild-to-moderate AD, with topline results expected by the end of 2022. In November 2020, we also initiated ACT-AD, a P300 Phase 2 clinical trial, in mild-to-moderate AD to better understand the overall effects of ATH-1017 on working memory processing speed and cognitive measures, with topline results expected in the first half of 2022. In July 2021, we announced that we are enrolling patients into an open-label extension study for our LIFT-AD and ACT-AD clinical trials, which will allow us to collect up to one year of safety and efficacy data on ATH-1017. In October 2021, we announced that we completed patient enrollment in our ACT-AD clinical trial. Beyond AD, we believe that ATH-1017 can potentially address the broader dementia patient population.</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53340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500" w:top="252" w:right="499" w:bottom="1440" w:gutter="0" w:footer="0" w:header="0"/>
        </w:sectPr>
      </w:pPr>
    </w:p>
    <w:bookmarkStart w:id="6" w:name="page7"/>
    <w:bookmarkEnd w:id="6"/>
    <w:p>
      <w:pPr>
        <w:jc w:val="both"/>
        <w:ind w:firstLine="559"/>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748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6748780"/>
                    </a:xfrm>
                    <a:prstGeom prst="rect">
                      <a:avLst/>
                    </a:prstGeom>
                    <a:noFill/>
                  </pic:spPr>
                </pic:pic>
              </a:graphicData>
            </a:graphic>
          </wp:anchor>
        </w:drawing>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hanging="454"/>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4"/>
          <w:szCs w:val="14"/>
          <w:color w:val="auto"/>
        </w:rPr>
        <w:t>RoA: route of administration; SC: subcutaneous; PO: oral.</w:t>
      </w:r>
    </w:p>
    <w:p>
      <w:pPr>
        <w:spacing w:after="0" w:line="16" w:lineRule="exact"/>
        <w:rPr>
          <w:rFonts w:ascii="Arial" w:cs="Arial" w:eastAsia="Arial" w:hAnsi="Arial"/>
          <w:sz w:val="15"/>
          <w:szCs w:val="15"/>
          <w:color w:val="auto"/>
        </w:rPr>
      </w:pPr>
    </w:p>
    <w:p>
      <w:pPr>
        <w:ind w:left="460" w:hanging="454"/>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4"/>
          <w:szCs w:val="14"/>
          <w:color w:val="auto"/>
        </w:rPr>
        <w:t>ATH-1017 for AD is in a Phase 2/3 clinical trial that may provide pivotal data in support of registration based on discussions with FDA.</w:t>
      </w:r>
    </w:p>
    <w:p>
      <w:pPr>
        <w:spacing w:after="0" w:line="3" w:lineRule="exact"/>
        <w:rPr>
          <w:rFonts w:ascii="Arial" w:cs="Arial" w:eastAsia="Arial" w:hAnsi="Arial"/>
          <w:sz w:val="15"/>
          <w:szCs w:val="15"/>
          <w:color w:val="auto"/>
        </w:rPr>
      </w:pPr>
    </w:p>
    <w:p>
      <w:pPr>
        <w:ind w:left="460" w:hanging="454"/>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4"/>
          <w:szCs w:val="14"/>
          <w:color w:val="auto"/>
        </w:rPr>
        <w:t>PPD clinical development of ATH-1017 will be based on results from our Phase 1a/1b trial and include all required regulatory filings.</w:t>
      </w:r>
    </w:p>
    <w:p>
      <w:pPr>
        <w:spacing w:after="0" w:line="213" w:lineRule="exact"/>
        <w:rPr>
          <w:sz w:val="20"/>
          <w:szCs w:val="20"/>
          <w:color w:val="auto"/>
        </w:rPr>
      </w:pPr>
    </w:p>
    <w:p>
      <w:pPr>
        <w:jc w:val="both"/>
        <w:ind w:firstLine="559"/>
        <w:spacing w:after="0" w:line="246"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jc w:val="both"/>
        <w:ind w:firstLine="559"/>
        <w:spacing w:after="0" w:line="238"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(206) 221-8115. Our website is www.athira.com. Information contained in, or that can be accessed through, our website is not a part of, and is not incorporated into, this prospectus, and the inclusion of our website address in this prospectus is an inactive textual reference only.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That May Be Offered</w:t>
      </w:r>
    </w:p>
    <w:p>
      <w:pPr>
        <w:spacing w:after="0" w:line="126" w:lineRule="exact"/>
        <w:rPr>
          <w:sz w:val="20"/>
          <w:szCs w:val="20"/>
          <w:color w:val="auto"/>
        </w:rPr>
      </w:pPr>
    </w:p>
    <w:p>
      <w:pPr>
        <w:jc w:val="both"/>
        <w:ind w:firstLine="559"/>
        <w:spacing w:after="0" w:line="238" w:lineRule="auto"/>
        <w:rPr>
          <w:sz w:val="20"/>
          <w:szCs w:val="20"/>
          <w:color w:val="auto"/>
        </w:rPr>
      </w:pPr>
      <w:r>
        <w:rPr>
          <w:rFonts w:ascii="Arial" w:cs="Arial" w:eastAsia="Arial" w:hAnsi="Arial"/>
          <w:sz w:val="18"/>
          <w:szCs w:val="18"/>
          <w:color w:val="auto"/>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202" w:lineRule="exact"/>
        <w:rPr>
          <w:sz w:val="20"/>
          <w:szCs w:val="20"/>
          <w:color w:val="auto"/>
        </w:rPr>
      </w:pPr>
    </w:p>
    <w:p>
      <w:pPr>
        <w:jc w:val="both"/>
        <w:ind w:firstLine="559"/>
        <w:spacing w:after="0" w:line="246" w:lineRule="auto"/>
        <w:rPr>
          <w:sz w:val="20"/>
          <w:szCs w:val="20"/>
          <w:color w:val="auto"/>
        </w:rPr>
      </w:pPr>
      <w:r>
        <w:rPr>
          <w:rFonts w:ascii="Arial" w:cs="Arial" w:eastAsia="Arial" w:hAnsi="Arial"/>
          <w:sz w:val="18"/>
          <w:szCs w:val="18"/>
          <w:color w:val="auto"/>
        </w:rPr>
        <w:t>The securities may be sold to or through underwriters, dealers or agents or directly to purchasers or as otherwise set forth in the section of this prospectus captioned “Plan of Distribution.” Each prospectus</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53340</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500" w:top="733" w:right="499" w:bottom="1440" w:gutter="0" w:footer="0" w:header="0"/>
        </w:sectPr>
      </w:pPr>
    </w:p>
    <w:bookmarkStart w:id="7" w:name="page8"/>
    <w:bookmarkEnd w:id="7"/>
    <w:p>
      <w:pPr>
        <w:jc w:val="both"/>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440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6440170"/>
                    </a:xfrm>
                    <a:prstGeom prst="rect">
                      <a:avLst/>
                    </a:prstGeom>
                    <a:noFill/>
                  </pic:spPr>
                </pic:pic>
              </a:graphicData>
            </a:graphic>
          </wp:anchor>
        </w:drawing>
        <w:t>supplement will set forth the names of any underwriters, dealers, agents or other entities involved in the sale of securities described in that prospectus supplement and any applicable fee, commission or discount arrangements with them.</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w:t>
      </w:r>
    </w:p>
    <w:p>
      <w:pPr>
        <w:spacing w:after="0" w:line="126" w:lineRule="exact"/>
        <w:rPr>
          <w:sz w:val="20"/>
          <w:szCs w:val="20"/>
          <w:color w:val="auto"/>
        </w:rPr>
      </w:pPr>
    </w:p>
    <w:p>
      <w:pPr>
        <w:jc w:val="both"/>
        <w:ind w:firstLine="559"/>
        <w:spacing w:after="0" w:line="238" w:lineRule="auto"/>
        <w:rPr>
          <w:sz w:val="20"/>
          <w:szCs w:val="20"/>
          <w:color w:val="auto"/>
        </w:rPr>
      </w:pPr>
      <w:r>
        <w:rPr>
          <w:rFonts w:ascii="Arial" w:cs="Arial" w:eastAsia="Arial" w:hAnsi="Arial"/>
          <w:sz w:val="18"/>
          <w:szCs w:val="18"/>
          <w:color w:val="auto"/>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6" w:lineRule="exact"/>
        <w:rPr>
          <w:sz w:val="20"/>
          <w:szCs w:val="20"/>
          <w:color w:val="auto"/>
        </w:rPr>
      </w:pPr>
    </w:p>
    <w:p>
      <w:pPr>
        <w:jc w:val="both"/>
        <w:ind w:firstLine="559"/>
        <w:spacing w:after="0" w:line="237" w:lineRule="auto"/>
        <w:rPr>
          <w:sz w:val="20"/>
          <w:szCs w:val="20"/>
          <w:color w:val="auto"/>
        </w:rPr>
      </w:pPr>
      <w:r>
        <w:rPr>
          <w:rFonts w:ascii="Arial" w:cs="Arial" w:eastAsia="Arial" w:hAnsi="Arial"/>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Depositary Shares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issue fractional shares of preferred stock that will be represented by depositary shares and depositary receipts.</w:t>
      </w:r>
    </w:p>
    <w:p>
      <w:pPr>
        <w:spacing w:after="0" w:line="212" w:lineRule="exact"/>
        <w:rPr>
          <w:sz w:val="20"/>
          <w:szCs w:val="20"/>
          <w:color w:val="auto"/>
        </w:rPr>
      </w:pPr>
    </w:p>
    <w:p>
      <w:pPr>
        <w:jc w:val="both"/>
        <w:ind w:firstLine="559"/>
        <w:spacing w:after="0"/>
        <w:rPr>
          <w:sz w:val="20"/>
          <w:szCs w:val="20"/>
          <w:color w:val="auto"/>
        </w:rPr>
      </w:pPr>
      <w:r>
        <w:rPr>
          <w:rFonts w:ascii="Arial" w:cs="Arial" w:eastAsia="Arial" w:hAnsi="Arial"/>
          <w:sz w:val="18"/>
          <w:szCs w:val="18"/>
          <w:color w:val="auto"/>
        </w:rPr>
        <w:t>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Debt Securities</w:t>
      </w:r>
    </w:p>
    <w:p>
      <w:pPr>
        <w:spacing w:after="0" w:line="126" w:lineRule="exact"/>
        <w:rPr>
          <w:sz w:val="20"/>
          <w:szCs w:val="20"/>
          <w:color w:val="auto"/>
        </w:rPr>
      </w:pPr>
    </w:p>
    <w:p>
      <w:pPr>
        <w:jc w:val="both"/>
        <w:ind w:firstLine="559"/>
        <w:spacing w:after="0" w:line="237"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205" w:lineRule="exact"/>
        <w:rPr>
          <w:sz w:val="20"/>
          <w:szCs w:val="20"/>
          <w:color w:val="auto"/>
        </w:rPr>
      </w:pPr>
    </w:p>
    <w:p>
      <w:pPr>
        <w:jc w:val="both"/>
        <w:ind w:firstLine="559"/>
        <w:spacing w:after="0" w:line="238" w:lineRule="auto"/>
        <w:rPr>
          <w:sz w:val="20"/>
          <w:szCs w:val="20"/>
          <w:color w:val="auto"/>
        </w:rPr>
      </w:pPr>
      <w:r>
        <w:rPr>
          <w:rFonts w:ascii="Arial" w:cs="Arial" w:eastAsia="Arial" w:hAnsi="Arial"/>
          <w:sz w:val="18"/>
          <w:szCs w:val="18"/>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Warrants</w:t>
      </w:r>
    </w:p>
    <w:p>
      <w:pPr>
        <w:spacing w:after="0" w:line="126" w:lineRule="exact"/>
        <w:rPr>
          <w:sz w:val="20"/>
          <w:szCs w:val="20"/>
          <w:color w:val="auto"/>
        </w:rPr>
      </w:pPr>
    </w:p>
    <w:p>
      <w:pPr>
        <w:jc w:val="both"/>
        <w:ind w:firstLine="559"/>
        <w:spacing w:after="0" w:line="246" w:lineRule="auto"/>
        <w:rPr>
          <w:sz w:val="20"/>
          <w:szCs w:val="20"/>
          <w:color w:val="auto"/>
        </w:rPr>
      </w:pPr>
      <w:r>
        <w:rPr>
          <w:rFonts w:ascii="Arial" w:cs="Arial" w:eastAsia="Arial" w:hAnsi="Arial"/>
          <w:sz w:val="18"/>
          <w:szCs w:val="18"/>
          <w:color w:val="auto"/>
        </w:rPr>
        <w:t xml:space="preserve">We may offer warrants for the purchase of </w:t>
      </w:r>
      <w:r>
        <w:rPr>
          <w:rFonts w:ascii="Arial" w:cs="Arial" w:eastAsia="Arial" w:hAnsi="Arial"/>
          <w:sz w:val="18"/>
          <w:szCs w:val="18"/>
          <w:color w:val="auto"/>
          <w:highlight w:val="white"/>
        </w:rPr>
        <w:t>common stock, preferred stock, debt securities or depositary shares.</w:t>
      </w:r>
      <w:r>
        <w:rPr>
          <w:rFonts w:ascii="Arial" w:cs="Arial" w:eastAsia="Arial" w:hAnsi="Arial"/>
          <w:sz w:val="18"/>
          <w:szCs w:val="18"/>
          <w:color w:val="auto"/>
        </w:rPr>
        <w:t xml:space="preserve"> We may offer warrants independently or together with other securities.</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53340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500" w:top="733" w:right="499" w:bottom="1440" w:gutter="0" w:footer="0" w:header="0"/>
        </w:sectPr>
      </w:pPr>
    </w:p>
    <w:bookmarkStart w:id="8" w:name="page9"/>
    <w:bookmarkEnd w:id="8"/>
    <w:p>
      <w:pPr>
        <w:ind w:left="5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531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531110"/>
                    </a:xfrm>
                    <a:prstGeom prst="rect">
                      <a:avLst/>
                    </a:prstGeom>
                    <a:noFill/>
                  </pic:spPr>
                </pic:pic>
              </a:graphicData>
            </a:graphic>
          </wp:anchor>
        </w:drawing>
        <w:t>Subscription Rights</w:t>
      </w:r>
    </w:p>
    <w:p>
      <w:pPr>
        <w:spacing w:after="0" w:line="126" w:lineRule="exact"/>
        <w:rPr>
          <w:sz w:val="20"/>
          <w:szCs w:val="20"/>
          <w:color w:val="auto"/>
        </w:rPr>
      </w:pPr>
    </w:p>
    <w:p>
      <w:pPr>
        <w:jc w:val="both"/>
        <w:ind w:firstLine="559"/>
        <w:spacing w:after="0"/>
        <w:rPr>
          <w:sz w:val="20"/>
          <w:szCs w:val="20"/>
          <w:color w:val="auto"/>
        </w:rPr>
      </w:pPr>
      <w:r>
        <w:rPr>
          <w:rFonts w:ascii="Arial" w:cs="Arial" w:eastAsia="Arial" w:hAnsi="Arial"/>
          <w:sz w:val="18"/>
          <w:szCs w:val="18"/>
          <w:color w:val="auto"/>
        </w:rPr>
        <w:t xml:space="preserve">We may offer subscription rights to purchase our </w:t>
      </w:r>
      <w:r>
        <w:rPr>
          <w:rFonts w:ascii="Arial" w:cs="Arial" w:eastAsia="Arial" w:hAnsi="Arial"/>
          <w:sz w:val="18"/>
          <w:szCs w:val="18"/>
          <w:color w:val="auto"/>
          <w:highlight w:val="white"/>
        </w:rPr>
        <w:t>common stock, preferred stock, debt securities, depositary shares, warrants or</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units consisting of some or all of these securities. </w:t>
      </w:r>
      <w:r>
        <w:rPr>
          <w:rFonts w:ascii="Arial" w:cs="Arial" w:eastAsia="Arial" w:hAnsi="Arial"/>
          <w:sz w:val="18"/>
          <w:szCs w:val="18"/>
          <w:color w:val="auto"/>
        </w:rPr>
        <w:t>These subscription rights may be offered independently or together with any other</w:t>
      </w:r>
      <w:r>
        <w:rPr>
          <w:rFonts w:ascii="Arial" w:cs="Arial" w:eastAsia="Arial" w:hAnsi="Arial"/>
          <w:sz w:val="18"/>
          <w:szCs w:val="18"/>
          <w:color w:val="auto"/>
          <w:highlight w:val="white"/>
        </w:rPr>
        <w:t xml:space="preserve"> </w:t>
      </w:r>
      <w:r>
        <w:rPr>
          <w:rFonts w:ascii="Arial" w:cs="Arial" w:eastAsia="Arial" w:hAnsi="Arial"/>
          <w:sz w:val="18"/>
          <w:szCs w:val="18"/>
          <w:color w:val="auto"/>
        </w:rPr>
        <w:t>security offered hereby and may or may not be transferable by the stockholder receiving the subscription rights in such offering.</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Purchase Contracts</w:t>
      </w:r>
    </w:p>
    <w:p>
      <w:pPr>
        <w:spacing w:after="0" w:line="126" w:lineRule="exact"/>
        <w:rPr>
          <w:sz w:val="20"/>
          <w:szCs w:val="20"/>
          <w:color w:val="auto"/>
        </w:rPr>
      </w:pPr>
    </w:p>
    <w:p>
      <w:pPr>
        <w:jc w:val="both"/>
        <w:ind w:firstLine="559"/>
        <w:spacing w:after="0" w:line="246" w:lineRule="auto"/>
        <w:rPr>
          <w:sz w:val="20"/>
          <w:szCs w:val="20"/>
          <w:color w:val="auto"/>
        </w:rPr>
      </w:pPr>
      <w:r>
        <w:rPr>
          <w:rFonts w:ascii="Arial" w:cs="Arial" w:eastAsia="Arial" w:hAnsi="Arial"/>
          <w:sz w:val="18"/>
          <w:szCs w:val="18"/>
          <w:color w:val="auto"/>
        </w:rPr>
        <w:t>We may offer purchase contracts, including contracts obligating holders or us to purchase from the other a specific or variable number of securities at a future date or dates.</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offer units comprised of one or more of the other classes of securities described in this prospectus in any combination.</w:t>
      </w:r>
    </w:p>
    <w:p>
      <w:pPr>
        <w:spacing w:after="0"/>
        <w:rPr>
          <w:sz w:val="20"/>
          <w:szCs w:val="20"/>
          <w:color w:val="auto"/>
        </w:rPr>
      </w:pPr>
      <w:r>
        <w:rPr>
          <w:rFonts w:ascii="Arial" w:cs="Arial" w:eastAsia="Arial" w:hAnsi="Arial"/>
          <w:sz w:val="18"/>
          <w:szCs w:val="18"/>
          <w:color w:val="auto"/>
        </w:rPr>
        <w:t>Each unit will be issued so that the holder of the unit is also the holder of each security included in the unit.</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53340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500" w:top="819" w:right="4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3" w:lineRule="exact"/>
        <w:rPr>
          <w:sz w:val="20"/>
          <w:szCs w:val="20"/>
          <w:color w:val="auto"/>
        </w:rPr>
      </w:pPr>
    </w:p>
    <w:p>
      <w:pPr>
        <w:jc w:val="both"/>
        <w:ind w:firstLine="576"/>
        <w:spacing w:after="0" w:line="236" w:lineRule="auto"/>
        <w:rPr>
          <w:sz w:val="20"/>
          <w:szCs w:val="20"/>
          <w:color w:val="auto"/>
        </w:rPr>
      </w:pPr>
      <w:r>
        <w:rPr>
          <w:rFonts w:ascii="Arial" w:cs="Arial" w:eastAsia="Arial" w:hAnsi="Arial"/>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 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84"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234" w:lineRule="exact"/>
        <w:rPr>
          <w:sz w:val="20"/>
          <w:szCs w:val="20"/>
          <w:color w:val="auto"/>
        </w:rPr>
      </w:pPr>
    </w:p>
    <w:p>
      <w:pPr>
        <w:jc w:val="both"/>
        <w:ind w:firstLine="576"/>
        <w:spacing w:after="0" w:line="236" w:lineRule="auto"/>
        <w:rPr>
          <w:sz w:val="20"/>
          <w:szCs w:val="20"/>
          <w:color w:val="auto"/>
        </w:rPr>
      </w:pPr>
      <w:r>
        <w:rPr>
          <w:rFonts w:ascii="Arial" w:cs="Arial" w:eastAsia="Arial" w:hAnsi="Arial"/>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or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205"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205"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202"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jc w:val="both"/>
        <w:ind w:firstLine="576"/>
        <w:spacing w:after="0" w:line="236" w:lineRule="auto"/>
        <w:rPr>
          <w:sz w:val="20"/>
          <w:szCs w:val="20"/>
          <w:color w:val="auto"/>
        </w:rPr>
      </w:pPr>
      <w:r>
        <w:rPr>
          <w:rFonts w:ascii="Arial" w:cs="Arial" w:eastAsia="Arial" w:hAnsi="Arial"/>
          <w:sz w:val="18"/>
          <w:szCs w:val="18"/>
          <w:color w:val="auto"/>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 We may also use a portion of the net proceeds to acquire, license or invest in complementary products, technologies or businesses; however, we currently have no agreements or commitments to complete any such transaction. The expected use of net proceeds of this offering represents our current intentions based on our present plans and business conditions. We cannot specify with certainty all of the particular uses for the net proceeds to be received upon the closing of this offering. Pending these uses, we plan to invest the net proceeds of this offering in short- and intermediate-term, interest-bearing obligations, investment-grade instruments, certificates of deposit or direct or guaranteed obligations of the U.S. government.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34" w:lineRule="exact"/>
        <w:rPr>
          <w:sz w:val="20"/>
          <w:szCs w:val="20"/>
          <w:color w:val="auto"/>
        </w:rPr>
      </w:pPr>
    </w:p>
    <w:p>
      <w:pPr>
        <w:jc w:val="both"/>
        <w:ind w:right="20" w:firstLine="576"/>
        <w:spacing w:after="0" w:line="210" w:lineRule="exact"/>
        <w:rPr>
          <w:sz w:val="20"/>
          <w:szCs w:val="20"/>
          <w:color w:val="auto"/>
        </w:rPr>
      </w:pPr>
      <w:r>
        <w:rPr>
          <w:rFonts w:ascii="Arial" w:cs="Arial" w:eastAsia="Arial" w:hAnsi="Arial"/>
          <w:sz w:val="18"/>
          <w:szCs w:val="18"/>
          <w:color w:val="auto"/>
        </w:rPr>
        <w:t>The description of our capital stock is incorporated by reference to Exhibit 4.3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2020, filed with the SEC on March 25, 2021.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34"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205"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205"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205"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97" w:lineRule="exact"/>
        <w:rPr>
          <w:sz w:val="20"/>
          <w:szCs w:val="20"/>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7" w:lineRule="exact"/>
        <w:rPr>
          <w:rFonts w:ascii="Arial" w:cs="Arial" w:eastAsia="Arial" w:hAnsi="Arial"/>
          <w:sz w:val="18"/>
          <w:szCs w:val="18"/>
          <w:color w:val="auto"/>
        </w:rPr>
      </w:pPr>
    </w:p>
    <w:p>
      <w:pPr>
        <w:jc w:val="both"/>
        <w:ind w:left="800" w:hanging="225"/>
        <w:spacing w:after="0" w:line="23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6" w:lineRule="exact"/>
        <w:rPr>
          <w:rFonts w:ascii="Arial" w:cs="Arial" w:eastAsia="Arial" w:hAnsi="Arial"/>
          <w:sz w:val="18"/>
          <w:szCs w:val="18"/>
          <w:color w:val="auto"/>
        </w:rPr>
      </w:pPr>
    </w:p>
    <w:p>
      <w:pPr>
        <w:jc w:val="both"/>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94"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both"/>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94"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88"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17"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88" w:lineRule="exact"/>
        <w:rPr>
          <w:rFonts w:ascii="Arial" w:cs="Arial" w:eastAsia="Arial" w:hAnsi="Arial"/>
          <w:sz w:val="18"/>
          <w:szCs w:val="18"/>
          <w:color w:val="auto"/>
        </w:rPr>
      </w:pPr>
    </w:p>
    <w:p>
      <w:pPr>
        <w:jc w:val="both"/>
        <w:ind w:left="800" w:right="2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94"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88" w:lineRule="exact"/>
        <w:rPr>
          <w:rFonts w:ascii="Arial" w:cs="Arial" w:eastAsia="Arial" w:hAnsi="Arial"/>
          <w:sz w:val="18"/>
          <w:szCs w:val="18"/>
          <w:color w:val="auto"/>
        </w:rPr>
      </w:pPr>
    </w:p>
    <w:p>
      <w:pPr>
        <w:jc w:val="both"/>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94" w:lineRule="exact"/>
        <w:rPr>
          <w:rFonts w:ascii="Arial" w:cs="Arial" w:eastAsia="Arial" w:hAnsi="Arial"/>
          <w:sz w:val="18"/>
          <w:szCs w:val="18"/>
          <w:color w:val="auto"/>
        </w:rPr>
      </w:pPr>
    </w:p>
    <w:p>
      <w:pPr>
        <w:jc w:val="both"/>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94"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17" w:lineRule="exact"/>
        <w:rPr>
          <w:rFonts w:ascii="Arial" w:cs="Arial" w:eastAsia="Arial" w:hAnsi="Arial"/>
          <w:sz w:val="18"/>
          <w:szCs w:val="18"/>
          <w:color w:val="auto"/>
        </w:rPr>
      </w:pPr>
    </w:p>
    <w:p>
      <w:pPr>
        <w:jc w:val="both"/>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94"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described in this prospectus or in the indenture with respect to the debt securities;</w:t>
      </w:r>
    </w:p>
    <w:p>
      <w:pPr>
        <w:spacing w:after="0" w:line="88"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88" w:lineRule="exact"/>
        <w:rPr>
          <w:rFonts w:ascii="Arial" w:cs="Arial" w:eastAsia="Arial" w:hAnsi="Arial"/>
          <w:sz w:val="18"/>
          <w:szCs w:val="18"/>
          <w:color w:val="auto"/>
        </w:rPr>
      </w:pPr>
    </w:p>
    <w:p>
      <w:pPr>
        <w:jc w:val="both"/>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94"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97"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203"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 w:name="page14"/>
    <w:bookmarkEnd w:id="13"/>
    <w:p>
      <w:pPr>
        <w:jc w:val="both"/>
        <w:spacing w:after="0" w:line="246" w:lineRule="auto"/>
        <w:rPr>
          <w:sz w:val="20"/>
          <w:szCs w:val="20"/>
          <w:color w:val="auto"/>
        </w:rPr>
      </w:pPr>
      <w:r>
        <w:rPr>
          <w:rFonts w:ascii="Arial" w:cs="Arial" w:eastAsia="Arial" w:hAnsi="Arial"/>
          <w:sz w:val="18"/>
          <w:szCs w:val="18"/>
          <w:color w:val="auto"/>
        </w:rPr>
        <w:t>information with respect to that issue of debt securities and such foreign currency or currencies or foreign currency unit or units in the applicable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6"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26"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203"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Debt Securities and Book-Entry System</w:t>
      </w:r>
    </w:p>
    <w:p>
      <w:pPr>
        <w:spacing w:after="0" w:line="126" w:lineRule="exact"/>
        <w:rPr>
          <w:sz w:val="20"/>
          <w:szCs w:val="20"/>
          <w:color w:val="auto"/>
        </w:rPr>
      </w:pPr>
    </w:p>
    <w:p>
      <w:pPr>
        <w:jc w:val="both"/>
        <w:ind w:firstLine="576"/>
        <w:spacing w:after="0" w:line="246" w:lineRule="auto"/>
        <w:rPr>
          <w:sz w:val="20"/>
          <w:szCs w:val="20"/>
          <w:color w:val="auto"/>
        </w:rPr>
      </w:pPr>
      <w:r>
        <w:rPr>
          <w:rFonts w:ascii="Arial" w:cs="Arial" w:eastAsia="Arial" w:hAnsi="Arial"/>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6"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6" w:lineRule="exact"/>
        <w:rPr>
          <w:sz w:val="20"/>
          <w:szCs w:val="20"/>
          <w:color w:val="auto"/>
        </w:rPr>
      </w:pPr>
    </w:p>
    <w:p>
      <w:pPr>
        <w:jc w:val="both"/>
        <w:ind w:firstLine="576"/>
        <w:spacing w:after="0" w:line="246"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89" w:lineRule="exact"/>
        <w:rPr>
          <w:sz w:val="20"/>
          <w:szCs w:val="20"/>
          <w:color w:val="auto"/>
        </w:rPr>
      </w:pPr>
    </w:p>
    <w:p>
      <w:pPr>
        <w:ind w:left="800" w:hanging="225"/>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Events of Default</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04" w:lineRule="exact"/>
        <w:rPr>
          <w:sz w:val="20"/>
          <w:szCs w:val="20"/>
          <w:color w:val="auto"/>
        </w:rPr>
      </w:pPr>
    </w:p>
    <w:p>
      <w:pPr>
        <w:jc w:val="both"/>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94" w:lineRule="exact"/>
        <w:rPr>
          <w:rFonts w:ascii="Arial" w:cs="Arial" w:eastAsia="Arial" w:hAnsi="Arial"/>
          <w:sz w:val="18"/>
          <w:szCs w:val="18"/>
          <w:color w:val="auto"/>
        </w:rPr>
      </w:pPr>
    </w:p>
    <w:p>
      <w:pPr>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17" w:lineRule="exact"/>
        <w:rPr>
          <w:rFonts w:ascii="Arial" w:cs="Arial" w:eastAsia="Arial" w:hAnsi="Arial"/>
          <w:sz w:val="18"/>
          <w:szCs w:val="18"/>
          <w:color w:val="auto"/>
        </w:rPr>
      </w:pPr>
    </w:p>
    <w:p>
      <w:pPr>
        <w:jc w:val="both"/>
        <w:ind w:left="800" w:hanging="225"/>
        <w:spacing w:after="0" w:line="23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94" w:lineRule="exact"/>
        <w:rPr>
          <w:rFonts w:ascii="Arial" w:cs="Arial" w:eastAsia="Arial" w:hAnsi="Arial"/>
          <w:sz w:val="18"/>
          <w:szCs w:val="18"/>
          <w:color w:val="auto"/>
        </w:rPr>
      </w:pPr>
    </w:p>
    <w:p>
      <w:pPr>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us; and</w:t>
      </w:r>
    </w:p>
    <w:p>
      <w:pPr>
        <w:spacing w:after="0" w:line="117"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w:t>
      </w:r>
    </w:p>
    <w:p>
      <w:pPr>
        <w:spacing w:after="0" w:line="197"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205"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203" w:lineRule="exact"/>
        <w:rPr>
          <w:sz w:val="20"/>
          <w:szCs w:val="20"/>
          <w:color w:val="auto"/>
        </w:rPr>
      </w:pPr>
    </w:p>
    <w:p>
      <w:pPr>
        <w:jc w:val="both"/>
        <w:ind w:firstLine="576"/>
        <w:spacing w:after="0" w:line="236" w:lineRule="auto"/>
        <w:rPr>
          <w:sz w:val="20"/>
          <w:szCs w:val="20"/>
          <w:color w:val="auto"/>
        </w:rPr>
      </w:pPr>
      <w:r>
        <w:rPr>
          <w:rFonts w:ascii="Arial" w:cs="Arial" w:eastAsia="Arial" w:hAnsi="Arial"/>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576"/>
        <w:spacing w:after="0" w:line="238"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202" w:lineRule="exact"/>
        <w:rPr>
          <w:sz w:val="20"/>
          <w:szCs w:val="20"/>
          <w:color w:val="auto"/>
        </w:rPr>
      </w:pPr>
    </w:p>
    <w:p>
      <w:pPr>
        <w:jc w:val="both"/>
        <w:ind w:firstLine="576"/>
        <w:spacing w:after="0" w:line="246"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89" w:lineRule="exact"/>
        <w:rPr>
          <w:sz w:val="20"/>
          <w:szCs w:val="20"/>
          <w:color w:val="auto"/>
        </w:rPr>
      </w:pPr>
    </w:p>
    <w:p>
      <w:pPr>
        <w:ind w:left="800" w:right="20" w:hanging="225"/>
        <w:spacing w:after="0" w:line="246"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88" w:lineRule="exact"/>
        <w:rPr>
          <w:rFonts w:ascii="Arial" w:cs="Arial" w:eastAsia="Arial" w:hAnsi="Arial"/>
          <w:sz w:val="18"/>
          <w:szCs w:val="18"/>
          <w:color w:val="auto"/>
        </w:rPr>
      </w:pPr>
    </w:p>
    <w:p>
      <w:pPr>
        <w:jc w:val="both"/>
        <w:ind w:left="800" w:hanging="225"/>
        <w:spacing w:after="0" w:line="23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205"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203"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6" w:lineRule="exact"/>
        <w:rPr>
          <w:sz w:val="20"/>
          <w:szCs w:val="20"/>
          <w:color w:val="auto"/>
        </w:rPr>
      </w:pPr>
    </w:p>
    <w:p>
      <w:pPr>
        <w:jc w:val="both"/>
        <w:ind w:firstLine="576"/>
        <w:spacing w:after="0" w:line="246"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89" w:lineRule="exact"/>
        <w:rPr>
          <w:sz w:val="20"/>
          <w:szCs w:val="20"/>
          <w:color w:val="auto"/>
        </w:rPr>
      </w:pPr>
    </w:p>
    <w:p>
      <w:pPr>
        <w:ind w:left="800" w:hanging="22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ind w:left="800" w:hanging="225"/>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debt securities of any series as permitted by the indenture;</w:t>
      </w:r>
    </w:p>
    <w:p>
      <w:pPr>
        <w:spacing w:after="0" w:line="88"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88"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197"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95" w:lineRule="exact"/>
        <w:rPr>
          <w:sz w:val="20"/>
          <w:szCs w:val="20"/>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17"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17" w:lineRule="exact"/>
        <w:rPr>
          <w:rFonts w:ascii="Arial" w:cs="Arial" w:eastAsia="Arial" w:hAnsi="Arial"/>
          <w:sz w:val="18"/>
          <w:szCs w:val="18"/>
          <w:color w:val="auto"/>
        </w:rPr>
      </w:pPr>
    </w:p>
    <w:p>
      <w:pPr>
        <w:jc w:val="both"/>
        <w:ind w:left="800" w:right="2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94"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117" w:lineRule="exact"/>
        <w:rPr>
          <w:rFonts w:ascii="Arial" w:cs="Arial" w:eastAsia="Arial" w:hAnsi="Arial"/>
          <w:sz w:val="18"/>
          <w:szCs w:val="18"/>
          <w:color w:val="auto"/>
        </w:rPr>
      </w:pPr>
    </w:p>
    <w:p>
      <w:pPr>
        <w:jc w:val="both"/>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94"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25"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89" w:lineRule="exact"/>
        <w:rPr>
          <w:sz w:val="20"/>
          <w:szCs w:val="20"/>
          <w:color w:val="auto"/>
        </w:rPr>
      </w:pPr>
    </w:p>
    <w:p>
      <w:pPr>
        <w:ind w:right="4420"/>
        <w:spacing w:after="0" w:line="372" w:lineRule="auto"/>
        <w:rPr>
          <w:sz w:val="20"/>
          <w:szCs w:val="20"/>
          <w:color w:val="auto"/>
        </w:rPr>
      </w:pPr>
      <w:r>
        <w:rPr>
          <w:rFonts w:ascii="Arial" w:cs="Arial" w:eastAsia="Arial" w:hAnsi="Arial"/>
          <w:sz w:val="18"/>
          <w:szCs w:val="18"/>
          <w:b w:val="1"/>
          <w:bCs w:val="1"/>
          <w:color w:val="auto"/>
        </w:rPr>
        <w:t xml:space="preserve">Defeasance of Debt Securities and Certain Covenants in Certain Circumstances </w:t>
      </w:r>
      <w:r>
        <w:rPr>
          <w:rFonts w:ascii="Arial" w:cs="Arial" w:eastAsia="Arial" w:hAnsi="Arial"/>
          <w:sz w:val="18"/>
          <w:szCs w:val="18"/>
          <w:i w:val="1"/>
          <w:iCs w:val="1"/>
          <w:color w:val="auto"/>
        </w:rPr>
        <w:t>Legal Defeasance</w:t>
      </w:r>
    </w:p>
    <w:p>
      <w:pPr>
        <w:spacing w:after="0" w:line="1"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7" w:name="page18"/>
    <w:bookmarkEnd w:id="17"/>
    <w:p>
      <w:pPr>
        <w:jc w:val="both"/>
        <w:spacing w:after="0" w:line="238" w:lineRule="auto"/>
        <w:rPr>
          <w:sz w:val="20"/>
          <w:szCs w:val="20"/>
          <w:color w:val="auto"/>
        </w:rPr>
      </w:pPr>
      <w:r>
        <w:rPr>
          <w:rFonts w:ascii="Arial" w:cs="Arial" w:eastAsia="Arial" w:hAnsi="Arial"/>
          <w:sz w:val="18"/>
          <w:szCs w:val="18"/>
          <w:color w:val="auto"/>
        </w:rPr>
        <w:t>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202"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Defeasance of Certain Covenants</w:t>
      </w:r>
    </w:p>
    <w:p>
      <w:pPr>
        <w:spacing w:after="0" w:line="122" w:lineRule="exact"/>
        <w:rPr>
          <w:sz w:val="20"/>
          <w:szCs w:val="20"/>
          <w:color w:val="auto"/>
        </w:rPr>
      </w:pPr>
    </w:p>
    <w:p>
      <w:pPr>
        <w:jc w:val="both"/>
        <w:ind w:firstLine="576"/>
        <w:spacing w:after="0" w:line="246" w:lineRule="auto"/>
        <w:rPr>
          <w:sz w:val="20"/>
          <w:szCs w:val="20"/>
          <w:color w:val="auto"/>
        </w:rPr>
      </w:pPr>
      <w:r>
        <w:rPr>
          <w:rFonts w:ascii="Arial" w:cs="Arial" w:eastAsia="Arial" w:hAnsi="Arial"/>
          <w:sz w:val="18"/>
          <w:szCs w:val="18"/>
          <w:color w:val="auto"/>
        </w:rPr>
        <w:t>The indenture provides that, unless otherwise provided by the terms of the applicable series of debt securities, upon compliance with certain conditions:</w:t>
      </w:r>
    </w:p>
    <w:p>
      <w:pPr>
        <w:spacing w:after="0" w:line="89" w:lineRule="exact"/>
        <w:rPr>
          <w:sz w:val="20"/>
          <w:szCs w:val="20"/>
          <w:color w:val="auto"/>
        </w:rPr>
      </w:pPr>
    </w:p>
    <w:p>
      <w:pPr>
        <w:jc w:val="both"/>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94"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refer to this as covenant defeasance. The conditions include:</w:t>
      </w:r>
    </w:p>
    <w:p>
      <w:pPr>
        <w:spacing w:after="0" w:line="104" w:lineRule="exact"/>
        <w:rPr>
          <w:sz w:val="20"/>
          <w:szCs w:val="20"/>
          <w:color w:val="auto"/>
        </w:rPr>
      </w:pPr>
    </w:p>
    <w:p>
      <w:pPr>
        <w:jc w:val="both"/>
        <w:ind w:left="800" w:hanging="225"/>
        <w:spacing w:after="0" w:line="23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6"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to which we are a party;</w:t>
      </w:r>
    </w:p>
    <w:p>
      <w:pPr>
        <w:spacing w:after="0" w:line="88"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applicable series of debt securities shall have occurred or is continuing on the date of such deposit; and</w:t>
      </w:r>
    </w:p>
    <w:p>
      <w:pPr>
        <w:spacing w:after="0" w:line="88" w:lineRule="exact"/>
        <w:rPr>
          <w:rFonts w:ascii="Arial" w:cs="Arial" w:eastAsia="Arial" w:hAnsi="Arial"/>
          <w:sz w:val="18"/>
          <w:szCs w:val="18"/>
          <w:color w:val="auto"/>
        </w:rPr>
      </w:pPr>
    </w:p>
    <w:p>
      <w:pPr>
        <w:jc w:val="both"/>
        <w:ind w:left="800" w:hanging="225"/>
        <w:spacing w:after="0" w:line="23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6"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6" w:lineRule="exact"/>
        <w:rPr>
          <w:sz w:val="20"/>
          <w:szCs w:val="20"/>
          <w:color w:val="auto"/>
        </w:rPr>
      </w:pPr>
    </w:p>
    <w:p>
      <w:pPr>
        <w:jc w:val="both"/>
        <w:ind w:firstLine="576"/>
        <w:spacing w:after="0" w:line="246"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97"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203" w:lineRule="exact"/>
        <w:rPr>
          <w:sz w:val="20"/>
          <w:szCs w:val="20"/>
          <w:color w:val="auto"/>
        </w:rPr>
      </w:pPr>
    </w:p>
    <w:p>
      <w:pPr>
        <w:jc w:val="both"/>
        <w:ind w:firstLine="576"/>
        <w:spacing w:after="0" w:line="236" w:lineRule="auto"/>
        <w:rPr>
          <w:sz w:val="20"/>
          <w:szCs w:val="20"/>
          <w:color w:val="auto"/>
        </w:rPr>
      </w:pPr>
      <w:r>
        <w:rPr>
          <w:rFonts w:ascii="Arial" w:cs="Arial" w:eastAsia="Arial" w:hAnsi="Arial"/>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 -exclusive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DEPOSITARY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205"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203"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576"/>
        <w:spacing w:after="0"/>
        <w:rPr>
          <w:sz w:val="20"/>
          <w:szCs w:val="20"/>
          <w:color w:val="auto"/>
        </w:rPr>
      </w:pPr>
      <w:r>
        <w:rPr>
          <w:rFonts w:ascii="Arial" w:cs="Arial" w:eastAsia="Arial" w:hAnsi="Arial"/>
          <w:sz w:val="18"/>
          <w:szCs w:val="18"/>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6"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205"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126"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126" w:lineRule="exact"/>
        <w:rPr>
          <w:sz w:val="20"/>
          <w:szCs w:val="20"/>
          <w:color w:val="auto"/>
        </w:rPr>
      </w:pPr>
    </w:p>
    <w:p>
      <w:pPr>
        <w:jc w:val="both"/>
        <w:ind w:firstLine="576"/>
        <w:spacing w:after="0" w:line="236" w:lineRule="auto"/>
        <w:rPr>
          <w:sz w:val="20"/>
          <w:szCs w:val="20"/>
          <w:color w:val="auto"/>
        </w:rPr>
      </w:pPr>
      <w:r>
        <w:rPr>
          <w:rFonts w:ascii="Arial" w:cs="Arial" w:eastAsia="Arial" w:hAnsi="Arial"/>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126"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203"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Voting the Preferred Stock</w:t>
      </w:r>
    </w:p>
    <w:p>
      <w:pPr>
        <w:spacing w:after="0" w:line="126" w:lineRule="exact"/>
        <w:rPr>
          <w:sz w:val="20"/>
          <w:szCs w:val="20"/>
          <w:color w:val="auto"/>
        </w:rPr>
      </w:pPr>
    </w:p>
    <w:p>
      <w:pPr>
        <w:jc w:val="both"/>
        <w:ind w:firstLine="576"/>
        <w:spacing w:after="0" w:line="236" w:lineRule="auto"/>
        <w:rPr>
          <w:sz w:val="20"/>
          <w:szCs w:val="20"/>
          <w:color w:val="auto"/>
        </w:rPr>
      </w:pPr>
      <w:r>
        <w:rPr>
          <w:rFonts w:ascii="Arial" w:cs="Arial" w:eastAsia="Arial" w:hAnsi="Arial"/>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the Depositary</w:t>
      </w:r>
    </w:p>
    <w:p>
      <w:pPr>
        <w:spacing w:after="0" w:line="126"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6"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97" w:lineRule="exact"/>
        <w:rPr>
          <w:sz w:val="20"/>
          <w:szCs w:val="20"/>
          <w:color w:val="auto"/>
        </w:rPr>
      </w:pPr>
    </w:p>
    <w:p>
      <w:pPr>
        <w:ind w:left="800" w:hanging="225"/>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17"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6"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6"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Limitation of Liability</w:t>
      </w:r>
    </w:p>
    <w:p>
      <w:pPr>
        <w:spacing w:after="0" w:line="126"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34"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94" w:lineRule="exact"/>
        <w:rPr>
          <w:sz w:val="20"/>
          <w:szCs w:val="20"/>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17"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17"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17"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88"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17"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88"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88"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88"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antidilution provisions, and other provisions for changes to or adjustment in the exercise price, of the warrants, if any;</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17"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or exercise of the warrants.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SUBSCRIPTION RIGHTS</w:t>
      </w:r>
    </w:p>
    <w:p>
      <w:pPr>
        <w:spacing w:after="0" w:line="234"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202" w:lineRule="exact"/>
        <w:rPr>
          <w:sz w:val="20"/>
          <w:szCs w:val="20"/>
          <w:color w:val="auto"/>
        </w:rPr>
      </w:pPr>
    </w:p>
    <w:p>
      <w:pPr>
        <w:jc w:val="both"/>
        <w:ind w:firstLine="576"/>
        <w:spacing w:after="0" w:line="246" w:lineRule="auto"/>
        <w:rPr>
          <w:sz w:val="20"/>
          <w:szCs w:val="20"/>
          <w:color w:val="auto"/>
        </w:rPr>
      </w:pPr>
      <w:r>
        <w:rPr>
          <w:rFonts w:ascii="Arial" w:cs="Arial" w:eastAsia="Arial" w:hAnsi="Arial"/>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89" w:lineRule="exact"/>
        <w:rPr>
          <w:sz w:val="20"/>
          <w:szCs w:val="20"/>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117"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subscription rights to be issued to each stockholder;</w:t>
      </w:r>
    </w:p>
    <w:p>
      <w:pPr>
        <w:spacing w:after="0" w:line="117"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17"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88"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the right to exercise the subscription rights shall commence, and the date on which the subscription rights shall expire;</w:t>
      </w:r>
    </w:p>
    <w:p>
      <w:pPr>
        <w:spacing w:after="0" w:line="88"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88"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which may be entered into by us in connection with the offering of subscription rights.</w:t>
      </w:r>
    </w:p>
    <w:p>
      <w:pPr>
        <w:spacing w:after="0" w:line="197"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DESCRIPTION OF PURCHASE CONTRACTS</w:t>
      </w:r>
    </w:p>
    <w:p>
      <w:pPr>
        <w:spacing w:after="0" w:line="234"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203"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205"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203" w:lineRule="exact"/>
        <w:rPr>
          <w:sz w:val="20"/>
          <w:szCs w:val="20"/>
          <w:color w:val="auto"/>
        </w:rPr>
      </w:pPr>
    </w:p>
    <w:p>
      <w:pPr>
        <w:jc w:val="both"/>
        <w:ind w:right="20" w:firstLine="576"/>
        <w:spacing w:after="0" w:line="246" w:lineRule="auto"/>
        <w:rPr>
          <w:sz w:val="20"/>
          <w:szCs w:val="20"/>
          <w:color w:val="auto"/>
        </w:rPr>
      </w:pPr>
      <w:r>
        <w:rPr>
          <w:rFonts w:ascii="Arial" w:cs="Arial" w:eastAsia="Arial" w:hAnsi="Arial"/>
          <w:sz w:val="18"/>
          <w:szCs w:val="18"/>
          <w:color w:val="auto"/>
        </w:rPr>
        <w:t>If we offer any purchase contracts, certain terms of that series of purchase contracts will be described in the applicable prospectus supplement, including, without limitation, the following:</w:t>
      </w:r>
    </w:p>
    <w:p>
      <w:pPr>
        <w:spacing w:after="0" w:line="89" w:lineRule="exact"/>
        <w:rPr>
          <w:sz w:val="20"/>
          <w:szCs w:val="20"/>
          <w:color w:val="auto"/>
        </w:rPr>
      </w:pPr>
    </w:p>
    <w:p>
      <w:pPr>
        <w:ind w:left="800" w:hanging="225"/>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of the securities or other property subject to the purchase contracts (which may be determined by reference to a specific formula described in the purchase contracts);</w:t>
      </w:r>
    </w:p>
    <w:p>
      <w:pPr>
        <w:spacing w:after="0" w:line="88"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88"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requirement for us to make periodic payments to holders or vice versa, and whether the payments are unsecured or pre-funded;</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purchase contracts;</w:t>
      </w:r>
    </w:p>
    <w:p>
      <w:pPr>
        <w:spacing w:after="0" w:line="117" w:lineRule="exact"/>
        <w:rPr>
          <w:rFonts w:ascii="Arial" w:cs="Arial" w:eastAsia="Arial" w:hAnsi="Arial"/>
          <w:sz w:val="18"/>
          <w:szCs w:val="18"/>
          <w:color w:val="auto"/>
        </w:rPr>
      </w:pPr>
    </w:p>
    <w:p>
      <w:pPr>
        <w:jc w:val="both"/>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94"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17"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purchase contracts;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 and</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terms of the purchase contracts and any securities subject to such purchase contracts.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34"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205"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203" w:lineRule="exact"/>
        <w:rPr>
          <w:sz w:val="20"/>
          <w:szCs w:val="20"/>
          <w:color w:val="auto"/>
        </w:rPr>
      </w:pPr>
    </w:p>
    <w:p>
      <w:pPr>
        <w:jc w:val="both"/>
        <w:ind w:firstLine="576"/>
        <w:spacing w:after="0" w:line="246"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89" w:lineRule="exact"/>
        <w:rPr>
          <w:sz w:val="20"/>
          <w:szCs w:val="20"/>
          <w:color w:val="auto"/>
        </w:rPr>
      </w:pPr>
    </w:p>
    <w:p>
      <w:pPr>
        <w:ind w:left="800" w:hanging="225"/>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 for the issuance, payment, settlement, transfer or exchange of the units or of the securities comprising the units; and</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sell securities:</w:t>
      </w:r>
    </w:p>
    <w:p>
      <w:pPr>
        <w:spacing w:after="0" w:line="104" w:lineRule="exact"/>
        <w:rPr>
          <w:sz w:val="20"/>
          <w:szCs w:val="20"/>
          <w:color w:val="auto"/>
        </w:rPr>
      </w:pPr>
    </w:p>
    <w:p>
      <w:pPr>
        <w:ind w:left="800" w:hanging="22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securityholders.</w:t>
      </w:r>
    </w:p>
    <w:p>
      <w:pPr>
        <w:spacing w:after="0" w:line="212"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04" w:lineRule="exact"/>
        <w:rPr>
          <w:sz w:val="20"/>
          <w:szCs w:val="20"/>
          <w:color w:val="auto"/>
        </w:rPr>
      </w:pPr>
    </w:p>
    <w:p>
      <w:pPr>
        <w:ind w:left="800" w:hanging="22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 fixed price or prices that may be changed from time to time;</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left="800" w:hanging="22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12"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89" w:lineRule="exact"/>
        <w:rPr>
          <w:sz w:val="20"/>
          <w:szCs w:val="20"/>
          <w:color w:val="auto"/>
        </w:rPr>
      </w:pPr>
    </w:p>
    <w:p>
      <w:pPr>
        <w:ind w:left="800" w:hanging="22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203"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203"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205" w:lineRule="exact"/>
        <w:rPr>
          <w:sz w:val="20"/>
          <w:szCs w:val="20"/>
          <w:color w:val="auto"/>
        </w:rPr>
      </w:pPr>
    </w:p>
    <w:p>
      <w:pPr>
        <w:jc w:val="both"/>
        <w:ind w:firstLine="576"/>
        <w:spacing w:after="0" w:line="246" w:lineRule="auto"/>
        <w:rPr>
          <w:sz w:val="20"/>
          <w:szCs w:val="20"/>
          <w:color w:val="auto"/>
        </w:rPr>
      </w:pPr>
      <w:r>
        <w:rPr>
          <w:rFonts w:ascii="Arial" w:cs="Arial" w:eastAsia="Arial" w:hAnsi="Arial"/>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97"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95" w:lineRule="exact"/>
        <w:rPr>
          <w:sz w:val="20"/>
          <w:szCs w:val="20"/>
          <w:color w:val="auto"/>
        </w:rPr>
      </w:pPr>
    </w:p>
    <w:p>
      <w:pPr>
        <w:ind w:left="800" w:hanging="225"/>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88"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6" w:name="page27"/>
    <w:bookmarkEnd w:id="26"/>
    <w:p>
      <w:pPr>
        <w:jc w:val="both"/>
        <w:ind w:firstLine="576"/>
        <w:spacing w:after="0" w:line="246" w:lineRule="auto"/>
        <w:rPr>
          <w:sz w:val="20"/>
          <w:szCs w:val="20"/>
          <w:color w:val="auto"/>
        </w:rPr>
      </w:pPr>
      <w:r>
        <w:rPr>
          <w:rFonts w:ascii="Arial" w:cs="Arial" w:eastAsia="Arial" w:hAnsi="Arial"/>
          <w:sz w:val="18"/>
          <w:szCs w:val="18"/>
          <w:color w:val="auto"/>
        </w:rPr>
        <w:t>The underwriters and other persons acting as agents will not have any responsibility in respect of the validity or performance of delayed delivery contracts.</w:t>
      </w:r>
    </w:p>
    <w:p>
      <w:pPr>
        <w:spacing w:after="0" w:line="197"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203" w:lineRule="exact"/>
        <w:rPr>
          <w:sz w:val="20"/>
          <w:szCs w:val="20"/>
          <w:color w:val="auto"/>
        </w:rPr>
      </w:pPr>
    </w:p>
    <w:p>
      <w:pPr>
        <w:jc w:val="both"/>
        <w:ind w:firstLine="576"/>
        <w:spacing w:after="0" w:line="236" w:lineRule="auto"/>
        <w:rPr>
          <w:sz w:val="20"/>
          <w:szCs w:val="20"/>
          <w:color w:val="auto"/>
        </w:rPr>
      </w:pPr>
      <w:r>
        <w:rPr>
          <w:rFonts w:ascii="Arial" w:cs="Arial" w:eastAsia="Arial" w:hAnsi="Arial"/>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07"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205"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The validity of the securities offered hereby will be passed upon for us by Wilson Sonsini Goodrich &amp; Rosati, Professional Corporation, Seattle, Washington. Additional legal matters may be passed on for us, or any underwriters, dealers or agents by counsel we will name in the applicable prospectus supplement. Certain members of, and investment partnerships comprised of members of, and persons associated with, Wilson Sonsini Goodrich &amp; Rosati, P.C. own less than 1% of our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included in our Annual Report on Form 10-K for the year ended December 31, 2020,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Copies of certain information filed by us with the SEC are also available on our website at </w:t>
      </w:r>
      <w:r>
        <w:rPr>
          <w:rFonts w:ascii="Arial" w:cs="Arial" w:eastAsia="Arial" w:hAnsi="Arial"/>
          <w:sz w:val="18"/>
          <w:szCs w:val="18"/>
          <w:i w:val="1"/>
          <w:iCs w:val="1"/>
          <w:color w:val="auto"/>
        </w:rPr>
        <w:t>https://www.athira.com/</w:t>
      </w:r>
      <w:r>
        <w:rPr>
          <w:rFonts w:ascii="Arial" w:cs="Arial" w:eastAsia="Arial" w:hAnsi="Arial"/>
          <w:sz w:val="18"/>
          <w:szCs w:val="18"/>
          <w:color w:val="auto"/>
        </w:rPr>
        <w:t>. Information accessible on or through our website is not a part of this prospectus.</w:t>
      </w:r>
    </w:p>
    <w:p>
      <w:pPr>
        <w:spacing w:after="0" w:line="203"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jc w:val="both"/>
        <w:ind w:firstLine="576"/>
        <w:spacing w:after="0" w:line="236" w:lineRule="auto"/>
        <w:rPr>
          <w:sz w:val="20"/>
          <w:szCs w:val="20"/>
          <w:color w:val="auto"/>
        </w:rPr>
      </w:pPr>
      <w:r>
        <w:rPr>
          <w:rFonts w:ascii="Arial" w:cs="Arial" w:eastAsia="Arial" w:hAnsi="Arial"/>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98" w:lineRule="exact"/>
        <w:rPr>
          <w:sz w:val="20"/>
          <w:szCs w:val="20"/>
          <w:color w:val="auto"/>
        </w:rPr>
      </w:pPr>
    </w:p>
    <w:p>
      <w:pPr>
        <w:ind w:left="800" w:hanging="22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w:t>
      </w:r>
      <w:hyperlink r:id="rId51">
        <w:r>
          <w:rPr>
            <w:rFonts w:ascii="Arial" w:cs="Arial" w:eastAsia="Arial" w:hAnsi="Arial"/>
            <w:sz w:val="18"/>
            <w:szCs w:val="18"/>
            <w:u w:val="single" w:color="auto"/>
            <w:color w:val="auto"/>
          </w:rPr>
          <w:t>December 31, 2020</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52">
        <w:r>
          <w:rPr>
            <w:rFonts w:ascii="Arial" w:cs="Arial" w:eastAsia="Arial" w:hAnsi="Arial"/>
            <w:sz w:val="18"/>
            <w:szCs w:val="18"/>
            <w:u w:val="single" w:color="auto"/>
            <w:color w:val="auto"/>
          </w:rPr>
          <w:t>March 31, 2021</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auto"/>
          </w:rPr>
          <w:t xml:space="preserve">June 30, 2021 </w:t>
        </w:r>
      </w:hyperlink>
      <w:r>
        <w:rPr>
          <w:rFonts w:ascii="Arial" w:cs="Arial" w:eastAsia="Arial" w:hAnsi="Arial"/>
          <w:sz w:val="18"/>
          <w:szCs w:val="18"/>
          <w:color w:val="auto"/>
        </w:rPr>
        <w:t xml:space="preserve">and </w:t>
      </w:r>
      <w:hyperlink r:id="rId54">
        <w:r>
          <w:rPr>
            <w:rFonts w:ascii="Arial" w:cs="Arial" w:eastAsia="Arial" w:hAnsi="Arial"/>
            <w:sz w:val="18"/>
            <w:szCs w:val="18"/>
            <w:u w:val="single" w:color="auto"/>
            <w:color w:val="auto"/>
          </w:rPr>
          <w:t>September 30, 2021</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00" w:hanging="225"/>
        <w:spacing w:after="0" w:line="210" w:lineRule="exact"/>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portions of our Definitive Proxy Statement on Schedule 14A (other than information furnished rather than filed) that are incorporated by reference into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K, filed with the SEC on </w:t>
      </w:r>
      <w:hyperlink r:id="rId55">
        <w:r>
          <w:rPr>
            <w:rFonts w:ascii="Arial" w:cs="Arial" w:eastAsia="Arial" w:hAnsi="Arial"/>
            <w:sz w:val="18"/>
            <w:szCs w:val="18"/>
            <w:u w:val="single" w:color="auto"/>
            <w:color w:val="auto"/>
          </w:rPr>
          <w:t>April 16, 2021</w:t>
        </w:r>
      </w:hyperlink>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56">
        <w:r>
          <w:rPr>
            <w:rFonts w:ascii="Arial" w:cs="Arial" w:eastAsia="Arial" w:hAnsi="Arial"/>
            <w:sz w:val="18"/>
            <w:szCs w:val="18"/>
            <w:u w:val="single" w:color="auto"/>
            <w:color w:val="auto"/>
          </w:rPr>
          <w:t>January 11, 2021</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auto"/>
          </w:rPr>
          <w:t>March 8, 2021</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auto"/>
          </w:rPr>
          <w:t>June 1, 2021</w:t>
        </w:r>
      </w:hyperlink>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auto"/>
          </w:rPr>
          <w:t>June 21, 2021</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auto"/>
          </w:rPr>
          <w:t xml:space="preserve">August 9, 2021 </w:t>
        </w:r>
      </w:hyperlink>
      <w:r>
        <w:rPr>
          <w:rFonts w:ascii="Arial" w:cs="Arial" w:eastAsia="Arial" w:hAnsi="Arial"/>
          <w:sz w:val="18"/>
          <w:szCs w:val="18"/>
          <w:color w:val="auto"/>
        </w:rPr>
        <w:t xml:space="preserve">and </w:t>
      </w:r>
      <w:hyperlink r:id="rId61">
        <w:r>
          <w:rPr>
            <w:rFonts w:ascii="Arial" w:cs="Arial" w:eastAsia="Arial" w:hAnsi="Arial"/>
            <w:sz w:val="18"/>
            <w:szCs w:val="18"/>
            <w:u w:val="single" w:color="auto"/>
            <w:color w:val="auto"/>
          </w:rPr>
          <w:t>October 21, 2021</w:t>
        </w:r>
      </w:hyperlink>
      <w:r>
        <w:rPr>
          <w:rFonts w:ascii="Arial" w:cs="Arial" w:eastAsia="Arial" w:hAnsi="Arial"/>
          <w:sz w:val="18"/>
          <w:szCs w:val="18"/>
          <w:color w:val="auto"/>
        </w:rPr>
        <w:t>; and</w:t>
      </w:r>
    </w:p>
    <w:p>
      <w:pPr>
        <w:spacing w:after="0" w:line="88"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24"/>
        </w:numPr>
        <w:rPr>
          <w:rFonts w:ascii="Arial" w:cs="Arial" w:eastAsia="Arial" w:hAnsi="Arial"/>
          <w:sz w:val="18"/>
          <w:szCs w:val="18"/>
          <w:color w:val="auto"/>
        </w:rPr>
      </w:pPr>
      <w:hyperlink r:id="rId62">
        <w:r>
          <w:rPr>
            <w:rFonts w:ascii="Arial" w:cs="Arial" w:eastAsia="Arial" w:hAnsi="Arial"/>
            <w:sz w:val="18"/>
            <w:szCs w:val="18"/>
            <w:color w:val="auto"/>
          </w:rPr>
          <w:t xml:space="preserve">The description of our common stock contained in the Registration Statement on Form 8-A relating thereto, filed on </w:t>
        </w:r>
        <w:r>
          <w:rPr>
            <w:rFonts w:ascii="Arial" w:cs="Arial" w:eastAsia="Arial" w:hAnsi="Arial"/>
            <w:sz w:val="18"/>
            <w:szCs w:val="18"/>
            <w:u w:val="single" w:color="auto"/>
            <w:color w:val="auto"/>
          </w:rPr>
          <w:t>September 9,</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auto"/>
          </w:rPr>
          <w:t>2020</w:t>
        </w:r>
        <w:r>
          <w:rPr>
            <w:rFonts w:ascii="Arial" w:cs="Arial" w:eastAsia="Arial" w:hAnsi="Arial"/>
            <w:sz w:val="18"/>
            <w:szCs w:val="18"/>
            <w:color w:val="auto"/>
          </w:rPr>
          <w:t>, including any amendment or report filed for the purpose of updating such description.</w:t>
        </w:r>
      </w:hyperlink>
    </w:p>
    <w:p>
      <w:pPr>
        <w:spacing w:after="0" w:line="197" w:lineRule="exact"/>
        <w:rPr>
          <w:rFonts w:ascii="Arial" w:cs="Arial" w:eastAsia="Arial" w:hAnsi="Arial"/>
          <w:sz w:val="18"/>
          <w:szCs w:val="18"/>
          <w:color w:val="auto"/>
        </w:rPr>
      </w:pPr>
    </w:p>
    <w:p>
      <w:pPr>
        <w:ind w:left="58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20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ATHIRA PHARMA, INC.</w:t>
      </w:r>
    </w:p>
    <w:p>
      <w:pPr>
        <w:jc w:val="center"/>
        <w:spacing w:after="0" w:line="234" w:lineRule="auto"/>
        <w:rPr>
          <w:sz w:val="20"/>
          <w:szCs w:val="20"/>
          <w:color w:val="auto"/>
        </w:rPr>
      </w:pPr>
      <w:r>
        <w:rPr>
          <w:rFonts w:ascii="Arial" w:cs="Arial" w:eastAsia="Arial" w:hAnsi="Arial"/>
          <w:sz w:val="18"/>
          <w:szCs w:val="18"/>
          <w:color w:val="auto"/>
        </w:rPr>
        <w:t>18706 North Creek Parkway, Suite 104</w:t>
      </w:r>
    </w:p>
    <w:p>
      <w:pPr>
        <w:jc w:val="center"/>
        <w:spacing w:after="0" w:line="235" w:lineRule="auto"/>
        <w:rPr>
          <w:sz w:val="20"/>
          <w:szCs w:val="20"/>
          <w:color w:val="auto"/>
        </w:rPr>
      </w:pPr>
      <w:r>
        <w:rPr>
          <w:rFonts w:ascii="Arial" w:cs="Arial" w:eastAsia="Arial" w:hAnsi="Arial"/>
          <w:sz w:val="18"/>
          <w:szCs w:val="18"/>
          <w:color w:val="auto"/>
        </w:rPr>
        <w:t>Bothell, Washington 98011</w:t>
      </w:r>
    </w:p>
    <w:p>
      <w:pPr>
        <w:jc w:val="center"/>
        <w:spacing w:after="0" w:line="235" w:lineRule="auto"/>
        <w:rPr>
          <w:sz w:val="20"/>
          <w:szCs w:val="20"/>
          <w:color w:val="auto"/>
        </w:rPr>
      </w:pPr>
      <w:r>
        <w:rPr>
          <w:rFonts w:ascii="Arial" w:cs="Arial" w:eastAsia="Arial" w:hAnsi="Arial"/>
          <w:sz w:val="18"/>
          <w:szCs w:val="18"/>
          <w:color w:val="auto"/>
        </w:rPr>
        <w:t>Attn: Investor Relations</w:t>
      </w:r>
    </w:p>
    <w:p>
      <w:pPr>
        <w:ind w:left="5480" w:hanging="471"/>
        <w:spacing w:after="0"/>
        <w:tabs>
          <w:tab w:leader="none" w:pos="5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620-8501</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23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estimated expenses in connection with the issuance and distribution of the securities being registered:</w:t>
      </w:r>
    </w:p>
    <w:p>
      <w:pPr>
        <w:spacing w:after="0" w:line="240"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r>
      <w:tr>
        <w:trPr>
          <w:trHeight w:val="175"/>
        </w:trPr>
        <w:tc>
          <w:tcPr>
            <w:tcW w:w="55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 be Paid</w:t>
            </w:r>
          </w:p>
        </w:tc>
        <w:tc>
          <w:tcPr>
            <w:tcW w:w="60" w:type="dxa"/>
            <w:vAlign w:val="bottom"/>
            <w:tcBorders>
              <w:bottom w:val="single" w:sz="8" w:color="CFF0FC"/>
            </w:tcBorders>
          </w:tcPr>
          <w:p>
            <w:pPr>
              <w:spacing w:after="0"/>
              <w:rPr>
                <w:sz w:val="15"/>
                <w:szCs w:val="15"/>
                <w:color w:val="auto"/>
              </w:rPr>
            </w:pPr>
          </w:p>
        </w:tc>
      </w:tr>
      <w:tr>
        <w:trPr>
          <w:trHeight w:val="20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SEC registration fee</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27,810</w:t>
            </w:r>
          </w:p>
        </w:tc>
        <w:tc>
          <w:tcPr>
            <w:tcW w:w="6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45,500</w:t>
            </w:r>
          </w:p>
        </w:tc>
        <w:tc>
          <w:tcPr>
            <w:tcW w:w="6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Stock exchange listing fee</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Transfer agent and registrar fees and expenses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Trustee’s fees and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Miscellaneous expenses</w:t>
            </w: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r>
      <w:tr>
        <w:trPr>
          <w:trHeight w:val="210"/>
        </w:trPr>
        <w:tc>
          <w:tcPr>
            <w:tcW w:w="554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70"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24"/>
          <w:szCs w:val="24"/>
          <w:color w:val="auto"/>
          <w:vertAlign w:val="superscript"/>
        </w:rPr>
      </w:pPr>
      <w:r>
        <w:rPr>
          <w:rFonts w:ascii="Arial" w:cs="Arial" w:eastAsia="Arial" w:hAnsi="Arial"/>
          <w:sz w:val="14"/>
          <w:szCs w:val="14"/>
          <w:color w:val="auto"/>
        </w:rPr>
        <w:t>These fees are calculated based on the securities offered and the number of issuances and accordingly cannot be estimated at this time.</w:t>
      </w:r>
    </w:p>
    <w:p>
      <w:pPr>
        <w:spacing w:after="0" w:line="28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6" w:lineRule="exact"/>
        <w:rPr>
          <w:sz w:val="20"/>
          <w:szCs w:val="20"/>
          <w:color w:val="auto"/>
        </w:rPr>
      </w:pPr>
    </w:p>
    <w:p>
      <w:pPr>
        <w:jc w:val="both"/>
        <w:ind w:right="20" w:firstLine="576"/>
        <w:spacing w:after="0"/>
        <w:rPr>
          <w:sz w:val="20"/>
          <w:szCs w:val="20"/>
          <w:color w:val="auto"/>
        </w:rPr>
      </w:pPr>
      <w:r>
        <w:rPr>
          <w:rFonts w:ascii="Arial" w:cs="Arial" w:eastAsia="Arial" w:hAnsi="Arial"/>
          <w:sz w:val="18"/>
          <w:szCs w:val="18"/>
          <w:color w:val="auto"/>
        </w:rPr>
        <w:t>Our certificate of incorporation and bylaws provide that we will indemnify our directors and officers, and may indemnify our employees and other agents, to the fullest extent permitted by the Delaware General Corporation Law, which prohibits us from limiting the liability of our directors for the following:</w:t>
      </w:r>
    </w:p>
    <w:p>
      <w:pPr>
        <w:spacing w:after="0" w:line="203"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The registrant’s amended and restated certificate of incorporation contains provisions that limit the liability of the registrant’s directors for monetary damages to the fullest extent permitted by the Delaware General Corporation Law. Consequently, the registrant’s directors will not be personally liable to the registrant or its stockholders for monetary damages for any breach of fiduciary duties as directors, except liability for the following:</w:t>
      </w:r>
    </w:p>
    <w:p>
      <w:pPr>
        <w:spacing w:after="0" w:line="97" w:lineRule="exact"/>
        <w:rPr>
          <w:sz w:val="20"/>
          <w:szCs w:val="20"/>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44" w:lineRule="exact"/>
        <w:rPr>
          <w:rFonts w:ascii="Arial" w:cs="Arial" w:eastAsia="Arial" w:hAnsi="Arial"/>
          <w:sz w:val="18"/>
          <w:szCs w:val="18"/>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44" w:lineRule="exact"/>
        <w:rPr>
          <w:rFonts w:ascii="Arial" w:cs="Arial" w:eastAsia="Arial" w:hAnsi="Arial"/>
          <w:sz w:val="18"/>
          <w:szCs w:val="18"/>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44" w:lineRule="exact"/>
        <w:rPr>
          <w:rFonts w:ascii="Arial" w:cs="Arial" w:eastAsia="Arial" w:hAnsi="Arial"/>
          <w:sz w:val="18"/>
          <w:szCs w:val="18"/>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52" w:lineRule="exact"/>
        <w:rPr>
          <w:sz w:val="20"/>
          <w:szCs w:val="20"/>
          <w:color w:val="auto"/>
        </w:rPr>
      </w:pPr>
    </w:p>
    <w:p>
      <w:pPr>
        <w:jc w:val="both"/>
        <w:ind w:firstLine="576"/>
        <w:spacing w:after="0" w:line="237" w:lineRule="auto"/>
        <w:rPr>
          <w:sz w:val="20"/>
          <w:szCs w:val="20"/>
          <w:color w:val="auto"/>
        </w:rPr>
      </w:pPr>
      <w:r>
        <w:rPr>
          <w:rFonts w:ascii="Arial" w:cs="Arial" w:eastAsia="Arial" w:hAnsi="Arial"/>
          <w:sz w:val="18"/>
          <w:szCs w:val="18"/>
          <w:color w:val="auto"/>
        </w:rPr>
        <w:t>If Delaware law is amended to authorize corporate action further limiting the personal liability of a director, then the liability of our directors will be limited to the fullest extent permitted by Delaware law, as so amended. Our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bylaws, we will also be empowered to purchase insurance on behalf of any person whom we are required or permitted to indemnify.</w:t>
      </w:r>
    </w:p>
    <w:p>
      <w:pPr>
        <w:spacing w:after="0" w:line="205"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In addition to the indemnification required in our certificate of incorporation and bylaws, we have entered into indemnification agreements with each of our current directors, officers and some employees. These agreements provide for the indemnification of our directors, officers and some employees for certain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both"/>
        <w:spacing w:after="0" w:line="236" w:lineRule="auto"/>
        <w:rPr>
          <w:sz w:val="20"/>
          <w:szCs w:val="20"/>
          <w:color w:val="auto"/>
        </w:rPr>
      </w:pPr>
      <w:r>
        <w:rPr>
          <w:rFonts w:ascii="Arial" w:cs="Arial" w:eastAsia="Arial" w:hAnsi="Arial"/>
          <w:sz w:val="18"/>
          <w:szCs w:val="18"/>
          <w:color w:val="auto"/>
        </w:rPr>
        <w:t>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208" w:lineRule="exact"/>
        <w:rPr>
          <w:sz w:val="20"/>
          <w:szCs w:val="20"/>
          <w:color w:val="auto"/>
        </w:rPr>
      </w:pPr>
    </w:p>
    <w:p>
      <w:pPr>
        <w:jc w:val="both"/>
        <w:ind w:firstLine="576"/>
        <w:spacing w:after="0" w:line="236" w:lineRule="auto"/>
        <w:rPr>
          <w:sz w:val="20"/>
          <w:szCs w:val="20"/>
          <w:color w:val="auto"/>
        </w:rPr>
      </w:pPr>
      <w:r>
        <w:rPr>
          <w:rFonts w:ascii="Arial" w:cs="Arial" w:eastAsia="Arial" w:hAnsi="Arial"/>
          <w:sz w:val="18"/>
          <w:szCs w:val="18"/>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9"/>
        </w:trPr>
        <w:tc>
          <w:tcPr>
            <w:tcW w:w="1000" w:type="dxa"/>
            <w:vAlign w:val="bottom"/>
          </w:tcPr>
          <w:p>
            <w:pPr>
              <w:jc w:val="right"/>
              <w:ind w:right="232"/>
              <w:spacing w:after="0"/>
              <w:rPr>
                <w:sz w:val="20"/>
                <w:szCs w:val="20"/>
                <w:color w:val="auto"/>
              </w:rPr>
            </w:pPr>
            <w:r>
              <w:rPr>
                <w:rFonts w:ascii="Arial" w:cs="Arial" w:eastAsia="Arial" w:hAnsi="Arial"/>
                <w:sz w:val="18"/>
                <w:szCs w:val="18"/>
                <w:b w:val="1"/>
                <w:bCs w:val="1"/>
                <w:color w:val="auto"/>
                <w:w w:val="98"/>
              </w:rPr>
              <w:t>Item 16.</w:t>
            </w:r>
          </w:p>
        </w:tc>
        <w:tc>
          <w:tcPr>
            <w:tcW w:w="4280" w:type="dxa"/>
            <w:vAlign w:val="bottom"/>
            <w:gridSpan w:val="18"/>
          </w:tcPr>
          <w:p>
            <w:pPr>
              <w:ind w:left="80"/>
              <w:spacing w:after="0"/>
              <w:rPr>
                <w:sz w:val="20"/>
                <w:szCs w:val="20"/>
                <w:color w:val="auto"/>
              </w:rPr>
            </w:pPr>
            <w:r>
              <w:rPr>
                <w:rFonts w:ascii="Arial" w:cs="Arial" w:eastAsia="Arial" w:hAnsi="Arial"/>
                <w:sz w:val="18"/>
                <w:szCs w:val="18"/>
                <w:b w:val="1"/>
                <w:bCs w:val="1"/>
                <w:color w:val="auto"/>
              </w:rPr>
              <w:t>Exhibits</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vMerge w:val="restart"/>
          </w:tcPr>
          <w:p>
            <w:pPr>
              <w:jc w:val="center"/>
              <w:ind w:left="112"/>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Incorporation by Reference</w:t>
            </w:r>
          </w:p>
        </w:tc>
        <w:tc>
          <w:tcPr>
            <w:tcW w:w="1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42"/>
        </w:trPr>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rPr>
              <w:t>Exhibit</w:t>
            </w:r>
          </w:p>
        </w:tc>
        <w:tc>
          <w:tcPr>
            <w:tcW w:w="1400" w:type="dxa"/>
            <w:vAlign w:val="bottom"/>
          </w:tcPr>
          <w:p>
            <w:pPr>
              <w:jc w:val="center"/>
              <w:ind w:right="15"/>
              <w:spacing w:after="0" w:line="143" w:lineRule="exact"/>
              <w:rPr>
                <w:sz w:val="20"/>
                <w:szCs w:val="20"/>
                <w:color w:val="auto"/>
              </w:rPr>
            </w:pPr>
            <w:r>
              <w:rPr>
                <w:rFonts w:ascii="Arial" w:cs="Arial" w:eastAsia="Arial" w:hAnsi="Arial"/>
                <w:sz w:val="14"/>
                <w:szCs w:val="14"/>
                <w:b w:val="1"/>
                <w:bCs w:val="1"/>
                <w:color w:val="auto"/>
              </w:rPr>
              <w:t>Filing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00" w:type="dxa"/>
            <w:vAlign w:val="bottom"/>
          </w:tcPr>
          <w:p>
            <w:pPr>
              <w:jc w:val="center"/>
              <w:ind w:left="132"/>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720" w:type="dxa"/>
            <w:vAlign w:val="bottom"/>
            <w:gridSpan w:val="14"/>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Form</w:t>
            </w: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File No.</w:t>
            </w: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jc w:val="center"/>
              <w:ind w:right="35"/>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tcPr>
          <w:p>
            <w:pPr>
              <w:jc w:val="center"/>
              <w:ind w:left="192"/>
              <w:spacing w:after="0"/>
              <w:rPr>
                <w:sz w:val="20"/>
                <w:szCs w:val="20"/>
                <w:color w:val="auto"/>
              </w:rPr>
            </w:pPr>
            <w:r>
              <w:rPr>
                <w:rFonts w:ascii="Arial" w:cs="Arial" w:eastAsia="Arial" w:hAnsi="Arial"/>
                <w:sz w:val="18"/>
                <w:szCs w:val="18"/>
                <w:color w:val="auto"/>
                <w:w w:val="99"/>
              </w:rPr>
              <w:t>1.1*</w:t>
            </w:r>
          </w:p>
        </w:tc>
        <w:tc>
          <w:tcPr>
            <w:tcW w:w="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rPr>
              <w:t>Form of Underwriting Agreement</w:t>
            </w:r>
          </w:p>
        </w:tc>
        <w:tc>
          <w:tcPr>
            <w:tcW w:w="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00" w:type="dxa"/>
            <w:vAlign w:val="bottom"/>
          </w:tcPr>
          <w:p>
            <w:pPr>
              <w:jc w:val="center"/>
              <w:ind w:left="132"/>
              <w:spacing w:after="0" w:line="201"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tcBorders>
              <w:bottom w:val="single" w:sz="8" w:color="0000EE"/>
            </w:tcBorders>
            <w:gridSpan w:val="7"/>
          </w:tcPr>
          <w:p>
            <w:pPr>
              <w:spacing w:after="0" w:line="201" w:lineRule="exact"/>
              <w:rPr>
                <w:rFonts w:ascii="Arial" w:cs="Arial" w:eastAsia="Arial" w:hAnsi="Arial"/>
                <w:sz w:val="18"/>
                <w:szCs w:val="18"/>
                <w:color w:val="0000EE"/>
                <w:w w:val="99"/>
              </w:rPr>
            </w:pPr>
            <w:hyperlink r:id="rId67">
              <w:r>
                <w:rPr>
                  <w:rFonts w:ascii="Arial" w:cs="Arial" w:eastAsia="Arial" w:hAnsi="Arial"/>
                  <w:sz w:val="18"/>
                  <w:szCs w:val="18"/>
                  <w:color w:val="0000EE"/>
                  <w:w w:val="99"/>
                </w:rPr>
                <w:t>Amended and Restated Certificate of</w:t>
              </w:r>
            </w:hyperlink>
          </w:p>
        </w:tc>
        <w:tc>
          <w:tcPr>
            <w:tcW w:w="1060" w:type="dxa"/>
            <w:vAlign w:val="bottom"/>
            <w:gridSpan w:val="9"/>
          </w:tcPr>
          <w:p>
            <w:pPr>
              <w:spacing w:after="0"/>
              <w:rPr>
                <w:sz w:val="17"/>
                <w:szCs w:val="17"/>
                <w:color w:val="auto"/>
              </w:rPr>
            </w:pPr>
          </w:p>
        </w:tc>
        <w:tc>
          <w:tcPr>
            <w:tcW w:w="8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9"/>
              </w:rPr>
              <w:t>10-Q</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9"/>
              </w:rPr>
              <w:t>001-39503</w:t>
            </w:r>
          </w:p>
        </w:tc>
        <w:tc>
          <w:tcPr>
            <w:tcW w:w="4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center"/>
              <w:ind w:right="35"/>
              <w:spacing w:after="0" w:line="201" w:lineRule="exact"/>
              <w:rPr>
                <w:sz w:val="20"/>
                <w:szCs w:val="20"/>
                <w:color w:val="auto"/>
              </w:rPr>
            </w:pPr>
            <w:r>
              <w:rPr>
                <w:rFonts w:ascii="Arial" w:cs="Arial" w:eastAsia="Arial" w:hAnsi="Arial"/>
                <w:sz w:val="18"/>
                <w:szCs w:val="18"/>
                <w:color w:val="auto"/>
                <w:w w:val="99"/>
              </w:rPr>
              <w:t>November 12,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8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67">
              <w:r>
                <w:rPr>
                  <w:rFonts w:ascii="Arial" w:cs="Arial" w:eastAsia="Arial" w:hAnsi="Arial"/>
                  <w:sz w:val="18"/>
                  <w:szCs w:val="18"/>
                  <w:color w:val="0000EE"/>
                  <w:w w:val="99"/>
                </w:rPr>
                <w:t>Incorporation of the Company</w:t>
              </w:r>
            </w:hyperlink>
          </w:p>
        </w:tc>
        <w:tc>
          <w:tcPr>
            <w:tcW w:w="1640" w:type="dxa"/>
            <w:vAlign w:val="bottom"/>
            <w:gridSpan w:val="11"/>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center"/>
              <w:ind w:right="35"/>
              <w:spacing w:after="0" w:line="182" w:lineRule="exact"/>
              <w:rPr>
                <w:sz w:val="20"/>
                <w:szCs w:val="20"/>
                <w:color w:val="auto"/>
              </w:rPr>
            </w:pPr>
            <w:r>
              <w:rPr>
                <w:rFonts w:ascii="Arial" w:cs="Arial" w:eastAsia="Arial" w:hAnsi="Arial"/>
                <w:sz w:val="18"/>
                <w:szCs w:val="18"/>
                <w:color w:val="auto"/>
                <w:w w:val="99"/>
              </w:rPr>
              <w:t>2020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jc w:val="center"/>
              <w:ind w:left="132"/>
              <w:spacing w:after="0" w:line="182"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20" w:type="dxa"/>
            <w:vAlign w:val="bottom"/>
            <w:gridSpan w:val="16"/>
          </w:tcPr>
          <w:p>
            <w:pPr>
              <w:spacing w:after="0" w:line="182" w:lineRule="exact"/>
              <w:rPr>
                <w:rFonts w:ascii="Arial" w:cs="Arial" w:eastAsia="Arial" w:hAnsi="Arial"/>
                <w:sz w:val="18"/>
                <w:szCs w:val="18"/>
                <w:color w:val="0000EE"/>
              </w:rPr>
            </w:pPr>
            <w:hyperlink r:id="rId68">
              <w:r>
                <w:rPr>
                  <w:rFonts w:ascii="Arial" w:cs="Arial" w:eastAsia="Arial" w:hAnsi="Arial"/>
                  <w:sz w:val="18"/>
                  <w:szCs w:val="18"/>
                  <w:color w:val="0000EE"/>
                </w:rPr>
                <w:t>Amended and Restated Bylaws of the Company</w:t>
              </w:r>
            </w:hyperlink>
          </w:p>
        </w:tc>
        <w:tc>
          <w:tcPr>
            <w:tcW w:w="860" w:type="dxa"/>
            <w:vAlign w:val="bottom"/>
            <w:gridSpan w:val="2"/>
          </w:tcPr>
          <w:p>
            <w:pPr>
              <w:jc w:val="center"/>
              <w:ind w:right="60"/>
              <w:spacing w:after="0" w:line="182" w:lineRule="exact"/>
              <w:rPr>
                <w:sz w:val="20"/>
                <w:szCs w:val="20"/>
                <w:color w:val="auto"/>
              </w:rPr>
            </w:pPr>
            <w:r>
              <w:rPr>
                <w:rFonts w:ascii="Arial" w:cs="Arial" w:eastAsia="Arial" w:hAnsi="Arial"/>
                <w:sz w:val="18"/>
                <w:szCs w:val="18"/>
                <w:color w:val="auto"/>
                <w:w w:val="99"/>
              </w:rPr>
              <w:t>10-Q</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001-39503</w:t>
            </w:r>
          </w:p>
        </w:tc>
        <w:tc>
          <w:tcPr>
            <w:tcW w:w="40" w:type="dxa"/>
            <w:vAlign w:val="bottom"/>
          </w:tcPr>
          <w:p>
            <w:pPr>
              <w:spacing w:after="0"/>
              <w:rPr>
                <w:sz w:val="15"/>
                <w:szCs w:val="15"/>
                <w:color w:val="auto"/>
              </w:rPr>
            </w:pP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center"/>
              <w:ind w:right="35"/>
              <w:spacing w:after="0" w:line="182" w:lineRule="exact"/>
              <w:rPr>
                <w:sz w:val="20"/>
                <w:szCs w:val="20"/>
                <w:color w:val="auto"/>
              </w:rPr>
            </w:pPr>
            <w:r>
              <w:rPr>
                <w:rFonts w:ascii="Arial" w:cs="Arial" w:eastAsia="Arial" w:hAnsi="Arial"/>
                <w:sz w:val="18"/>
                <w:szCs w:val="18"/>
                <w:color w:val="auto"/>
                <w:w w:val="99"/>
              </w:rPr>
              <w:t>November 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35"/>
              <w:spacing w:after="0"/>
              <w:rPr>
                <w:sz w:val="20"/>
                <w:szCs w:val="20"/>
                <w:color w:val="auto"/>
              </w:rPr>
            </w:pPr>
            <w:r>
              <w:rPr>
                <w:rFonts w:ascii="Arial" w:cs="Arial" w:eastAsia="Arial" w:hAnsi="Arial"/>
                <w:sz w:val="18"/>
                <w:szCs w:val="18"/>
                <w:color w:val="auto"/>
                <w:w w:val="99"/>
              </w:rPr>
              <w:t>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tcPr>
          <w:p>
            <w:pPr>
              <w:jc w:val="center"/>
              <w:ind w:left="132"/>
              <w:spacing w:after="0" w:line="176"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20" w:type="dxa"/>
            <w:vAlign w:val="bottom"/>
            <w:gridSpan w:val="16"/>
          </w:tcPr>
          <w:p>
            <w:pPr>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Specimen Common Stock Certificate</w:t>
              </w:r>
            </w:hyperlink>
          </w:p>
        </w:tc>
        <w:tc>
          <w:tcPr>
            <w:tcW w:w="860" w:type="dxa"/>
            <w:vAlign w:val="bottom"/>
            <w:gridSpan w:val="2"/>
          </w:tcPr>
          <w:p>
            <w:pPr>
              <w:jc w:val="center"/>
              <w:ind w:right="60"/>
              <w:spacing w:after="0" w:line="176" w:lineRule="exact"/>
              <w:rPr>
                <w:sz w:val="20"/>
                <w:szCs w:val="20"/>
                <w:color w:val="auto"/>
              </w:rPr>
            </w:pPr>
            <w:r>
              <w:rPr>
                <w:rFonts w:ascii="Arial" w:cs="Arial" w:eastAsia="Arial" w:hAnsi="Arial"/>
                <w:sz w:val="18"/>
                <w:szCs w:val="18"/>
                <w:color w:val="auto"/>
                <w:w w:val="97"/>
              </w:rPr>
              <w:t>S-1/A</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9"/>
              </w:rPr>
              <w:t>333-248428</w:t>
            </w:r>
          </w:p>
        </w:tc>
        <w:tc>
          <w:tcPr>
            <w:tcW w:w="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center"/>
              <w:ind w:right="15"/>
              <w:spacing w:after="0" w:line="176" w:lineRule="exact"/>
              <w:rPr>
                <w:sz w:val="20"/>
                <w:szCs w:val="20"/>
                <w:color w:val="auto"/>
              </w:rPr>
            </w:pPr>
            <w:r>
              <w:rPr>
                <w:rFonts w:ascii="Arial" w:cs="Arial" w:eastAsia="Arial" w:hAnsi="Arial"/>
                <w:sz w:val="18"/>
                <w:szCs w:val="18"/>
                <w:color w:val="auto"/>
                <w:w w:val="99"/>
              </w:rPr>
              <w:t>September 14,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vMerge w:val="restart"/>
          </w:tcPr>
          <w:p>
            <w:pPr>
              <w:jc w:val="center"/>
              <w:ind w:right="35"/>
              <w:spacing w:after="0"/>
              <w:rPr>
                <w:sz w:val="20"/>
                <w:szCs w:val="20"/>
                <w:color w:val="auto"/>
              </w:rPr>
            </w:pPr>
            <w:r>
              <w:rPr>
                <w:rFonts w:ascii="Arial" w:cs="Arial" w:eastAsia="Arial" w:hAnsi="Arial"/>
                <w:sz w:val="18"/>
                <w:szCs w:val="18"/>
                <w:color w:val="auto"/>
                <w:w w:val="99"/>
              </w:rPr>
              <w:t>2020</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vMerge w:val="restart"/>
          </w:tcPr>
          <w:p>
            <w:pPr>
              <w:jc w:val="center"/>
              <w:ind w:left="112"/>
              <w:spacing w:after="0"/>
              <w:rPr>
                <w:sz w:val="20"/>
                <w:szCs w:val="20"/>
                <w:color w:val="auto"/>
              </w:rPr>
            </w:pPr>
            <w:r>
              <w:rPr>
                <w:rFonts w:ascii="Arial" w:cs="Arial" w:eastAsia="Arial" w:hAnsi="Arial"/>
                <w:sz w:val="18"/>
                <w:szCs w:val="18"/>
                <w:color w:val="auto"/>
                <w:w w:val="99"/>
              </w:rPr>
              <w:t>4.2*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gridSpan w:val="16"/>
            <w:vMerge w:val="restart"/>
          </w:tcPr>
          <w:p>
            <w:pPr>
              <w:spacing w:after="0"/>
              <w:rPr>
                <w:sz w:val="20"/>
                <w:szCs w:val="20"/>
                <w:color w:val="auto"/>
              </w:rPr>
            </w:pPr>
            <w:r>
              <w:rPr>
                <w:rFonts w:ascii="Arial" w:cs="Arial" w:eastAsia="Arial" w:hAnsi="Arial"/>
                <w:sz w:val="18"/>
                <w:szCs w:val="18"/>
                <w:color w:val="auto"/>
              </w:rPr>
              <w:t>Form of Preferred Stock Certificate</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20" w:type="dxa"/>
            <w:vAlign w:val="bottom"/>
            <w:gridSpan w:val="16"/>
            <w:vMerge w:val="continue"/>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jc w:val="center"/>
              <w:ind w:left="132"/>
              <w:spacing w:after="0" w:line="202"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202"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Form of Indenture</w:t>
              </w:r>
            </w:hyperlink>
          </w:p>
        </w:tc>
        <w:tc>
          <w:tcPr>
            <w:tcW w:w="258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63"/>
        </w:trPr>
        <w:tc>
          <w:tcPr>
            <w:tcW w:w="1000" w:type="dxa"/>
            <w:vAlign w:val="bottom"/>
          </w:tcPr>
          <w:p>
            <w:pPr>
              <w:jc w:val="center"/>
              <w:ind w:left="112"/>
              <w:spacing w:after="0"/>
              <w:rPr>
                <w:sz w:val="20"/>
                <w:szCs w:val="20"/>
                <w:color w:val="auto"/>
              </w:rPr>
            </w:pPr>
            <w:r>
              <w:rPr>
                <w:rFonts w:ascii="Arial" w:cs="Arial" w:eastAsia="Arial" w:hAnsi="Arial"/>
                <w:sz w:val="18"/>
                <w:szCs w:val="18"/>
                <w:color w:val="auto"/>
                <w:w w:val="99"/>
              </w:rPr>
              <w:t>4.4*</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20" w:type="dxa"/>
            <w:vAlign w:val="bottom"/>
            <w:gridSpan w:val="16"/>
          </w:tcPr>
          <w:p>
            <w:pPr>
              <w:spacing w:after="0"/>
              <w:rPr>
                <w:sz w:val="20"/>
                <w:szCs w:val="20"/>
                <w:color w:val="auto"/>
              </w:rPr>
            </w:pPr>
            <w:r>
              <w:rPr>
                <w:rFonts w:ascii="Arial" w:cs="Arial" w:eastAsia="Arial" w:hAnsi="Arial"/>
                <w:sz w:val="18"/>
                <w:szCs w:val="18"/>
                <w:color w:val="auto"/>
              </w:rPr>
              <w:t>Form of Debt Security</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jc w:val="center"/>
              <w:ind w:left="112"/>
              <w:spacing w:after="0"/>
              <w:rPr>
                <w:sz w:val="20"/>
                <w:szCs w:val="20"/>
                <w:color w:val="auto"/>
              </w:rPr>
            </w:pPr>
            <w:r>
              <w:rPr>
                <w:rFonts w:ascii="Arial" w:cs="Arial" w:eastAsia="Arial" w:hAnsi="Arial"/>
                <w:sz w:val="18"/>
                <w:szCs w:val="18"/>
                <w:color w:val="auto"/>
                <w:w w:val="99"/>
              </w:rPr>
              <w:t>4.5*</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20" w:type="dxa"/>
            <w:vAlign w:val="bottom"/>
            <w:gridSpan w:val="16"/>
          </w:tcPr>
          <w:p>
            <w:pPr>
              <w:spacing w:after="0"/>
              <w:rPr>
                <w:sz w:val="20"/>
                <w:szCs w:val="20"/>
                <w:color w:val="auto"/>
              </w:rPr>
            </w:pPr>
            <w:r>
              <w:rPr>
                <w:rFonts w:ascii="Arial" w:cs="Arial" w:eastAsia="Arial" w:hAnsi="Arial"/>
                <w:sz w:val="18"/>
                <w:szCs w:val="18"/>
                <w:color w:val="auto"/>
              </w:rPr>
              <w:t>Form of Depositary Agreement</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jc w:val="center"/>
              <w:ind w:left="112"/>
              <w:spacing w:after="0"/>
              <w:rPr>
                <w:sz w:val="20"/>
                <w:szCs w:val="20"/>
                <w:color w:val="auto"/>
              </w:rPr>
            </w:pPr>
            <w:r>
              <w:rPr>
                <w:rFonts w:ascii="Arial" w:cs="Arial" w:eastAsia="Arial" w:hAnsi="Arial"/>
                <w:sz w:val="18"/>
                <w:szCs w:val="18"/>
                <w:color w:val="auto"/>
                <w:w w:val="99"/>
              </w:rPr>
              <w:t>4.6*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20" w:type="dxa"/>
            <w:vAlign w:val="bottom"/>
            <w:gridSpan w:val="16"/>
          </w:tcPr>
          <w:p>
            <w:pPr>
              <w:spacing w:after="0"/>
              <w:rPr>
                <w:sz w:val="20"/>
                <w:szCs w:val="20"/>
                <w:color w:val="auto"/>
              </w:rPr>
            </w:pPr>
            <w:r>
              <w:rPr>
                <w:rFonts w:ascii="Arial" w:cs="Arial" w:eastAsia="Arial" w:hAnsi="Arial"/>
                <w:sz w:val="18"/>
                <w:szCs w:val="18"/>
                <w:color w:val="auto"/>
              </w:rPr>
              <w:t>Form of Warrant Agreement</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jc w:val="center"/>
              <w:ind w:left="112"/>
              <w:spacing w:after="0"/>
              <w:rPr>
                <w:sz w:val="20"/>
                <w:szCs w:val="20"/>
                <w:color w:val="auto"/>
              </w:rPr>
            </w:pPr>
            <w:r>
              <w:rPr>
                <w:rFonts w:ascii="Arial" w:cs="Arial" w:eastAsia="Arial" w:hAnsi="Arial"/>
                <w:sz w:val="18"/>
                <w:szCs w:val="18"/>
                <w:color w:val="auto"/>
                <w:w w:val="99"/>
              </w:rPr>
              <w:t>4.7*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20" w:type="dxa"/>
            <w:vAlign w:val="bottom"/>
            <w:gridSpan w:val="16"/>
          </w:tcPr>
          <w:p>
            <w:pPr>
              <w:spacing w:after="0"/>
              <w:rPr>
                <w:sz w:val="20"/>
                <w:szCs w:val="20"/>
                <w:color w:val="auto"/>
              </w:rPr>
            </w:pPr>
            <w:r>
              <w:rPr>
                <w:rFonts w:ascii="Arial" w:cs="Arial" w:eastAsia="Arial" w:hAnsi="Arial"/>
                <w:sz w:val="18"/>
                <w:szCs w:val="18"/>
                <w:color w:val="auto"/>
              </w:rPr>
              <w:t>Form of Subscription Agreement</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jc w:val="center"/>
              <w:ind w:left="112"/>
              <w:spacing w:after="0"/>
              <w:rPr>
                <w:sz w:val="20"/>
                <w:szCs w:val="20"/>
                <w:color w:val="auto"/>
              </w:rPr>
            </w:pPr>
            <w:r>
              <w:rPr>
                <w:rFonts w:ascii="Arial" w:cs="Arial" w:eastAsia="Arial" w:hAnsi="Arial"/>
                <w:sz w:val="18"/>
                <w:szCs w:val="18"/>
                <w:color w:val="auto"/>
                <w:w w:val="99"/>
              </w:rPr>
              <w:t>4.8*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20" w:type="dxa"/>
            <w:vAlign w:val="bottom"/>
            <w:gridSpan w:val="16"/>
          </w:tcPr>
          <w:p>
            <w:pPr>
              <w:spacing w:after="0"/>
              <w:rPr>
                <w:sz w:val="20"/>
                <w:szCs w:val="20"/>
                <w:color w:val="auto"/>
              </w:rPr>
            </w:pPr>
            <w:r>
              <w:rPr>
                <w:rFonts w:ascii="Arial" w:cs="Arial" w:eastAsia="Arial" w:hAnsi="Arial"/>
                <w:sz w:val="18"/>
                <w:szCs w:val="18"/>
                <w:color w:val="auto"/>
              </w:rPr>
              <w:t>Form of Purchase Contract Agreement</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jc w:val="center"/>
              <w:ind w:left="112"/>
              <w:spacing w:after="0"/>
              <w:rPr>
                <w:sz w:val="20"/>
                <w:szCs w:val="20"/>
                <w:color w:val="auto"/>
              </w:rPr>
            </w:pPr>
            <w:r>
              <w:rPr>
                <w:rFonts w:ascii="Arial" w:cs="Arial" w:eastAsia="Arial" w:hAnsi="Arial"/>
                <w:sz w:val="18"/>
                <w:szCs w:val="18"/>
                <w:color w:val="auto"/>
                <w:w w:val="99"/>
              </w:rPr>
              <w:t>4.9*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20" w:type="dxa"/>
            <w:vAlign w:val="bottom"/>
            <w:gridSpan w:val="16"/>
          </w:tcPr>
          <w:p>
            <w:pPr>
              <w:spacing w:after="0"/>
              <w:rPr>
                <w:sz w:val="20"/>
                <w:szCs w:val="20"/>
                <w:color w:val="auto"/>
              </w:rPr>
            </w:pPr>
            <w:r>
              <w:rPr>
                <w:rFonts w:ascii="Arial" w:cs="Arial" w:eastAsia="Arial" w:hAnsi="Arial"/>
                <w:sz w:val="18"/>
                <w:szCs w:val="18"/>
                <w:color w:val="auto"/>
              </w:rPr>
              <w:t>Form of Unit Agreement</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jc w:val="center"/>
              <w:ind w:left="132"/>
              <w:spacing w:after="0"/>
              <w:rPr>
                <w:sz w:val="20"/>
                <w:szCs w:val="20"/>
                <w:color w:val="auto"/>
              </w:rPr>
            </w:pPr>
            <w:r>
              <w:rPr>
                <w:rFonts w:ascii="Arial" w:cs="Arial" w:eastAsia="Arial" w:hAnsi="Arial"/>
                <w:sz w:val="18"/>
                <w:szCs w:val="18"/>
                <w:color w:val="auto"/>
                <w:w w:val="99"/>
              </w:rPr>
              <w:t>4.10*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20" w:type="dxa"/>
            <w:vAlign w:val="bottom"/>
            <w:gridSpan w:val="16"/>
          </w:tcPr>
          <w:p>
            <w:pPr>
              <w:spacing w:after="0"/>
              <w:rPr>
                <w:sz w:val="20"/>
                <w:szCs w:val="20"/>
                <w:color w:val="auto"/>
              </w:rPr>
            </w:pPr>
            <w:r>
              <w:rPr>
                <w:rFonts w:ascii="Arial" w:cs="Arial" w:eastAsia="Arial" w:hAnsi="Arial"/>
                <w:sz w:val="18"/>
                <w:szCs w:val="18"/>
                <w:color w:val="auto"/>
              </w:rPr>
              <w:t>Form of Unit</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00" w:type="dxa"/>
            <w:vAlign w:val="bottom"/>
          </w:tcPr>
          <w:p>
            <w:pPr>
              <w:jc w:val="center"/>
              <w:ind w:left="132"/>
              <w:spacing w:after="0" w:line="202" w:lineRule="exact"/>
              <w:rPr>
                <w:sz w:val="20"/>
                <w:szCs w:val="20"/>
                <w:color w:val="auto"/>
              </w:rPr>
            </w:pPr>
            <w:r>
              <w:rPr>
                <w:rFonts w:ascii="Arial" w:cs="Arial" w:eastAsia="Arial" w:hAnsi="Arial"/>
                <w:sz w:val="18"/>
                <w:szCs w:val="18"/>
                <w:color w:val="auto"/>
              </w:rPr>
              <w:t>5.1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20" w:type="dxa"/>
            <w:vAlign w:val="bottom"/>
            <w:tcBorders>
              <w:bottom w:val="single" w:sz="8" w:color="0000EE"/>
            </w:tcBorders>
            <w:gridSpan w:val="10"/>
          </w:tcPr>
          <w:p>
            <w:pPr>
              <w:spacing w:after="0" w:line="202" w:lineRule="exact"/>
              <w:rPr>
                <w:rFonts w:ascii="Arial" w:cs="Arial" w:eastAsia="Arial" w:hAnsi="Arial"/>
                <w:sz w:val="18"/>
                <w:szCs w:val="18"/>
                <w:color w:val="0000EE"/>
                <w:w w:val="99"/>
              </w:rPr>
            </w:pPr>
            <w:hyperlink w:anchor="page88">
              <w:r>
                <w:rPr>
                  <w:rFonts w:ascii="Arial" w:cs="Arial" w:eastAsia="Arial" w:hAnsi="Arial"/>
                  <w:sz w:val="18"/>
                  <w:szCs w:val="18"/>
                  <w:color w:val="0000EE"/>
                  <w:w w:val="99"/>
                </w:rPr>
                <w:t>Opinion of Wilson Sonsini Goodrich &amp; Rosati,</w:t>
              </w:r>
            </w:hyperlink>
          </w:p>
        </w:tc>
        <w:tc>
          <w:tcPr>
            <w:tcW w:w="40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20" w:type="dxa"/>
            <w:vAlign w:val="bottom"/>
            <w:gridSpan w:val="16"/>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Professional Corporation</w:t>
              </w:r>
            </w:hyperlink>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jc w:val="center"/>
              <w:ind w:left="132"/>
              <w:spacing w:after="0" w:line="182" w:lineRule="exact"/>
              <w:rPr>
                <w:sz w:val="20"/>
                <w:szCs w:val="20"/>
                <w:color w:val="auto"/>
              </w:rPr>
            </w:pPr>
            <w:r>
              <w:rPr>
                <w:rFonts w:ascii="Arial" w:cs="Arial" w:eastAsia="Arial" w:hAnsi="Arial"/>
                <w:sz w:val="18"/>
                <w:szCs w:val="18"/>
                <w:color w:val="auto"/>
                <w:w w:val="96"/>
              </w:rPr>
              <w:t>23.1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20" w:type="dxa"/>
            <w:vAlign w:val="bottom"/>
            <w:gridSpan w:val="16"/>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Consent of Independent Registered Public</w:t>
              </w:r>
            </w:hyperlink>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8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Accounting Firm</w:t>
              </w:r>
            </w:hyperlink>
          </w:p>
        </w:tc>
        <w:tc>
          <w:tcPr>
            <w:tcW w:w="640" w:type="dxa"/>
            <w:vAlign w:val="bottom"/>
            <w:gridSpan w:val="8"/>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jc w:val="center"/>
              <w:ind w:left="132"/>
              <w:spacing w:after="0" w:line="182" w:lineRule="exact"/>
              <w:rPr>
                <w:sz w:val="20"/>
                <w:szCs w:val="20"/>
                <w:color w:val="auto"/>
              </w:rPr>
            </w:pPr>
            <w:r>
              <w:rPr>
                <w:rFonts w:ascii="Arial" w:cs="Arial" w:eastAsia="Arial" w:hAnsi="Arial"/>
                <w:sz w:val="18"/>
                <w:szCs w:val="18"/>
                <w:color w:val="auto"/>
                <w:w w:val="96"/>
              </w:rPr>
              <w:t>23.2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20" w:type="dxa"/>
            <w:vAlign w:val="bottom"/>
            <w:gridSpan w:val="16"/>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Consent of Wilson Sonsini Goodrich &amp; Rosati,</w:t>
              </w:r>
            </w:hyperlink>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Borders>
              <w:right w:val="single" w:sz="8" w:color="0000EE"/>
            </w:tcBorders>
            <w:gridSpan w:val="6"/>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20" w:type="dxa"/>
            <w:vAlign w:val="bottom"/>
            <w:gridSpan w:val="16"/>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Professional Corporation (included in the opinion</w:t>
              </w:r>
            </w:hyperlink>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Borders>
              <w:right w:val="single" w:sz="8" w:color="0000EE"/>
            </w:tcBorders>
            <w:gridSpan w:val="6"/>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88">
              <w:r>
                <w:rPr>
                  <w:rFonts w:ascii="Arial" w:cs="Arial" w:eastAsia="Arial" w:hAnsi="Arial"/>
                  <w:sz w:val="18"/>
                  <w:szCs w:val="18"/>
                  <w:color w:val="0000EE"/>
                  <w:w w:val="99"/>
                </w:rPr>
                <w:t>filed as Exhibit 5.1 to this Registration Statement)</w:t>
              </w:r>
            </w:hyperlink>
          </w:p>
        </w:tc>
        <w:tc>
          <w:tcPr>
            <w:tcW w:w="8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jc w:val="center"/>
              <w:ind w:left="132"/>
              <w:spacing w:after="0" w:line="182" w:lineRule="exact"/>
              <w:rPr>
                <w:sz w:val="20"/>
                <w:szCs w:val="20"/>
                <w:color w:val="auto"/>
              </w:rPr>
            </w:pPr>
            <w:r>
              <w:rPr>
                <w:rFonts w:ascii="Arial" w:cs="Arial" w:eastAsia="Arial" w:hAnsi="Arial"/>
                <w:sz w:val="18"/>
                <w:szCs w:val="18"/>
                <w:color w:val="auto"/>
                <w:w w:val="96"/>
              </w:rPr>
              <w:t>24.1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6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Power of Attorney (included on the signature</w:t>
              </w:r>
            </w:hyperlink>
          </w:p>
        </w:tc>
        <w:tc>
          <w:tcPr>
            <w:tcW w:w="460" w:type="dxa"/>
            <w:vAlign w:val="bottom"/>
            <w:gridSpan w:val="7"/>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4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page to this Registration Statement)</w:t>
              </w:r>
            </w:hyperlink>
          </w:p>
        </w:tc>
        <w:tc>
          <w:tcPr>
            <w:tcW w:w="1080" w:type="dxa"/>
            <w:vAlign w:val="bottom"/>
            <w:gridSpan w:val="10"/>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00" w:type="dxa"/>
            <w:vAlign w:val="bottom"/>
          </w:tcPr>
          <w:p>
            <w:pPr>
              <w:jc w:val="right"/>
              <w:ind w:right="12"/>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gridSpan w:val="16"/>
          </w:tcPr>
          <w:p>
            <w:pPr>
              <w:spacing w:after="0"/>
              <w:rPr>
                <w:sz w:val="20"/>
                <w:szCs w:val="20"/>
                <w:color w:val="auto"/>
              </w:rPr>
            </w:pPr>
            <w:r>
              <w:rPr>
                <w:rFonts w:ascii="Arial" w:cs="Arial" w:eastAsia="Arial" w:hAnsi="Arial"/>
                <w:sz w:val="18"/>
                <w:szCs w:val="18"/>
                <w:color w:val="auto"/>
              </w:rPr>
              <w:t>Form T-1 Statement of Eligibility of Trustee for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gridSpan w:val="16"/>
          </w:tcPr>
          <w:p>
            <w:pPr>
              <w:spacing w:after="0"/>
              <w:rPr>
                <w:sz w:val="20"/>
                <w:szCs w:val="20"/>
                <w:color w:val="auto"/>
              </w:rPr>
            </w:pPr>
            <w:r>
              <w:rPr>
                <w:rFonts w:ascii="Arial" w:cs="Arial" w:eastAsia="Arial" w:hAnsi="Arial"/>
                <w:sz w:val="18"/>
                <w:szCs w:val="18"/>
                <w:color w:val="auto"/>
              </w:rPr>
              <w:t>Indenture under the Trust Indenture Act of 1939</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3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39"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To be filed, if applicable, by amendment or incorporated by reference pursuant to a Current Report on Form 8-K.</w:t>
      </w:r>
    </w:p>
    <w:p>
      <w:pPr>
        <w:ind w:left="480" w:hanging="472"/>
        <w:spacing w:after="0" w:line="187" w:lineRule="auto"/>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2"/>
          <w:szCs w:val="12"/>
          <w:color w:val="auto"/>
        </w:rPr>
        <w:t>To be filed pursuant to Section 305(b)(2) of the Trust Indenture Act of 1939, as amended.</w:t>
      </w:r>
    </w:p>
    <w:p>
      <w:pPr>
        <w:spacing w:after="0" w:line="28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Undertakings</w:t>
      </w:r>
    </w:p>
    <w:p>
      <w:pPr>
        <w:spacing w:after="0" w:line="126" w:lineRule="exact"/>
        <w:rPr>
          <w:sz w:val="20"/>
          <w:szCs w:val="20"/>
          <w:color w:val="auto"/>
        </w:rPr>
      </w:pPr>
    </w:p>
    <w:p>
      <w:pPr>
        <w:ind w:left="1460" w:hanging="876"/>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9" w:lineRule="exact"/>
        <w:rPr>
          <w:rFonts w:ascii="Arial" w:cs="Arial" w:eastAsia="Arial" w:hAnsi="Arial"/>
          <w:sz w:val="18"/>
          <w:szCs w:val="18"/>
          <w:color w:val="auto"/>
        </w:rPr>
      </w:pPr>
    </w:p>
    <w:p>
      <w:pPr>
        <w:ind w:left="2020" w:hanging="860"/>
        <w:spacing w:after="0"/>
        <w:tabs>
          <w:tab w:leader="none" w:pos="2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w:t>
      </w:r>
    </w:p>
    <w:p>
      <w:pPr>
        <w:spacing w:after="0"/>
        <w:rPr>
          <w:rFonts w:ascii="Arial" w:cs="Arial" w:eastAsia="Arial" w:hAnsi="Arial"/>
          <w:sz w:val="18"/>
          <w:szCs w:val="18"/>
          <w:color w:val="auto"/>
        </w:rPr>
      </w:pPr>
      <w:r>
        <w:rPr>
          <w:rFonts w:ascii="Arial" w:cs="Arial" w:eastAsia="Arial" w:hAnsi="Arial"/>
          <w:sz w:val="18"/>
          <w:szCs w:val="18"/>
          <w:color w:val="auto"/>
        </w:rPr>
        <w:t>statement:</w:t>
      </w:r>
    </w:p>
    <w:p>
      <w:pPr>
        <w:spacing w:after="0" w:line="103" w:lineRule="exact"/>
        <w:rPr>
          <w:rFonts w:ascii="Arial" w:cs="Arial" w:eastAsia="Arial" w:hAnsi="Arial"/>
          <w:sz w:val="18"/>
          <w:szCs w:val="18"/>
          <w:color w:val="auto"/>
        </w:rPr>
      </w:pPr>
    </w:p>
    <w:p>
      <w:pPr>
        <w:ind w:left="2540" w:hanging="805"/>
        <w:spacing w:after="0"/>
        <w:tabs>
          <w:tab w:leader="none" w:pos="25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03" w:lineRule="exact"/>
        <w:rPr>
          <w:rFonts w:ascii="Arial" w:cs="Arial" w:eastAsia="Arial" w:hAnsi="Arial"/>
          <w:sz w:val="18"/>
          <w:szCs w:val="18"/>
          <w:color w:val="auto"/>
        </w:rPr>
      </w:pPr>
    </w:p>
    <w:p>
      <w:pPr>
        <w:jc w:val="both"/>
        <w:ind w:right="60" w:firstLine="1735"/>
        <w:spacing w:after="0" w:line="237" w:lineRule="auto"/>
        <w:tabs>
          <w:tab w:leader="none" w:pos="2575"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300"/>
          </w:cols>
          <w:pgMar w:left="320" w:top="576" w:right="279" w:bottom="1440" w:gutter="0" w:footer="0" w:header="0"/>
        </w:sectPr>
      </w:pPr>
    </w:p>
    <w:bookmarkStart w:id="31" w:name="page32"/>
    <w:bookmarkEnd w:id="31"/>
    <w:p>
      <w:pPr>
        <w:spacing w:after="0" w:line="246" w:lineRule="auto"/>
        <w:rPr>
          <w:sz w:val="20"/>
          <w:szCs w:val="20"/>
          <w:color w:val="auto"/>
        </w:rPr>
      </w:pPr>
      <w:r>
        <w:rPr>
          <w:rFonts w:ascii="Arial" w:cs="Arial" w:eastAsia="Arial" w:hAnsi="Arial"/>
          <w:sz w:val="18"/>
          <w:szCs w:val="18"/>
          <w:color w:val="auto"/>
        </w:rPr>
        <w:t>changes in volume and price represent no more than a 20 percent change in the maximum aggregate offering price set forth in the “Calculation of Registration Fee” table in the effective registration statement; and</w:t>
      </w:r>
    </w:p>
    <w:p>
      <w:pPr>
        <w:spacing w:after="0" w:line="89" w:lineRule="exact"/>
        <w:rPr>
          <w:sz w:val="20"/>
          <w:szCs w:val="20"/>
          <w:color w:val="auto"/>
        </w:rPr>
      </w:pPr>
    </w:p>
    <w:p>
      <w:pPr>
        <w:ind w:firstLine="1735"/>
        <w:spacing w:after="0" w:line="246" w:lineRule="auto"/>
        <w:tabs>
          <w:tab w:leader="none" w:pos="26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(1)(ii) and (1)(iii)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91" w:lineRule="exact"/>
        <w:rPr>
          <w:sz w:val="20"/>
          <w:szCs w:val="20"/>
          <w:color w:val="auto"/>
        </w:rPr>
      </w:pPr>
    </w:p>
    <w:p>
      <w:pPr>
        <w:jc w:val="both"/>
        <w:ind w:firstLine="1160"/>
        <w:spacing w:after="0"/>
        <w:tabs>
          <w:tab w:leader="none" w:pos="2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4" w:lineRule="exact"/>
        <w:rPr>
          <w:rFonts w:ascii="Arial" w:cs="Arial" w:eastAsia="Arial" w:hAnsi="Arial"/>
          <w:sz w:val="18"/>
          <w:szCs w:val="18"/>
          <w:color w:val="auto"/>
        </w:rPr>
      </w:pPr>
    </w:p>
    <w:p>
      <w:pPr>
        <w:ind w:firstLine="1160"/>
        <w:spacing w:after="0" w:line="246" w:lineRule="auto"/>
        <w:tabs>
          <w:tab w:leader="none" w:pos="2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8" w:lineRule="exact"/>
        <w:rPr>
          <w:rFonts w:ascii="Arial" w:cs="Arial" w:eastAsia="Arial" w:hAnsi="Arial"/>
          <w:sz w:val="18"/>
          <w:szCs w:val="18"/>
          <w:color w:val="auto"/>
        </w:rPr>
      </w:pPr>
    </w:p>
    <w:p>
      <w:pPr>
        <w:ind w:left="2020" w:hanging="860"/>
        <w:spacing w:after="0"/>
        <w:tabs>
          <w:tab w:leader="none" w:pos="2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03" w:lineRule="exact"/>
        <w:rPr>
          <w:rFonts w:ascii="Arial" w:cs="Arial" w:eastAsia="Arial" w:hAnsi="Arial"/>
          <w:sz w:val="18"/>
          <w:szCs w:val="18"/>
          <w:color w:val="auto"/>
        </w:rPr>
      </w:pPr>
    </w:p>
    <w:p>
      <w:pPr>
        <w:ind w:firstLine="1735"/>
        <w:spacing w:after="0" w:line="246" w:lineRule="auto"/>
        <w:tabs>
          <w:tab w:leader="none" w:pos="25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8" w:lineRule="exact"/>
        <w:rPr>
          <w:rFonts w:ascii="Arial" w:cs="Arial" w:eastAsia="Arial" w:hAnsi="Arial"/>
          <w:sz w:val="18"/>
          <w:szCs w:val="18"/>
          <w:color w:val="auto"/>
        </w:rPr>
      </w:pPr>
    </w:p>
    <w:p>
      <w:pPr>
        <w:jc w:val="both"/>
        <w:ind w:firstLine="1735"/>
        <w:spacing w:after="0" w:line="236" w:lineRule="auto"/>
        <w:tabs>
          <w:tab w:leader="none" w:pos="25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statement made in a registration statement or prospectus that is part of the registration statement or made in a</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5" w:lineRule="exact"/>
        <w:rPr>
          <w:rFonts w:ascii="Arial" w:cs="Arial" w:eastAsia="Arial" w:hAnsi="Arial"/>
          <w:sz w:val="18"/>
          <w:szCs w:val="18"/>
          <w:color w:val="auto"/>
        </w:rPr>
      </w:pPr>
    </w:p>
    <w:p>
      <w:pPr>
        <w:jc w:val="both"/>
        <w:ind w:firstLine="1160"/>
        <w:spacing w:after="0" w:line="238" w:lineRule="auto"/>
        <w:tabs>
          <w:tab w:leader="none" w:pos="2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rFonts w:ascii="Arial" w:cs="Arial" w:eastAsia="Arial" w:hAnsi="Arial"/>
          <w:sz w:val="18"/>
          <w:szCs w:val="18"/>
          <w:color w:val="auto"/>
        </w:rPr>
      </w:pPr>
    </w:p>
    <w:p>
      <w:pPr>
        <w:ind w:left="2540" w:hanging="805"/>
        <w:spacing w:after="0"/>
        <w:tabs>
          <w:tab w:leader="none" w:pos="2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w:t>
      </w:r>
    </w:p>
    <w:p>
      <w:pPr>
        <w:spacing w:after="0"/>
        <w:rPr>
          <w:rFonts w:ascii="Arial" w:cs="Arial" w:eastAsia="Arial" w:hAnsi="Arial"/>
          <w:sz w:val="18"/>
          <w:szCs w:val="18"/>
          <w:color w:val="auto"/>
        </w:rPr>
      </w:pPr>
      <w:r>
        <w:rPr>
          <w:rFonts w:ascii="Arial" w:cs="Arial" w:eastAsia="Arial" w:hAnsi="Arial"/>
          <w:sz w:val="18"/>
          <w:szCs w:val="18"/>
          <w:color w:val="auto"/>
        </w:rPr>
        <w:t>filed pursuant to Rule 424;</w:t>
      </w:r>
    </w:p>
    <w:p>
      <w:pPr>
        <w:spacing w:after="0" w:line="103" w:lineRule="exact"/>
        <w:rPr>
          <w:rFonts w:ascii="Arial" w:cs="Arial" w:eastAsia="Arial" w:hAnsi="Arial"/>
          <w:sz w:val="18"/>
          <w:szCs w:val="18"/>
          <w:color w:val="auto"/>
        </w:rPr>
      </w:pPr>
    </w:p>
    <w:p>
      <w:pPr>
        <w:ind w:firstLine="1735"/>
        <w:spacing w:after="0" w:line="246" w:lineRule="auto"/>
        <w:tabs>
          <w:tab w:leader="none" w:pos="25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8" w:lineRule="exact"/>
        <w:rPr>
          <w:rFonts w:ascii="Arial" w:cs="Arial" w:eastAsia="Arial" w:hAnsi="Arial"/>
          <w:sz w:val="18"/>
          <w:szCs w:val="18"/>
          <w:color w:val="auto"/>
        </w:rPr>
      </w:pPr>
    </w:p>
    <w:p>
      <w:pPr>
        <w:ind w:right="20" w:firstLine="1735"/>
        <w:spacing w:after="0" w:line="246" w:lineRule="auto"/>
        <w:tabs>
          <w:tab w:leader="none" w:pos="261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2" w:name="page33"/>
    <w:bookmarkEnd w:id="32"/>
    <w:p>
      <w:pPr>
        <w:ind w:left="2640" w:hanging="905"/>
        <w:spacing w:after="0"/>
        <w:tabs>
          <w:tab w:leader="none" w:pos="2640" w:val="left"/>
        </w:tabs>
        <w:numPr>
          <w:ilvl w:val="2"/>
          <w:numId w:val="33"/>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15" w:lineRule="exact"/>
        <w:rPr>
          <w:rFonts w:ascii="Arial" w:cs="Arial" w:eastAsia="Arial" w:hAnsi="Arial"/>
          <w:sz w:val="17"/>
          <w:szCs w:val="17"/>
          <w:color w:val="auto"/>
        </w:rPr>
      </w:pPr>
    </w:p>
    <w:p>
      <w:pPr>
        <w:jc w:val="both"/>
        <w:ind w:firstLine="1160"/>
        <w:spacing w:after="0" w:line="238" w:lineRule="auto"/>
        <w:tabs>
          <w:tab w:leader="none" w:pos="2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94" w:lineRule="exact"/>
        <w:rPr>
          <w:rFonts w:ascii="Arial" w:cs="Arial" w:eastAsia="Arial" w:hAnsi="Arial"/>
          <w:sz w:val="18"/>
          <w:szCs w:val="18"/>
          <w:color w:val="auto"/>
        </w:rPr>
      </w:pPr>
    </w:p>
    <w:p>
      <w:pPr>
        <w:jc w:val="both"/>
        <w:ind w:firstLine="1160"/>
        <w:spacing w:after="0"/>
        <w:tabs>
          <w:tab w:leader="none" w:pos="2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94" w:lineRule="exact"/>
        <w:rPr>
          <w:rFonts w:ascii="Arial" w:cs="Arial" w:eastAsia="Arial" w:hAnsi="Arial"/>
          <w:sz w:val="18"/>
          <w:szCs w:val="18"/>
          <w:color w:val="auto"/>
        </w:rPr>
      </w:pPr>
    </w:p>
    <w:p>
      <w:pPr>
        <w:jc w:val="both"/>
        <w:ind w:firstLine="584"/>
        <w:spacing w:after="0" w:line="236" w:lineRule="auto"/>
        <w:tabs>
          <w:tab w:leader="none" w:pos="14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jc w:val="both"/>
        <w:ind w:firstLine="576"/>
        <w:spacing w:after="0" w:line="207" w:lineRule="exact"/>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w:t>
      </w:r>
      <w:r>
        <w:rPr>
          <w:rFonts w:ascii="MS PGothic" w:cs="MS PGothic" w:eastAsia="MS PGothic" w:hAnsi="MS PGothic"/>
          <w:sz w:val="18"/>
          <w:szCs w:val="18"/>
          <w:color w:val="auto"/>
        </w:rPr>
        <w:t>‑</w:t>
      </w:r>
      <w:r>
        <w:rPr>
          <w:rFonts w:ascii="Arial" w:cs="Arial" w:eastAsia="Arial" w:hAnsi="Arial"/>
          <w:sz w:val="18"/>
          <w:szCs w:val="18"/>
          <w:color w:val="auto"/>
        </w:rPr>
        <w:t>3 and has duly caused this registration statement to be signed on its behalf by the undersigned, thereunto duly authorized, in the City of Bothell, State of Washington, on November 15, 2021.</w:t>
      </w: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ATHIRA PHARMA, INC.</w:t>
      </w:r>
    </w:p>
    <w:p>
      <w:pPr>
        <w:spacing w:after="0" w:line="243" w:lineRule="exact"/>
        <w:rPr>
          <w:sz w:val="20"/>
          <w:szCs w:val="20"/>
          <w:color w:val="auto"/>
        </w:rPr>
      </w:pPr>
    </w:p>
    <w:p>
      <w:pPr>
        <w:ind w:left="56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34925</wp:posOffset>
            </wp:positionV>
            <wp:extent cx="31889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4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Mark Litton</w:t>
      </w:r>
    </w:p>
    <w:p>
      <w:pPr>
        <w:spacing w:after="0" w:line="3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President, Chief Executive Officer and Director</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jc w:val="both"/>
        <w:ind w:firstLine="576"/>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Mark Litton and Glenna Mileson,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spacing w:after="0" w:line="207" w:lineRule="exact"/>
        <w:rPr>
          <w:sz w:val="20"/>
          <w:szCs w:val="20"/>
          <w:color w:val="auto"/>
        </w:rPr>
      </w:pPr>
    </w:p>
    <w:p>
      <w:pPr>
        <w:jc w:val="both"/>
        <w:ind w:firstLine="576"/>
        <w:spacing w:after="0" w:line="24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360" w:right="339" w:bottom="1440" w:gutter="0" w:footer="0" w:header="0"/>
        </w:sectPr>
      </w:pPr>
    </w:p>
    <w:p>
      <w:pPr>
        <w:spacing w:after="0" w:line="202"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108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14"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108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jc w:val="center"/>
        <w:ind w:left="580"/>
        <w:spacing w:after="0"/>
        <w:rPr>
          <w:sz w:val="20"/>
          <w:szCs w:val="20"/>
          <w:color w:val="auto"/>
        </w:rPr>
      </w:pPr>
      <w:r>
        <w:rPr>
          <w:rFonts w:ascii="Arial" w:cs="Arial" w:eastAsia="Arial" w:hAnsi="Arial"/>
          <w:sz w:val="18"/>
          <w:szCs w:val="18"/>
          <w:color w:val="auto"/>
        </w:rPr>
        <w:t>Mark Litton</w:t>
      </w:r>
    </w:p>
    <w:p>
      <w:pPr>
        <w:spacing w:after="0" w:line="15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08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3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Glenna Mileson</w:t>
      </w:r>
    </w:p>
    <w:p>
      <w:pPr>
        <w:spacing w:after="0" w:line="15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Kelly A.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08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3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Kelly A. Romano</w:t>
      </w:r>
    </w:p>
    <w:p>
      <w:pPr>
        <w:spacing w:after="0" w:line="15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08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Joseph Edelman</w:t>
      </w:r>
    </w:p>
    <w:p>
      <w:pPr>
        <w:spacing w:after="0" w:line="15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John M. Fluke,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08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John M. Fluke, Jr.</w:t>
      </w:r>
    </w:p>
    <w:p>
      <w:pPr>
        <w:spacing w:after="0" w:line="158"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/s/ James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108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41"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James A. Johnson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5060" w:type="dxa"/>
            <w:vAlign w:val="bottom"/>
            <w:gridSpan w:val="2"/>
          </w:tcPr>
          <w:p>
            <w:pPr>
              <w:ind w:left="2280"/>
              <w:spacing w:after="0"/>
              <w:rPr>
                <w:sz w:val="20"/>
                <w:szCs w:val="20"/>
                <w:color w:val="auto"/>
              </w:rPr>
            </w:pPr>
            <w:r>
              <w:rPr>
                <w:rFonts w:ascii="Arial" w:cs="Arial" w:eastAsia="Arial" w:hAnsi="Arial"/>
                <w:sz w:val="18"/>
                <w:szCs w:val="18"/>
                <w:b w:val="1"/>
                <w:bCs w:val="1"/>
                <w:color w:val="auto"/>
              </w:rPr>
              <w:t>Title</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rPr>
              <w:t>Date</w:t>
            </w:r>
          </w:p>
        </w:tc>
      </w:tr>
      <w:tr>
        <w:trPr>
          <w:trHeight w:val="27"/>
        </w:trPr>
        <w:tc>
          <w:tcPr>
            <w:tcW w:w="4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317"/>
        </w:trPr>
        <w:tc>
          <w:tcPr>
            <w:tcW w:w="506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November 15, 2021</w:t>
            </w:r>
          </w:p>
        </w:tc>
      </w:tr>
      <w:tr>
        <w:trPr>
          <w:trHeight w:val="217"/>
        </w:trPr>
        <w:tc>
          <w:tcPr>
            <w:tcW w:w="50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520" w:type="dxa"/>
            <w:vAlign w:val="bottom"/>
          </w:tcPr>
          <w:p>
            <w:pPr>
              <w:spacing w:after="0"/>
              <w:rPr>
                <w:sz w:val="18"/>
                <w:szCs w:val="18"/>
                <w:color w:val="auto"/>
              </w:rPr>
            </w:pPr>
          </w:p>
        </w:tc>
      </w:tr>
      <w:tr>
        <w:trPr>
          <w:trHeight w:val="404"/>
        </w:trPr>
        <w:tc>
          <w:tcPr>
            <w:tcW w:w="50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November 15, 2021</w:t>
            </w:r>
          </w:p>
        </w:tc>
      </w:tr>
      <w:tr>
        <w:trPr>
          <w:trHeight w:val="217"/>
        </w:trPr>
        <w:tc>
          <w:tcPr>
            <w:tcW w:w="50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520" w:type="dxa"/>
            <w:vAlign w:val="bottom"/>
          </w:tcPr>
          <w:p>
            <w:pPr>
              <w:spacing w:after="0"/>
              <w:rPr>
                <w:sz w:val="18"/>
                <w:szCs w:val="18"/>
                <w:color w:val="auto"/>
              </w:rPr>
            </w:pPr>
          </w:p>
        </w:tc>
      </w:tr>
      <w:tr>
        <w:trPr>
          <w:trHeight w:val="418"/>
        </w:trPr>
        <w:tc>
          <w:tcPr>
            <w:tcW w:w="5060" w:type="dxa"/>
            <w:vAlign w:val="bottom"/>
            <w:gridSpan w:val="2"/>
          </w:tcPr>
          <w:p>
            <w:pPr>
              <w:spacing w:after="0"/>
              <w:rPr>
                <w:sz w:val="20"/>
                <w:szCs w:val="20"/>
                <w:color w:val="auto"/>
              </w:rPr>
            </w:pPr>
            <w:r>
              <w:rPr>
                <w:rFonts w:ascii="Arial" w:cs="Arial" w:eastAsia="Arial" w:hAnsi="Arial"/>
                <w:sz w:val="18"/>
                <w:szCs w:val="18"/>
                <w:color w:val="auto"/>
              </w:rPr>
              <w:t>Board Chair</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November 15, 2021</w:t>
            </w:r>
          </w:p>
        </w:tc>
      </w:tr>
      <w:tr>
        <w:trPr>
          <w:trHeight w:val="621"/>
        </w:trPr>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November 15, 2021</w:t>
            </w:r>
          </w:p>
        </w:tc>
      </w:tr>
      <w:tr>
        <w:trPr>
          <w:trHeight w:val="621"/>
        </w:trPr>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November 15, 2021</w:t>
            </w:r>
          </w:p>
        </w:tc>
      </w:tr>
      <w:tr>
        <w:trPr>
          <w:trHeight w:val="621"/>
        </w:trPr>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November 15, 2021</w:t>
            </w:r>
          </w:p>
        </w:tc>
      </w:tr>
    </w:tbl>
    <w:p>
      <w:pPr>
        <w:spacing w:after="0" w:line="404" w:lineRule="exact"/>
        <w:rPr>
          <w:sz w:val="20"/>
          <w:szCs w:val="20"/>
          <w:color w:val="auto"/>
        </w:rPr>
      </w:pPr>
    </w:p>
    <w:p>
      <w:pPr>
        <w:sectPr>
          <w:pgSz w:w="11900" w:h="16838" w:orient="portrait"/>
          <w:cols w:equalWidth="0" w:num="2">
            <w:col w:w="2740" w:space="720"/>
            <w:col w:w="7780"/>
          </w:cols>
          <w:pgMar w:left="320" w:top="360" w:right="339" w:bottom="1440" w:gutter="0" w:footer="0" w:header="0"/>
          <w:type w:val="continuous"/>
        </w:sectPr>
      </w:pPr>
    </w:p>
    <w:p>
      <w:pPr>
        <w:ind w:left="900"/>
        <w:spacing w:after="0"/>
        <w:tabs>
          <w:tab w:leader="none" w:pos="3440" w:val="left"/>
          <w:tab w:leader="none" w:pos="8960" w:val="left"/>
        </w:tabs>
        <w:rPr>
          <w:sz w:val="20"/>
          <w:szCs w:val="20"/>
          <w:color w:val="auto"/>
        </w:rPr>
      </w:pPr>
      <w:r>
        <w:rPr>
          <w:rFonts w:ascii="Arial" w:cs="Arial" w:eastAsia="Arial" w:hAnsi="Arial"/>
          <w:sz w:val="18"/>
          <w:szCs w:val="18"/>
          <w:color w:val="auto"/>
        </w:rPr>
        <w:t>/s/ Barbara Kosacz</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7"/>
          <w:szCs w:val="17"/>
          <w:color w:val="auto"/>
        </w:rPr>
        <w:t>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08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Barbara Kosacz</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360" w:right="3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285750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ATHIRA PHARMA, INC.</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______________</w:t>
      </w:r>
    </w:p>
    <w:p>
      <w:pPr>
        <w:spacing w:after="0" w:line="200" w:lineRule="exact"/>
        <w:rPr>
          <w:sz w:val="20"/>
          <w:szCs w:val="20"/>
          <w:color w:val="auto"/>
        </w:rPr>
      </w:pPr>
    </w:p>
    <w:p>
      <w:pPr>
        <w:spacing w:after="0" w:line="216"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INDENTURE</w:t>
      </w:r>
    </w:p>
    <w:p>
      <w:pPr>
        <w:spacing w:after="0" w:line="212" w:lineRule="exact"/>
        <w:rPr>
          <w:sz w:val="20"/>
          <w:szCs w:val="20"/>
          <w:color w:val="auto"/>
        </w:rPr>
      </w:pPr>
    </w:p>
    <w:tbl>
      <w:tblPr>
        <w:tblLayout w:type="fixed"/>
        <w:tblInd w:w="3300" w:type="dxa"/>
        <w:tblCellMar>
          <w:top w:w="0" w:type="dxa"/>
          <w:left w:w="0" w:type="dxa"/>
          <w:bottom w:w="0" w:type="dxa"/>
          <w:right w:w="0" w:type="dxa"/>
        </w:tblCellMar>
      </w:tblP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Dated as of [</w:t>
            </w:r>
          </w:p>
        </w:tc>
        <w:tc>
          <w:tcPr>
            <w:tcW w:w="900" w:type="dxa"/>
            <w:vAlign w:val="bottom"/>
          </w:tcPr>
          <w:p>
            <w:pPr>
              <w:jc w:val="right"/>
              <w:spacing w:after="0"/>
              <w:rPr>
                <w:sz w:val="20"/>
                <w:szCs w:val="20"/>
                <w:color w:val="auto"/>
              </w:rPr>
            </w:pPr>
            <w:r>
              <w:rPr>
                <w:rFonts w:ascii="Arial" w:cs="Arial" w:eastAsia="Arial" w:hAnsi="Arial"/>
                <w:sz w:val="22"/>
                <w:szCs w:val="22"/>
                <w:color w:val="auto"/>
              </w:rPr>
              <w:t>], 202_</w:t>
            </w:r>
          </w:p>
        </w:tc>
      </w:tr>
    </w:tbl>
    <w:p>
      <w:pPr>
        <w:spacing w:after="0" w:line="185"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______________</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[__________]</w:t>
      </w:r>
    </w:p>
    <w:p>
      <w:pPr>
        <w:spacing w:after="0" w:line="212"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504190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997585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220"/>
        </w:trPr>
        <w:tc>
          <w:tcPr>
            <w:tcW w:w="214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460" w:type="dxa"/>
            <w:vAlign w:val="bottom"/>
            <w:gridSpan w:val="2"/>
          </w:tcPr>
          <w:p>
            <w:pPr>
              <w:spacing w:after="0" w:line="220" w:lineRule="exact"/>
              <w:rPr>
                <w:sz w:val="20"/>
                <w:szCs w:val="20"/>
                <w:color w:val="auto"/>
              </w:rPr>
            </w:pPr>
            <w:r>
              <w:rPr>
                <w:rFonts w:ascii="Arial" w:cs="Arial" w:eastAsia="Arial" w:hAnsi="Arial"/>
                <w:sz w:val="22"/>
                <w:szCs w:val="22"/>
                <w:b w:val="1"/>
                <w:bCs w:val="1"/>
                <w:color w:val="auto"/>
                <w:w w:val="83"/>
              </w:rPr>
              <w:t>Page</w:t>
            </w:r>
          </w:p>
        </w:tc>
      </w:tr>
      <w:tr>
        <w:trPr>
          <w:trHeight w:val="382"/>
        </w:trPr>
        <w:tc>
          <w:tcPr>
            <w:tcW w:w="10800" w:type="dxa"/>
            <w:vAlign w:val="bottom"/>
            <w:gridSpan w:val="2"/>
          </w:tcPr>
          <w:p>
            <w:pPr>
              <w:spacing w:after="0"/>
              <w:rPr>
                <w:sz w:val="20"/>
                <w:szCs w:val="20"/>
                <w:color w:val="auto"/>
              </w:rPr>
            </w:pPr>
            <w:r>
              <w:rPr>
                <w:rFonts w:ascii="Arial" w:cs="Arial" w:eastAsia="Arial" w:hAnsi="Arial"/>
                <w:sz w:val="22"/>
                <w:szCs w:val="22"/>
                <w:color w:val="auto"/>
              </w:rPr>
              <w:t>ARTICLE I DEFINITIONS AND INCORPORATION BY REFERENCE</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w:t>
            </w:r>
          </w:p>
        </w:tc>
        <w:tc>
          <w:tcPr>
            <w:tcW w:w="20" w:type="dxa"/>
            <w:vAlign w:val="bottom"/>
          </w:tcPr>
          <w:p>
            <w:pPr>
              <w:spacing w:after="0"/>
              <w:rPr>
                <w:sz w:val="24"/>
                <w:szCs w:val="24"/>
                <w:color w:val="auto"/>
              </w:rPr>
            </w:pPr>
          </w:p>
        </w:tc>
      </w:tr>
      <w:tr>
        <w:trPr>
          <w:trHeight w:val="320"/>
        </w:trPr>
        <w:tc>
          <w:tcPr>
            <w:tcW w:w="2140" w:type="dxa"/>
            <w:vAlign w:val="bottom"/>
          </w:tcPr>
          <w:p>
            <w:pPr>
              <w:ind w:left="720"/>
              <w:spacing w:after="0"/>
              <w:rPr>
                <w:sz w:val="20"/>
                <w:szCs w:val="20"/>
                <w:color w:val="auto"/>
              </w:rPr>
            </w:pPr>
            <w:r>
              <w:rPr>
                <w:rFonts w:ascii="Arial" w:cs="Arial" w:eastAsia="Arial" w:hAnsi="Arial"/>
                <w:sz w:val="22"/>
                <w:szCs w:val="22"/>
                <w:color w:val="auto"/>
              </w:rPr>
              <w:t>Section 1.1</w:t>
            </w:r>
          </w:p>
        </w:tc>
        <w:tc>
          <w:tcPr>
            <w:tcW w:w="8660" w:type="dxa"/>
            <w:vAlign w:val="bottom"/>
          </w:tcPr>
          <w:p>
            <w:pPr>
              <w:ind w:left="360"/>
              <w:spacing w:after="0"/>
              <w:rPr>
                <w:sz w:val="20"/>
                <w:szCs w:val="20"/>
                <w:color w:val="auto"/>
              </w:rPr>
            </w:pPr>
            <w:r>
              <w:rPr>
                <w:rFonts w:ascii="Arial" w:cs="Arial" w:eastAsia="Arial" w:hAnsi="Arial"/>
                <w:sz w:val="22"/>
                <w:szCs w:val="22"/>
                <w:color w:val="auto"/>
              </w:rPr>
              <w:t>Definitions</w:t>
            </w:r>
          </w:p>
        </w:tc>
        <w:tc>
          <w:tcPr>
            <w:tcW w:w="440" w:type="dxa"/>
            <w:vAlign w:val="bottom"/>
          </w:tcPr>
          <w:p>
            <w:pPr>
              <w:jc w:val="right"/>
              <w:spacing w:after="0"/>
              <w:rPr>
                <w:sz w:val="20"/>
                <w:szCs w:val="20"/>
                <w:color w:val="auto"/>
              </w:rPr>
            </w:pPr>
            <w:r>
              <w:rPr>
                <w:rFonts w:ascii="Arial" w:cs="Arial" w:eastAsia="Arial" w:hAnsi="Arial"/>
                <w:sz w:val="22"/>
                <w:szCs w:val="22"/>
                <w:color w:val="auto"/>
              </w:rPr>
              <w:t>1</w:t>
            </w:r>
          </w:p>
        </w:tc>
        <w:tc>
          <w:tcPr>
            <w:tcW w:w="20" w:type="dxa"/>
            <w:vAlign w:val="bottom"/>
          </w:tcPr>
          <w:p>
            <w:pPr>
              <w:spacing w:after="0"/>
              <w:rPr>
                <w:sz w:val="24"/>
                <w:szCs w:val="24"/>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1.2</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Other Definitions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1.3</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Incorporation by Reference of Trust Indenture Act</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20" w:type="dxa"/>
            <w:vAlign w:val="bottom"/>
          </w:tcPr>
          <w:p>
            <w:pPr>
              <w:spacing w:after="0"/>
              <w:rPr>
                <w:sz w:val="21"/>
                <w:szCs w:val="21"/>
                <w:color w:val="auto"/>
              </w:rPr>
            </w:pPr>
          </w:p>
        </w:tc>
      </w:tr>
      <w:tr>
        <w:trPr>
          <w:trHeight w:val="274"/>
        </w:trPr>
        <w:tc>
          <w:tcPr>
            <w:tcW w:w="2140" w:type="dxa"/>
            <w:vAlign w:val="bottom"/>
          </w:tcPr>
          <w:p>
            <w:pPr>
              <w:ind w:left="720"/>
              <w:spacing w:after="0"/>
              <w:rPr>
                <w:sz w:val="20"/>
                <w:szCs w:val="20"/>
                <w:color w:val="auto"/>
              </w:rPr>
            </w:pPr>
            <w:r>
              <w:rPr>
                <w:rFonts w:ascii="Arial" w:cs="Arial" w:eastAsia="Arial" w:hAnsi="Arial"/>
                <w:sz w:val="22"/>
                <w:szCs w:val="22"/>
                <w:color w:val="auto"/>
              </w:rPr>
              <w:t>Section 1.4</w:t>
            </w:r>
          </w:p>
        </w:tc>
        <w:tc>
          <w:tcPr>
            <w:tcW w:w="8660" w:type="dxa"/>
            <w:vAlign w:val="bottom"/>
          </w:tcPr>
          <w:p>
            <w:pPr>
              <w:ind w:left="360"/>
              <w:spacing w:after="0"/>
              <w:rPr>
                <w:sz w:val="20"/>
                <w:szCs w:val="20"/>
                <w:color w:val="auto"/>
              </w:rPr>
            </w:pPr>
            <w:r>
              <w:rPr>
                <w:rFonts w:ascii="Arial" w:cs="Arial" w:eastAsia="Arial" w:hAnsi="Arial"/>
                <w:sz w:val="22"/>
                <w:szCs w:val="22"/>
                <w:color w:val="auto"/>
              </w:rPr>
              <w:t>Rules of Construction</w:t>
            </w:r>
          </w:p>
        </w:tc>
        <w:tc>
          <w:tcPr>
            <w:tcW w:w="440" w:type="dxa"/>
            <w:vAlign w:val="bottom"/>
          </w:tcPr>
          <w:p>
            <w:pPr>
              <w:jc w:val="right"/>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23"/>
                <w:szCs w:val="23"/>
                <w:color w:val="auto"/>
              </w:rPr>
            </w:pPr>
          </w:p>
        </w:tc>
      </w:tr>
      <w:tr>
        <w:trPr>
          <w:trHeight w:val="351"/>
        </w:trPr>
        <w:tc>
          <w:tcPr>
            <w:tcW w:w="10800" w:type="dxa"/>
            <w:vAlign w:val="bottom"/>
            <w:gridSpan w:val="2"/>
          </w:tcPr>
          <w:p>
            <w:pPr>
              <w:spacing w:after="0"/>
              <w:rPr>
                <w:sz w:val="20"/>
                <w:szCs w:val="20"/>
                <w:color w:val="auto"/>
              </w:rPr>
            </w:pPr>
            <w:r>
              <w:rPr>
                <w:rFonts w:ascii="Arial" w:cs="Arial" w:eastAsia="Arial" w:hAnsi="Arial"/>
                <w:sz w:val="22"/>
                <w:szCs w:val="22"/>
                <w:color w:val="auto"/>
              </w:rPr>
              <w:t>ARTICLE II THE SECURITIES</w:t>
            </w:r>
          </w:p>
        </w:tc>
        <w:tc>
          <w:tcPr>
            <w:tcW w:w="440" w:type="dxa"/>
            <w:vAlign w:val="bottom"/>
          </w:tcPr>
          <w:p>
            <w:pPr>
              <w:jc w:val="right"/>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24"/>
                <w:szCs w:val="24"/>
                <w:color w:val="auto"/>
              </w:rPr>
            </w:pPr>
          </w:p>
        </w:tc>
      </w:tr>
      <w:tr>
        <w:trPr>
          <w:trHeight w:val="320"/>
        </w:trPr>
        <w:tc>
          <w:tcPr>
            <w:tcW w:w="2140" w:type="dxa"/>
            <w:vAlign w:val="bottom"/>
          </w:tcPr>
          <w:p>
            <w:pPr>
              <w:ind w:left="720"/>
              <w:spacing w:after="0"/>
              <w:rPr>
                <w:sz w:val="20"/>
                <w:szCs w:val="20"/>
                <w:color w:val="auto"/>
              </w:rPr>
            </w:pPr>
            <w:r>
              <w:rPr>
                <w:rFonts w:ascii="Arial" w:cs="Arial" w:eastAsia="Arial" w:hAnsi="Arial"/>
                <w:sz w:val="22"/>
                <w:szCs w:val="22"/>
                <w:color w:val="auto"/>
              </w:rPr>
              <w:t>Section 2.1</w:t>
            </w:r>
          </w:p>
        </w:tc>
        <w:tc>
          <w:tcPr>
            <w:tcW w:w="8660" w:type="dxa"/>
            <w:vAlign w:val="bottom"/>
          </w:tcPr>
          <w:p>
            <w:pPr>
              <w:ind w:left="360"/>
              <w:spacing w:after="0"/>
              <w:rPr>
                <w:sz w:val="20"/>
                <w:szCs w:val="20"/>
                <w:color w:val="auto"/>
              </w:rPr>
            </w:pPr>
            <w:r>
              <w:rPr>
                <w:rFonts w:ascii="Arial" w:cs="Arial" w:eastAsia="Arial" w:hAnsi="Arial"/>
                <w:sz w:val="22"/>
                <w:szCs w:val="22"/>
                <w:color w:val="auto"/>
              </w:rPr>
              <w:t>Issuable in Series</w:t>
            </w:r>
          </w:p>
        </w:tc>
        <w:tc>
          <w:tcPr>
            <w:tcW w:w="440" w:type="dxa"/>
            <w:vAlign w:val="bottom"/>
          </w:tcPr>
          <w:p>
            <w:pPr>
              <w:jc w:val="right"/>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24"/>
                <w:szCs w:val="24"/>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2.2</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Establishment of Terms of Series of Securities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2.3</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Execution and Authentication</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2.4</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Registrar and Paying Agent</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2.5</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Paying Agent to Hold Money in Trust</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2.6</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Securityholder Lists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2.7</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Transfer and Exchange</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2.8</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Mutilated, Destroyed, Lost and Stolen Securities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2.9</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Outstanding Securities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2.10</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Treasury Securities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2.11</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Temporary Securities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2.12</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Cancellation</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2.13</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Defaulted Interest</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2.14</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Global Securities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20" w:type="dxa"/>
            <w:vAlign w:val="bottom"/>
          </w:tcPr>
          <w:p>
            <w:pPr>
              <w:spacing w:after="0"/>
              <w:rPr>
                <w:sz w:val="21"/>
                <w:szCs w:val="21"/>
                <w:color w:val="auto"/>
              </w:rPr>
            </w:pPr>
          </w:p>
        </w:tc>
      </w:tr>
      <w:tr>
        <w:trPr>
          <w:trHeight w:val="274"/>
        </w:trPr>
        <w:tc>
          <w:tcPr>
            <w:tcW w:w="2140" w:type="dxa"/>
            <w:vAlign w:val="bottom"/>
          </w:tcPr>
          <w:p>
            <w:pPr>
              <w:ind w:left="720"/>
              <w:spacing w:after="0"/>
              <w:rPr>
                <w:sz w:val="20"/>
                <w:szCs w:val="20"/>
                <w:color w:val="auto"/>
              </w:rPr>
            </w:pPr>
            <w:r>
              <w:rPr>
                <w:rFonts w:ascii="Arial" w:cs="Arial" w:eastAsia="Arial" w:hAnsi="Arial"/>
                <w:sz w:val="22"/>
                <w:szCs w:val="22"/>
                <w:color w:val="auto"/>
              </w:rPr>
              <w:t>Section 2.15</w:t>
            </w:r>
          </w:p>
        </w:tc>
        <w:tc>
          <w:tcPr>
            <w:tcW w:w="8660" w:type="dxa"/>
            <w:vAlign w:val="bottom"/>
          </w:tcPr>
          <w:p>
            <w:pPr>
              <w:ind w:left="360"/>
              <w:spacing w:after="0"/>
              <w:rPr>
                <w:sz w:val="20"/>
                <w:szCs w:val="20"/>
                <w:color w:val="auto"/>
              </w:rPr>
            </w:pPr>
            <w:r>
              <w:rPr>
                <w:rFonts w:ascii="Arial" w:cs="Arial" w:eastAsia="Arial" w:hAnsi="Arial"/>
                <w:sz w:val="22"/>
                <w:szCs w:val="22"/>
                <w:color w:val="auto"/>
              </w:rPr>
              <w:t>CUSIP Numbers</w:t>
            </w:r>
          </w:p>
        </w:tc>
        <w:tc>
          <w:tcPr>
            <w:tcW w:w="440" w:type="dxa"/>
            <w:vAlign w:val="bottom"/>
          </w:tcPr>
          <w:p>
            <w:pPr>
              <w:jc w:val="right"/>
              <w:spacing w:after="0"/>
              <w:rPr>
                <w:sz w:val="20"/>
                <w:szCs w:val="20"/>
                <w:color w:val="auto"/>
              </w:rPr>
            </w:pPr>
            <w:r>
              <w:rPr>
                <w:rFonts w:ascii="Arial" w:cs="Arial" w:eastAsia="Arial" w:hAnsi="Arial"/>
                <w:sz w:val="22"/>
                <w:szCs w:val="22"/>
                <w:color w:val="auto"/>
              </w:rPr>
              <w:t>16</w:t>
            </w:r>
          </w:p>
        </w:tc>
        <w:tc>
          <w:tcPr>
            <w:tcW w:w="20" w:type="dxa"/>
            <w:vAlign w:val="bottom"/>
          </w:tcPr>
          <w:p>
            <w:pPr>
              <w:spacing w:after="0"/>
              <w:rPr>
                <w:sz w:val="23"/>
                <w:szCs w:val="23"/>
                <w:color w:val="auto"/>
              </w:rPr>
            </w:pPr>
          </w:p>
        </w:tc>
      </w:tr>
      <w:tr>
        <w:trPr>
          <w:trHeight w:val="351"/>
        </w:trPr>
        <w:tc>
          <w:tcPr>
            <w:tcW w:w="10800" w:type="dxa"/>
            <w:vAlign w:val="bottom"/>
            <w:gridSpan w:val="2"/>
          </w:tcPr>
          <w:p>
            <w:pPr>
              <w:spacing w:after="0"/>
              <w:rPr>
                <w:sz w:val="20"/>
                <w:szCs w:val="20"/>
                <w:color w:val="auto"/>
              </w:rPr>
            </w:pPr>
            <w:r>
              <w:rPr>
                <w:rFonts w:ascii="Arial" w:cs="Arial" w:eastAsia="Arial" w:hAnsi="Arial"/>
                <w:sz w:val="22"/>
                <w:szCs w:val="22"/>
                <w:color w:val="auto"/>
              </w:rPr>
              <w:t>ARTICLE III REDEMPTION</w:t>
            </w:r>
          </w:p>
        </w:tc>
        <w:tc>
          <w:tcPr>
            <w:tcW w:w="440" w:type="dxa"/>
            <w:vAlign w:val="bottom"/>
          </w:tcPr>
          <w:p>
            <w:pPr>
              <w:jc w:val="right"/>
              <w:spacing w:after="0"/>
              <w:rPr>
                <w:sz w:val="20"/>
                <w:szCs w:val="20"/>
                <w:color w:val="auto"/>
              </w:rPr>
            </w:pPr>
            <w:r>
              <w:rPr>
                <w:rFonts w:ascii="Arial" w:cs="Arial" w:eastAsia="Arial" w:hAnsi="Arial"/>
                <w:sz w:val="22"/>
                <w:szCs w:val="22"/>
                <w:color w:val="auto"/>
              </w:rPr>
              <w:t>16</w:t>
            </w:r>
          </w:p>
        </w:tc>
        <w:tc>
          <w:tcPr>
            <w:tcW w:w="20" w:type="dxa"/>
            <w:vAlign w:val="bottom"/>
          </w:tcPr>
          <w:p>
            <w:pPr>
              <w:spacing w:after="0"/>
              <w:rPr>
                <w:sz w:val="24"/>
                <w:szCs w:val="24"/>
                <w:color w:val="auto"/>
              </w:rPr>
            </w:pPr>
          </w:p>
        </w:tc>
      </w:tr>
      <w:tr>
        <w:trPr>
          <w:trHeight w:val="320"/>
        </w:trPr>
        <w:tc>
          <w:tcPr>
            <w:tcW w:w="2140" w:type="dxa"/>
            <w:vAlign w:val="bottom"/>
          </w:tcPr>
          <w:p>
            <w:pPr>
              <w:ind w:left="720"/>
              <w:spacing w:after="0"/>
              <w:rPr>
                <w:sz w:val="20"/>
                <w:szCs w:val="20"/>
                <w:color w:val="auto"/>
              </w:rPr>
            </w:pPr>
            <w:r>
              <w:rPr>
                <w:rFonts w:ascii="Arial" w:cs="Arial" w:eastAsia="Arial" w:hAnsi="Arial"/>
                <w:sz w:val="22"/>
                <w:szCs w:val="22"/>
                <w:color w:val="auto"/>
              </w:rPr>
              <w:t>Section 3.1</w:t>
            </w:r>
          </w:p>
        </w:tc>
        <w:tc>
          <w:tcPr>
            <w:tcW w:w="8660" w:type="dxa"/>
            <w:vAlign w:val="bottom"/>
          </w:tcPr>
          <w:p>
            <w:pPr>
              <w:ind w:left="360"/>
              <w:spacing w:after="0"/>
              <w:rPr>
                <w:sz w:val="20"/>
                <w:szCs w:val="20"/>
                <w:color w:val="auto"/>
              </w:rPr>
            </w:pPr>
            <w:r>
              <w:rPr>
                <w:rFonts w:ascii="Arial" w:cs="Arial" w:eastAsia="Arial" w:hAnsi="Arial"/>
                <w:sz w:val="22"/>
                <w:szCs w:val="22"/>
                <w:color w:val="auto"/>
              </w:rPr>
              <w:t>Notice to Trustee</w:t>
            </w:r>
          </w:p>
        </w:tc>
        <w:tc>
          <w:tcPr>
            <w:tcW w:w="440" w:type="dxa"/>
            <w:vAlign w:val="bottom"/>
          </w:tcPr>
          <w:p>
            <w:pPr>
              <w:jc w:val="right"/>
              <w:spacing w:after="0"/>
              <w:rPr>
                <w:sz w:val="20"/>
                <w:szCs w:val="20"/>
                <w:color w:val="auto"/>
              </w:rPr>
            </w:pPr>
            <w:r>
              <w:rPr>
                <w:rFonts w:ascii="Arial" w:cs="Arial" w:eastAsia="Arial" w:hAnsi="Arial"/>
                <w:sz w:val="22"/>
                <w:szCs w:val="22"/>
                <w:color w:val="auto"/>
              </w:rPr>
              <w:t>16</w:t>
            </w:r>
          </w:p>
        </w:tc>
        <w:tc>
          <w:tcPr>
            <w:tcW w:w="20" w:type="dxa"/>
            <w:vAlign w:val="bottom"/>
          </w:tcPr>
          <w:p>
            <w:pPr>
              <w:spacing w:after="0"/>
              <w:rPr>
                <w:sz w:val="24"/>
                <w:szCs w:val="24"/>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3.2</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Selection of Securities to be Redeemed</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3.3</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Notice of Redemption</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3.4</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Effect of Notice of Redemption</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3.5</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Deposit of Redemption Price</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20" w:type="dxa"/>
            <w:vAlign w:val="bottom"/>
          </w:tcPr>
          <w:p>
            <w:pPr>
              <w:spacing w:after="0"/>
              <w:rPr>
                <w:sz w:val="21"/>
                <w:szCs w:val="21"/>
                <w:color w:val="auto"/>
              </w:rPr>
            </w:pPr>
          </w:p>
        </w:tc>
      </w:tr>
      <w:tr>
        <w:trPr>
          <w:trHeight w:val="274"/>
        </w:trPr>
        <w:tc>
          <w:tcPr>
            <w:tcW w:w="2140" w:type="dxa"/>
            <w:vAlign w:val="bottom"/>
          </w:tcPr>
          <w:p>
            <w:pPr>
              <w:ind w:left="720"/>
              <w:spacing w:after="0"/>
              <w:rPr>
                <w:sz w:val="20"/>
                <w:szCs w:val="20"/>
                <w:color w:val="auto"/>
              </w:rPr>
            </w:pPr>
            <w:r>
              <w:rPr>
                <w:rFonts w:ascii="Arial" w:cs="Arial" w:eastAsia="Arial" w:hAnsi="Arial"/>
                <w:sz w:val="22"/>
                <w:szCs w:val="22"/>
                <w:color w:val="auto"/>
              </w:rPr>
              <w:t>Section 3.6</w:t>
            </w:r>
          </w:p>
        </w:tc>
        <w:tc>
          <w:tcPr>
            <w:tcW w:w="8660" w:type="dxa"/>
            <w:vAlign w:val="bottom"/>
          </w:tcPr>
          <w:p>
            <w:pPr>
              <w:ind w:left="360"/>
              <w:spacing w:after="0"/>
              <w:rPr>
                <w:sz w:val="20"/>
                <w:szCs w:val="20"/>
                <w:color w:val="auto"/>
              </w:rPr>
            </w:pPr>
            <w:r>
              <w:rPr>
                <w:rFonts w:ascii="Arial" w:cs="Arial" w:eastAsia="Arial" w:hAnsi="Arial"/>
                <w:sz w:val="22"/>
                <w:szCs w:val="22"/>
                <w:color w:val="auto"/>
              </w:rPr>
              <w:t>Securities Redeemed in Part</w:t>
            </w:r>
          </w:p>
        </w:tc>
        <w:tc>
          <w:tcPr>
            <w:tcW w:w="440" w:type="dxa"/>
            <w:vAlign w:val="bottom"/>
          </w:tcPr>
          <w:p>
            <w:pPr>
              <w:jc w:val="right"/>
              <w:spacing w:after="0"/>
              <w:rPr>
                <w:sz w:val="20"/>
                <w:szCs w:val="20"/>
                <w:color w:val="auto"/>
              </w:rPr>
            </w:pPr>
            <w:r>
              <w:rPr>
                <w:rFonts w:ascii="Arial" w:cs="Arial" w:eastAsia="Arial" w:hAnsi="Arial"/>
                <w:sz w:val="22"/>
                <w:szCs w:val="22"/>
                <w:color w:val="auto"/>
              </w:rPr>
              <w:t>18</w:t>
            </w:r>
          </w:p>
        </w:tc>
        <w:tc>
          <w:tcPr>
            <w:tcW w:w="20" w:type="dxa"/>
            <w:vAlign w:val="bottom"/>
          </w:tcPr>
          <w:p>
            <w:pPr>
              <w:spacing w:after="0"/>
              <w:rPr>
                <w:sz w:val="23"/>
                <w:szCs w:val="23"/>
                <w:color w:val="auto"/>
              </w:rPr>
            </w:pPr>
          </w:p>
        </w:tc>
      </w:tr>
      <w:tr>
        <w:trPr>
          <w:trHeight w:val="351"/>
        </w:trPr>
        <w:tc>
          <w:tcPr>
            <w:tcW w:w="10800" w:type="dxa"/>
            <w:vAlign w:val="bottom"/>
            <w:gridSpan w:val="2"/>
          </w:tcPr>
          <w:p>
            <w:pPr>
              <w:spacing w:after="0"/>
              <w:rPr>
                <w:sz w:val="20"/>
                <w:szCs w:val="20"/>
                <w:color w:val="auto"/>
              </w:rPr>
            </w:pPr>
            <w:r>
              <w:rPr>
                <w:rFonts w:ascii="Arial" w:cs="Arial" w:eastAsia="Arial" w:hAnsi="Arial"/>
                <w:sz w:val="22"/>
                <w:szCs w:val="22"/>
                <w:color w:val="auto"/>
              </w:rPr>
              <w:t>ARTICLE IV COVENANTS</w:t>
            </w:r>
          </w:p>
        </w:tc>
        <w:tc>
          <w:tcPr>
            <w:tcW w:w="440" w:type="dxa"/>
            <w:vAlign w:val="bottom"/>
          </w:tcPr>
          <w:p>
            <w:pPr>
              <w:jc w:val="right"/>
              <w:spacing w:after="0"/>
              <w:rPr>
                <w:sz w:val="20"/>
                <w:szCs w:val="20"/>
                <w:color w:val="auto"/>
              </w:rPr>
            </w:pPr>
            <w:r>
              <w:rPr>
                <w:rFonts w:ascii="Arial" w:cs="Arial" w:eastAsia="Arial" w:hAnsi="Arial"/>
                <w:sz w:val="22"/>
                <w:szCs w:val="22"/>
                <w:color w:val="auto"/>
              </w:rPr>
              <w:t>18</w:t>
            </w:r>
          </w:p>
        </w:tc>
        <w:tc>
          <w:tcPr>
            <w:tcW w:w="20" w:type="dxa"/>
            <w:vAlign w:val="bottom"/>
          </w:tcPr>
          <w:p>
            <w:pPr>
              <w:spacing w:after="0"/>
              <w:rPr>
                <w:sz w:val="24"/>
                <w:szCs w:val="24"/>
                <w:color w:val="auto"/>
              </w:rPr>
            </w:pPr>
          </w:p>
        </w:tc>
      </w:tr>
      <w:tr>
        <w:trPr>
          <w:trHeight w:val="320"/>
        </w:trPr>
        <w:tc>
          <w:tcPr>
            <w:tcW w:w="2140" w:type="dxa"/>
            <w:vAlign w:val="bottom"/>
          </w:tcPr>
          <w:p>
            <w:pPr>
              <w:ind w:left="720"/>
              <w:spacing w:after="0"/>
              <w:rPr>
                <w:sz w:val="20"/>
                <w:szCs w:val="20"/>
                <w:color w:val="auto"/>
              </w:rPr>
            </w:pPr>
            <w:r>
              <w:rPr>
                <w:rFonts w:ascii="Arial" w:cs="Arial" w:eastAsia="Arial" w:hAnsi="Arial"/>
                <w:sz w:val="22"/>
                <w:szCs w:val="22"/>
                <w:color w:val="auto"/>
              </w:rPr>
              <w:t>Section 4.1</w:t>
            </w:r>
          </w:p>
        </w:tc>
        <w:tc>
          <w:tcPr>
            <w:tcW w:w="8660" w:type="dxa"/>
            <w:vAlign w:val="bottom"/>
          </w:tcPr>
          <w:p>
            <w:pPr>
              <w:ind w:left="360"/>
              <w:spacing w:after="0"/>
              <w:rPr>
                <w:sz w:val="20"/>
                <w:szCs w:val="20"/>
                <w:color w:val="auto"/>
              </w:rPr>
            </w:pPr>
            <w:r>
              <w:rPr>
                <w:rFonts w:ascii="Arial" w:cs="Arial" w:eastAsia="Arial" w:hAnsi="Arial"/>
                <w:sz w:val="22"/>
                <w:szCs w:val="22"/>
                <w:color w:val="auto"/>
              </w:rPr>
              <w:t>Payment of Principal and Interest</w:t>
            </w:r>
          </w:p>
        </w:tc>
        <w:tc>
          <w:tcPr>
            <w:tcW w:w="440" w:type="dxa"/>
            <w:vAlign w:val="bottom"/>
          </w:tcPr>
          <w:p>
            <w:pPr>
              <w:jc w:val="right"/>
              <w:spacing w:after="0"/>
              <w:rPr>
                <w:sz w:val="20"/>
                <w:szCs w:val="20"/>
                <w:color w:val="auto"/>
              </w:rPr>
            </w:pPr>
            <w:r>
              <w:rPr>
                <w:rFonts w:ascii="Arial" w:cs="Arial" w:eastAsia="Arial" w:hAnsi="Arial"/>
                <w:sz w:val="22"/>
                <w:szCs w:val="22"/>
                <w:color w:val="auto"/>
              </w:rPr>
              <w:t>18</w:t>
            </w:r>
          </w:p>
        </w:tc>
        <w:tc>
          <w:tcPr>
            <w:tcW w:w="20" w:type="dxa"/>
            <w:vAlign w:val="bottom"/>
          </w:tcPr>
          <w:p>
            <w:pPr>
              <w:spacing w:after="0"/>
              <w:rPr>
                <w:sz w:val="24"/>
                <w:szCs w:val="24"/>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4.2</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SEC Reports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20" w:type="dxa"/>
            <w:vAlign w:val="bottom"/>
          </w:tcPr>
          <w:p>
            <w:pPr>
              <w:spacing w:after="0"/>
              <w:rPr>
                <w:sz w:val="21"/>
                <w:szCs w:val="21"/>
                <w:color w:val="auto"/>
              </w:rPr>
            </w:pPr>
          </w:p>
        </w:tc>
      </w:tr>
      <w:tr>
        <w:trPr>
          <w:trHeight w:val="243"/>
        </w:trPr>
        <w:tc>
          <w:tcPr>
            <w:tcW w:w="2140" w:type="dxa"/>
            <w:vAlign w:val="bottom"/>
          </w:tcPr>
          <w:p>
            <w:pPr>
              <w:ind w:left="720"/>
              <w:spacing w:after="0" w:line="243" w:lineRule="exact"/>
              <w:rPr>
                <w:sz w:val="20"/>
                <w:szCs w:val="20"/>
                <w:color w:val="auto"/>
              </w:rPr>
            </w:pPr>
            <w:r>
              <w:rPr>
                <w:rFonts w:ascii="Arial" w:cs="Arial" w:eastAsia="Arial" w:hAnsi="Arial"/>
                <w:sz w:val="22"/>
                <w:szCs w:val="22"/>
                <w:color w:val="auto"/>
              </w:rPr>
              <w:t>Section 4.3</w:t>
            </w:r>
          </w:p>
        </w:tc>
        <w:tc>
          <w:tcPr>
            <w:tcW w:w="8660" w:type="dxa"/>
            <w:vAlign w:val="bottom"/>
          </w:tcPr>
          <w:p>
            <w:pPr>
              <w:ind w:left="360"/>
              <w:spacing w:after="0" w:line="243" w:lineRule="exact"/>
              <w:rPr>
                <w:sz w:val="20"/>
                <w:szCs w:val="20"/>
                <w:color w:val="auto"/>
              </w:rPr>
            </w:pPr>
            <w:r>
              <w:rPr>
                <w:rFonts w:ascii="Arial" w:cs="Arial" w:eastAsia="Arial" w:hAnsi="Arial"/>
                <w:sz w:val="22"/>
                <w:szCs w:val="22"/>
                <w:color w:val="auto"/>
              </w:rPr>
              <w:t>Compliance Certificate</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c>
          <w:tcPr>
            <w:tcW w:w="20" w:type="dxa"/>
            <w:vAlign w:val="bottom"/>
          </w:tcPr>
          <w:p>
            <w:pPr>
              <w:spacing w:after="0"/>
              <w:rPr>
                <w:sz w:val="21"/>
                <w:szCs w:val="21"/>
                <w:color w:val="auto"/>
              </w:rPr>
            </w:pPr>
          </w:p>
        </w:tc>
      </w:tr>
      <w:tr>
        <w:trPr>
          <w:trHeight w:val="274"/>
        </w:trPr>
        <w:tc>
          <w:tcPr>
            <w:tcW w:w="2140" w:type="dxa"/>
            <w:vAlign w:val="bottom"/>
          </w:tcPr>
          <w:p>
            <w:pPr>
              <w:ind w:left="720"/>
              <w:spacing w:after="0"/>
              <w:rPr>
                <w:sz w:val="20"/>
                <w:szCs w:val="20"/>
                <w:color w:val="auto"/>
              </w:rPr>
            </w:pPr>
            <w:r>
              <w:rPr>
                <w:rFonts w:ascii="Arial" w:cs="Arial" w:eastAsia="Arial" w:hAnsi="Arial"/>
                <w:sz w:val="22"/>
                <w:szCs w:val="22"/>
                <w:color w:val="auto"/>
              </w:rPr>
              <w:t>Section 4.4</w:t>
            </w:r>
          </w:p>
        </w:tc>
        <w:tc>
          <w:tcPr>
            <w:tcW w:w="8660" w:type="dxa"/>
            <w:vAlign w:val="bottom"/>
          </w:tcPr>
          <w:p>
            <w:pPr>
              <w:ind w:left="360"/>
              <w:spacing w:after="0"/>
              <w:rPr>
                <w:sz w:val="20"/>
                <w:szCs w:val="20"/>
                <w:color w:val="auto"/>
              </w:rPr>
            </w:pPr>
            <w:r>
              <w:rPr>
                <w:rFonts w:ascii="Arial" w:cs="Arial" w:eastAsia="Arial" w:hAnsi="Arial"/>
                <w:sz w:val="22"/>
                <w:szCs w:val="22"/>
                <w:color w:val="auto"/>
              </w:rPr>
              <w:t>Stay, Extension and Usury Laws</w:t>
            </w:r>
          </w:p>
        </w:tc>
        <w:tc>
          <w:tcPr>
            <w:tcW w:w="440" w:type="dxa"/>
            <w:vAlign w:val="bottom"/>
          </w:tcPr>
          <w:p>
            <w:pPr>
              <w:jc w:val="right"/>
              <w:spacing w:after="0"/>
              <w:rPr>
                <w:sz w:val="20"/>
                <w:szCs w:val="20"/>
                <w:color w:val="auto"/>
              </w:rPr>
            </w:pPr>
            <w:r>
              <w:rPr>
                <w:rFonts w:ascii="Arial" w:cs="Arial" w:eastAsia="Arial" w:hAnsi="Arial"/>
                <w:sz w:val="22"/>
                <w:szCs w:val="22"/>
                <w:color w:val="auto"/>
              </w:rPr>
              <w:t>19</w:t>
            </w:r>
          </w:p>
        </w:tc>
        <w:tc>
          <w:tcPr>
            <w:tcW w:w="20" w:type="dxa"/>
            <w:vAlign w:val="bottom"/>
          </w:tcPr>
          <w:p>
            <w:pPr>
              <w:spacing w:after="0"/>
              <w:rPr>
                <w:sz w:val="23"/>
                <w:szCs w:val="23"/>
                <w:color w:val="auto"/>
              </w:rPr>
            </w:pPr>
          </w:p>
        </w:tc>
      </w:tr>
      <w:tr>
        <w:trPr>
          <w:trHeight w:val="351"/>
        </w:trPr>
        <w:tc>
          <w:tcPr>
            <w:tcW w:w="10800" w:type="dxa"/>
            <w:vAlign w:val="bottom"/>
            <w:gridSpan w:val="2"/>
          </w:tcPr>
          <w:p>
            <w:pPr>
              <w:spacing w:after="0"/>
              <w:rPr>
                <w:sz w:val="20"/>
                <w:szCs w:val="20"/>
                <w:color w:val="auto"/>
              </w:rPr>
            </w:pPr>
            <w:r>
              <w:rPr>
                <w:rFonts w:ascii="Arial" w:cs="Arial" w:eastAsia="Arial" w:hAnsi="Arial"/>
                <w:sz w:val="22"/>
                <w:szCs w:val="22"/>
                <w:color w:val="auto"/>
              </w:rPr>
              <w:t>ARTICLE V SUCCESSORS</w:t>
            </w:r>
          </w:p>
        </w:tc>
        <w:tc>
          <w:tcPr>
            <w:tcW w:w="440" w:type="dxa"/>
            <w:vAlign w:val="bottom"/>
          </w:tcPr>
          <w:p>
            <w:pPr>
              <w:jc w:val="right"/>
              <w:spacing w:after="0"/>
              <w:rPr>
                <w:sz w:val="20"/>
                <w:szCs w:val="20"/>
                <w:color w:val="auto"/>
              </w:rPr>
            </w:pPr>
            <w:r>
              <w:rPr>
                <w:rFonts w:ascii="Arial" w:cs="Arial" w:eastAsia="Arial" w:hAnsi="Arial"/>
                <w:sz w:val="22"/>
                <w:szCs w:val="22"/>
                <w:color w:val="auto"/>
              </w:rPr>
              <w:t>19</w:t>
            </w:r>
          </w:p>
        </w:tc>
        <w:tc>
          <w:tcPr>
            <w:tcW w:w="20" w:type="dxa"/>
            <w:vAlign w:val="bottom"/>
          </w:tcPr>
          <w:p>
            <w:pPr>
              <w:spacing w:after="0"/>
              <w:rPr>
                <w:sz w:val="24"/>
                <w:szCs w:val="24"/>
                <w:color w:val="auto"/>
              </w:rPr>
            </w:pPr>
          </w:p>
        </w:tc>
      </w:tr>
      <w:tr>
        <w:trPr>
          <w:trHeight w:val="320"/>
        </w:trPr>
        <w:tc>
          <w:tcPr>
            <w:tcW w:w="2140" w:type="dxa"/>
            <w:vAlign w:val="bottom"/>
          </w:tcPr>
          <w:p>
            <w:pPr>
              <w:ind w:left="720"/>
              <w:spacing w:after="0"/>
              <w:rPr>
                <w:sz w:val="20"/>
                <w:szCs w:val="20"/>
                <w:color w:val="auto"/>
              </w:rPr>
            </w:pPr>
            <w:r>
              <w:rPr>
                <w:rFonts w:ascii="Arial" w:cs="Arial" w:eastAsia="Arial" w:hAnsi="Arial"/>
                <w:sz w:val="22"/>
                <w:szCs w:val="22"/>
                <w:color w:val="auto"/>
              </w:rPr>
              <w:t>Section 5.1</w:t>
            </w:r>
          </w:p>
        </w:tc>
        <w:tc>
          <w:tcPr>
            <w:tcW w:w="8660" w:type="dxa"/>
            <w:vAlign w:val="bottom"/>
          </w:tcPr>
          <w:p>
            <w:pPr>
              <w:ind w:left="360"/>
              <w:spacing w:after="0"/>
              <w:rPr>
                <w:sz w:val="20"/>
                <w:szCs w:val="20"/>
                <w:color w:val="auto"/>
              </w:rPr>
            </w:pPr>
            <w:r>
              <w:rPr>
                <w:rFonts w:ascii="Arial" w:cs="Arial" w:eastAsia="Arial" w:hAnsi="Arial"/>
                <w:sz w:val="22"/>
                <w:szCs w:val="22"/>
                <w:color w:val="auto"/>
              </w:rPr>
              <w:t>When Company May Merge, Etc</w:t>
            </w:r>
          </w:p>
        </w:tc>
        <w:tc>
          <w:tcPr>
            <w:tcW w:w="440" w:type="dxa"/>
            <w:vAlign w:val="bottom"/>
          </w:tcPr>
          <w:p>
            <w:pPr>
              <w:jc w:val="right"/>
              <w:spacing w:after="0"/>
              <w:rPr>
                <w:sz w:val="20"/>
                <w:szCs w:val="20"/>
                <w:color w:val="auto"/>
              </w:rPr>
            </w:pPr>
            <w:r>
              <w:rPr>
                <w:rFonts w:ascii="Arial" w:cs="Arial" w:eastAsia="Arial" w:hAnsi="Arial"/>
                <w:sz w:val="22"/>
                <w:szCs w:val="22"/>
                <w:color w:val="auto"/>
              </w:rPr>
              <w:t>19</w:t>
            </w:r>
          </w:p>
        </w:tc>
        <w:tc>
          <w:tcPr>
            <w:tcW w:w="20" w:type="dxa"/>
            <w:vAlign w:val="bottom"/>
          </w:tcPr>
          <w:p>
            <w:pPr>
              <w:spacing w:after="0"/>
              <w:rPr>
                <w:sz w:val="24"/>
                <w:szCs w:val="24"/>
                <w:color w:val="auto"/>
              </w:rPr>
            </w:pPr>
          </w:p>
        </w:tc>
      </w:tr>
      <w:tr>
        <w:trPr>
          <w:trHeight w:val="274"/>
        </w:trPr>
        <w:tc>
          <w:tcPr>
            <w:tcW w:w="2140" w:type="dxa"/>
            <w:vAlign w:val="bottom"/>
          </w:tcPr>
          <w:p>
            <w:pPr>
              <w:ind w:left="720"/>
              <w:spacing w:after="0"/>
              <w:rPr>
                <w:sz w:val="20"/>
                <w:szCs w:val="20"/>
                <w:color w:val="auto"/>
              </w:rPr>
            </w:pPr>
            <w:r>
              <w:rPr>
                <w:rFonts w:ascii="Arial" w:cs="Arial" w:eastAsia="Arial" w:hAnsi="Arial"/>
                <w:sz w:val="22"/>
                <w:szCs w:val="22"/>
                <w:color w:val="auto"/>
              </w:rPr>
              <w:t>Section 5.2</w:t>
            </w:r>
          </w:p>
        </w:tc>
        <w:tc>
          <w:tcPr>
            <w:tcW w:w="8660" w:type="dxa"/>
            <w:vAlign w:val="bottom"/>
          </w:tcPr>
          <w:p>
            <w:pPr>
              <w:ind w:left="360"/>
              <w:spacing w:after="0"/>
              <w:rPr>
                <w:sz w:val="20"/>
                <w:szCs w:val="20"/>
                <w:color w:val="auto"/>
              </w:rPr>
            </w:pPr>
            <w:r>
              <w:rPr>
                <w:rFonts w:ascii="Arial" w:cs="Arial" w:eastAsia="Arial" w:hAnsi="Arial"/>
                <w:sz w:val="22"/>
                <w:szCs w:val="22"/>
                <w:color w:val="auto"/>
              </w:rPr>
              <w:t>Successor Corporation Substituted</w:t>
            </w:r>
          </w:p>
        </w:tc>
        <w:tc>
          <w:tcPr>
            <w:tcW w:w="440" w:type="dxa"/>
            <w:vAlign w:val="bottom"/>
          </w:tcPr>
          <w:p>
            <w:pPr>
              <w:jc w:val="right"/>
              <w:spacing w:after="0"/>
              <w:rPr>
                <w:sz w:val="20"/>
                <w:szCs w:val="20"/>
                <w:color w:val="auto"/>
              </w:rPr>
            </w:pPr>
            <w:r>
              <w:rPr>
                <w:rFonts w:ascii="Arial" w:cs="Arial" w:eastAsia="Arial" w:hAnsi="Arial"/>
                <w:sz w:val="22"/>
                <w:szCs w:val="22"/>
                <w:color w:val="auto"/>
              </w:rPr>
              <w:t>20</w:t>
            </w:r>
          </w:p>
        </w:tc>
        <w:tc>
          <w:tcPr>
            <w:tcW w:w="20" w:type="dxa"/>
            <w:vAlign w:val="bottom"/>
          </w:tcPr>
          <w:p>
            <w:pPr>
              <w:spacing w:after="0"/>
              <w:rPr>
                <w:sz w:val="23"/>
                <w:szCs w:val="23"/>
                <w:color w:val="auto"/>
              </w:rPr>
            </w:pPr>
          </w:p>
        </w:tc>
      </w:tr>
      <w:tr>
        <w:trPr>
          <w:trHeight w:val="486"/>
        </w:trPr>
        <w:tc>
          <w:tcPr>
            <w:tcW w:w="2140" w:type="dxa"/>
            <w:vAlign w:val="bottom"/>
          </w:tcPr>
          <w:p>
            <w:pPr>
              <w:spacing w:after="0"/>
              <w:rPr>
                <w:sz w:val="24"/>
                <w:szCs w:val="24"/>
                <w:color w:val="auto"/>
              </w:rPr>
            </w:pPr>
          </w:p>
        </w:tc>
        <w:tc>
          <w:tcPr>
            <w:tcW w:w="8660" w:type="dxa"/>
            <w:vAlign w:val="bottom"/>
          </w:tcPr>
          <w:p>
            <w:pPr>
              <w:ind w:left="3360"/>
              <w:spacing w:after="0"/>
              <w:rPr>
                <w:sz w:val="20"/>
                <w:szCs w:val="20"/>
                <w:color w:val="auto"/>
              </w:rPr>
            </w:pPr>
            <w:r>
              <w:rPr>
                <w:rFonts w:ascii="Arial" w:cs="Arial" w:eastAsia="Arial" w:hAnsi="Arial"/>
                <w:sz w:val="22"/>
                <w:szCs w:val="22"/>
                <w:color w:val="auto"/>
              </w:rPr>
              <w:t>-1-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2140" w:type="dxa"/>
            <w:vAlign w:val="bottom"/>
            <w:tcBorders>
              <w:bottom w:val="single" w:sz="8" w:color="9A9A9A"/>
            </w:tcBorders>
          </w:tcPr>
          <w:p>
            <w:pPr>
              <w:spacing w:after="0"/>
              <w:rPr>
                <w:sz w:val="9"/>
                <w:szCs w:val="9"/>
                <w:color w:val="auto"/>
              </w:rPr>
            </w:pPr>
          </w:p>
        </w:tc>
        <w:tc>
          <w:tcPr>
            <w:tcW w:w="86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(Continued)</w:t>
      </w:r>
    </w:p>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460" w:type="dxa"/>
            <w:vAlign w:val="bottom"/>
            <w:gridSpan w:val="2"/>
          </w:tcPr>
          <w:p>
            <w:pPr>
              <w:jc w:val="right"/>
              <w:ind w:right="20"/>
              <w:spacing w:after="0" w:line="206" w:lineRule="exact"/>
              <w:rPr>
                <w:sz w:val="20"/>
                <w:szCs w:val="20"/>
                <w:color w:val="auto"/>
              </w:rPr>
            </w:pPr>
            <w:r>
              <w:rPr>
                <w:rFonts w:ascii="Arial" w:cs="Arial" w:eastAsia="Arial" w:hAnsi="Arial"/>
                <w:sz w:val="22"/>
                <w:szCs w:val="22"/>
                <w:b w:val="1"/>
                <w:bCs w:val="1"/>
                <w:color w:val="auto"/>
                <w:w w:val="79"/>
              </w:rPr>
              <w:t>Page</w:t>
            </w:r>
          </w:p>
        </w:tc>
      </w:tr>
      <w:tr>
        <w:trPr>
          <w:trHeight w:val="706"/>
        </w:trPr>
        <w:tc>
          <w:tcPr>
            <w:tcW w:w="10800" w:type="dxa"/>
            <w:vAlign w:val="bottom"/>
            <w:gridSpan w:val="2"/>
          </w:tcPr>
          <w:p>
            <w:pPr>
              <w:spacing w:after="0"/>
              <w:rPr>
                <w:sz w:val="20"/>
                <w:szCs w:val="20"/>
                <w:color w:val="auto"/>
              </w:rPr>
            </w:pPr>
            <w:r>
              <w:rPr>
                <w:rFonts w:ascii="Arial" w:cs="Arial" w:eastAsia="Arial" w:hAnsi="Arial"/>
                <w:sz w:val="22"/>
                <w:szCs w:val="22"/>
                <w:color w:val="auto"/>
              </w:rPr>
              <w:t>ARTICLE VI DEFAULTS AND REMEDIES</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20</w:t>
            </w:r>
          </w:p>
        </w:tc>
        <w:tc>
          <w:tcPr>
            <w:tcW w:w="20" w:type="dxa"/>
            <w:vAlign w:val="bottom"/>
          </w:tcPr>
          <w:p>
            <w:pPr>
              <w:spacing w:after="0"/>
              <w:rPr>
                <w:sz w:val="24"/>
                <w:szCs w:val="24"/>
                <w:color w:val="auto"/>
              </w:rPr>
            </w:pPr>
          </w:p>
        </w:tc>
      </w:tr>
      <w:tr>
        <w:trPr>
          <w:trHeight w:val="320"/>
        </w:trPr>
        <w:tc>
          <w:tcPr>
            <w:tcW w:w="2380" w:type="dxa"/>
            <w:vAlign w:val="bottom"/>
          </w:tcPr>
          <w:p>
            <w:pPr>
              <w:ind w:left="720"/>
              <w:spacing w:after="0"/>
              <w:rPr>
                <w:sz w:val="20"/>
                <w:szCs w:val="20"/>
                <w:color w:val="auto"/>
              </w:rPr>
            </w:pPr>
            <w:r>
              <w:rPr>
                <w:rFonts w:ascii="Arial" w:cs="Arial" w:eastAsia="Arial" w:hAnsi="Arial"/>
                <w:sz w:val="22"/>
                <w:szCs w:val="22"/>
                <w:color w:val="auto"/>
              </w:rPr>
              <w:t>Section 6.1</w:t>
            </w:r>
          </w:p>
        </w:tc>
        <w:tc>
          <w:tcPr>
            <w:tcW w:w="8420" w:type="dxa"/>
            <w:vAlign w:val="bottom"/>
          </w:tcPr>
          <w:p>
            <w:pPr>
              <w:ind w:left="120"/>
              <w:spacing w:after="0"/>
              <w:rPr>
                <w:sz w:val="20"/>
                <w:szCs w:val="20"/>
                <w:color w:val="auto"/>
              </w:rPr>
            </w:pPr>
            <w:r>
              <w:rPr>
                <w:rFonts w:ascii="Arial" w:cs="Arial" w:eastAsia="Arial" w:hAnsi="Arial"/>
                <w:sz w:val="22"/>
                <w:szCs w:val="22"/>
                <w:color w:val="auto"/>
              </w:rPr>
              <w:t>Events of Default</w:t>
            </w:r>
          </w:p>
        </w:tc>
        <w:tc>
          <w:tcPr>
            <w:tcW w:w="440" w:type="dxa"/>
            <w:vAlign w:val="bottom"/>
          </w:tcPr>
          <w:p>
            <w:pPr>
              <w:jc w:val="right"/>
              <w:spacing w:after="0"/>
              <w:rPr>
                <w:sz w:val="20"/>
                <w:szCs w:val="20"/>
                <w:color w:val="auto"/>
              </w:rPr>
            </w:pPr>
            <w:r>
              <w:rPr>
                <w:rFonts w:ascii="Arial" w:cs="Arial" w:eastAsia="Arial" w:hAnsi="Arial"/>
                <w:sz w:val="22"/>
                <w:szCs w:val="22"/>
                <w:color w:val="auto"/>
              </w:rPr>
              <w:t>20</w:t>
            </w:r>
          </w:p>
        </w:tc>
        <w:tc>
          <w:tcPr>
            <w:tcW w:w="20" w:type="dxa"/>
            <w:vAlign w:val="bottom"/>
          </w:tcPr>
          <w:p>
            <w:pPr>
              <w:spacing w:after="0"/>
              <w:rPr>
                <w:sz w:val="24"/>
                <w:szCs w:val="24"/>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6.2</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Acceleration of Maturity; Rescission and Annulment</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6.3</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Collection of Indebtedness and Suits for Enforcement by Trustee</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6.4</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Trustee May File Proofs of Claim</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6.5</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Trustee May Enforce Claims Without Possession of Securities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6.6</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Application of Money Collected</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6.7</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Limitation on Suits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6.8</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Unconditional Right of Holders to Receive Principal and Interest</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6.9</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Restoration of Rights and Remedies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6.10</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Rights and Remedies Cumulative</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6.11</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Delay or Omission Not Waiver</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6.12</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Control by Holders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6.13</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Waiver of Past Defaults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c>
          <w:tcPr>
            <w:tcW w:w="20" w:type="dxa"/>
            <w:vAlign w:val="bottom"/>
          </w:tcPr>
          <w:p>
            <w:pPr>
              <w:spacing w:after="0"/>
              <w:rPr>
                <w:sz w:val="21"/>
                <w:szCs w:val="21"/>
                <w:color w:val="auto"/>
              </w:rPr>
            </w:pPr>
          </w:p>
        </w:tc>
      </w:tr>
      <w:tr>
        <w:trPr>
          <w:trHeight w:val="274"/>
        </w:trPr>
        <w:tc>
          <w:tcPr>
            <w:tcW w:w="2380" w:type="dxa"/>
            <w:vAlign w:val="bottom"/>
          </w:tcPr>
          <w:p>
            <w:pPr>
              <w:ind w:left="720"/>
              <w:spacing w:after="0"/>
              <w:rPr>
                <w:sz w:val="20"/>
                <w:szCs w:val="20"/>
                <w:color w:val="auto"/>
              </w:rPr>
            </w:pPr>
            <w:r>
              <w:rPr>
                <w:rFonts w:ascii="Arial" w:cs="Arial" w:eastAsia="Arial" w:hAnsi="Arial"/>
                <w:sz w:val="22"/>
                <w:szCs w:val="22"/>
                <w:color w:val="auto"/>
              </w:rPr>
              <w:t>Section 6.14</w:t>
            </w:r>
          </w:p>
        </w:tc>
        <w:tc>
          <w:tcPr>
            <w:tcW w:w="8420" w:type="dxa"/>
            <w:vAlign w:val="bottom"/>
          </w:tcPr>
          <w:p>
            <w:pPr>
              <w:ind w:left="120"/>
              <w:spacing w:after="0"/>
              <w:rPr>
                <w:sz w:val="20"/>
                <w:szCs w:val="20"/>
                <w:color w:val="auto"/>
              </w:rPr>
            </w:pPr>
            <w:r>
              <w:rPr>
                <w:rFonts w:ascii="Arial" w:cs="Arial" w:eastAsia="Arial" w:hAnsi="Arial"/>
                <w:sz w:val="22"/>
                <w:szCs w:val="22"/>
                <w:color w:val="auto"/>
              </w:rPr>
              <w:t>Undertaking for Costs</w:t>
            </w:r>
          </w:p>
        </w:tc>
        <w:tc>
          <w:tcPr>
            <w:tcW w:w="440" w:type="dxa"/>
            <w:vAlign w:val="bottom"/>
          </w:tcPr>
          <w:p>
            <w:pPr>
              <w:jc w:val="right"/>
              <w:spacing w:after="0"/>
              <w:rPr>
                <w:sz w:val="20"/>
                <w:szCs w:val="20"/>
                <w:color w:val="auto"/>
              </w:rPr>
            </w:pPr>
            <w:r>
              <w:rPr>
                <w:rFonts w:ascii="Arial" w:cs="Arial" w:eastAsia="Arial" w:hAnsi="Arial"/>
                <w:sz w:val="22"/>
                <w:szCs w:val="22"/>
                <w:color w:val="auto"/>
              </w:rPr>
              <w:t>26</w:t>
            </w:r>
          </w:p>
        </w:tc>
        <w:tc>
          <w:tcPr>
            <w:tcW w:w="20" w:type="dxa"/>
            <w:vAlign w:val="bottom"/>
          </w:tcPr>
          <w:p>
            <w:pPr>
              <w:spacing w:after="0"/>
              <w:rPr>
                <w:sz w:val="23"/>
                <w:szCs w:val="23"/>
                <w:color w:val="auto"/>
              </w:rPr>
            </w:pPr>
          </w:p>
        </w:tc>
      </w:tr>
      <w:tr>
        <w:trPr>
          <w:trHeight w:val="351"/>
        </w:trPr>
        <w:tc>
          <w:tcPr>
            <w:tcW w:w="2380" w:type="dxa"/>
            <w:vAlign w:val="bottom"/>
          </w:tcPr>
          <w:p>
            <w:pPr>
              <w:spacing w:after="0"/>
              <w:rPr>
                <w:sz w:val="20"/>
                <w:szCs w:val="20"/>
                <w:color w:val="auto"/>
              </w:rPr>
            </w:pPr>
            <w:r>
              <w:rPr>
                <w:rFonts w:ascii="Arial" w:cs="Arial" w:eastAsia="Arial" w:hAnsi="Arial"/>
                <w:sz w:val="22"/>
                <w:szCs w:val="22"/>
                <w:color w:val="auto"/>
              </w:rPr>
              <w:t>ARTICLE VII TRUSTEE</w:t>
            </w:r>
          </w:p>
        </w:tc>
        <w:tc>
          <w:tcPr>
            <w:tcW w:w="84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27</w:t>
            </w:r>
          </w:p>
        </w:tc>
        <w:tc>
          <w:tcPr>
            <w:tcW w:w="20" w:type="dxa"/>
            <w:vAlign w:val="bottom"/>
          </w:tcPr>
          <w:p>
            <w:pPr>
              <w:spacing w:after="0"/>
              <w:rPr>
                <w:sz w:val="24"/>
                <w:szCs w:val="24"/>
                <w:color w:val="auto"/>
              </w:rPr>
            </w:pPr>
          </w:p>
        </w:tc>
      </w:tr>
      <w:tr>
        <w:trPr>
          <w:trHeight w:val="320"/>
        </w:trPr>
        <w:tc>
          <w:tcPr>
            <w:tcW w:w="2380" w:type="dxa"/>
            <w:vAlign w:val="bottom"/>
          </w:tcPr>
          <w:p>
            <w:pPr>
              <w:ind w:left="720"/>
              <w:spacing w:after="0"/>
              <w:rPr>
                <w:sz w:val="20"/>
                <w:szCs w:val="20"/>
                <w:color w:val="auto"/>
              </w:rPr>
            </w:pPr>
            <w:r>
              <w:rPr>
                <w:rFonts w:ascii="Arial" w:cs="Arial" w:eastAsia="Arial" w:hAnsi="Arial"/>
                <w:sz w:val="22"/>
                <w:szCs w:val="22"/>
                <w:color w:val="auto"/>
              </w:rPr>
              <w:t>Section 7.1</w:t>
            </w:r>
          </w:p>
        </w:tc>
        <w:tc>
          <w:tcPr>
            <w:tcW w:w="8420" w:type="dxa"/>
            <w:vAlign w:val="bottom"/>
          </w:tcPr>
          <w:p>
            <w:pPr>
              <w:ind w:left="120"/>
              <w:spacing w:after="0"/>
              <w:rPr>
                <w:sz w:val="20"/>
                <w:szCs w:val="20"/>
                <w:color w:val="auto"/>
              </w:rPr>
            </w:pPr>
            <w:r>
              <w:rPr>
                <w:rFonts w:ascii="Arial" w:cs="Arial" w:eastAsia="Arial" w:hAnsi="Arial"/>
                <w:sz w:val="22"/>
                <w:szCs w:val="22"/>
                <w:color w:val="auto"/>
              </w:rPr>
              <w:t>Duties of Trustee</w:t>
            </w:r>
          </w:p>
        </w:tc>
        <w:tc>
          <w:tcPr>
            <w:tcW w:w="440" w:type="dxa"/>
            <w:vAlign w:val="bottom"/>
          </w:tcPr>
          <w:p>
            <w:pPr>
              <w:jc w:val="right"/>
              <w:spacing w:after="0"/>
              <w:rPr>
                <w:sz w:val="20"/>
                <w:szCs w:val="20"/>
                <w:color w:val="auto"/>
              </w:rPr>
            </w:pPr>
            <w:r>
              <w:rPr>
                <w:rFonts w:ascii="Arial" w:cs="Arial" w:eastAsia="Arial" w:hAnsi="Arial"/>
                <w:sz w:val="22"/>
                <w:szCs w:val="22"/>
                <w:color w:val="auto"/>
              </w:rPr>
              <w:t>27</w:t>
            </w:r>
          </w:p>
        </w:tc>
        <w:tc>
          <w:tcPr>
            <w:tcW w:w="20" w:type="dxa"/>
            <w:vAlign w:val="bottom"/>
          </w:tcPr>
          <w:p>
            <w:pPr>
              <w:spacing w:after="0"/>
              <w:rPr>
                <w:sz w:val="24"/>
                <w:szCs w:val="24"/>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7.2</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Rights of Trustee</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7.3</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Individual Rights of Trustee</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7.4</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Trustee’s Disclaimer</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7.5</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Notice of Defaults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7.6</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Reports by Trustee to Holders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7.7</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Compensation and Indemnity</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7.8</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Replacement of Trustee</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7.9</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Successor Trustee by Merger, Etc</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7.10</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Eligibility; Disqualification</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c>
          <w:tcPr>
            <w:tcW w:w="20" w:type="dxa"/>
            <w:vAlign w:val="bottom"/>
          </w:tcPr>
          <w:p>
            <w:pPr>
              <w:spacing w:after="0"/>
              <w:rPr>
                <w:sz w:val="21"/>
                <w:szCs w:val="21"/>
                <w:color w:val="auto"/>
              </w:rPr>
            </w:pPr>
          </w:p>
        </w:tc>
      </w:tr>
      <w:tr>
        <w:trPr>
          <w:trHeight w:val="274"/>
        </w:trPr>
        <w:tc>
          <w:tcPr>
            <w:tcW w:w="2380" w:type="dxa"/>
            <w:vAlign w:val="bottom"/>
          </w:tcPr>
          <w:p>
            <w:pPr>
              <w:ind w:left="720"/>
              <w:spacing w:after="0"/>
              <w:rPr>
                <w:sz w:val="20"/>
                <w:szCs w:val="20"/>
                <w:color w:val="auto"/>
              </w:rPr>
            </w:pPr>
            <w:r>
              <w:rPr>
                <w:rFonts w:ascii="Arial" w:cs="Arial" w:eastAsia="Arial" w:hAnsi="Arial"/>
                <w:sz w:val="22"/>
                <w:szCs w:val="22"/>
                <w:color w:val="auto"/>
              </w:rPr>
              <w:t>Section 7.11</w:t>
            </w:r>
          </w:p>
        </w:tc>
        <w:tc>
          <w:tcPr>
            <w:tcW w:w="8420" w:type="dxa"/>
            <w:vAlign w:val="bottom"/>
          </w:tcPr>
          <w:p>
            <w:pPr>
              <w:ind w:left="120"/>
              <w:spacing w:after="0"/>
              <w:rPr>
                <w:sz w:val="20"/>
                <w:szCs w:val="20"/>
                <w:color w:val="auto"/>
              </w:rPr>
            </w:pPr>
            <w:r>
              <w:rPr>
                <w:rFonts w:ascii="Arial" w:cs="Arial" w:eastAsia="Arial" w:hAnsi="Arial"/>
                <w:sz w:val="22"/>
                <w:szCs w:val="22"/>
                <w:color w:val="auto"/>
              </w:rPr>
              <w:t>Preferential Collection of Claims Against Company</w:t>
            </w:r>
          </w:p>
        </w:tc>
        <w:tc>
          <w:tcPr>
            <w:tcW w:w="440" w:type="dxa"/>
            <w:vAlign w:val="bottom"/>
          </w:tcPr>
          <w:p>
            <w:pPr>
              <w:jc w:val="right"/>
              <w:spacing w:after="0"/>
              <w:rPr>
                <w:sz w:val="20"/>
                <w:szCs w:val="20"/>
                <w:color w:val="auto"/>
              </w:rPr>
            </w:pPr>
            <w:r>
              <w:rPr>
                <w:rFonts w:ascii="Arial" w:cs="Arial" w:eastAsia="Arial" w:hAnsi="Arial"/>
                <w:sz w:val="22"/>
                <w:szCs w:val="22"/>
                <w:color w:val="auto"/>
              </w:rPr>
              <w:t>32</w:t>
            </w:r>
          </w:p>
        </w:tc>
        <w:tc>
          <w:tcPr>
            <w:tcW w:w="20" w:type="dxa"/>
            <w:vAlign w:val="bottom"/>
          </w:tcPr>
          <w:p>
            <w:pPr>
              <w:spacing w:after="0"/>
              <w:rPr>
                <w:sz w:val="23"/>
                <w:szCs w:val="23"/>
                <w:color w:val="auto"/>
              </w:rPr>
            </w:pPr>
          </w:p>
        </w:tc>
      </w:tr>
      <w:tr>
        <w:trPr>
          <w:trHeight w:val="351"/>
        </w:trPr>
        <w:tc>
          <w:tcPr>
            <w:tcW w:w="10800" w:type="dxa"/>
            <w:vAlign w:val="bottom"/>
            <w:gridSpan w:val="2"/>
          </w:tcPr>
          <w:p>
            <w:pPr>
              <w:spacing w:after="0"/>
              <w:rPr>
                <w:sz w:val="20"/>
                <w:szCs w:val="20"/>
                <w:color w:val="auto"/>
              </w:rPr>
            </w:pPr>
            <w:r>
              <w:rPr>
                <w:rFonts w:ascii="Arial" w:cs="Arial" w:eastAsia="Arial" w:hAnsi="Arial"/>
                <w:sz w:val="22"/>
                <w:szCs w:val="22"/>
                <w:color w:val="auto"/>
              </w:rPr>
              <w:t>ARTICLE VIII SATISFACTION AND DISCHARGE; DEFEASANCE</w:t>
            </w:r>
          </w:p>
        </w:tc>
        <w:tc>
          <w:tcPr>
            <w:tcW w:w="440" w:type="dxa"/>
            <w:vAlign w:val="bottom"/>
          </w:tcPr>
          <w:p>
            <w:pPr>
              <w:jc w:val="right"/>
              <w:spacing w:after="0"/>
              <w:rPr>
                <w:sz w:val="20"/>
                <w:szCs w:val="20"/>
                <w:color w:val="auto"/>
              </w:rPr>
            </w:pPr>
            <w:r>
              <w:rPr>
                <w:rFonts w:ascii="Arial" w:cs="Arial" w:eastAsia="Arial" w:hAnsi="Arial"/>
                <w:sz w:val="22"/>
                <w:szCs w:val="22"/>
                <w:color w:val="auto"/>
              </w:rPr>
              <w:t>33</w:t>
            </w:r>
          </w:p>
        </w:tc>
        <w:tc>
          <w:tcPr>
            <w:tcW w:w="20" w:type="dxa"/>
            <w:vAlign w:val="bottom"/>
          </w:tcPr>
          <w:p>
            <w:pPr>
              <w:spacing w:after="0"/>
              <w:rPr>
                <w:sz w:val="24"/>
                <w:szCs w:val="24"/>
                <w:color w:val="auto"/>
              </w:rPr>
            </w:pPr>
          </w:p>
        </w:tc>
      </w:tr>
      <w:tr>
        <w:trPr>
          <w:trHeight w:val="320"/>
        </w:trPr>
        <w:tc>
          <w:tcPr>
            <w:tcW w:w="2380" w:type="dxa"/>
            <w:vAlign w:val="bottom"/>
          </w:tcPr>
          <w:p>
            <w:pPr>
              <w:ind w:left="720"/>
              <w:spacing w:after="0"/>
              <w:rPr>
                <w:sz w:val="20"/>
                <w:szCs w:val="20"/>
                <w:color w:val="auto"/>
              </w:rPr>
            </w:pPr>
            <w:r>
              <w:rPr>
                <w:rFonts w:ascii="Arial" w:cs="Arial" w:eastAsia="Arial" w:hAnsi="Arial"/>
                <w:sz w:val="22"/>
                <w:szCs w:val="22"/>
                <w:color w:val="auto"/>
              </w:rPr>
              <w:t>Section 8.1</w:t>
            </w:r>
          </w:p>
        </w:tc>
        <w:tc>
          <w:tcPr>
            <w:tcW w:w="8420" w:type="dxa"/>
            <w:vAlign w:val="bottom"/>
          </w:tcPr>
          <w:p>
            <w:pPr>
              <w:ind w:left="120"/>
              <w:spacing w:after="0"/>
              <w:rPr>
                <w:sz w:val="20"/>
                <w:szCs w:val="20"/>
                <w:color w:val="auto"/>
              </w:rPr>
            </w:pPr>
            <w:r>
              <w:rPr>
                <w:rFonts w:ascii="Arial" w:cs="Arial" w:eastAsia="Arial" w:hAnsi="Arial"/>
                <w:sz w:val="22"/>
                <w:szCs w:val="22"/>
                <w:color w:val="auto"/>
              </w:rPr>
              <w:t>Satisfaction and Discharge of Indenture</w:t>
            </w:r>
          </w:p>
        </w:tc>
        <w:tc>
          <w:tcPr>
            <w:tcW w:w="440" w:type="dxa"/>
            <w:vAlign w:val="bottom"/>
          </w:tcPr>
          <w:p>
            <w:pPr>
              <w:jc w:val="right"/>
              <w:spacing w:after="0"/>
              <w:rPr>
                <w:sz w:val="20"/>
                <w:szCs w:val="20"/>
                <w:color w:val="auto"/>
              </w:rPr>
            </w:pPr>
            <w:r>
              <w:rPr>
                <w:rFonts w:ascii="Arial" w:cs="Arial" w:eastAsia="Arial" w:hAnsi="Arial"/>
                <w:sz w:val="22"/>
                <w:szCs w:val="22"/>
                <w:color w:val="auto"/>
              </w:rPr>
              <w:t>33</w:t>
            </w:r>
          </w:p>
        </w:tc>
        <w:tc>
          <w:tcPr>
            <w:tcW w:w="20" w:type="dxa"/>
            <w:vAlign w:val="bottom"/>
          </w:tcPr>
          <w:p>
            <w:pPr>
              <w:spacing w:after="0"/>
              <w:rPr>
                <w:sz w:val="24"/>
                <w:szCs w:val="24"/>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8.2</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Application of Trust Funds; Indemnification</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8.3</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Legal Defeasance of Securities of any Series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8.4</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Covenant Defeasance</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8.5</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Repayment to Company</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c>
          <w:tcPr>
            <w:tcW w:w="20" w:type="dxa"/>
            <w:vAlign w:val="bottom"/>
          </w:tcPr>
          <w:p>
            <w:pPr>
              <w:spacing w:after="0"/>
              <w:rPr>
                <w:sz w:val="21"/>
                <w:szCs w:val="21"/>
                <w:color w:val="auto"/>
              </w:rPr>
            </w:pPr>
          </w:p>
        </w:tc>
      </w:tr>
      <w:tr>
        <w:trPr>
          <w:trHeight w:val="274"/>
        </w:trPr>
        <w:tc>
          <w:tcPr>
            <w:tcW w:w="2380" w:type="dxa"/>
            <w:vAlign w:val="bottom"/>
          </w:tcPr>
          <w:p>
            <w:pPr>
              <w:ind w:left="720"/>
              <w:spacing w:after="0"/>
              <w:rPr>
                <w:sz w:val="20"/>
                <w:szCs w:val="20"/>
                <w:color w:val="auto"/>
              </w:rPr>
            </w:pPr>
            <w:r>
              <w:rPr>
                <w:rFonts w:ascii="Arial" w:cs="Arial" w:eastAsia="Arial" w:hAnsi="Arial"/>
                <w:sz w:val="22"/>
                <w:szCs w:val="22"/>
                <w:color w:val="auto"/>
              </w:rPr>
              <w:t>Section 8.6</w:t>
            </w:r>
          </w:p>
        </w:tc>
        <w:tc>
          <w:tcPr>
            <w:tcW w:w="8420" w:type="dxa"/>
            <w:vAlign w:val="bottom"/>
          </w:tcPr>
          <w:p>
            <w:pPr>
              <w:ind w:left="120"/>
              <w:spacing w:after="0"/>
              <w:rPr>
                <w:sz w:val="20"/>
                <w:szCs w:val="20"/>
                <w:color w:val="auto"/>
              </w:rPr>
            </w:pPr>
            <w:r>
              <w:rPr>
                <w:rFonts w:ascii="Arial" w:cs="Arial" w:eastAsia="Arial" w:hAnsi="Arial"/>
                <w:sz w:val="22"/>
                <w:szCs w:val="22"/>
                <w:color w:val="auto"/>
              </w:rPr>
              <w:t>Reinstatement</w:t>
            </w:r>
          </w:p>
        </w:tc>
        <w:tc>
          <w:tcPr>
            <w:tcW w:w="440" w:type="dxa"/>
            <w:vAlign w:val="bottom"/>
          </w:tcPr>
          <w:p>
            <w:pPr>
              <w:jc w:val="right"/>
              <w:spacing w:after="0"/>
              <w:rPr>
                <w:sz w:val="20"/>
                <w:szCs w:val="20"/>
                <w:color w:val="auto"/>
              </w:rPr>
            </w:pPr>
            <w:r>
              <w:rPr>
                <w:rFonts w:ascii="Arial" w:cs="Arial" w:eastAsia="Arial" w:hAnsi="Arial"/>
                <w:sz w:val="22"/>
                <w:szCs w:val="22"/>
                <w:color w:val="auto"/>
              </w:rPr>
              <w:t>37</w:t>
            </w:r>
          </w:p>
        </w:tc>
        <w:tc>
          <w:tcPr>
            <w:tcW w:w="20" w:type="dxa"/>
            <w:vAlign w:val="bottom"/>
          </w:tcPr>
          <w:p>
            <w:pPr>
              <w:spacing w:after="0"/>
              <w:rPr>
                <w:sz w:val="23"/>
                <w:szCs w:val="23"/>
                <w:color w:val="auto"/>
              </w:rPr>
            </w:pPr>
          </w:p>
        </w:tc>
      </w:tr>
      <w:tr>
        <w:trPr>
          <w:trHeight w:val="351"/>
        </w:trPr>
        <w:tc>
          <w:tcPr>
            <w:tcW w:w="10800" w:type="dxa"/>
            <w:vAlign w:val="bottom"/>
            <w:gridSpan w:val="2"/>
          </w:tcPr>
          <w:p>
            <w:pPr>
              <w:spacing w:after="0"/>
              <w:rPr>
                <w:sz w:val="20"/>
                <w:szCs w:val="20"/>
                <w:color w:val="auto"/>
              </w:rPr>
            </w:pPr>
            <w:r>
              <w:rPr>
                <w:rFonts w:ascii="Arial" w:cs="Arial" w:eastAsia="Arial" w:hAnsi="Arial"/>
                <w:sz w:val="22"/>
                <w:szCs w:val="22"/>
                <w:color w:val="auto"/>
              </w:rPr>
              <w:t>ARTICLE IX AMENDMENTS AND WAIVERS</w:t>
            </w:r>
          </w:p>
        </w:tc>
        <w:tc>
          <w:tcPr>
            <w:tcW w:w="440" w:type="dxa"/>
            <w:vAlign w:val="bottom"/>
          </w:tcPr>
          <w:p>
            <w:pPr>
              <w:jc w:val="right"/>
              <w:spacing w:after="0"/>
              <w:rPr>
                <w:sz w:val="20"/>
                <w:szCs w:val="20"/>
                <w:color w:val="auto"/>
              </w:rPr>
            </w:pPr>
            <w:r>
              <w:rPr>
                <w:rFonts w:ascii="Arial" w:cs="Arial" w:eastAsia="Arial" w:hAnsi="Arial"/>
                <w:sz w:val="22"/>
                <w:szCs w:val="22"/>
                <w:color w:val="auto"/>
              </w:rPr>
              <w:t>38</w:t>
            </w:r>
          </w:p>
        </w:tc>
        <w:tc>
          <w:tcPr>
            <w:tcW w:w="20" w:type="dxa"/>
            <w:vAlign w:val="bottom"/>
          </w:tcPr>
          <w:p>
            <w:pPr>
              <w:spacing w:after="0"/>
              <w:rPr>
                <w:sz w:val="24"/>
                <w:szCs w:val="24"/>
                <w:color w:val="auto"/>
              </w:rPr>
            </w:pPr>
          </w:p>
        </w:tc>
      </w:tr>
      <w:tr>
        <w:trPr>
          <w:trHeight w:val="320"/>
        </w:trPr>
        <w:tc>
          <w:tcPr>
            <w:tcW w:w="2380" w:type="dxa"/>
            <w:vAlign w:val="bottom"/>
          </w:tcPr>
          <w:p>
            <w:pPr>
              <w:ind w:left="720"/>
              <w:spacing w:after="0"/>
              <w:rPr>
                <w:sz w:val="20"/>
                <w:szCs w:val="20"/>
                <w:color w:val="auto"/>
              </w:rPr>
            </w:pPr>
            <w:r>
              <w:rPr>
                <w:rFonts w:ascii="Arial" w:cs="Arial" w:eastAsia="Arial" w:hAnsi="Arial"/>
                <w:sz w:val="22"/>
                <w:szCs w:val="22"/>
                <w:color w:val="auto"/>
              </w:rPr>
              <w:t>Section 9.1</w:t>
            </w:r>
          </w:p>
        </w:tc>
        <w:tc>
          <w:tcPr>
            <w:tcW w:w="8420" w:type="dxa"/>
            <w:vAlign w:val="bottom"/>
          </w:tcPr>
          <w:p>
            <w:pPr>
              <w:ind w:left="120"/>
              <w:spacing w:after="0"/>
              <w:rPr>
                <w:sz w:val="20"/>
                <w:szCs w:val="20"/>
                <w:color w:val="auto"/>
              </w:rPr>
            </w:pPr>
            <w:r>
              <w:rPr>
                <w:rFonts w:ascii="Arial" w:cs="Arial" w:eastAsia="Arial" w:hAnsi="Arial"/>
                <w:sz w:val="22"/>
                <w:szCs w:val="22"/>
                <w:color w:val="auto"/>
              </w:rPr>
              <w:t>Without Consent of Holders</w:t>
            </w:r>
          </w:p>
        </w:tc>
        <w:tc>
          <w:tcPr>
            <w:tcW w:w="440" w:type="dxa"/>
            <w:vAlign w:val="bottom"/>
          </w:tcPr>
          <w:p>
            <w:pPr>
              <w:jc w:val="right"/>
              <w:spacing w:after="0"/>
              <w:rPr>
                <w:sz w:val="20"/>
                <w:szCs w:val="20"/>
                <w:color w:val="auto"/>
              </w:rPr>
            </w:pPr>
            <w:r>
              <w:rPr>
                <w:rFonts w:ascii="Arial" w:cs="Arial" w:eastAsia="Arial" w:hAnsi="Arial"/>
                <w:sz w:val="22"/>
                <w:szCs w:val="22"/>
                <w:color w:val="auto"/>
              </w:rPr>
              <w:t>38</w:t>
            </w:r>
          </w:p>
        </w:tc>
        <w:tc>
          <w:tcPr>
            <w:tcW w:w="20" w:type="dxa"/>
            <w:vAlign w:val="bottom"/>
          </w:tcPr>
          <w:p>
            <w:pPr>
              <w:spacing w:after="0"/>
              <w:rPr>
                <w:sz w:val="24"/>
                <w:szCs w:val="24"/>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9.2</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With Consent of Holders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9.3</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Limitations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c>
          <w:tcPr>
            <w:tcW w:w="20" w:type="dxa"/>
            <w:vAlign w:val="bottom"/>
          </w:tcPr>
          <w:p>
            <w:pPr>
              <w:spacing w:after="0"/>
              <w:rPr>
                <w:sz w:val="21"/>
                <w:szCs w:val="21"/>
                <w:color w:val="auto"/>
              </w:rPr>
            </w:pPr>
          </w:p>
        </w:tc>
      </w:tr>
      <w:tr>
        <w:trPr>
          <w:trHeight w:val="243"/>
        </w:trPr>
        <w:tc>
          <w:tcPr>
            <w:tcW w:w="2380" w:type="dxa"/>
            <w:vAlign w:val="bottom"/>
          </w:tcPr>
          <w:p>
            <w:pPr>
              <w:ind w:left="720"/>
              <w:spacing w:after="0" w:line="243" w:lineRule="exact"/>
              <w:rPr>
                <w:sz w:val="20"/>
                <w:szCs w:val="20"/>
                <w:color w:val="auto"/>
              </w:rPr>
            </w:pPr>
            <w:r>
              <w:rPr>
                <w:rFonts w:ascii="Arial" w:cs="Arial" w:eastAsia="Arial" w:hAnsi="Arial"/>
                <w:sz w:val="22"/>
                <w:szCs w:val="22"/>
                <w:color w:val="auto"/>
              </w:rPr>
              <w:t>Section 9.4</w:t>
            </w:r>
          </w:p>
        </w:tc>
        <w:tc>
          <w:tcPr>
            <w:tcW w:w="8420" w:type="dxa"/>
            <w:vAlign w:val="bottom"/>
          </w:tcPr>
          <w:p>
            <w:pPr>
              <w:ind w:left="120"/>
              <w:spacing w:after="0" w:line="243" w:lineRule="exact"/>
              <w:rPr>
                <w:sz w:val="20"/>
                <w:szCs w:val="20"/>
                <w:color w:val="auto"/>
              </w:rPr>
            </w:pPr>
            <w:r>
              <w:rPr>
                <w:rFonts w:ascii="Arial" w:cs="Arial" w:eastAsia="Arial" w:hAnsi="Arial"/>
                <w:sz w:val="22"/>
                <w:szCs w:val="22"/>
                <w:color w:val="auto"/>
              </w:rPr>
              <w:t>Compliance with Trust Indenture Act</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c>
          <w:tcPr>
            <w:tcW w:w="20" w:type="dxa"/>
            <w:vAlign w:val="bottom"/>
          </w:tcPr>
          <w:p>
            <w:pPr>
              <w:spacing w:after="0"/>
              <w:rPr>
                <w:sz w:val="21"/>
                <w:szCs w:val="21"/>
                <w:color w:val="auto"/>
              </w:rPr>
            </w:pPr>
          </w:p>
        </w:tc>
      </w:tr>
      <w:tr>
        <w:trPr>
          <w:trHeight w:val="274"/>
        </w:trPr>
        <w:tc>
          <w:tcPr>
            <w:tcW w:w="2380" w:type="dxa"/>
            <w:vAlign w:val="bottom"/>
          </w:tcPr>
          <w:p>
            <w:pPr>
              <w:ind w:left="720"/>
              <w:spacing w:after="0"/>
              <w:rPr>
                <w:sz w:val="20"/>
                <w:szCs w:val="20"/>
                <w:color w:val="auto"/>
              </w:rPr>
            </w:pPr>
            <w:r>
              <w:rPr>
                <w:rFonts w:ascii="Arial" w:cs="Arial" w:eastAsia="Arial" w:hAnsi="Arial"/>
                <w:sz w:val="22"/>
                <w:szCs w:val="22"/>
                <w:color w:val="auto"/>
              </w:rPr>
              <w:t>Section 9.5</w:t>
            </w:r>
          </w:p>
        </w:tc>
        <w:tc>
          <w:tcPr>
            <w:tcW w:w="8420" w:type="dxa"/>
            <w:vAlign w:val="bottom"/>
          </w:tcPr>
          <w:p>
            <w:pPr>
              <w:ind w:left="120"/>
              <w:spacing w:after="0"/>
              <w:rPr>
                <w:sz w:val="20"/>
                <w:szCs w:val="20"/>
                <w:color w:val="auto"/>
              </w:rPr>
            </w:pPr>
            <w:r>
              <w:rPr>
                <w:rFonts w:ascii="Arial" w:cs="Arial" w:eastAsia="Arial" w:hAnsi="Arial"/>
                <w:sz w:val="22"/>
                <w:szCs w:val="22"/>
                <w:color w:val="auto"/>
              </w:rPr>
              <w:t>Revocation and Effect of Consents</w:t>
            </w:r>
          </w:p>
        </w:tc>
        <w:tc>
          <w:tcPr>
            <w:tcW w:w="440" w:type="dxa"/>
            <w:vAlign w:val="bottom"/>
          </w:tcPr>
          <w:p>
            <w:pPr>
              <w:jc w:val="right"/>
              <w:spacing w:after="0"/>
              <w:rPr>
                <w:sz w:val="20"/>
                <w:szCs w:val="20"/>
                <w:color w:val="auto"/>
              </w:rPr>
            </w:pPr>
            <w:r>
              <w:rPr>
                <w:rFonts w:ascii="Arial" w:cs="Arial" w:eastAsia="Arial" w:hAnsi="Arial"/>
                <w:sz w:val="22"/>
                <w:szCs w:val="22"/>
                <w:color w:val="auto"/>
              </w:rPr>
              <w:t>40</w:t>
            </w:r>
          </w:p>
        </w:tc>
        <w:tc>
          <w:tcPr>
            <w:tcW w:w="20" w:type="dxa"/>
            <w:vAlign w:val="bottom"/>
          </w:tcPr>
          <w:p>
            <w:pPr>
              <w:spacing w:after="0"/>
              <w:rPr>
                <w:sz w:val="23"/>
                <w:szCs w:val="23"/>
                <w:color w:val="auto"/>
              </w:rPr>
            </w:pPr>
          </w:p>
        </w:tc>
      </w:tr>
      <w:tr>
        <w:trPr>
          <w:trHeight w:val="459"/>
        </w:trPr>
        <w:tc>
          <w:tcPr>
            <w:tcW w:w="2380" w:type="dxa"/>
            <w:vAlign w:val="bottom"/>
          </w:tcPr>
          <w:p>
            <w:pPr>
              <w:spacing w:after="0"/>
              <w:rPr>
                <w:sz w:val="24"/>
                <w:szCs w:val="24"/>
                <w:color w:val="auto"/>
              </w:rPr>
            </w:pPr>
          </w:p>
        </w:tc>
        <w:tc>
          <w:tcPr>
            <w:tcW w:w="8420" w:type="dxa"/>
            <w:vAlign w:val="bottom"/>
          </w:tcPr>
          <w:p>
            <w:pPr>
              <w:ind w:left="3120"/>
              <w:spacing w:after="0"/>
              <w:rPr>
                <w:sz w:val="20"/>
                <w:szCs w:val="20"/>
                <w:color w:val="auto"/>
              </w:rPr>
            </w:pPr>
            <w:r>
              <w:rPr>
                <w:rFonts w:ascii="Arial" w:cs="Arial" w:eastAsia="Arial" w:hAnsi="Arial"/>
                <w:sz w:val="22"/>
                <w:szCs w:val="22"/>
                <w:color w:val="auto"/>
              </w:rPr>
              <w:t>-2-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2380" w:type="dxa"/>
            <w:vAlign w:val="bottom"/>
            <w:tcBorders>
              <w:bottom w:val="single" w:sz="8" w:color="9A9A9A"/>
            </w:tcBorders>
          </w:tcPr>
          <w:p>
            <w:pPr>
              <w:spacing w:after="0"/>
              <w:rPr>
                <w:sz w:val="9"/>
                <w:szCs w:val="9"/>
                <w:color w:val="auto"/>
              </w:rPr>
            </w:pPr>
          </w:p>
        </w:tc>
        <w:tc>
          <w:tcPr>
            <w:tcW w:w="84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w:t>
      </w:r>
    </w:p>
    <w:tbl>
      <w:tblPr>
        <w:tblLayout w:type="fixed"/>
        <w:tblInd w:w="0" w:type="dxa"/>
        <w:tblCellMar>
          <w:top w:w="0" w:type="dxa"/>
          <w:left w:w="0" w:type="dxa"/>
          <w:bottom w:w="0" w:type="dxa"/>
          <w:right w:w="0" w:type="dxa"/>
        </w:tblCellMar>
      </w:tblPr>
      <w:tr>
        <w:trPr>
          <w:trHeight w:val="206"/>
        </w:trPr>
        <w:tc>
          <w:tcPr>
            <w:tcW w:w="220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4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2"/>
                <w:szCs w:val="22"/>
                <w:b w:val="1"/>
                <w:bCs w:val="1"/>
                <w:color w:val="auto"/>
                <w:w w:val="79"/>
              </w:rPr>
              <w:t>Page</w:t>
            </w:r>
          </w:p>
        </w:tc>
      </w:tr>
      <w:tr>
        <w:trPr>
          <w:trHeight w:val="566"/>
        </w:trPr>
        <w:tc>
          <w:tcPr>
            <w:tcW w:w="2200" w:type="dxa"/>
            <w:vAlign w:val="bottom"/>
          </w:tcPr>
          <w:p>
            <w:pPr>
              <w:ind w:left="720"/>
              <w:spacing w:after="0"/>
              <w:rPr>
                <w:sz w:val="20"/>
                <w:szCs w:val="20"/>
                <w:color w:val="auto"/>
              </w:rPr>
            </w:pPr>
            <w:r>
              <w:rPr>
                <w:rFonts w:ascii="Arial" w:cs="Arial" w:eastAsia="Arial" w:hAnsi="Arial"/>
                <w:sz w:val="22"/>
                <w:szCs w:val="22"/>
                <w:color w:val="auto"/>
              </w:rPr>
              <w:t>Section 9.6</w:t>
            </w:r>
          </w:p>
        </w:tc>
        <w:tc>
          <w:tcPr>
            <w:tcW w:w="8600" w:type="dxa"/>
            <w:vAlign w:val="bottom"/>
          </w:tcPr>
          <w:p>
            <w:pPr>
              <w:ind w:left="300"/>
              <w:spacing w:after="0"/>
              <w:rPr>
                <w:sz w:val="20"/>
                <w:szCs w:val="20"/>
                <w:color w:val="auto"/>
              </w:rPr>
            </w:pPr>
            <w:r>
              <w:rPr>
                <w:rFonts w:ascii="Arial" w:cs="Arial" w:eastAsia="Arial" w:hAnsi="Arial"/>
                <w:sz w:val="22"/>
                <w:szCs w:val="22"/>
                <w:color w:val="auto"/>
              </w:rPr>
              <w:t>Notation on or Exchange of Securities</w:t>
            </w:r>
          </w:p>
        </w:tc>
        <w:tc>
          <w:tcPr>
            <w:tcW w:w="4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74"/>
        </w:trPr>
        <w:tc>
          <w:tcPr>
            <w:tcW w:w="2200" w:type="dxa"/>
            <w:vAlign w:val="bottom"/>
          </w:tcPr>
          <w:p>
            <w:pPr>
              <w:ind w:left="720"/>
              <w:spacing w:after="0"/>
              <w:rPr>
                <w:sz w:val="20"/>
                <w:szCs w:val="20"/>
                <w:color w:val="auto"/>
              </w:rPr>
            </w:pPr>
            <w:r>
              <w:rPr>
                <w:rFonts w:ascii="Arial" w:cs="Arial" w:eastAsia="Arial" w:hAnsi="Arial"/>
                <w:sz w:val="22"/>
                <w:szCs w:val="22"/>
                <w:color w:val="auto"/>
              </w:rPr>
              <w:t>Section 9.7</w:t>
            </w:r>
          </w:p>
        </w:tc>
        <w:tc>
          <w:tcPr>
            <w:tcW w:w="8600" w:type="dxa"/>
            <w:vAlign w:val="bottom"/>
          </w:tcPr>
          <w:p>
            <w:pPr>
              <w:ind w:left="300"/>
              <w:spacing w:after="0"/>
              <w:rPr>
                <w:sz w:val="20"/>
                <w:szCs w:val="20"/>
                <w:color w:val="auto"/>
              </w:rPr>
            </w:pPr>
            <w:r>
              <w:rPr>
                <w:rFonts w:ascii="Arial" w:cs="Arial" w:eastAsia="Arial" w:hAnsi="Arial"/>
                <w:sz w:val="22"/>
                <w:szCs w:val="22"/>
                <w:color w:val="auto"/>
              </w:rPr>
              <w:t>Trustee Protected</w:t>
            </w:r>
          </w:p>
        </w:tc>
        <w:tc>
          <w:tcPr>
            <w:tcW w:w="4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51"/>
        </w:trPr>
        <w:tc>
          <w:tcPr>
            <w:tcW w:w="10800" w:type="dxa"/>
            <w:vAlign w:val="bottom"/>
            <w:gridSpan w:val="2"/>
          </w:tcPr>
          <w:p>
            <w:pPr>
              <w:spacing w:after="0"/>
              <w:rPr>
                <w:sz w:val="20"/>
                <w:szCs w:val="20"/>
                <w:color w:val="auto"/>
              </w:rPr>
            </w:pPr>
            <w:r>
              <w:rPr>
                <w:rFonts w:ascii="Arial" w:cs="Arial" w:eastAsia="Arial" w:hAnsi="Arial"/>
                <w:sz w:val="22"/>
                <w:szCs w:val="22"/>
                <w:color w:val="auto"/>
              </w:rPr>
              <w:t>ARTICLE X MISCELLANEOUS</w:t>
            </w:r>
          </w:p>
        </w:tc>
        <w:tc>
          <w:tcPr>
            <w:tcW w:w="4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20"/>
        </w:trPr>
        <w:tc>
          <w:tcPr>
            <w:tcW w:w="2200" w:type="dxa"/>
            <w:vAlign w:val="bottom"/>
          </w:tcPr>
          <w:p>
            <w:pPr>
              <w:ind w:left="720"/>
              <w:spacing w:after="0"/>
              <w:rPr>
                <w:sz w:val="20"/>
                <w:szCs w:val="20"/>
                <w:color w:val="auto"/>
              </w:rPr>
            </w:pPr>
            <w:r>
              <w:rPr>
                <w:rFonts w:ascii="Arial" w:cs="Arial" w:eastAsia="Arial" w:hAnsi="Arial"/>
                <w:sz w:val="22"/>
                <w:szCs w:val="22"/>
                <w:color w:val="auto"/>
              </w:rPr>
              <w:t>Section 10.1</w:t>
            </w:r>
          </w:p>
        </w:tc>
        <w:tc>
          <w:tcPr>
            <w:tcW w:w="8600" w:type="dxa"/>
            <w:vAlign w:val="bottom"/>
          </w:tcPr>
          <w:p>
            <w:pPr>
              <w:ind w:left="300"/>
              <w:spacing w:after="0"/>
              <w:rPr>
                <w:sz w:val="20"/>
                <w:szCs w:val="20"/>
                <w:color w:val="auto"/>
              </w:rPr>
            </w:pPr>
            <w:r>
              <w:rPr>
                <w:rFonts w:ascii="Arial" w:cs="Arial" w:eastAsia="Arial" w:hAnsi="Arial"/>
                <w:sz w:val="22"/>
                <w:szCs w:val="22"/>
                <w:color w:val="auto"/>
              </w:rPr>
              <w:t>Trust Indenture Act Controls</w:t>
            </w:r>
          </w:p>
        </w:tc>
        <w:tc>
          <w:tcPr>
            <w:tcW w:w="4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10.2</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Notices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10.3</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Communication by Holders with Other Holders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10.4</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Certificate and Opinion as to Conditions Precedent</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10.5</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Statements Required in Certificate or Opinion</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10.6</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Rules by Trustee and Agents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10.7</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Legal Holidays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10.8</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No Recourse Against Others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10.9</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Counterparts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10.10</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Governing Law; Waiver of Jury Trial; Consent to Jurisdiction</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10.11</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No Adverse Interpretation of Other Agreements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10.12</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Successors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10.13</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Severability</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10.14</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Table of Contents, Headings, Etc</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10.15</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Securities in a Foreign Currency</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10.16</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Judgment Currency</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10.17</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Force Majeure</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74"/>
        </w:trPr>
        <w:tc>
          <w:tcPr>
            <w:tcW w:w="2200" w:type="dxa"/>
            <w:vAlign w:val="bottom"/>
          </w:tcPr>
          <w:p>
            <w:pPr>
              <w:ind w:left="720"/>
              <w:spacing w:after="0"/>
              <w:rPr>
                <w:sz w:val="20"/>
                <w:szCs w:val="20"/>
                <w:color w:val="auto"/>
              </w:rPr>
            </w:pPr>
            <w:r>
              <w:rPr>
                <w:rFonts w:ascii="Arial" w:cs="Arial" w:eastAsia="Arial" w:hAnsi="Arial"/>
                <w:sz w:val="22"/>
                <w:szCs w:val="22"/>
                <w:color w:val="auto"/>
              </w:rPr>
              <w:t>Section 10.18</w:t>
            </w:r>
          </w:p>
        </w:tc>
        <w:tc>
          <w:tcPr>
            <w:tcW w:w="8600" w:type="dxa"/>
            <w:vAlign w:val="bottom"/>
          </w:tcPr>
          <w:p>
            <w:pPr>
              <w:ind w:left="300"/>
              <w:spacing w:after="0"/>
              <w:rPr>
                <w:sz w:val="20"/>
                <w:szCs w:val="20"/>
                <w:color w:val="auto"/>
              </w:rPr>
            </w:pPr>
            <w:r>
              <w:rPr>
                <w:rFonts w:ascii="Arial" w:cs="Arial" w:eastAsia="Arial" w:hAnsi="Arial"/>
                <w:sz w:val="22"/>
                <w:szCs w:val="22"/>
                <w:color w:val="auto"/>
              </w:rPr>
              <w:t>U.S.A. Patriot Act</w:t>
            </w:r>
          </w:p>
        </w:tc>
        <w:tc>
          <w:tcPr>
            <w:tcW w:w="4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51"/>
        </w:trPr>
        <w:tc>
          <w:tcPr>
            <w:tcW w:w="10800" w:type="dxa"/>
            <w:vAlign w:val="bottom"/>
            <w:gridSpan w:val="2"/>
          </w:tcPr>
          <w:p>
            <w:pPr>
              <w:spacing w:after="0"/>
              <w:rPr>
                <w:sz w:val="20"/>
                <w:szCs w:val="20"/>
                <w:color w:val="auto"/>
              </w:rPr>
            </w:pPr>
            <w:r>
              <w:rPr>
                <w:rFonts w:ascii="Arial" w:cs="Arial" w:eastAsia="Arial" w:hAnsi="Arial"/>
                <w:sz w:val="22"/>
                <w:szCs w:val="22"/>
                <w:color w:val="auto"/>
              </w:rPr>
              <w:t>ARTICLE XI SINKING FUNDS</w:t>
            </w:r>
          </w:p>
        </w:tc>
        <w:tc>
          <w:tcPr>
            <w:tcW w:w="4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20"/>
        </w:trPr>
        <w:tc>
          <w:tcPr>
            <w:tcW w:w="2200" w:type="dxa"/>
            <w:vAlign w:val="bottom"/>
          </w:tcPr>
          <w:p>
            <w:pPr>
              <w:ind w:left="720"/>
              <w:spacing w:after="0"/>
              <w:rPr>
                <w:sz w:val="20"/>
                <w:szCs w:val="20"/>
                <w:color w:val="auto"/>
              </w:rPr>
            </w:pPr>
            <w:r>
              <w:rPr>
                <w:rFonts w:ascii="Arial" w:cs="Arial" w:eastAsia="Arial" w:hAnsi="Arial"/>
                <w:sz w:val="22"/>
                <w:szCs w:val="22"/>
                <w:color w:val="auto"/>
              </w:rPr>
              <w:t>Section 11.1</w:t>
            </w:r>
          </w:p>
        </w:tc>
        <w:tc>
          <w:tcPr>
            <w:tcW w:w="8600" w:type="dxa"/>
            <w:vAlign w:val="bottom"/>
          </w:tcPr>
          <w:p>
            <w:pPr>
              <w:ind w:left="300"/>
              <w:spacing w:after="0"/>
              <w:rPr>
                <w:sz w:val="20"/>
                <w:szCs w:val="20"/>
                <w:color w:val="auto"/>
              </w:rPr>
            </w:pPr>
            <w:r>
              <w:rPr>
                <w:rFonts w:ascii="Arial" w:cs="Arial" w:eastAsia="Arial" w:hAnsi="Arial"/>
                <w:sz w:val="22"/>
                <w:szCs w:val="22"/>
                <w:color w:val="auto"/>
              </w:rPr>
              <w:t>Applicability of Article</w:t>
            </w:r>
          </w:p>
        </w:tc>
        <w:tc>
          <w:tcPr>
            <w:tcW w:w="4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43"/>
        </w:trPr>
        <w:tc>
          <w:tcPr>
            <w:tcW w:w="2200" w:type="dxa"/>
            <w:vAlign w:val="bottom"/>
          </w:tcPr>
          <w:p>
            <w:pPr>
              <w:ind w:left="720"/>
              <w:spacing w:after="0" w:line="243" w:lineRule="exact"/>
              <w:rPr>
                <w:sz w:val="20"/>
                <w:szCs w:val="20"/>
                <w:color w:val="auto"/>
              </w:rPr>
            </w:pPr>
            <w:r>
              <w:rPr>
                <w:rFonts w:ascii="Arial" w:cs="Arial" w:eastAsia="Arial" w:hAnsi="Arial"/>
                <w:sz w:val="22"/>
                <w:szCs w:val="22"/>
                <w:color w:val="auto"/>
              </w:rPr>
              <w:t>Section 11.2</w:t>
            </w:r>
          </w:p>
        </w:tc>
        <w:tc>
          <w:tcPr>
            <w:tcW w:w="8600" w:type="dxa"/>
            <w:vAlign w:val="bottom"/>
          </w:tcPr>
          <w:p>
            <w:pPr>
              <w:ind w:left="300"/>
              <w:spacing w:after="0" w:line="243" w:lineRule="exact"/>
              <w:rPr>
                <w:sz w:val="20"/>
                <w:szCs w:val="20"/>
                <w:color w:val="auto"/>
              </w:rPr>
            </w:pPr>
            <w:r>
              <w:rPr>
                <w:rFonts w:ascii="Arial" w:cs="Arial" w:eastAsia="Arial" w:hAnsi="Arial"/>
                <w:sz w:val="22"/>
                <w:szCs w:val="22"/>
                <w:color w:val="auto"/>
              </w:rPr>
              <w:t>Satisfaction of Sinking Fund Payments with Securities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74"/>
        </w:trPr>
        <w:tc>
          <w:tcPr>
            <w:tcW w:w="2200" w:type="dxa"/>
            <w:vAlign w:val="bottom"/>
          </w:tcPr>
          <w:p>
            <w:pPr>
              <w:ind w:left="720"/>
              <w:spacing w:after="0"/>
              <w:rPr>
                <w:sz w:val="20"/>
                <w:szCs w:val="20"/>
                <w:color w:val="auto"/>
              </w:rPr>
            </w:pPr>
            <w:r>
              <w:rPr>
                <w:rFonts w:ascii="Arial" w:cs="Arial" w:eastAsia="Arial" w:hAnsi="Arial"/>
                <w:sz w:val="22"/>
                <w:szCs w:val="22"/>
                <w:color w:val="auto"/>
              </w:rPr>
              <w:t>Section 11.3</w:t>
            </w:r>
          </w:p>
        </w:tc>
        <w:tc>
          <w:tcPr>
            <w:tcW w:w="8600" w:type="dxa"/>
            <w:vAlign w:val="bottom"/>
          </w:tcPr>
          <w:p>
            <w:pPr>
              <w:ind w:left="300"/>
              <w:spacing w:after="0"/>
              <w:rPr>
                <w:sz w:val="20"/>
                <w:szCs w:val="20"/>
                <w:color w:val="auto"/>
              </w:rPr>
            </w:pPr>
            <w:r>
              <w:rPr>
                <w:rFonts w:ascii="Arial" w:cs="Arial" w:eastAsia="Arial" w:hAnsi="Arial"/>
                <w:sz w:val="22"/>
                <w:szCs w:val="22"/>
                <w:color w:val="auto"/>
              </w:rPr>
              <w:t>Redemption of Securities for Sinking Fund</w:t>
            </w:r>
          </w:p>
        </w:tc>
        <w:tc>
          <w:tcPr>
            <w:tcW w:w="440" w:type="dxa"/>
            <w:vAlign w:val="bottom"/>
          </w:tcPr>
          <w:p>
            <w:pPr>
              <w:jc w:val="right"/>
              <w:spacing w:after="0"/>
              <w:rPr>
                <w:sz w:val="20"/>
                <w:szCs w:val="20"/>
                <w:color w:val="auto"/>
              </w:rPr>
            </w:pPr>
            <w:r>
              <w:rPr>
                <w:rFonts w:ascii="Arial" w:cs="Arial" w:eastAsia="Arial" w:hAnsi="Arial"/>
                <w:sz w:val="22"/>
                <w:szCs w:val="22"/>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tbl>
      <w:tblPr>
        <w:tblLayout w:type="fixed"/>
        <w:tblInd w:w="1300" w:type="dxa"/>
        <w:tblCellMar>
          <w:top w:w="0" w:type="dxa"/>
          <w:left w:w="0" w:type="dxa"/>
          <w:bottom w:w="0" w:type="dxa"/>
          <w:right w:w="0" w:type="dxa"/>
        </w:tblCellMar>
      </w:tblPr>
      <w:tr>
        <w:trPr>
          <w:trHeight w:val="280"/>
        </w:trPr>
        <w:tc>
          <w:tcPr>
            <w:tcW w:w="3000" w:type="dxa"/>
            <w:vAlign w:val="bottom"/>
          </w:tcPr>
          <w:p>
            <w:pPr>
              <w:spacing w:after="0"/>
              <w:rPr>
                <w:sz w:val="24"/>
                <w:szCs w:val="24"/>
                <w:color w:val="auto"/>
              </w:rPr>
            </w:pPr>
          </w:p>
        </w:tc>
        <w:tc>
          <w:tcPr>
            <w:tcW w:w="4800" w:type="dxa"/>
            <w:vAlign w:val="bottom"/>
          </w:tcPr>
          <w:p>
            <w:pPr>
              <w:ind w:left="520"/>
              <w:spacing w:after="0"/>
              <w:rPr>
                <w:sz w:val="20"/>
                <w:szCs w:val="20"/>
                <w:color w:val="auto"/>
              </w:rPr>
            </w:pPr>
            <w:r>
              <w:rPr>
                <w:rFonts w:ascii="Arial" w:cs="Arial" w:eastAsia="Arial" w:hAnsi="Arial"/>
                <w:sz w:val="22"/>
                <w:szCs w:val="22"/>
                <w:b w:val="1"/>
                <w:bCs w:val="1"/>
                <w:color w:val="auto"/>
              </w:rPr>
              <w:t>ATHIRA PHARMA, INC.</w:t>
            </w:r>
          </w:p>
        </w:tc>
        <w:tc>
          <w:tcPr>
            <w:tcW w:w="860" w:type="dxa"/>
            <w:vAlign w:val="bottom"/>
          </w:tcPr>
          <w:p>
            <w:pPr>
              <w:spacing w:after="0"/>
              <w:rPr>
                <w:sz w:val="24"/>
                <w:szCs w:val="24"/>
                <w:color w:val="auto"/>
              </w:rPr>
            </w:pPr>
          </w:p>
        </w:tc>
      </w:tr>
      <w:tr>
        <w:trPr>
          <w:trHeight w:val="459"/>
        </w:trPr>
        <w:tc>
          <w:tcPr>
            <w:tcW w:w="7800" w:type="dxa"/>
            <w:vAlign w:val="bottom"/>
            <w:gridSpan w:val="2"/>
          </w:tcPr>
          <w:p>
            <w:pPr>
              <w:spacing w:after="0"/>
              <w:rPr>
                <w:sz w:val="20"/>
                <w:szCs w:val="20"/>
                <w:color w:val="auto"/>
              </w:rPr>
            </w:pPr>
            <w:r>
              <w:rPr>
                <w:rFonts w:ascii="Arial" w:cs="Arial" w:eastAsia="Arial" w:hAnsi="Arial"/>
                <w:sz w:val="22"/>
                <w:szCs w:val="22"/>
                <w:color w:val="auto"/>
                <w:w w:val="91"/>
              </w:rPr>
              <w:t>Reconciliation and tie between Trust Indenture Act of 1939 and Indenture, dated as of [</w:t>
            </w:r>
          </w:p>
        </w:tc>
        <w:tc>
          <w:tcPr>
            <w:tcW w:w="860" w:type="dxa"/>
            <w:vAlign w:val="bottom"/>
          </w:tcPr>
          <w:p>
            <w:pPr>
              <w:jc w:val="right"/>
              <w:spacing w:after="0"/>
              <w:rPr>
                <w:sz w:val="20"/>
                <w:szCs w:val="20"/>
                <w:color w:val="auto"/>
              </w:rPr>
            </w:pPr>
            <w:r>
              <w:rPr>
                <w:rFonts w:ascii="Arial" w:cs="Arial" w:eastAsia="Arial" w:hAnsi="Arial"/>
                <w:sz w:val="22"/>
                <w:szCs w:val="22"/>
                <w:color w:val="auto"/>
              </w:rPr>
              <w:t>], 202_</w:t>
            </w:r>
          </w:p>
        </w:tc>
      </w:tr>
      <w:tr>
        <w:trPr>
          <w:trHeight w:val="428"/>
        </w:trPr>
        <w:tc>
          <w:tcPr>
            <w:tcW w:w="3000" w:type="dxa"/>
            <w:vAlign w:val="bottom"/>
          </w:tcPr>
          <w:p>
            <w:pPr>
              <w:jc w:val="right"/>
              <w:ind w:right="432"/>
              <w:spacing w:after="0"/>
              <w:rPr>
                <w:sz w:val="20"/>
                <w:szCs w:val="20"/>
                <w:color w:val="auto"/>
              </w:rPr>
            </w:pPr>
            <w:r>
              <w:rPr>
                <w:rFonts w:ascii="Arial" w:cs="Arial" w:eastAsia="Arial" w:hAnsi="Arial"/>
                <w:sz w:val="22"/>
                <w:szCs w:val="22"/>
                <w:color w:val="auto"/>
              </w:rPr>
              <w:t>§ 310(a)(1)</w:t>
            </w:r>
          </w:p>
        </w:tc>
        <w:tc>
          <w:tcPr>
            <w:tcW w:w="4800" w:type="dxa"/>
            <w:vAlign w:val="bottom"/>
          </w:tcPr>
          <w:p>
            <w:pPr>
              <w:ind w:left="3180"/>
              <w:spacing w:after="0"/>
              <w:rPr>
                <w:sz w:val="20"/>
                <w:szCs w:val="20"/>
                <w:color w:val="auto"/>
              </w:rPr>
            </w:pPr>
            <w:r>
              <w:rPr>
                <w:rFonts w:ascii="Arial" w:cs="Arial" w:eastAsia="Arial" w:hAnsi="Arial"/>
                <w:sz w:val="22"/>
                <w:szCs w:val="22"/>
                <w:color w:val="auto"/>
              </w:rPr>
              <w:t>7.10</w:t>
            </w:r>
          </w:p>
        </w:tc>
        <w:tc>
          <w:tcPr>
            <w:tcW w:w="860" w:type="dxa"/>
            <w:vAlign w:val="bottom"/>
          </w:tcPr>
          <w:p>
            <w:pPr>
              <w:spacing w:after="0"/>
              <w:rPr>
                <w:sz w:val="24"/>
                <w:szCs w:val="24"/>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(a)(2)</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7.10</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(a)(3)</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Not Applicable</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(a)(4)</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Not Applicable</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(a)(5)</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7.10</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(b)</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7.10</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 311(a)</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7.11</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(b)</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7.11</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(c)</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Not Applicable</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 312(a)</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2.6</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(b)</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10.3</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(c)</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10.3</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 313(a)</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7.6</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(b)(1)</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7.6</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(b)(2)</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7.6</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(c)(1)</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7.6</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(d)</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7.6</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 314(a)</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4.2, 10.5</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(b)</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Not Applicable</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(c)(1)</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10.4</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(c)(2)</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10.4</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(c)(3)</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Not Applicable</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(d)</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Not Applicable</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(e)</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10.5</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(f)</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Not Applicable</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 315(a)</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7.1</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(b)</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7.5</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(c)</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7.1</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(d)</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7.1</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(e)</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6.14</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 316(a)</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2.10</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(a)(1)(A)</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6.12</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(a)(1)(B)</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6.13</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(b)</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6.8</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 317(a)(1)</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6.3</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(a)(2)</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6.4</w:t>
            </w:r>
          </w:p>
        </w:tc>
        <w:tc>
          <w:tcPr>
            <w:tcW w:w="860" w:type="dxa"/>
            <w:vAlign w:val="bottom"/>
          </w:tcPr>
          <w:p>
            <w:pPr>
              <w:spacing w:after="0"/>
              <w:rPr>
                <w:sz w:val="21"/>
                <w:szCs w:val="21"/>
                <w:color w:val="auto"/>
              </w:rPr>
            </w:pPr>
          </w:p>
        </w:tc>
      </w:tr>
      <w:tr>
        <w:trPr>
          <w:trHeight w:val="243"/>
        </w:trPr>
        <w:tc>
          <w:tcPr>
            <w:tcW w:w="30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(b)</w:t>
            </w:r>
          </w:p>
        </w:tc>
        <w:tc>
          <w:tcPr>
            <w:tcW w:w="4800" w:type="dxa"/>
            <w:vAlign w:val="bottom"/>
          </w:tcPr>
          <w:p>
            <w:pPr>
              <w:ind w:left="3180"/>
              <w:spacing w:after="0" w:line="243" w:lineRule="exact"/>
              <w:rPr>
                <w:sz w:val="20"/>
                <w:szCs w:val="20"/>
                <w:color w:val="auto"/>
              </w:rPr>
            </w:pPr>
            <w:r>
              <w:rPr>
                <w:rFonts w:ascii="Arial" w:cs="Arial" w:eastAsia="Arial" w:hAnsi="Arial"/>
                <w:sz w:val="22"/>
                <w:szCs w:val="22"/>
                <w:color w:val="auto"/>
              </w:rPr>
              <w:t>2.5</w:t>
            </w:r>
          </w:p>
        </w:tc>
        <w:tc>
          <w:tcPr>
            <w:tcW w:w="860" w:type="dxa"/>
            <w:vAlign w:val="bottom"/>
          </w:tcPr>
          <w:p>
            <w:pPr>
              <w:spacing w:after="0"/>
              <w:rPr>
                <w:sz w:val="21"/>
                <w:szCs w:val="21"/>
                <w:color w:val="auto"/>
              </w:rPr>
            </w:pPr>
          </w:p>
        </w:tc>
      </w:tr>
      <w:tr>
        <w:trPr>
          <w:trHeight w:val="274"/>
        </w:trPr>
        <w:tc>
          <w:tcPr>
            <w:tcW w:w="3000" w:type="dxa"/>
            <w:vAlign w:val="bottom"/>
          </w:tcPr>
          <w:p>
            <w:pPr>
              <w:jc w:val="right"/>
              <w:ind w:right="432"/>
              <w:spacing w:after="0"/>
              <w:rPr>
                <w:sz w:val="20"/>
                <w:szCs w:val="20"/>
                <w:color w:val="auto"/>
              </w:rPr>
            </w:pPr>
            <w:r>
              <w:rPr>
                <w:rFonts w:ascii="Arial" w:cs="Arial" w:eastAsia="Arial" w:hAnsi="Arial"/>
                <w:sz w:val="22"/>
                <w:szCs w:val="22"/>
                <w:color w:val="auto"/>
              </w:rPr>
              <w:t>§ 318(a)</w:t>
            </w:r>
          </w:p>
        </w:tc>
        <w:tc>
          <w:tcPr>
            <w:tcW w:w="4800" w:type="dxa"/>
            <w:vAlign w:val="bottom"/>
          </w:tcPr>
          <w:p>
            <w:pPr>
              <w:ind w:left="3180"/>
              <w:spacing w:after="0"/>
              <w:rPr>
                <w:sz w:val="20"/>
                <w:szCs w:val="20"/>
                <w:color w:val="auto"/>
              </w:rPr>
            </w:pPr>
            <w:r>
              <w:rPr>
                <w:rFonts w:ascii="Arial" w:cs="Arial" w:eastAsia="Arial" w:hAnsi="Arial"/>
                <w:sz w:val="22"/>
                <w:szCs w:val="22"/>
                <w:color w:val="auto"/>
              </w:rPr>
              <w:t>10.1</w:t>
            </w:r>
          </w:p>
        </w:tc>
        <w:tc>
          <w:tcPr>
            <w:tcW w:w="860" w:type="dxa"/>
            <w:vAlign w:val="bottom"/>
          </w:tcPr>
          <w:p>
            <w:pPr>
              <w:spacing w:after="0"/>
              <w:rPr>
                <w:sz w:val="23"/>
                <w:szCs w:val="23"/>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Note: This reconciliation and tie shall not, for any purpose, be deemed to be part of the Indenture.</w:t>
      </w:r>
    </w:p>
    <w:p>
      <w:pPr>
        <w:spacing w:after="0" w:line="200" w:lineRule="exact"/>
        <w:rPr>
          <w:sz w:val="20"/>
          <w:szCs w:val="20"/>
          <w:color w:val="auto"/>
        </w:rPr>
      </w:pPr>
    </w:p>
    <w:p>
      <w:pPr>
        <w:spacing w:after="0" w:line="249"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39" w:name="page40"/>
    <w:bookmarkEnd w:id="39"/>
    <w:p>
      <w:pPr>
        <w:ind w:right="100" w:firstLine="1131"/>
        <w:spacing w:after="0"/>
        <w:rPr>
          <w:sz w:val="20"/>
          <w:szCs w:val="20"/>
          <w:color w:val="auto"/>
        </w:rPr>
      </w:pPr>
      <w:r>
        <w:rPr>
          <w:rFonts w:ascii="Arial" w:cs="Arial" w:eastAsia="Arial" w:hAnsi="Arial"/>
          <w:sz w:val="22"/>
          <w:szCs w:val="22"/>
          <w:color w:val="auto"/>
        </w:rPr>
        <w:t>Indenture dated as of [ ], 202_ between ATHIRA PHARMA, INC., a company incorporated under the laws of Delaware (the “</w:t>
      </w:r>
      <w:r>
        <w:rPr>
          <w:rFonts w:ascii="Arial" w:cs="Arial" w:eastAsia="Arial" w:hAnsi="Arial"/>
          <w:sz w:val="22"/>
          <w:szCs w:val="22"/>
          <w:i w:val="1"/>
          <w:iCs w:val="1"/>
          <w:color w:val="auto"/>
        </w:rPr>
        <w:t>Company</w:t>
      </w:r>
      <w:r>
        <w:rPr>
          <w:rFonts w:ascii="Arial" w:cs="Arial" w:eastAsia="Arial" w:hAnsi="Arial"/>
          <w:sz w:val="22"/>
          <w:szCs w:val="22"/>
          <w:color w:val="auto"/>
        </w:rPr>
        <w:t>”), and [__________], a national banking association organized under the laws of the United States, as trustee (the “</w:t>
      </w:r>
      <w:r>
        <w:rPr>
          <w:rFonts w:ascii="Arial" w:cs="Arial" w:eastAsia="Arial" w:hAnsi="Arial"/>
          <w:sz w:val="22"/>
          <w:szCs w:val="22"/>
          <w:i w:val="1"/>
          <w:iCs w:val="1"/>
          <w:color w:val="auto"/>
        </w:rPr>
        <w:t>Trustee</w:t>
      </w:r>
      <w:r>
        <w:rPr>
          <w:rFonts w:ascii="Arial" w:cs="Arial" w:eastAsia="Arial" w:hAnsi="Arial"/>
          <w:sz w:val="22"/>
          <w:szCs w:val="22"/>
          <w:color w:val="auto"/>
        </w:rPr>
        <w:t>”).</w:t>
      </w:r>
    </w:p>
    <w:p>
      <w:pPr>
        <w:spacing w:after="0" w:line="186" w:lineRule="exact"/>
        <w:rPr>
          <w:sz w:val="20"/>
          <w:szCs w:val="20"/>
          <w:color w:val="auto"/>
        </w:rPr>
      </w:pPr>
    </w:p>
    <w:p>
      <w:pPr>
        <w:ind w:right="100" w:firstLine="1131"/>
        <w:spacing w:after="0" w:line="250" w:lineRule="auto"/>
        <w:rPr>
          <w:sz w:val="20"/>
          <w:szCs w:val="20"/>
          <w:color w:val="auto"/>
        </w:rPr>
      </w:pPr>
      <w:r>
        <w:rPr>
          <w:rFonts w:ascii="Arial" w:cs="Arial" w:eastAsia="Arial" w:hAnsi="Arial"/>
          <w:sz w:val="22"/>
          <w:szCs w:val="22"/>
          <w:color w:val="auto"/>
        </w:rPr>
        <w:t>Each party agrees as follows for the benefit of the other party and for the equal and ratable benefit of the Holders of the Securities issued under this Indenture.</w:t>
      </w:r>
    </w:p>
    <w:p>
      <w:pPr>
        <w:spacing w:after="0" w:line="169"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DEFINITIONS AND INCORPORATION BY REFERENCE</w:t>
      </w:r>
    </w:p>
    <w:p>
      <w:pPr>
        <w:spacing w:after="0" w:line="18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Definitions.</w:t>
      </w:r>
    </w:p>
    <w:p>
      <w:pPr>
        <w:spacing w:after="0" w:line="206" w:lineRule="exact"/>
        <w:rPr>
          <w:sz w:val="20"/>
          <w:szCs w:val="20"/>
          <w:color w:val="auto"/>
        </w:rPr>
      </w:pPr>
    </w:p>
    <w:p>
      <w:pPr>
        <w:ind w:right="360" w:firstLine="113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Amounts</w:t>
      </w:r>
      <w:r>
        <w:rPr>
          <w:rFonts w:ascii="Arial" w:cs="Arial" w:eastAsia="Arial" w:hAnsi="Arial"/>
          <w:sz w:val="22"/>
          <w:szCs w:val="22"/>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86" w:lineRule="exact"/>
        <w:rPr>
          <w:sz w:val="20"/>
          <w:szCs w:val="20"/>
          <w:color w:val="auto"/>
        </w:rPr>
      </w:pPr>
    </w:p>
    <w:p>
      <w:pPr>
        <w:ind w:firstLine="1131"/>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Affiliate</w:t>
      </w:r>
      <w:r>
        <w:rPr>
          <w:rFonts w:ascii="Arial" w:cs="Arial" w:eastAsia="Arial" w:hAnsi="Arial"/>
          <w:sz w:val="21"/>
          <w:szCs w:val="21"/>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Notice Agent.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Board of Directors</w:t>
      </w:r>
      <w:r>
        <w:rPr>
          <w:rFonts w:ascii="Arial" w:cs="Arial" w:eastAsia="Arial" w:hAnsi="Arial"/>
          <w:sz w:val="21"/>
          <w:szCs w:val="21"/>
          <w:color w:val="auto"/>
        </w:rPr>
        <w:t>” means the board of directors of the Company or any duly authorized committee thereof.</w:t>
      </w:r>
    </w:p>
    <w:p>
      <w:pPr>
        <w:spacing w:after="0" w:line="218" w:lineRule="exact"/>
        <w:rPr>
          <w:sz w:val="20"/>
          <w:szCs w:val="20"/>
          <w:color w:val="auto"/>
        </w:rPr>
      </w:pPr>
    </w:p>
    <w:p>
      <w:pPr>
        <w:ind w:right="120" w:firstLine="113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Resolution</w:t>
      </w:r>
      <w:r>
        <w:rPr>
          <w:rFonts w:ascii="Arial" w:cs="Arial" w:eastAsia="Arial" w:hAnsi="Arial"/>
          <w:sz w:val="22"/>
          <w:szCs w:val="22"/>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6" w:lineRule="exact"/>
        <w:rPr>
          <w:sz w:val="20"/>
          <w:szCs w:val="20"/>
          <w:color w:val="auto"/>
        </w:rPr>
      </w:pPr>
    </w:p>
    <w:p>
      <w:pPr>
        <w:ind w:right="140" w:firstLine="113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86" w:lineRule="exact"/>
        <w:rPr>
          <w:sz w:val="20"/>
          <w:szCs w:val="20"/>
          <w:color w:val="auto"/>
        </w:rPr>
      </w:pPr>
    </w:p>
    <w:p>
      <w:pPr>
        <w:ind w:right="140" w:firstLine="113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 any and all shares, interests, participations, rights or other equivalents (however designated) of corporate stock.</w:t>
      </w:r>
    </w:p>
    <w:p>
      <w:pPr>
        <w:spacing w:after="0" w:line="17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Company</w:t>
      </w:r>
      <w:r>
        <w:rPr>
          <w:rFonts w:ascii="Arial" w:cs="Arial" w:eastAsia="Arial" w:hAnsi="Arial"/>
          <w:sz w:val="19"/>
          <w:szCs w:val="19"/>
          <w:color w:val="auto"/>
        </w:rPr>
        <w:t>” means the party named as such above until a successor replaces it and thereafter means the successor.</w:t>
      </w:r>
    </w:p>
    <w:p>
      <w:pPr>
        <w:spacing w:after="0" w:line="24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 Order</w:t>
      </w:r>
      <w:r>
        <w:rPr>
          <w:rFonts w:ascii="Arial" w:cs="Arial" w:eastAsia="Arial" w:hAnsi="Arial"/>
          <w:sz w:val="22"/>
          <w:szCs w:val="22"/>
          <w:color w:val="auto"/>
        </w:rPr>
        <w:t>” means a written order signed in the name of the Company by an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0" w:name="page41"/>
    <w:bookmarkEnd w:id="40"/>
    <w:p>
      <w:pPr>
        <w:ind w:firstLine="11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Corporate Trust Office</w:t>
      </w:r>
      <w:r>
        <w:rPr>
          <w:rFonts w:ascii="Arial" w:cs="Arial" w:eastAsia="Arial" w:hAnsi="Arial"/>
          <w:sz w:val="21"/>
          <w:szCs w:val="21"/>
          <w:color w:val="auto"/>
        </w:rPr>
        <w:t>” 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177"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which is, or after notice or passage of time or both would be, an Event of Default.</w:t>
      </w:r>
    </w:p>
    <w:p>
      <w:pPr>
        <w:spacing w:after="0" w:line="241" w:lineRule="exact"/>
        <w:rPr>
          <w:sz w:val="20"/>
          <w:szCs w:val="20"/>
          <w:color w:val="auto"/>
        </w:rPr>
      </w:pPr>
    </w:p>
    <w:p>
      <w:pPr>
        <w:ind w:firstLine="1131"/>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Depositary</w:t>
      </w:r>
      <w:r>
        <w:rPr>
          <w:rFonts w:ascii="Arial" w:cs="Arial" w:eastAsia="Arial" w:hAnsi="Arial"/>
          <w:sz w:val="19"/>
          <w:szCs w:val="19"/>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43" w:lineRule="exact"/>
        <w:rPr>
          <w:sz w:val="20"/>
          <w:szCs w:val="20"/>
          <w:color w:val="auto"/>
        </w:rPr>
      </w:pPr>
    </w:p>
    <w:p>
      <w:pPr>
        <w:ind w:firstLine="1131"/>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Discount Security</w:t>
      </w:r>
      <w:r>
        <w:rPr>
          <w:rFonts w:ascii="Arial" w:cs="Arial" w:eastAsia="Arial" w:hAnsi="Arial"/>
          <w:sz w:val="21"/>
          <w:szCs w:val="21"/>
          <w:color w:val="auto"/>
        </w:rPr>
        <w:t>” means any Security that provides for an amount less than the stated principal amount thereof to be due and payable upon declaration of acceleration of the maturity thereof pursuant to Section 6.2.</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Dollars</w:t>
      </w:r>
      <w:r>
        <w:rPr>
          <w:rFonts w:ascii="Arial" w:cs="Arial" w:eastAsia="Arial" w:hAnsi="Arial"/>
          <w:sz w:val="22"/>
          <w:szCs w:val="22"/>
          <w:color w:val="auto"/>
        </w:rPr>
        <w:t>” and “</w:t>
      </w:r>
      <w:r>
        <w:rPr>
          <w:rFonts w:ascii="Arial" w:cs="Arial" w:eastAsia="Arial" w:hAnsi="Arial"/>
          <w:sz w:val="22"/>
          <w:szCs w:val="22"/>
          <w:i w:val="1"/>
          <w:iCs w:val="1"/>
          <w:color w:val="auto"/>
        </w:rPr>
        <w:t>$</w:t>
      </w:r>
      <w:r>
        <w:rPr>
          <w:rFonts w:ascii="Arial" w:cs="Arial" w:eastAsia="Arial" w:hAnsi="Arial"/>
          <w:sz w:val="22"/>
          <w:szCs w:val="22"/>
          <w:color w:val="auto"/>
        </w:rPr>
        <w:t>” means the currency of The United States of America.</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06" w:lineRule="exact"/>
        <w:rPr>
          <w:sz w:val="20"/>
          <w:szCs w:val="20"/>
          <w:color w:val="auto"/>
        </w:rPr>
      </w:pPr>
    </w:p>
    <w:p>
      <w:pPr>
        <w:ind w:right="20" w:firstLine="113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Currency</w:t>
      </w:r>
      <w:r>
        <w:rPr>
          <w:rFonts w:ascii="Arial" w:cs="Arial" w:eastAsia="Arial" w:hAnsi="Arial"/>
          <w:sz w:val="22"/>
          <w:szCs w:val="22"/>
          <w:color w:val="auto"/>
        </w:rPr>
        <w:t>” means any currency or currency unit issued by a government other than the government of The United States of America.</w:t>
      </w:r>
    </w:p>
    <w:p>
      <w:pPr>
        <w:spacing w:after="0" w:line="175" w:lineRule="exact"/>
        <w:rPr>
          <w:sz w:val="20"/>
          <w:szCs w:val="20"/>
          <w:color w:val="auto"/>
        </w:rPr>
      </w:pPr>
    </w:p>
    <w:p>
      <w:pPr>
        <w:ind w:right="100" w:firstLine="113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Government Obligations</w:t>
      </w:r>
      <w:r>
        <w:rPr>
          <w:rFonts w:ascii="Arial" w:cs="Arial" w:eastAsia="Arial" w:hAnsi="Arial"/>
          <w:sz w:val="22"/>
          <w:szCs w:val="22"/>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85" w:lineRule="exact"/>
        <w:rPr>
          <w:sz w:val="20"/>
          <w:szCs w:val="20"/>
          <w:color w:val="auto"/>
        </w:rPr>
      </w:pPr>
    </w:p>
    <w:p>
      <w:pPr>
        <w:ind w:right="60" w:firstLine="1131"/>
        <w:spacing w:after="0" w:line="287" w:lineRule="auto"/>
        <w:rPr>
          <w:sz w:val="20"/>
          <w:szCs w:val="20"/>
          <w:color w:val="auto"/>
        </w:rPr>
      </w:pPr>
      <w:r>
        <w:rPr>
          <w:rFonts w:ascii="Arial" w:cs="Arial" w:eastAsia="Arial" w:hAnsi="Arial"/>
          <w:sz w:val="19"/>
          <w:szCs w:val="19"/>
          <w:i w:val="1"/>
          <w:iCs w:val="1"/>
          <w:color w:val="auto"/>
        </w:rPr>
        <w:t xml:space="preserve">“GAAP” </w:t>
      </w:r>
      <w:r>
        <w:rPr>
          <w:rFonts w:ascii="Arial" w:cs="Arial" w:eastAsia="Arial" w:hAnsi="Arial"/>
          <w:sz w:val="19"/>
          <w:szCs w:val="19"/>
          <w:color w:val="auto"/>
        </w:rPr>
        <w:t>means accounting principles generally accepted in the United States of America set forth in the opinions</w:t>
      </w:r>
      <w:r>
        <w:rPr>
          <w:rFonts w:ascii="Arial" w:cs="Arial" w:eastAsia="Arial" w:hAnsi="Arial"/>
          <w:sz w:val="19"/>
          <w:szCs w:val="19"/>
          <w:i w:val="1"/>
          <w:iCs w:val="1"/>
          <w:color w:val="auto"/>
        </w:rPr>
        <w:t xml:space="preserve"> </w:t>
      </w:r>
      <w:r>
        <w:rPr>
          <w:rFonts w:ascii="Arial" w:cs="Arial" w:eastAsia="Arial" w:hAnsi="Arial"/>
          <w:sz w:val="19"/>
          <w:szCs w:val="19"/>
          <w:color w:val="auto"/>
        </w:rPr>
        <w:t>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43" w:lineRule="exact"/>
        <w:rPr>
          <w:sz w:val="20"/>
          <w:szCs w:val="20"/>
          <w:color w:val="auto"/>
        </w:rPr>
      </w:pPr>
    </w:p>
    <w:p>
      <w:pPr>
        <w:ind w:right="20" w:firstLine="113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Security</w:t>
      </w:r>
      <w:r>
        <w:rPr>
          <w:rFonts w:ascii="Arial" w:cs="Arial" w:eastAsia="Arial" w:hAnsi="Arial"/>
          <w:sz w:val="22"/>
          <w:szCs w:val="22"/>
          <w:color w:val="auto"/>
        </w:rPr>
        <w:t>” or “</w:t>
      </w:r>
      <w:r>
        <w:rPr>
          <w:rFonts w:ascii="Arial" w:cs="Arial" w:eastAsia="Arial" w:hAnsi="Arial"/>
          <w:sz w:val="22"/>
          <w:szCs w:val="22"/>
          <w:i w:val="1"/>
          <w:iCs w:val="1"/>
          <w:color w:val="auto"/>
        </w:rPr>
        <w:t>Global Securities</w:t>
      </w:r>
      <w:r>
        <w:rPr>
          <w:rFonts w:ascii="Arial" w:cs="Arial" w:eastAsia="Arial" w:hAnsi="Arial"/>
          <w:sz w:val="22"/>
          <w:szCs w:val="22"/>
          <w:color w:val="auto"/>
        </w:rPr>
        <w:t>” means a Security or Securities, as the case may be, in the form established pursuant to Section 2.2 evidencing all or part of a Series of Securities,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0" w:right="41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issued to the Depositary for such Series or its nominee, and registered in the name of such Depositary or nominee.</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Holder</w:t>
      </w:r>
      <w:r>
        <w:rPr>
          <w:rFonts w:ascii="Arial" w:cs="Arial" w:eastAsia="Arial" w:hAnsi="Arial"/>
          <w:sz w:val="19"/>
          <w:szCs w:val="19"/>
          <w:color w:val="auto"/>
        </w:rPr>
        <w:t>” or “</w:t>
      </w:r>
      <w:r>
        <w:rPr>
          <w:rFonts w:ascii="Arial" w:cs="Arial" w:eastAsia="Arial" w:hAnsi="Arial"/>
          <w:sz w:val="19"/>
          <w:szCs w:val="19"/>
          <w:i w:val="1"/>
          <w:iCs w:val="1"/>
          <w:color w:val="auto"/>
        </w:rPr>
        <w:t>Securityholder</w:t>
      </w:r>
      <w:r>
        <w:rPr>
          <w:rFonts w:ascii="Arial" w:cs="Arial" w:eastAsia="Arial" w:hAnsi="Arial"/>
          <w:sz w:val="19"/>
          <w:szCs w:val="19"/>
          <w:color w:val="auto"/>
        </w:rPr>
        <w:t>” means a person in whose name a Security is registered on the books of the Registrar.</w:t>
      </w:r>
    </w:p>
    <w:p>
      <w:pPr>
        <w:spacing w:after="0" w:line="241" w:lineRule="exact"/>
        <w:rPr>
          <w:sz w:val="20"/>
          <w:szCs w:val="20"/>
          <w:color w:val="auto"/>
        </w:rPr>
      </w:pPr>
    </w:p>
    <w:p>
      <w:pPr>
        <w:ind w:right="400" w:firstLine="113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 and shall include the form and terms of particular Series of Securities established as contemplated hereunder.</w:t>
      </w:r>
    </w:p>
    <w:p>
      <w:pPr>
        <w:spacing w:after="0" w:line="175" w:lineRule="exact"/>
        <w:rPr>
          <w:sz w:val="20"/>
          <w:szCs w:val="20"/>
          <w:color w:val="auto"/>
        </w:rPr>
      </w:pPr>
    </w:p>
    <w:p>
      <w:pPr>
        <w:ind w:right="80" w:firstLine="113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interest</w:t>
      </w:r>
      <w:r>
        <w:rPr>
          <w:rFonts w:ascii="Arial" w:cs="Arial" w:eastAsia="Arial" w:hAnsi="Arial"/>
          <w:sz w:val="22"/>
          <w:szCs w:val="22"/>
          <w:color w:val="auto"/>
        </w:rPr>
        <w:t>” with respect to any Discount Security which by its terms bears interest only after Maturity, means interest payable after Maturity.</w:t>
      </w:r>
    </w:p>
    <w:p>
      <w:pPr>
        <w:spacing w:after="0" w:line="175" w:lineRule="exact"/>
        <w:rPr>
          <w:sz w:val="20"/>
          <w:szCs w:val="20"/>
          <w:color w:val="auto"/>
        </w:rPr>
      </w:pPr>
    </w:p>
    <w:p>
      <w:pPr>
        <w:ind w:firstLine="113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Maturity</w:t>
      </w:r>
      <w:r>
        <w:rPr>
          <w:rFonts w:ascii="Arial" w:cs="Arial" w:eastAsia="Arial" w:hAnsi="Arial"/>
          <w:sz w:val="22"/>
          <w:szCs w:val="22"/>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86" w:lineRule="exact"/>
        <w:rPr>
          <w:sz w:val="20"/>
          <w:szCs w:val="20"/>
          <w:color w:val="auto"/>
        </w:rPr>
      </w:pPr>
    </w:p>
    <w:p>
      <w:pPr>
        <w:ind w:right="200" w:firstLine="113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w:t>
      </w:r>
      <w:r>
        <w:rPr>
          <w:rFonts w:ascii="Arial" w:cs="Arial" w:eastAsia="Arial" w:hAnsi="Arial"/>
          <w:sz w:val="22"/>
          <w:szCs w:val="22"/>
          <w:color w:val="auto"/>
        </w:rPr>
        <w:t>” means the Chief Executive Officer, President, the Chief Financial Officer, the Treasurer or any Assistant Treasurer, the Secretary or any Assistant Secretary, and any Vice President of the Company.</w:t>
      </w:r>
    </w:p>
    <w:p>
      <w:pPr>
        <w:spacing w:after="0" w:line="175"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Officer’s Certificate</w:t>
      </w:r>
      <w:r>
        <w:rPr>
          <w:rFonts w:ascii="Arial" w:cs="Arial" w:eastAsia="Arial" w:hAnsi="Arial"/>
          <w:sz w:val="21"/>
          <w:szCs w:val="21"/>
          <w:color w:val="auto"/>
        </w:rPr>
        <w:t>” means a certificate signed by any Officer that meets the requirements of Section 10.5.</w:t>
      </w:r>
    </w:p>
    <w:p>
      <w:pPr>
        <w:spacing w:after="0" w:line="218" w:lineRule="exact"/>
        <w:rPr>
          <w:sz w:val="20"/>
          <w:szCs w:val="20"/>
          <w:color w:val="auto"/>
        </w:rPr>
      </w:pPr>
    </w:p>
    <w:p>
      <w:pPr>
        <w:jc w:val="both"/>
        <w:ind w:right="180" w:firstLine="113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Opinion of Counsel</w:t>
      </w:r>
      <w:r>
        <w:rPr>
          <w:rFonts w:ascii="Arial" w:cs="Arial" w:eastAsia="Arial" w:hAnsi="Arial"/>
          <w:sz w:val="22"/>
          <w:szCs w:val="22"/>
          <w:color w:val="auto"/>
        </w:rPr>
        <w:t>” means a written opinion of legal counsel who is acceptable to the Trustee. The opinion may contain customary limitations, qualifications, conditions and exceptions. The counsel may be an employee of or counsel to the Company.</w:t>
      </w:r>
    </w:p>
    <w:p>
      <w:pPr>
        <w:spacing w:after="0" w:line="186" w:lineRule="exact"/>
        <w:rPr>
          <w:sz w:val="20"/>
          <w:szCs w:val="20"/>
          <w:color w:val="auto"/>
        </w:rPr>
      </w:pPr>
    </w:p>
    <w:p>
      <w:pPr>
        <w:ind w:right="80" w:firstLine="1131"/>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person</w:t>
      </w:r>
      <w:r>
        <w:rPr>
          <w:rFonts w:ascii="Arial" w:cs="Arial" w:eastAsia="Arial" w:hAnsi="Arial"/>
          <w:sz w:val="21"/>
          <w:szCs w:val="21"/>
          <w:color w:val="auto"/>
        </w:rPr>
        <w:t>” means any individual, corporation, partnership, joint venture, association, limited liability company, joint-stock company, trust, unincorporated organization or government or any agency or political subdivision thereof.</w:t>
      </w:r>
    </w:p>
    <w:p>
      <w:pPr>
        <w:spacing w:after="0" w:line="151" w:lineRule="exact"/>
        <w:rPr>
          <w:sz w:val="20"/>
          <w:szCs w:val="20"/>
          <w:color w:val="auto"/>
        </w:rPr>
      </w:pPr>
    </w:p>
    <w:p>
      <w:pPr>
        <w:ind w:right="300" w:firstLine="113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w:t>
      </w:r>
      <w:r>
        <w:rPr>
          <w:rFonts w:ascii="Arial" w:cs="Arial" w:eastAsia="Arial" w:hAnsi="Arial"/>
          <w:sz w:val="22"/>
          <w:szCs w:val="22"/>
          <w:color w:val="auto"/>
        </w:rPr>
        <w:t>” of a Security means the principal of the Security plus, when appropriate, the premium, if any, on, and any Additional Amounts in respect of, the Security.</w:t>
      </w:r>
    </w:p>
    <w:p>
      <w:pPr>
        <w:spacing w:after="0" w:line="175" w:lineRule="exact"/>
        <w:rPr>
          <w:sz w:val="20"/>
          <w:szCs w:val="20"/>
          <w:color w:val="auto"/>
        </w:rPr>
      </w:pPr>
    </w:p>
    <w:p>
      <w:pPr>
        <w:jc w:val="both"/>
        <w:ind w:right="120" w:firstLine="1131"/>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Responsible Officer</w:t>
      </w:r>
      <w:r>
        <w:rPr>
          <w:rFonts w:ascii="Arial" w:cs="Arial" w:eastAsia="Arial" w:hAnsi="Arial"/>
          <w:sz w:val="19"/>
          <w:szCs w:val="19"/>
          <w:color w:val="auto"/>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Securities and Exchange Commission.</w:t>
      </w:r>
    </w:p>
    <w:p>
      <w:pPr>
        <w:spacing w:after="0" w:line="206" w:lineRule="exact"/>
        <w:rPr>
          <w:sz w:val="20"/>
          <w:szCs w:val="20"/>
          <w:color w:val="auto"/>
        </w:rPr>
      </w:pPr>
    </w:p>
    <w:p>
      <w:pPr>
        <w:ind w:right="140" w:firstLine="113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w:t>
      </w:r>
      <w:r>
        <w:rPr>
          <w:rFonts w:ascii="Arial" w:cs="Arial" w:eastAsia="Arial" w:hAnsi="Arial"/>
          <w:sz w:val="22"/>
          <w:szCs w:val="22"/>
          <w:color w:val="auto"/>
        </w:rPr>
        <w:t>” means the debentures, notes or other debt instruments of the Company of any Series authenticated and delivered under this Indenture.</w:t>
      </w:r>
    </w:p>
    <w:p>
      <w:pPr>
        <w:spacing w:after="0" w:line="175" w:lineRule="exact"/>
        <w:rPr>
          <w:sz w:val="20"/>
          <w:szCs w:val="20"/>
          <w:color w:val="auto"/>
        </w:rPr>
      </w:pPr>
    </w:p>
    <w:p>
      <w:pPr>
        <w:ind w:right="180" w:firstLine="113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Series</w:t>
      </w:r>
      <w:r>
        <w:rPr>
          <w:rFonts w:ascii="Arial" w:cs="Arial" w:eastAsia="Arial" w:hAnsi="Arial"/>
          <w:sz w:val="22"/>
          <w:szCs w:val="22"/>
          <w:color w:val="auto"/>
        </w:rPr>
        <w:t>” or “</w:t>
      </w:r>
      <w:r>
        <w:rPr>
          <w:rFonts w:ascii="Arial" w:cs="Arial" w:eastAsia="Arial" w:hAnsi="Arial"/>
          <w:sz w:val="22"/>
          <w:szCs w:val="22"/>
          <w:i w:val="1"/>
          <w:iCs w:val="1"/>
          <w:color w:val="auto"/>
        </w:rPr>
        <w:t>Series of Securities</w:t>
      </w:r>
      <w:r>
        <w:rPr>
          <w:rFonts w:ascii="Arial" w:cs="Arial" w:eastAsia="Arial" w:hAnsi="Arial"/>
          <w:sz w:val="22"/>
          <w:szCs w:val="22"/>
          <w:color w:val="auto"/>
        </w:rPr>
        <w:t>” means each series of debentures, notes or other debt instruments of the Company created pursuant to Sections 2.1 and 2.2 hereof.</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42" w:name="page43"/>
    <w:bookmarkEnd w:id="42"/>
    <w:p>
      <w:pPr>
        <w:ind w:right="20" w:firstLine="113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Stated Maturity</w:t>
      </w:r>
      <w:r>
        <w:rPr>
          <w:rFonts w:ascii="Arial" w:cs="Arial" w:eastAsia="Arial" w:hAnsi="Arial"/>
          <w:sz w:val="22"/>
          <w:szCs w:val="22"/>
          <w:color w:val="auto"/>
        </w:rPr>
        <w:t>” when used with respect to any Security, means the date specified in such Security as the fixed date on which the principal of such Security or interest is due and payable.</w:t>
      </w:r>
    </w:p>
    <w:p>
      <w:pPr>
        <w:spacing w:after="0" w:line="175" w:lineRule="exact"/>
        <w:rPr>
          <w:sz w:val="20"/>
          <w:szCs w:val="20"/>
          <w:color w:val="auto"/>
        </w:rPr>
      </w:pPr>
    </w:p>
    <w:p>
      <w:pPr>
        <w:ind w:right="40" w:firstLine="1131"/>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Subsidiary</w:t>
      </w:r>
      <w:r>
        <w:rPr>
          <w:rFonts w:ascii="Arial" w:cs="Arial" w:eastAsia="Arial" w:hAnsi="Arial"/>
          <w:sz w:val="21"/>
          <w:szCs w:val="21"/>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74" w:lineRule="exact"/>
        <w:rPr>
          <w:sz w:val="20"/>
          <w:szCs w:val="20"/>
          <w:color w:val="auto"/>
        </w:rPr>
      </w:pPr>
    </w:p>
    <w:p>
      <w:pPr>
        <w:ind w:right="200" w:firstLine="113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TIA</w:t>
      </w:r>
      <w:r>
        <w:rPr>
          <w:rFonts w:ascii="Arial" w:cs="Arial" w:eastAsia="Arial" w:hAnsi="Arial"/>
          <w:sz w:val="22"/>
          <w:szCs w:val="22"/>
          <w:color w:val="auto"/>
        </w:rPr>
        <w:t xml:space="preserve">” means the Trust Indenture Act of 1939 (15 U.S. Code §§ 77aaa-77bbbb) as in effect on the date of this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event the Trust Indenture Act of 1939 is amended after such date, “TIA” means, to the extent required by any such amendment, the Trust Indenture Act as so amended.</w:t>
      </w:r>
    </w:p>
    <w:p>
      <w:pPr>
        <w:spacing w:after="0" w:line="186" w:lineRule="exact"/>
        <w:rPr>
          <w:sz w:val="20"/>
          <w:szCs w:val="20"/>
          <w:color w:val="auto"/>
        </w:rPr>
      </w:pPr>
    </w:p>
    <w:p>
      <w:pPr>
        <w:ind w:right="20" w:firstLine="1131"/>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Trustee</w:t>
      </w:r>
      <w:r>
        <w:rPr>
          <w:rFonts w:ascii="Arial" w:cs="Arial" w:eastAsia="Arial" w:hAnsi="Arial"/>
          <w:sz w:val="19"/>
          <w:szCs w:val="19"/>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43" w:lineRule="exact"/>
        <w:rPr>
          <w:sz w:val="20"/>
          <w:szCs w:val="20"/>
          <w:color w:val="auto"/>
        </w:rPr>
      </w:pPr>
    </w:p>
    <w:p>
      <w:pPr>
        <w:ind w:right="160" w:firstLine="1131"/>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U.S. Government Obligations</w:t>
      </w:r>
      <w:r>
        <w:rPr>
          <w:rFonts w:ascii="Arial" w:cs="Arial" w:eastAsia="Arial" w:hAnsi="Arial"/>
          <w:sz w:val="19"/>
          <w:szCs w:val="19"/>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gridSpan w:val="2"/>
          </w:tcPr>
          <w:p>
            <w:pPr>
              <w:ind w:left="840"/>
              <w:spacing w:after="0"/>
              <w:rPr>
                <w:sz w:val="20"/>
                <w:szCs w:val="20"/>
                <w:color w:val="auto"/>
              </w:rPr>
            </w:pPr>
            <w:r>
              <w:rPr>
                <w:rFonts w:ascii="Arial" w:cs="Arial" w:eastAsia="Arial" w:hAnsi="Arial"/>
                <w:sz w:val="22"/>
                <w:szCs w:val="22"/>
                <w:color w:val="auto"/>
              </w:rPr>
              <w:t>Section 1.2</w:t>
            </w:r>
          </w:p>
        </w:tc>
        <w:tc>
          <w:tcPr>
            <w:tcW w:w="16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4"/>
              </w:rPr>
              <w:t>Other Definitions.</w:t>
            </w:r>
          </w:p>
        </w:tc>
        <w:tc>
          <w:tcPr>
            <w:tcW w:w="940" w:type="dxa"/>
            <w:vAlign w:val="bottom"/>
          </w:tcPr>
          <w:p>
            <w:pPr>
              <w:spacing w:after="0"/>
              <w:rPr>
                <w:sz w:val="21"/>
                <w:szCs w:val="21"/>
                <w:color w:val="auto"/>
              </w:rPr>
            </w:pPr>
          </w:p>
        </w:tc>
        <w:tc>
          <w:tcPr>
            <w:tcW w:w="6240" w:type="dxa"/>
            <w:vAlign w:val="bottom"/>
          </w:tcPr>
          <w:p>
            <w:pPr>
              <w:spacing w:after="0"/>
              <w:rPr>
                <w:sz w:val="21"/>
                <w:szCs w:val="21"/>
                <w:color w:val="auto"/>
              </w:rPr>
            </w:pPr>
          </w:p>
        </w:tc>
      </w:tr>
      <w:tr>
        <w:trPr>
          <w:trHeight w:val="500"/>
        </w:trPr>
        <w:tc>
          <w:tcPr>
            <w:tcW w:w="11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ind w:left="1480"/>
              <w:spacing w:after="0"/>
              <w:rPr>
                <w:sz w:val="20"/>
                <w:szCs w:val="20"/>
                <w:color w:val="auto"/>
              </w:rPr>
            </w:pPr>
            <w:r>
              <w:rPr>
                <w:rFonts w:ascii="Arial" w:cs="Arial" w:eastAsia="Arial" w:hAnsi="Arial"/>
                <w:sz w:val="22"/>
                <w:szCs w:val="22"/>
                <w:color w:val="auto"/>
              </w:rPr>
              <w:t>TERM</w:t>
            </w:r>
          </w:p>
        </w:tc>
        <w:tc>
          <w:tcPr>
            <w:tcW w:w="6240" w:type="dxa"/>
            <w:vAlign w:val="bottom"/>
            <w:tcBorders>
              <w:bottom w:val="single" w:sz="8" w:color="auto"/>
            </w:tcBorders>
          </w:tcPr>
          <w:p>
            <w:pPr>
              <w:jc w:val="right"/>
              <w:ind w:right="772"/>
              <w:spacing w:after="0"/>
              <w:rPr>
                <w:sz w:val="20"/>
                <w:szCs w:val="20"/>
                <w:color w:val="auto"/>
              </w:rPr>
            </w:pPr>
            <w:r>
              <w:rPr>
                <w:rFonts w:ascii="Arial" w:cs="Arial" w:eastAsia="Arial" w:hAnsi="Arial"/>
                <w:sz w:val="22"/>
                <w:szCs w:val="22"/>
                <w:color w:val="auto"/>
              </w:rPr>
              <w:t>DEFINED IN SECTION</w:t>
            </w:r>
          </w:p>
        </w:tc>
      </w:tr>
      <w:tr>
        <w:trPr>
          <w:trHeight w:val="208"/>
        </w:trPr>
        <w:tc>
          <w:tcPr>
            <w:tcW w:w="1160" w:type="dxa"/>
            <w:vAlign w:val="bottom"/>
          </w:tcPr>
          <w:p>
            <w:pPr>
              <w:spacing w:after="0"/>
              <w:rPr>
                <w:sz w:val="18"/>
                <w:szCs w:val="18"/>
                <w:color w:val="auto"/>
              </w:rPr>
            </w:pPr>
          </w:p>
        </w:tc>
        <w:tc>
          <w:tcPr>
            <w:tcW w:w="3860" w:type="dxa"/>
            <w:vAlign w:val="bottom"/>
            <w:gridSpan w:val="3"/>
          </w:tcPr>
          <w:p>
            <w:pPr>
              <w:ind w:left="20"/>
              <w:spacing w:after="0" w:line="208"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r>
              <w:rPr>
                <w:rFonts w:ascii="Arial" w:cs="Arial" w:eastAsia="Arial" w:hAnsi="Arial"/>
                <w:sz w:val="22"/>
                <w:szCs w:val="22"/>
                <w:color w:val="auto"/>
              </w:rPr>
              <w:t>”</w:t>
            </w:r>
          </w:p>
        </w:tc>
        <w:tc>
          <w:tcPr>
            <w:tcW w:w="6240" w:type="dxa"/>
            <w:vAlign w:val="bottom"/>
          </w:tcPr>
          <w:p>
            <w:pPr>
              <w:jc w:val="center"/>
              <w:ind w:left="2192"/>
              <w:spacing w:after="0" w:line="208" w:lineRule="exact"/>
              <w:rPr>
                <w:sz w:val="20"/>
                <w:szCs w:val="20"/>
                <w:color w:val="auto"/>
              </w:rPr>
            </w:pPr>
            <w:r>
              <w:rPr>
                <w:rFonts w:ascii="Arial" w:cs="Arial" w:eastAsia="Arial" w:hAnsi="Arial"/>
                <w:sz w:val="22"/>
                <w:szCs w:val="22"/>
                <w:color w:val="auto"/>
                <w:w w:val="84"/>
              </w:rPr>
              <w:t>6.1</w:t>
            </w:r>
          </w:p>
        </w:tc>
      </w:tr>
      <w:tr>
        <w:trPr>
          <w:trHeight w:val="243"/>
        </w:trPr>
        <w:tc>
          <w:tcPr>
            <w:tcW w:w="1160" w:type="dxa"/>
            <w:vAlign w:val="bottom"/>
          </w:tcPr>
          <w:p>
            <w:pPr>
              <w:spacing w:after="0"/>
              <w:rPr>
                <w:sz w:val="21"/>
                <w:szCs w:val="21"/>
                <w:color w:val="auto"/>
              </w:rPr>
            </w:pPr>
          </w:p>
        </w:tc>
        <w:tc>
          <w:tcPr>
            <w:tcW w:w="1300" w:type="dxa"/>
            <w:vAlign w:val="bottom"/>
          </w:tcPr>
          <w:p>
            <w:pPr>
              <w:ind w:left="2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Custodian</w:t>
            </w:r>
            <w:r>
              <w:rPr>
                <w:rFonts w:ascii="Arial" w:cs="Arial" w:eastAsia="Arial" w:hAnsi="Arial"/>
                <w:sz w:val="22"/>
                <w:szCs w:val="22"/>
                <w:color w:val="auto"/>
              </w:rPr>
              <w:t>”</w:t>
            </w:r>
          </w:p>
        </w:tc>
        <w:tc>
          <w:tcPr>
            <w:tcW w:w="1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40" w:type="dxa"/>
            <w:vAlign w:val="bottom"/>
          </w:tcPr>
          <w:p>
            <w:pPr>
              <w:jc w:val="center"/>
              <w:ind w:left="2192"/>
              <w:spacing w:after="0" w:line="243" w:lineRule="exact"/>
              <w:rPr>
                <w:sz w:val="20"/>
                <w:szCs w:val="20"/>
                <w:color w:val="auto"/>
              </w:rPr>
            </w:pPr>
            <w:r>
              <w:rPr>
                <w:rFonts w:ascii="Arial" w:cs="Arial" w:eastAsia="Arial" w:hAnsi="Arial"/>
                <w:sz w:val="22"/>
                <w:szCs w:val="22"/>
                <w:color w:val="auto"/>
                <w:w w:val="84"/>
              </w:rPr>
              <w:t>6.1</w:t>
            </w:r>
          </w:p>
        </w:tc>
      </w:tr>
      <w:tr>
        <w:trPr>
          <w:trHeight w:val="243"/>
        </w:trPr>
        <w:tc>
          <w:tcPr>
            <w:tcW w:w="1160" w:type="dxa"/>
            <w:vAlign w:val="bottom"/>
          </w:tcPr>
          <w:p>
            <w:pPr>
              <w:spacing w:after="0"/>
              <w:rPr>
                <w:sz w:val="21"/>
                <w:szCs w:val="21"/>
                <w:color w:val="auto"/>
              </w:rPr>
            </w:pPr>
          </w:p>
        </w:tc>
        <w:tc>
          <w:tcPr>
            <w:tcW w:w="38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tc>
        <w:tc>
          <w:tcPr>
            <w:tcW w:w="6240" w:type="dxa"/>
            <w:vAlign w:val="bottom"/>
          </w:tcPr>
          <w:p>
            <w:pPr>
              <w:jc w:val="center"/>
              <w:ind w:left="2192"/>
              <w:spacing w:after="0" w:line="243" w:lineRule="exact"/>
              <w:rPr>
                <w:sz w:val="20"/>
                <w:szCs w:val="20"/>
                <w:color w:val="auto"/>
              </w:rPr>
            </w:pPr>
            <w:r>
              <w:rPr>
                <w:rFonts w:ascii="Arial" w:cs="Arial" w:eastAsia="Arial" w:hAnsi="Arial"/>
                <w:sz w:val="22"/>
                <w:szCs w:val="22"/>
                <w:color w:val="auto"/>
                <w:w w:val="84"/>
              </w:rPr>
              <w:t>6.1</w:t>
            </w:r>
          </w:p>
        </w:tc>
      </w:tr>
      <w:tr>
        <w:trPr>
          <w:trHeight w:val="243"/>
        </w:trPr>
        <w:tc>
          <w:tcPr>
            <w:tcW w:w="1160" w:type="dxa"/>
            <w:vAlign w:val="bottom"/>
          </w:tcPr>
          <w:p>
            <w:pPr>
              <w:spacing w:after="0"/>
              <w:rPr>
                <w:sz w:val="21"/>
                <w:szCs w:val="21"/>
                <w:color w:val="auto"/>
              </w:rPr>
            </w:pPr>
          </w:p>
        </w:tc>
        <w:tc>
          <w:tcPr>
            <w:tcW w:w="38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Judgment Currency</w:t>
            </w:r>
            <w:r>
              <w:rPr>
                <w:rFonts w:ascii="Arial" w:cs="Arial" w:eastAsia="Arial" w:hAnsi="Arial"/>
                <w:sz w:val="22"/>
                <w:szCs w:val="22"/>
                <w:color w:val="auto"/>
              </w:rPr>
              <w:t>”</w:t>
            </w:r>
          </w:p>
        </w:tc>
        <w:tc>
          <w:tcPr>
            <w:tcW w:w="6240" w:type="dxa"/>
            <w:vAlign w:val="bottom"/>
          </w:tcPr>
          <w:p>
            <w:pPr>
              <w:jc w:val="center"/>
              <w:ind w:left="2192"/>
              <w:spacing w:after="0" w:line="243" w:lineRule="exact"/>
              <w:rPr>
                <w:sz w:val="20"/>
                <w:szCs w:val="20"/>
                <w:color w:val="auto"/>
              </w:rPr>
            </w:pPr>
            <w:r>
              <w:rPr>
                <w:rFonts w:ascii="Arial" w:cs="Arial" w:eastAsia="Arial" w:hAnsi="Arial"/>
                <w:sz w:val="22"/>
                <w:szCs w:val="22"/>
                <w:color w:val="auto"/>
                <w:w w:val="90"/>
              </w:rPr>
              <w:t>10.16</w:t>
            </w:r>
          </w:p>
        </w:tc>
      </w:tr>
      <w:tr>
        <w:trPr>
          <w:trHeight w:val="243"/>
        </w:trPr>
        <w:tc>
          <w:tcPr>
            <w:tcW w:w="1160" w:type="dxa"/>
            <w:vAlign w:val="bottom"/>
          </w:tcPr>
          <w:p>
            <w:pPr>
              <w:spacing w:after="0"/>
              <w:rPr>
                <w:sz w:val="21"/>
                <w:szCs w:val="21"/>
                <w:color w:val="auto"/>
              </w:rPr>
            </w:pPr>
          </w:p>
        </w:tc>
        <w:tc>
          <w:tcPr>
            <w:tcW w:w="38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w:t>
            </w:r>
          </w:p>
        </w:tc>
        <w:tc>
          <w:tcPr>
            <w:tcW w:w="6240" w:type="dxa"/>
            <w:vAlign w:val="bottom"/>
          </w:tcPr>
          <w:p>
            <w:pPr>
              <w:jc w:val="center"/>
              <w:ind w:left="2192"/>
              <w:spacing w:after="0" w:line="243" w:lineRule="exact"/>
              <w:rPr>
                <w:sz w:val="20"/>
                <w:szCs w:val="20"/>
                <w:color w:val="auto"/>
              </w:rPr>
            </w:pPr>
            <w:r>
              <w:rPr>
                <w:rFonts w:ascii="Arial" w:cs="Arial" w:eastAsia="Arial" w:hAnsi="Arial"/>
                <w:sz w:val="22"/>
                <w:szCs w:val="22"/>
                <w:color w:val="auto"/>
                <w:w w:val="88"/>
              </w:rPr>
              <w:t>10.7</w:t>
            </w:r>
          </w:p>
        </w:tc>
      </w:tr>
      <w:tr>
        <w:trPr>
          <w:trHeight w:val="243"/>
        </w:trPr>
        <w:tc>
          <w:tcPr>
            <w:tcW w:w="1160" w:type="dxa"/>
            <w:vAlign w:val="bottom"/>
          </w:tcPr>
          <w:p>
            <w:pPr>
              <w:spacing w:after="0"/>
              <w:rPr>
                <w:sz w:val="21"/>
                <w:szCs w:val="21"/>
                <w:color w:val="auto"/>
              </w:rPr>
            </w:pPr>
          </w:p>
        </w:tc>
        <w:tc>
          <w:tcPr>
            <w:tcW w:w="38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mandatory sinking fund payment</w:t>
            </w:r>
            <w:r>
              <w:rPr>
                <w:rFonts w:ascii="Arial" w:cs="Arial" w:eastAsia="Arial" w:hAnsi="Arial"/>
                <w:sz w:val="22"/>
                <w:szCs w:val="22"/>
                <w:color w:val="auto"/>
              </w:rPr>
              <w:t>”</w:t>
            </w:r>
          </w:p>
        </w:tc>
        <w:tc>
          <w:tcPr>
            <w:tcW w:w="6240" w:type="dxa"/>
            <w:vAlign w:val="bottom"/>
          </w:tcPr>
          <w:p>
            <w:pPr>
              <w:jc w:val="center"/>
              <w:ind w:left="2192"/>
              <w:spacing w:after="0" w:line="243" w:lineRule="exact"/>
              <w:rPr>
                <w:sz w:val="20"/>
                <w:szCs w:val="20"/>
                <w:color w:val="auto"/>
              </w:rPr>
            </w:pPr>
            <w:r>
              <w:rPr>
                <w:rFonts w:ascii="Arial" w:cs="Arial" w:eastAsia="Arial" w:hAnsi="Arial"/>
                <w:sz w:val="22"/>
                <w:szCs w:val="22"/>
                <w:color w:val="auto"/>
                <w:w w:val="88"/>
              </w:rPr>
              <w:t>11.1</w:t>
            </w:r>
          </w:p>
        </w:tc>
      </w:tr>
      <w:tr>
        <w:trPr>
          <w:trHeight w:val="243"/>
        </w:trPr>
        <w:tc>
          <w:tcPr>
            <w:tcW w:w="1160" w:type="dxa"/>
            <w:vAlign w:val="bottom"/>
          </w:tcPr>
          <w:p>
            <w:pPr>
              <w:spacing w:after="0"/>
              <w:rPr>
                <w:sz w:val="21"/>
                <w:szCs w:val="21"/>
                <w:color w:val="auto"/>
              </w:rPr>
            </w:pPr>
          </w:p>
        </w:tc>
        <w:tc>
          <w:tcPr>
            <w:tcW w:w="38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New York Banking Day</w:t>
            </w:r>
            <w:r>
              <w:rPr>
                <w:rFonts w:ascii="Arial" w:cs="Arial" w:eastAsia="Arial" w:hAnsi="Arial"/>
                <w:sz w:val="22"/>
                <w:szCs w:val="22"/>
                <w:color w:val="auto"/>
              </w:rPr>
              <w:t>”</w:t>
            </w:r>
          </w:p>
        </w:tc>
        <w:tc>
          <w:tcPr>
            <w:tcW w:w="6240" w:type="dxa"/>
            <w:vAlign w:val="bottom"/>
          </w:tcPr>
          <w:p>
            <w:pPr>
              <w:jc w:val="center"/>
              <w:ind w:left="2192"/>
              <w:spacing w:after="0" w:line="243" w:lineRule="exact"/>
              <w:rPr>
                <w:sz w:val="20"/>
                <w:szCs w:val="20"/>
                <w:color w:val="auto"/>
              </w:rPr>
            </w:pPr>
            <w:r>
              <w:rPr>
                <w:rFonts w:ascii="Arial" w:cs="Arial" w:eastAsia="Arial" w:hAnsi="Arial"/>
                <w:sz w:val="22"/>
                <w:szCs w:val="22"/>
                <w:color w:val="auto"/>
                <w:w w:val="90"/>
              </w:rPr>
              <w:t>10.16</w:t>
            </w:r>
          </w:p>
        </w:tc>
      </w:tr>
      <w:tr>
        <w:trPr>
          <w:trHeight w:val="243"/>
        </w:trPr>
        <w:tc>
          <w:tcPr>
            <w:tcW w:w="1160" w:type="dxa"/>
            <w:vAlign w:val="bottom"/>
          </w:tcPr>
          <w:p>
            <w:pPr>
              <w:spacing w:after="0"/>
              <w:rPr>
                <w:sz w:val="21"/>
                <w:szCs w:val="21"/>
                <w:color w:val="auto"/>
              </w:rPr>
            </w:pPr>
          </w:p>
        </w:tc>
        <w:tc>
          <w:tcPr>
            <w:tcW w:w="38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Notice Agent</w:t>
            </w:r>
            <w:r>
              <w:rPr>
                <w:rFonts w:ascii="Arial" w:cs="Arial" w:eastAsia="Arial" w:hAnsi="Arial"/>
                <w:sz w:val="22"/>
                <w:szCs w:val="22"/>
                <w:color w:val="auto"/>
              </w:rPr>
              <w:t>”</w:t>
            </w:r>
          </w:p>
        </w:tc>
        <w:tc>
          <w:tcPr>
            <w:tcW w:w="6240" w:type="dxa"/>
            <w:vAlign w:val="bottom"/>
          </w:tcPr>
          <w:p>
            <w:pPr>
              <w:jc w:val="center"/>
              <w:ind w:left="2192"/>
              <w:spacing w:after="0" w:line="243" w:lineRule="exact"/>
              <w:rPr>
                <w:sz w:val="20"/>
                <w:szCs w:val="20"/>
                <w:color w:val="auto"/>
              </w:rPr>
            </w:pPr>
            <w:r>
              <w:rPr>
                <w:rFonts w:ascii="Arial" w:cs="Arial" w:eastAsia="Arial" w:hAnsi="Arial"/>
                <w:sz w:val="22"/>
                <w:szCs w:val="22"/>
                <w:color w:val="auto"/>
                <w:w w:val="84"/>
              </w:rPr>
              <w:t>2.4</w:t>
            </w:r>
          </w:p>
        </w:tc>
      </w:tr>
      <w:tr>
        <w:trPr>
          <w:trHeight w:val="243"/>
        </w:trPr>
        <w:tc>
          <w:tcPr>
            <w:tcW w:w="1160" w:type="dxa"/>
            <w:vAlign w:val="bottom"/>
          </w:tcPr>
          <w:p>
            <w:pPr>
              <w:spacing w:after="0"/>
              <w:rPr>
                <w:sz w:val="21"/>
                <w:szCs w:val="21"/>
                <w:color w:val="auto"/>
              </w:rPr>
            </w:pPr>
          </w:p>
        </w:tc>
        <w:tc>
          <w:tcPr>
            <w:tcW w:w="38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optional sinking fund payment</w:t>
            </w:r>
            <w:r>
              <w:rPr>
                <w:rFonts w:ascii="Arial" w:cs="Arial" w:eastAsia="Arial" w:hAnsi="Arial"/>
                <w:sz w:val="22"/>
                <w:szCs w:val="22"/>
                <w:color w:val="auto"/>
              </w:rPr>
              <w:t>”</w:t>
            </w:r>
          </w:p>
        </w:tc>
        <w:tc>
          <w:tcPr>
            <w:tcW w:w="6240" w:type="dxa"/>
            <w:vAlign w:val="bottom"/>
          </w:tcPr>
          <w:p>
            <w:pPr>
              <w:jc w:val="center"/>
              <w:ind w:left="2192"/>
              <w:spacing w:after="0" w:line="243" w:lineRule="exact"/>
              <w:rPr>
                <w:sz w:val="20"/>
                <w:szCs w:val="20"/>
                <w:color w:val="auto"/>
              </w:rPr>
            </w:pPr>
            <w:r>
              <w:rPr>
                <w:rFonts w:ascii="Arial" w:cs="Arial" w:eastAsia="Arial" w:hAnsi="Arial"/>
                <w:sz w:val="22"/>
                <w:szCs w:val="22"/>
                <w:color w:val="auto"/>
                <w:w w:val="88"/>
              </w:rPr>
              <w:t>11.1</w:t>
            </w:r>
          </w:p>
        </w:tc>
      </w:tr>
      <w:tr>
        <w:trPr>
          <w:trHeight w:val="243"/>
        </w:trPr>
        <w:tc>
          <w:tcPr>
            <w:tcW w:w="1160" w:type="dxa"/>
            <w:vAlign w:val="bottom"/>
          </w:tcPr>
          <w:p>
            <w:pPr>
              <w:spacing w:after="0"/>
              <w:rPr>
                <w:sz w:val="21"/>
                <w:szCs w:val="21"/>
                <w:color w:val="auto"/>
              </w:rPr>
            </w:pPr>
          </w:p>
        </w:tc>
        <w:tc>
          <w:tcPr>
            <w:tcW w:w="38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Paying Agent</w:t>
            </w:r>
            <w:r>
              <w:rPr>
                <w:rFonts w:ascii="Arial" w:cs="Arial" w:eastAsia="Arial" w:hAnsi="Arial"/>
                <w:sz w:val="22"/>
                <w:szCs w:val="22"/>
                <w:color w:val="auto"/>
              </w:rPr>
              <w:t>”</w:t>
            </w:r>
          </w:p>
        </w:tc>
        <w:tc>
          <w:tcPr>
            <w:tcW w:w="6240" w:type="dxa"/>
            <w:vAlign w:val="bottom"/>
          </w:tcPr>
          <w:p>
            <w:pPr>
              <w:jc w:val="center"/>
              <w:ind w:left="2192"/>
              <w:spacing w:after="0" w:line="243" w:lineRule="exact"/>
              <w:rPr>
                <w:sz w:val="20"/>
                <w:szCs w:val="20"/>
                <w:color w:val="auto"/>
              </w:rPr>
            </w:pPr>
            <w:r>
              <w:rPr>
                <w:rFonts w:ascii="Arial" w:cs="Arial" w:eastAsia="Arial" w:hAnsi="Arial"/>
                <w:sz w:val="22"/>
                <w:szCs w:val="22"/>
                <w:color w:val="auto"/>
                <w:w w:val="84"/>
              </w:rPr>
              <w:t>2.4</w:t>
            </w:r>
          </w:p>
        </w:tc>
      </w:tr>
      <w:tr>
        <w:trPr>
          <w:trHeight w:val="243"/>
        </w:trPr>
        <w:tc>
          <w:tcPr>
            <w:tcW w:w="1160" w:type="dxa"/>
            <w:vAlign w:val="bottom"/>
          </w:tcPr>
          <w:p>
            <w:pPr>
              <w:spacing w:after="0"/>
              <w:rPr>
                <w:sz w:val="21"/>
                <w:szCs w:val="21"/>
                <w:color w:val="auto"/>
              </w:rPr>
            </w:pPr>
          </w:p>
        </w:tc>
        <w:tc>
          <w:tcPr>
            <w:tcW w:w="1300" w:type="dxa"/>
            <w:vAlign w:val="bottom"/>
          </w:tcPr>
          <w:p>
            <w:pPr>
              <w:ind w:left="2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Registrar</w:t>
            </w:r>
            <w:r>
              <w:rPr>
                <w:rFonts w:ascii="Arial" w:cs="Arial" w:eastAsia="Arial" w:hAnsi="Arial"/>
                <w:sz w:val="22"/>
                <w:szCs w:val="22"/>
                <w:color w:val="auto"/>
              </w:rPr>
              <w:t>”</w:t>
            </w:r>
          </w:p>
        </w:tc>
        <w:tc>
          <w:tcPr>
            <w:tcW w:w="1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40" w:type="dxa"/>
            <w:vAlign w:val="bottom"/>
          </w:tcPr>
          <w:p>
            <w:pPr>
              <w:jc w:val="center"/>
              <w:ind w:left="2192"/>
              <w:spacing w:after="0" w:line="243" w:lineRule="exact"/>
              <w:rPr>
                <w:sz w:val="20"/>
                <w:szCs w:val="20"/>
                <w:color w:val="auto"/>
              </w:rPr>
            </w:pPr>
            <w:r>
              <w:rPr>
                <w:rFonts w:ascii="Arial" w:cs="Arial" w:eastAsia="Arial" w:hAnsi="Arial"/>
                <w:sz w:val="22"/>
                <w:szCs w:val="22"/>
                <w:color w:val="auto"/>
                <w:w w:val="84"/>
              </w:rPr>
              <w:t>2.4</w:t>
            </w:r>
          </w:p>
        </w:tc>
      </w:tr>
      <w:tr>
        <w:trPr>
          <w:trHeight w:val="243"/>
        </w:trPr>
        <w:tc>
          <w:tcPr>
            <w:tcW w:w="1160" w:type="dxa"/>
            <w:vAlign w:val="bottom"/>
          </w:tcPr>
          <w:p>
            <w:pPr>
              <w:spacing w:after="0"/>
              <w:rPr>
                <w:sz w:val="21"/>
                <w:szCs w:val="21"/>
                <w:color w:val="auto"/>
              </w:rPr>
            </w:pPr>
          </w:p>
        </w:tc>
        <w:tc>
          <w:tcPr>
            <w:tcW w:w="38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Required Currency</w:t>
            </w:r>
            <w:r>
              <w:rPr>
                <w:rFonts w:ascii="Arial" w:cs="Arial" w:eastAsia="Arial" w:hAnsi="Arial"/>
                <w:sz w:val="22"/>
                <w:szCs w:val="22"/>
                <w:color w:val="auto"/>
              </w:rPr>
              <w:t>”</w:t>
            </w:r>
          </w:p>
        </w:tc>
        <w:tc>
          <w:tcPr>
            <w:tcW w:w="6240" w:type="dxa"/>
            <w:vAlign w:val="bottom"/>
          </w:tcPr>
          <w:p>
            <w:pPr>
              <w:jc w:val="center"/>
              <w:ind w:left="2192"/>
              <w:spacing w:after="0" w:line="243" w:lineRule="exact"/>
              <w:rPr>
                <w:sz w:val="20"/>
                <w:szCs w:val="20"/>
                <w:color w:val="auto"/>
              </w:rPr>
            </w:pPr>
            <w:r>
              <w:rPr>
                <w:rFonts w:ascii="Arial" w:cs="Arial" w:eastAsia="Arial" w:hAnsi="Arial"/>
                <w:sz w:val="22"/>
                <w:szCs w:val="22"/>
                <w:color w:val="auto"/>
                <w:w w:val="90"/>
              </w:rPr>
              <w:t>10.16</w:t>
            </w:r>
          </w:p>
        </w:tc>
      </w:tr>
      <w:tr>
        <w:trPr>
          <w:trHeight w:val="243"/>
        </w:trPr>
        <w:tc>
          <w:tcPr>
            <w:tcW w:w="1160" w:type="dxa"/>
            <w:vAlign w:val="bottom"/>
          </w:tcPr>
          <w:p>
            <w:pPr>
              <w:spacing w:after="0"/>
              <w:rPr>
                <w:sz w:val="21"/>
                <w:szCs w:val="21"/>
                <w:color w:val="auto"/>
              </w:rPr>
            </w:pPr>
          </w:p>
        </w:tc>
        <w:tc>
          <w:tcPr>
            <w:tcW w:w="386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Specified Courts</w:t>
            </w:r>
            <w:r>
              <w:rPr>
                <w:rFonts w:ascii="Arial" w:cs="Arial" w:eastAsia="Arial" w:hAnsi="Arial"/>
                <w:sz w:val="22"/>
                <w:szCs w:val="22"/>
                <w:color w:val="auto"/>
              </w:rPr>
              <w:t>”</w:t>
            </w:r>
          </w:p>
        </w:tc>
        <w:tc>
          <w:tcPr>
            <w:tcW w:w="6240" w:type="dxa"/>
            <w:vAlign w:val="bottom"/>
          </w:tcPr>
          <w:p>
            <w:pPr>
              <w:jc w:val="center"/>
              <w:ind w:left="2192"/>
              <w:spacing w:after="0" w:line="243" w:lineRule="exact"/>
              <w:rPr>
                <w:sz w:val="20"/>
                <w:szCs w:val="20"/>
                <w:color w:val="auto"/>
              </w:rPr>
            </w:pPr>
            <w:r>
              <w:rPr>
                <w:rFonts w:ascii="Arial" w:cs="Arial" w:eastAsia="Arial" w:hAnsi="Arial"/>
                <w:sz w:val="22"/>
                <w:szCs w:val="22"/>
                <w:color w:val="auto"/>
                <w:w w:val="90"/>
              </w:rPr>
              <w:t>10.10</w:t>
            </w:r>
          </w:p>
        </w:tc>
      </w:tr>
      <w:tr>
        <w:trPr>
          <w:trHeight w:val="274"/>
        </w:trPr>
        <w:tc>
          <w:tcPr>
            <w:tcW w:w="1160" w:type="dxa"/>
            <w:vAlign w:val="bottom"/>
          </w:tcPr>
          <w:p>
            <w:pPr>
              <w:spacing w:after="0"/>
              <w:rPr>
                <w:sz w:val="23"/>
                <w:szCs w:val="23"/>
                <w:color w:val="auto"/>
              </w:rPr>
            </w:pPr>
          </w:p>
        </w:tc>
        <w:tc>
          <w:tcPr>
            <w:tcW w:w="3860" w:type="dxa"/>
            <w:vAlign w:val="bottom"/>
            <w:gridSpan w:val="3"/>
          </w:tcPr>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successor person</w:t>
            </w:r>
            <w:r>
              <w:rPr>
                <w:rFonts w:ascii="Arial" w:cs="Arial" w:eastAsia="Arial" w:hAnsi="Arial"/>
                <w:sz w:val="22"/>
                <w:szCs w:val="22"/>
                <w:color w:val="auto"/>
              </w:rPr>
              <w:t>”</w:t>
            </w:r>
          </w:p>
        </w:tc>
        <w:tc>
          <w:tcPr>
            <w:tcW w:w="6240" w:type="dxa"/>
            <w:vAlign w:val="bottom"/>
          </w:tcPr>
          <w:p>
            <w:pPr>
              <w:jc w:val="center"/>
              <w:ind w:left="2192"/>
              <w:spacing w:after="0"/>
              <w:rPr>
                <w:sz w:val="20"/>
                <w:szCs w:val="20"/>
                <w:color w:val="auto"/>
              </w:rPr>
            </w:pPr>
            <w:r>
              <w:rPr>
                <w:rFonts w:ascii="Arial" w:cs="Arial" w:eastAsia="Arial" w:hAnsi="Arial"/>
                <w:sz w:val="22"/>
                <w:szCs w:val="22"/>
                <w:color w:val="auto"/>
                <w:w w:val="84"/>
              </w:rPr>
              <w:t>5.1</w:t>
            </w:r>
          </w:p>
        </w:tc>
      </w:tr>
      <w:tr>
        <w:trPr>
          <w:trHeight w:val="459"/>
        </w:trPr>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40" w:type="dxa"/>
            <w:vAlign w:val="bottom"/>
          </w:tcPr>
          <w:p>
            <w:pPr>
              <w:jc w:val="right"/>
              <w:ind w:right="5392"/>
              <w:spacing w:after="0"/>
              <w:rPr>
                <w:sz w:val="20"/>
                <w:szCs w:val="20"/>
                <w:color w:val="auto"/>
              </w:rPr>
            </w:pPr>
            <w:r>
              <w:rPr>
                <w:rFonts w:ascii="Arial" w:cs="Arial" w:eastAsia="Arial" w:hAnsi="Arial"/>
                <w:sz w:val="22"/>
                <w:szCs w:val="22"/>
                <w:color w:val="auto"/>
              </w:rPr>
              <w:t>-4-</w:t>
            </w:r>
          </w:p>
        </w:tc>
      </w:tr>
      <w:tr>
        <w:trPr>
          <w:trHeight w:val="105"/>
        </w:trPr>
        <w:tc>
          <w:tcPr>
            <w:tcW w:w="1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bookmarkStart w:id="43" w:name="page44"/>
    <w:bookmarkEnd w:id="43"/>
    <w:p>
      <w:pPr>
        <w:ind w:left="840"/>
        <w:spacing w:after="0"/>
        <w:rPr>
          <w:sz w:val="20"/>
          <w:szCs w:val="20"/>
          <w:color w:val="auto"/>
        </w:rPr>
      </w:pPr>
      <w:r>
        <w:rPr>
          <w:rFonts w:ascii="Arial" w:cs="Arial" w:eastAsia="Arial" w:hAnsi="Arial"/>
          <w:sz w:val="22"/>
          <w:szCs w:val="22"/>
          <w:u w:val="single" w:color="auto"/>
          <w:color w:val="auto"/>
        </w:rPr>
        <w:t>Incorporation by Reference of Trust Indenture Act.</w:t>
      </w:r>
    </w:p>
    <w:p>
      <w:pPr>
        <w:spacing w:after="0" w:line="206" w:lineRule="exact"/>
        <w:rPr>
          <w:sz w:val="20"/>
          <w:szCs w:val="20"/>
          <w:color w:val="auto"/>
        </w:rPr>
      </w:pPr>
    </w:p>
    <w:p>
      <w:pPr>
        <w:ind w:right="200" w:firstLine="1131"/>
        <w:spacing w:after="0" w:line="250" w:lineRule="auto"/>
        <w:rPr>
          <w:sz w:val="20"/>
          <w:szCs w:val="20"/>
          <w:color w:val="auto"/>
        </w:rPr>
      </w:pPr>
      <w:r>
        <w:rPr>
          <w:rFonts w:ascii="Arial" w:cs="Arial" w:eastAsia="Arial" w:hAnsi="Arial"/>
          <w:sz w:val="22"/>
          <w:szCs w:val="22"/>
          <w:color w:val="auto"/>
        </w:rPr>
        <w:t>Whenever this Indenture refers to a provision of the TIA, the provision is incorporated by reference in and made a part of this Indenture. The following TIA terms used in this Indenture have the following meanings:</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Commission</w:t>
      </w:r>
      <w:r>
        <w:rPr>
          <w:rFonts w:ascii="Arial" w:cs="Arial" w:eastAsia="Arial" w:hAnsi="Arial"/>
          <w:sz w:val="22"/>
          <w:szCs w:val="22"/>
          <w:color w:val="auto"/>
        </w:rPr>
        <w:t>” means the SEC.</w:t>
      </w:r>
    </w:p>
    <w:p>
      <w:pPr>
        <w:spacing w:after="0" w:line="20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securities</w:t>
      </w:r>
      <w:r>
        <w:rPr>
          <w:rFonts w:ascii="Arial" w:cs="Arial" w:eastAsia="Arial" w:hAnsi="Arial"/>
          <w:sz w:val="22"/>
          <w:szCs w:val="22"/>
          <w:color w:val="auto"/>
        </w:rPr>
        <w:t>” means the Securities.</w:t>
      </w:r>
    </w:p>
    <w:p>
      <w:pPr>
        <w:spacing w:after="0" w:line="20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security holder</w:t>
      </w:r>
      <w:r>
        <w:rPr>
          <w:rFonts w:ascii="Arial" w:cs="Arial" w:eastAsia="Arial" w:hAnsi="Arial"/>
          <w:sz w:val="22"/>
          <w:szCs w:val="22"/>
          <w:color w:val="auto"/>
        </w:rPr>
        <w:t>” means a Securityholder.</w:t>
      </w:r>
    </w:p>
    <w:p>
      <w:pPr>
        <w:spacing w:after="0" w:line="20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to be qualified”</w:t>
      </w:r>
      <w:r>
        <w:rPr>
          <w:rFonts w:ascii="Arial" w:cs="Arial" w:eastAsia="Arial" w:hAnsi="Arial"/>
          <w:sz w:val="22"/>
          <w:szCs w:val="22"/>
          <w:color w:val="auto"/>
        </w:rPr>
        <w:t xml:space="preserve"> means this Indenture.</w:t>
      </w:r>
    </w:p>
    <w:p>
      <w:pPr>
        <w:spacing w:after="0" w:line="20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trustee</w:t>
      </w:r>
      <w:r>
        <w:rPr>
          <w:rFonts w:ascii="Arial" w:cs="Arial" w:eastAsia="Arial" w:hAnsi="Arial"/>
          <w:sz w:val="22"/>
          <w:szCs w:val="22"/>
          <w:color w:val="auto"/>
        </w:rPr>
        <w:t>” or “</w:t>
      </w:r>
      <w:r>
        <w:rPr>
          <w:rFonts w:ascii="Arial" w:cs="Arial" w:eastAsia="Arial" w:hAnsi="Arial"/>
          <w:sz w:val="22"/>
          <w:szCs w:val="22"/>
          <w:i w:val="1"/>
          <w:iCs w:val="1"/>
          <w:color w:val="auto"/>
        </w:rPr>
        <w:t>institutional trustee</w:t>
      </w:r>
      <w:r>
        <w:rPr>
          <w:rFonts w:ascii="Arial" w:cs="Arial" w:eastAsia="Arial" w:hAnsi="Arial"/>
          <w:sz w:val="22"/>
          <w:szCs w:val="22"/>
          <w:color w:val="auto"/>
        </w:rPr>
        <w:t>” means the Trustee.</w:t>
      </w:r>
    </w:p>
    <w:p>
      <w:pPr>
        <w:spacing w:after="0" w:line="20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obligor</w:t>
      </w:r>
      <w:r>
        <w:rPr>
          <w:rFonts w:ascii="Arial" w:cs="Arial" w:eastAsia="Arial" w:hAnsi="Arial"/>
          <w:sz w:val="22"/>
          <w:szCs w:val="22"/>
          <w:color w:val="auto"/>
        </w:rPr>
        <w:t>” on the indenture securities means the Company and any successor obligor upon the Securities.</w:t>
      </w:r>
    </w:p>
    <w:p>
      <w:pPr>
        <w:spacing w:after="0" w:line="206" w:lineRule="exact"/>
        <w:rPr>
          <w:sz w:val="20"/>
          <w:szCs w:val="20"/>
          <w:color w:val="auto"/>
        </w:rPr>
      </w:pPr>
    </w:p>
    <w:p>
      <w:pPr>
        <w:ind w:right="360" w:firstLine="1131"/>
        <w:spacing w:after="0" w:line="274" w:lineRule="auto"/>
        <w:rPr>
          <w:sz w:val="20"/>
          <w:szCs w:val="20"/>
          <w:color w:val="auto"/>
        </w:rPr>
      </w:pPr>
      <w:r>
        <w:rPr>
          <w:rFonts w:ascii="Arial" w:cs="Arial" w:eastAsia="Arial" w:hAnsi="Arial"/>
          <w:sz w:val="21"/>
          <w:szCs w:val="21"/>
          <w:color w:val="auto"/>
        </w:rPr>
        <w:t>All other terms used in this Indenture that are defined by the TIA, defined by TIA reference to another statute or defined by SEC rule under the TIA and not otherwise defined herein are used herein as so defined.</w:t>
      </w:r>
    </w:p>
    <w:p>
      <w:pPr>
        <w:spacing w:after="0" w:line="151"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Rules of Construction.</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Unless the context otherwise requires:</w:t>
      </w:r>
    </w:p>
    <w:p>
      <w:pPr>
        <w:spacing w:after="0" w:line="206" w:lineRule="exact"/>
        <w:rPr>
          <w:sz w:val="20"/>
          <w:szCs w:val="20"/>
          <w:color w:val="auto"/>
        </w:rPr>
      </w:pPr>
    </w:p>
    <w:p>
      <w:pPr>
        <w:ind w:left="2560" w:hanging="889"/>
        <w:spacing w:after="0"/>
        <w:tabs>
          <w:tab w:leader="none" w:pos="25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06" w:lineRule="exact"/>
        <w:rPr>
          <w:rFonts w:ascii="Arial" w:cs="Arial" w:eastAsia="Arial" w:hAnsi="Arial"/>
          <w:sz w:val="22"/>
          <w:szCs w:val="22"/>
          <w:color w:val="auto"/>
        </w:rPr>
      </w:pPr>
    </w:p>
    <w:p>
      <w:pPr>
        <w:ind w:left="2580" w:hanging="909"/>
        <w:spacing w:after="0"/>
        <w:tabs>
          <w:tab w:leader="none" w:pos="25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 accounting term not otherwise defined has the meaning assigned to it in accordance with GAAP;</w:t>
      </w:r>
    </w:p>
    <w:p>
      <w:pPr>
        <w:spacing w:after="0" w:line="240" w:lineRule="exact"/>
        <w:rPr>
          <w:rFonts w:ascii="Arial" w:cs="Arial" w:eastAsia="Arial" w:hAnsi="Arial"/>
          <w:sz w:val="19"/>
          <w:szCs w:val="19"/>
          <w:color w:val="auto"/>
        </w:rPr>
      </w:pPr>
    </w:p>
    <w:p>
      <w:pPr>
        <w:ind w:left="2560" w:hanging="889"/>
        <w:spacing w:after="0"/>
        <w:tabs>
          <w:tab w:leader="none" w:pos="25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or</w:t>
      </w:r>
      <w:r>
        <w:rPr>
          <w:rFonts w:ascii="Arial" w:cs="Arial" w:eastAsia="Arial" w:hAnsi="Arial"/>
          <w:sz w:val="22"/>
          <w:szCs w:val="22"/>
          <w:color w:val="auto"/>
        </w:rPr>
        <w:t>” is not exclusive;</w:t>
      </w:r>
    </w:p>
    <w:p>
      <w:pPr>
        <w:spacing w:after="0" w:line="206" w:lineRule="exact"/>
        <w:rPr>
          <w:rFonts w:ascii="Arial" w:cs="Arial" w:eastAsia="Arial" w:hAnsi="Arial"/>
          <w:sz w:val="22"/>
          <w:szCs w:val="22"/>
          <w:color w:val="auto"/>
        </w:rPr>
      </w:pPr>
    </w:p>
    <w:p>
      <w:pPr>
        <w:ind w:left="2580" w:hanging="909"/>
        <w:spacing w:after="0"/>
        <w:tabs>
          <w:tab w:leader="none" w:pos="25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 and</w:t>
      </w:r>
    </w:p>
    <w:p>
      <w:pPr>
        <w:spacing w:after="0" w:line="206" w:lineRule="exact"/>
        <w:rPr>
          <w:rFonts w:ascii="Arial" w:cs="Arial" w:eastAsia="Arial" w:hAnsi="Arial"/>
          <w:sz w:val="22"/>
          <w:szCs w:val="22"/>
          <w:color w:val="auto"/>
        </w:rPr>
      </w:pPr>
    </w:p>
    <w:p>
      <w:pPr>
        <w:ind w:left="2560" w:hanging="889"/>
        <w:spacing w:after="0"/>
        <w:tabs>
          <w:tab w:leader="none" w:pos="25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00"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THE SECURITIES</w:t>
      </w:r>
    </w:p>
    <w:p>
      <w:pPr>
        <w:spacing w:after="0" w:line="18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Issuable in Series.</w:t>
      </w:r>
    </w:p>
    <w:p>
      <w:pPr>
        <w:spacing w:after="0" w:line="206" w:lineRule="exact"/>
        <w:rPr>
          <w:sz w:val="20"/>
          <w:szCs w:val="20"/>
          <w:color w:val="auto"/>
        </w:rPr>
      </w:pPr>
    </w:p>
    <w:p>
      <w:pPr>
        <w:ind w:right="140" w:firstLine="1131"/>
        <w:spacing w:after="0" w:line="238" w:lineRule="auto"/>
        <w:rPr>
          <w:sz w:val="20"/>
          <w:szCs w:val="20"/>
          <w:color w:val="auto"/>
        </w:rPr>
      </w:pPr>
      <w:r>
        <w:rPr>
          <w:rFonts w:ascii="Arial" w:cs="Arial" w:eastAsia="Arial" w:hAnsi="Arial"/>
          <w:sz w:val="22"/>
          <w:szCs w:val="22"/>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sectPr>
      </w:pPr>
    </w:p>
    <w:bookmarkStart w:id="44" w:name="page45"/>
    <w:bookmarkEnd w:id="44"/>
    <w:p>
      <w:pPr>
        <w:ind w:right="40"/>
        <w:spacing w:after="0" w:line="282" w:lineRule="auto"/>
        <w:rPr>
          <w:sz w:val="20"/>
          <w:szCs w:val="20"/>
          <w:color w:val="auto"/>
        </w:rPr>
      </w:pPr>
      <w:r>
        <w:rPr>
          <w:rFonts w:ascii="Arial" w:cs="Arial" w:eastAsia="Arial" w:hAnsi="Arial"/>
          <w:sz w:val="19"/>
          <w:szCs w:val="19"/>
          <w:color w:val="auto"/>
        </w:rPr>
        <w:t>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47"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Establishment of Terms of Series of Securities.</w:t>
      </w:r>
    </w:p>
    <w:p>
      <w:pPr>
        <w:spacing w:after="0" w:line="206" w:lineRule="exact"/>
        <w:rPr>
          <w:sz w:val="20"/>
          <w:szCs w:val="20"/>
          <w:color w:val="auto"/>
        </w:rPr>
      </w:pPr>
    </w:p>
    <w:p>
      <w:pPr>
        <w:ind w:right="60" w:firstLine="1131"/>
        <w:spacing w:after="0" w:line="252" w:lineRule="auto"/>
        <w:rPr>
          <w:sz w:val="20"/>
          <w:szCs w:val="20"/>
          <w:color w:val="auto"/>
        </w:rPr>
      </w:pPr>
      <w:r>
        <w:rPr>
          <w:rFonts w:ascii="Arial" w:cs="Arial" w:eastAsia="Arial" w:hAnsi="Arial"/>
          <w:sz w:val="21"/>
          <w:szCs w:val="21"/>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66" w:lineRule="exact"/>
        <w:rPr>
          <w:sz w:val="20"/>
          <w:szCs w:val="20"/>
          <w:color w:val="auto"/>
        </w:rPr>
      </w:pPr>
    </w:p>
    <w:p>
      <w:pPr>
        <w:ind w:right="100" w:firstLine="1131"/>
        <w:spacing w:after="0" w:line="250" w:lineRule="auto"/>
        <w:rPr>
          <w:sz w:val="20"/>
          <w:szCs w:val="20"/>
          <w:color w:val="auto"/>
        </w:rPr>
      </w:pPr>
      <w:r>
        <w:rPr>
          <w:rFonts w:ascii="Arial" w:cs="Arial" w:eastAsia="Arial" w:hAnsi="Arial"/>
          <w:sz w:val="22"/>
          <w:szCs w:val="22"/>
          <w:color w:val="auto"/>
        </w:rPr>
        <w:t>2.2.1. the title (which shall distinguish the Securities of that particular Series from the Securities of any other Series) and ranking (including the terms of any subordination provisions) of the Series;</w:t>
      </w:r>
    </w:p>
    <w:p>
      <w:pPr>
        <w:spacing w:after="0" w:line="175" w:lineRule="exact"/>
        <w:rPr>
          <w:sz w:val="20"/>
          <w:szCs w:val="20"/>
          <w:color w:val="auto"/>
        </w:rPr>
      </w:pPr>
    </w:p>
    <w:p>
      <w:pPr>
        <w:ind w:firstLine="1131"/>
        <w:spacing w:after="0" w:line="250" w:lineRule="auto"/>
        <w:rPr>
          <w:sz w:val="20"/>
          <w:szCs w:val="20"/>
          <w:color w:val="auto"/>
        </w:rPr>
      </w:pPr>
      <w:r>
        <w:rPr>
          <w:rFonts w:ascii="Arial" w:cs="Arial" w:eastAsia="Arial" w:hAnsi="Arial"/>
          <w:sz w:val="22"/>
          <w:szCs w:val="22"/>
          <w:color w:val="auto"/>
        </w:rPr>
        <w:t>2.2.2. the price or prices (expressed as a percentage of the principal amount thereof) at which the Securities of the Series will be issued;</w:t>
      </w:r>
    </w:p>
    <w:p>
      <w:pPr>
        <w:spacing w:after="0" w:line="175" w:lineRule="exact"/>
        <w:rPr>
          <w:sz w:val="20"/>
          <w:szCs w:val="20"/>
          <w:color w:val="auto"/>
        </w:rPr>
      </w:pPr>
    </w:p>
    <w:p>
      <w:pPr>
        <w:ind w:right="260" w:firstLine="1131"/>
        <w:spacing w:after="0" w:line="297" w:lineRule="auto"/>
        <w:rPr>
          <w:sz w:val="20"/>
          <w:szCs w:val="20"/>
          <w:color w:val="auto"/>
        </w:rPr>
      </w:pPr>
      <w:r>
        <w:rPr>
          <w:rFonts w:ascii="Arial" w:cs="Arial" w:eastAsia="Arial" w:hAnsi="Arial"/>
          <w:sz w:val="19"/>
          <w:szCs w:val="19"/>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34"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color w:val="auto"/>
        </w:rPr>
        <w:t>the date or dates on which the principal of the Securities of the Series is payable;</w:t>
      </w:r>
    </w:p>
    <w:p>
      <w:pPr>
        <w:spacing w:after="0" w:line="206" w:lineRule="exact"/>
        <w:rPr>
          <w:sz w:val="20"/>
          <w:szCs w:val="20"/>
          <w:color w:val="auto"/>
        </w:rPr>
      </w:pPr>
    </w:p>
    <w:p>
      <w:pPr>
        <w:ind w:right="220" w:firstLine="1131"/>
        <w:spacing w:after="0" w:line="236" w:lineRule="auto"/>
        <w:rPr>
          <w:sz w:val="20"/>
          <w:szCs w:val="20"/>
          <w:color w:val="auto"/>
        </w:rPr>
      </w:pPr>
      <w:r>
        <w:rPr>
          <w:rFonts w:ascii="Arial" w:cs="Arial" w:eastAsia="Arial" w:hAnsi="Arial"/>
          <w:sz w:val="22"/>
          <w:szCs w:val="22"/>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ind w:right="100" w:firstLine="1131"/>
        <w:spacing w:after="0" w:line="238" w:lineRule="auto"/>
        <w:rPr>
          <w:sz w:val="20"/>
          <w:szCs w:val="20"/>
          <w:color w:val="auto"/>
        </w:rPr>
      </w:pPr>
      <w:r>
        <w:rPr>
          <w:rFonts w:ascii="Arial" w:cs="Arial" w:eastAsia="Arial" w:hAnsi="Arial"/>
          <w:sz w:val="22"/>
          <w:szCs w:val="22"/>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85" w:lineRule="exact"/>
        <w:rPr>
          <w:sz w:val="20"/>
          <w:szCs w:val="20"/>
          <w:color w:val="auto"/>
        </w:rPr>
      </w:pPr>
    </w:p>
    <w:p>
      <w:pPr>
        <w:ind w:right="760" w:firstLine="1131"/>
        <w:spacing w:after="0" w:line="328" w:lineRule="auto"/>
        <w:rPr>
          <w:sz w:val="20"/>
          <w:szCs w:val="20"/>
          <w:color w:val="auto"/>
        </w:rPr>
      </w:pPr>
      <w:r>
        <w:rPr>
          <w:rFonts w:ascii="Arial" w:cs="Arial" w:eastAsia="Arial" w:hAnsi="Arial"/>
          <w:sz w:val="19"/>
          <w:szCs w:val="19"/>
          <w:color w:val="auto"/>
        </w:rPr>
        <w:t>2.2.7. if applicable, the period or periods within which, the price or prices at which and the terms and conditions upon which the Securities of the Series may be redeemed, in whole or in part, at the option of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5" w:name="page46"/>
    <w:bookmarkEnd w:id="45"/>
    <w:p>
      <w:pPr>
        <w:ind w:right="60" w:firstLine="1131"/>
        <w:spacing w:after="0" w:line="238" w:lineRule="auto"/>
        <w:rPr>
          <w:sz w:val="20"/>
          <w:szCs w:val="20"/>
          <w:color w:val="auto"/>
        </w:rPr>
      </w:pPr>
      <w:r>
        <w:rPr>
          <w:rFonts w:ascii="Arial" w:cs="Arial" w:eastAsia="Arial" w:hAnsi="Arial"/>
          <w:sz w:val="22"/>
          <w:szCs w:val="22"/>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5" w:lineRule="exact"/>
        <w:rPr>
          <w:sz w:val="20"/>
          <w:szCs w:val="20"/>
          <w:color w:val="auto"/>
        </w:rPr>
      </w:pPr>
    </w:p>
    <w:p>
      <w:pPr>
        <w:ind w:right="440" w:firstLine="1131"/>
        <w:spacing w:after="0"/>
        <w:rPr>
          <w:sz w:val="20"/>
          <w:szCs w:val="20"/>
          <w:color w:val="auto"/>
        </w:rPr>
      </w:pPr>
      <w:r>
        <w:rPr>
          <w:rFonts w:ascii="Arial" w:cs="Arial" w:eastAsia="Arial" w:hAnsi="Arial"/>
          <w:sz w:val="22"/>
          <w:szCs w:val="22"/>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86" w:lineRule="exact"/>
        <w:rPr>
          <w:sz w:val="20"/>
          <w:szCs w:val="20"/>
          <w:color w:val="auto"/>
        </w:rPr>
      </w:pPr>
    </w:p>
    <w:p>
      <w:pPr>
        <w:ind w:right="160" w:firstLine="1131"/>
        <w:spacing w:after="0" w:line="250" w:lineRule="auto"/>
        <w:rPr>
          <w:sz w:val="20"/>
          <w:szCs w:val="20"/>
          <w:color w:val="auto"/>
        </w:rPr>
      </w:pPr>
      <w:r>
        <w:rPr>
          <w:rFonts w:ascii="Arial" w:cs="Arial" w:eastAsia="Arial" w:hAnsi="Arial"/>
          <w:sz w:val="22"/>
          <w:szCs w:val="22"/>
          <w:color w:val="auto"/>
        </w:rPr>
        <w:t>2.2.10. if other than denominations of $1,000 and any integral multiple thereof, the denominations in which the Securities of the Series shall be issuable;</w:t>
      </w:r>
    </w:p>
    <w:p>
      <w:pPr>
        <w:spacing w:after="0" w:line="175" w:lineRule="exact"/>
        <w:rPr>
          <w:sz w:val="20"/>
          <w:szCs w:val="20"/>
          <w:color w:val="auto"/>
        </w:rPr>
      </w:pPr>
    </w:p>
    <w:p>
      <w:pPr>
        <w:ind w:left="1140"/>
        <w:spacing w:after="0"/>
        <w:tabs>
          <w:tab w:leader="none" w:pos="2360" w:val="left"/>
        </w:tabs>
        <w:rPr>
          <w:sz w:val="20"/>
          <w:szCs w:val="20"/>
          <w:color w:val="auto"/>
        </w:rPr>
      </w:pPr>
      <w:r>
        <w:rPr>
          <w:rFonts w:ascii="Arial" w:cs="Arial" w:eastAsia="Arial" w:hAnsi="Arial"/>
          <w:sz w:val="22"/>
          <w:szCs w:val="22"/>
          <w:color w:val="auto"/>
        </w:rPr>
        <w:t>2.2.11.</w:t>
      </w:r>
      <w:r>
        <w:rPr>
          <w:sz w:val="20"/>
          <w:szCs w:val="20"/>
          <w:color w:val="auto"/>
        </w:rPr>
        <w:tab/>
      </w:r>
      <w:r>
        <w:rPr>
          <w:rFonts w:ascii="Arial" w:cs="Arial" w:eastAsia="Arial" w:hAnsi="Arial"/>
          <w:sz w:val="19"/>
          <w:szCs w:val="19"/>
          <w:color w:val="auto"/>
        </w:rPr>
        <w:t>the forms of the Securities of the Series and whether the Securities will be issuable as Global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Securities;</w:t>
      </w:r>
    </w:p>
    <w:p>
      <w:pPr>
        <w:spacing w:after="0" w:line="188" w:lineRule="exact"/>
        <w:rPr>
          <w:sz w:val="20"/>
          <w:szCs w:val="20"/>
          <w:color w:val="auto"/>
        </w:rPr>
      </w:pPr>
    </w:p>
    <w:p>
      <w:pPr>
        <w:ind w:right="120" w:firstLine="1131"/>
        <w:spacing w:after="0" w:line="250" w:lineRule="auto"/>
        <w:rPr>
          <w:sz w:val="20"/>
          <w:szCs w:val="20"/>
          <w:color w:val="auto"/>
        </w:rPr>
      </w:pPr>
      <w:r>
        <w:rPr>
          <w:rFonts w:ascii="Arial" w:cs="Arial" w:eastAsia="Arial" w:hAnsi="Arial"/>
          <w:sz w:val="22"/>
          <w:szCs w:val="22"/>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5" w:lineRule="exact"/>
        <w:rPr>
          <w:sz w:val="20"/>
          <w:szCs w:val="20"/>
          <w:color w:val="auto"/>
        </w:rPr>
      </w:pPr>
    </w:p>
    <w:p>
      <w:pPr>
        <w:ind w:right="340" w:firstLine="1131"/>
        <w:spacing w:after="0"/>
        <w:rPr>
          <w:sz w:val="20"/>
          <w:szCs w:val="20"/>
          <w:color w:val="auto"/>
        </w:rPr>
      </w:pPr>
      <w:r>
        <w:rPr>
          <w:rFonts w:ascii="Arial" w:cs="Arial" w:eastAsia="Arial" w:hAnsi="Arial"/>
          <w:sz w:val="22"/>
          <w:szCs w:val="22"/>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86" w:lineRule="exact"/>
        <w:rPr>
          <w:sz w:val="20"/>
          <w:szCs w:val="20"/>
          <w:color w:val="auto"/>
        </w:rPr>
      </w:pPr>
    </w:p>
    <w:p>
      <w:pPr>
        <w:ind w:right="60" w:firstLine="1131"/>
        <w:spacing w:after="0" w:line="250" w:lineRule="auto"/>
        <w:rPr>
          <w:sz w:val="20"/>
          <w:szCs w:val="20"/>
          <w:color w:val="auto"/>
        </w:rPr>
      </w:pPr>
      <w:r>
        <w:rPr>
          <w:rFonts w:ascii="Arial" w:cs="Arial" w:eastAsia="Arial" w:hAnsi="Arial"/>
          <w:sz w:val="22"/>
          <w:szCs w:val="22"/>
          <w:color w:val="auto"/>
        </w:rPr>
        <w:t>2.2.14. the designation of the currency, currencies or currency units in which payment of the principal of and interest, if any, on the Securities of the Series will be made;</w:t>
      </w:r>
    </w:p>
    <w:p>
      <w:pPr>
        <w:spacing w:after="0" w:line="175" w:lineRule="exact"/>
        <w:rPr>
          <w:sz w:val="20"/>
          <w:szCs w:val="20"/>
          <w:color w:val="auto"/>
        </w:rPr>
      </w:pPr>
    </w:p>
    <w:p>
      <w:pPr>
        <w:ind w:right="180" w:firstLine="1131"/>
        <w:spacing w:after="0"/>
        <w:rPr>
          <w:sz w:val="20"/>
          <w:szCs w:val="20"/>
          <w:color w:val="auto"/>
        </w:rPr>
      </w:pPr>
      <w:r>
        <w:rPr>
          <w:rFonts w:ascii="Arial" w:cs="Arial" w:eastAsia="Arial" w:hAnsi="Arial"/>
          <w:sz w:val="22"/>
          <w:szCs w:val="22"/>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6" w:lineRule="exact"/>
        <w:rPr>
          <w:sz w:val="20"/>
          <w:szCs w:val="20"/>
          <w:color w:val="auto"/>
        </w:rPr>
      </w:pPr>
    </w:p>
    <w:p>
      <w:pPr>
        <w:ind w:firstLine="1131"/>
        <w:spacing w:after="0"/>
        <w:rPr>
          <w:sz w:val="20"/>
          <w:szCs w:val="20"/>
          <w:color w:val="auto"/>
        </w:rPr>
      </w:pPr>
      <w:r>
        <w:rPr>
          <w:rFonts w:ascii="Arial" w:cs="Arial" w:eastAsia="Arial" w:hAnsi="Arial"/>
          <w:sz w:val="22"/>
          <w:szCs w:val="22"/>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6" w:lineRule="exact"/>
        <w:rPr>
          <w:sz w:val="20"/>
          <w:szCs w:val="20"/>
          <w:color w:val="auto"/>
        </w:rPr>
      </w:pPr>
    </w:p>
    <w:p>
      <w:pPr>
        <w:ind w:left="1140"/>
        <w:spacing w:after="0"/>
        <w:tabs>
          <w:tab w:leader="none" w:pos="2360" w:val="left"/>
        </w:tabs>
        <w:rPr>
          <w:sz w:val="20"/>
          <w:szCs w:val="20"/>
          <w:color w:val="auto"/>
        </w:rPr>
      </w:pPr>
      <w:r>
        <w:rPr>
          <w:rFonts w:ascii="Arial" w:cs="Arial" w:eastAsia="Arial" w:hAnsi="Arial"/>
          <w:sz w:val="22"/>
          <w:szCs w:val="22"/>
          <w:color w:val="auto"/>
        </w:rPr>
        <w:t>2.2.17.</w:t>
      </w:r>
      <w:r>
        <w:rPr>
          <w:sz w:val="20"/>
          <w:szCs w:val="20"/>
          <w:color w:val="auto"/>
        </w:rPr>
        <w:tab/>
      </w:r>
      <w:r>
        <w:rPr>
          <w:rFonts w:ascii="Arial" w:cs="Arial" w:eastAsia="Arial" w:hAnsi="Arial"/>
          <w:sz w:val="19"/>
          <w:szCs w:val="19"/>
          <w:color w:val="auto"/>
        </w:rPr>
        <w:t>the provisions, if any, relating to any security provided for the Securities of the Series;</w:t>
      </w:r>
    </w:p>
    <w:p>
      <w:pPr>
        <w:spacing w:after="0" w:line="206" w:lineRule="exact"/>
        <w:rPr>
          <w:sz w:val="20"/>
          <w:szCs w:val="20"/>
          <w:color w:val="auto"/>
        </w:rPr>
      </w:pPr>
    </w:p>
    <w:p>
      <w:pPr>
        <w:ind w:right="180" w:firstLine="1131"/>
        <w:spacing w:after="0"/>
        <w:rPr>
          <w:sz w:val="20"/>
          <w:szCs w:val="20"/>
          <w:color w:val="auto"/>
        </w:rPr>
      </w:pPr>
      <w:r>
        <w:rPr>
          <w:rFonts w:ascii="Arial" w:cs="Arial" w:eastAsia="Arial" w:hAnsi="Arial"/>
          <w:sz w:val="22"/>
          <w:szCs w:val="22"/>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86" w:lineRule="exact"/>
        <w:rPr>
          <w:sz w:val="20"/>
          <w:szCs w:val="20"/>
          <w:color w:val="auto"/>
        </w:rPr>
      </w:pPr>
    </w:p>
    <w:p>
      <w:pPr>
        <w:ind w:right="200" w:firstLine="1131"/>
        <w:spacing w:after="0" w:line="250" w:lineRule="auto"/>
        <w:rPr>
          <w:sz w:val="20"/>
          <w:szCs w:val="20"/>
          <w:color w:val="auto"/>
        </w:rPr>
      </w:pPr>
      <w:r>
        <w:rPr>
          <w:rFonts w:ascii="Arial" w:cs="Arial" w:eastAsia="Arial" w:hAnsi="Arial"/>
          <w:sz w:val="22"/>
          <w:szCs w:val="22"/>
          <w:color w:val="auto"/>
        </w:rPr>
        <w:t>2.2.19. any addition to, deletion of or change in the covenants set forth in Articles IV or V which applies to Securities of the Series;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46" w:name="page47"/>
    <w:bookmarkEnd w:id="46"/>
    <w:p>
      <w:pPr>
        <w:ind w:right="100" w:firstLine="1131"/>
        <w:spacing w:after="0" w:line="250" w:lineRule="auto"/>
        <w:rPr>
          <w:sz w:val="20"/>
          <w:szCs w:val="20"/>
          <w:color w:val="auto"/>
        </w:rPr>
      </w:pPr>
      <w:r>
        <w:rPr>
          <w:rFonts w:ascii="Arial" w:cs="Arial" w:eastAsia="Arial" w:hAnsi="Arial"/>
          <w:sz w:val="22"/>
          <w:szCs w:val="22"/>
          <w:color w:val="auto"/>
        </w:rPr>
        <w:t>2.2.20. any Depositaries, interest rate calculation agents, exchange rate calculation agents, conversion agents or other agents with respect to Securities of such Series if other than those appointed herein;</w:t>
      </w:r>
    </w:p>
    <w:p>
      <w:pPr>
        <w:spacing w:after="0" w:line="175" w:lineRule="exact"/>
        <w:rPr>
          <w:sz w:val="20"/>
          <w:szCs w:val="20"/>
          <w:color w:val="auto"/>
        </w:rPr>
      </w:pPr>
    </w:p>
    <w:p>
      <w:pPr>
        <w:ind w:right="40" w:firstLine="1131"/>
        <w:spacing w:after="0" w:line="236" w:lineRule="auto"/>
        <w:rPr>
          <w:sz w:val="20"/>
          <w:szCs w:val="20"/>
          <w:color w:val="auto"/>
        </w:rPr>
      </w:pPr>
      <w:r>
        <w:rPr>
          <w:rFonts w:ascii="Arial" w:cs="Arial" w:eastAsia="Arial" w:hAnsi="Arial"/>
          <w:sz w:val="22"/>
          <w:szCs w:val="22"/>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7" w:lineRule="exact"/>
        <w:rPr>
          <w:sz w:val="20"/>
          <w:szCs w:val="20"/>
          <w:color w:val="auto"/>
        </w:rPr>
      </w:pPr>
    </w:p>
    <w:p>
      <w:pPr>
        <w:ind w:right="340" w:firstLine="1131"/>
        <w:spacing w:after="0"/>
        <w:rPr>
          <w:sz w:val="20"/>
          <w:szCs w:val="20"/>
          <w:color w:val="auto"/>
        </w:rPr>
      </w:pPr>
      <w:r>
        <w:rPr>
          <w:rFonts w:ascii="Arial" w:cs="Arial" w:eastAsia="Arial" w:hAnsi="Arial"/>
          <w:sz w:val="22"/>
          <w:szCs w:val="22"/>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6" w:lineRule="exact"/>
        <w:rPr>
          <w:sz w:val="20"/>
          <w:szCs w:val="20"/>
          <w:color w:val="auto"/>
        </w:rPr>
      </w:pPr>
    </w:p>
    <w:p>
      <w:pPr>
        <w:ind w:right="460" w:firstLine="1131"/>
        <w:spacing w:after="0" w:line="250" w:lineRule="auto"/>
        <w:rPr>
          <w:sz w:val="20"/>
          <w:szCs w:val="20"/>
          <w:color w:val="auto"/>
        </w:rPr>
      </w:pPr>
      <w:r>
        <w:rPr>
          <w:rFonts w:ascii="Arial" w:cs="Arial" w:eastAsia="Arial" w:hAnsi="Arial"/>
          <w:sz w:val="22"/>
          <w:szCs w:val="22"/>
          <w:color w:val="auto"/>
        </w:rPr>
        <w:t>2.2.23. whether any of the Company’s direct or indirect Subsidiaries will guarantee the Securities of that Series, including the terms of subordination, if any, of such guarantees.</w:t>
      </w:r>
    </w:p>
    <w:p>
      <w:pPr>
        <w:spacing w:after="0" w:line="175" w:lineRule="exact"/>
        <w:rPr>
          <w:sz w:val="20"/>
          <w:szCs w:val="20"/>
          <w:color w:val="auto"/>
        </w:rPr>
      </w:pPr>
    </w:p>
    <w:p>
      <w:pPr>
        <w:ind w:firstLine="1131"/>
        <w:spacing w:after="0" w:line="236" w:lineRule="auto"/>
        <w:rPr>
          <w:sz w:val="20"/>
          <w:szCs w:val="20"/>
          <w:color w:val="auto"/>
        </w:rPr>
      </w:pPr>
      <w:r>
        <w:rPr>
          <w:rFonts w:ascii="Arial" w:cs="Arial" w:eastAsia="Arial" w:hAnsi="Arial"/>
          <w:sz w:val="22"/>
          <w:szCs w:val="22"/>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spacing w:after="0" w:line="187"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Execution and Authentication.</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An Officer shall sign the Securities for the Company by manual or facsimile signature.</w:t>
      </w:r>
    </w:p>
    <w:p>
      <w:pPr>
        <w:spacing w:after="0" w:line="206" w:lineRule="exact"/>
        <w:rPr>
          <w:sz w:val="20"/>
          <w:szCs w:val="20"/>
          <w:color w:val="auto"/>
        </w:rPr>
      </w:pPr>
    </w:p>
    <w:p>
      <w:pPr>
        <w:ind w:firstLine="1131"/>
        <w:spacing w:after="0" w:line="250" w:lineRule="auto"/>
        <w:rPr>
          <w:sz w:val="20"/>
          <w:szCs w:val="20"/>
          <w:color w:val="auto"/>
        </w:rPr>
      </w:pPr>
      <w:r>
        <w:rPr>
          <w:rFonts w:ascii="Arial" w:cs="Arial" w:eastAsia="Arial" w:hAnsi="Arial"/>
          <w:sz w:val="22"/>
          <w:szCs w:val="22"/>
          <w:color w:val="auto"/>
        </w:rPr>
        <w:t>If an Officer whose signature is on a Security no longer holds that office at the time the Security is authenticated, the Security shall nevertheless be valid.</w:t>
      </w:r>
    </w:p>
    <w:p>
      <w:pPr>
        <w:spacing w:after="0" w:line="175" w:lineRule="exact"/>
        <w:rPr>
          <w:sz w:val="20"/>
          <w:szCs w:val="20"/>
          <w:color w:val="auto"/>
        </w:rPr>
      </w:pPr>
    </w:p>
    <w:p>
      <w:pPr>
        <w:ind w:right="820" w:firstLine="1131"/>
        <w:spacing w:after="0" w:line="328" w:lineRule="auto"/>
        <w:rPr>
          <w:sz w:val="20"/>
          <w:szCs w:val="20"/>
          <w:color w:val="auto"/>
        </w:rPr>
      </w:pPr>
      <w:r>
        <w:rPr>
          <w:rFonts w:ascii="Arial" w:cs="Arial" w:eastAsia="Arial" w:hAnsi="Arial"/>
          <w:sz w:val="19"/>
          <w:szCs w:val="19"/>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05" w:lineRule="exact"/>
        <w:rPr>
          <w:sz w:val="20"/>
          <w:szCs w:val="20"/>
          <w:color w:val="auto"/>
        </w:rPr>
      </w:pPr>
    </w:p>
    <w:p>
      <w:pPr>
        <w:ind w:right="40" w:firstLine="1131"/>
        <w:spacing w:after="0"/>
        <w:rPr>
          <w:sz w:val="20"/>
          <w:szCs w:val="20"/>
          <w:color w:val="auto"/>
        </w:rPr>
      </w:pPr>
      <w:r>
        <w:rPr>
          <w:rFonts w:ascii="Arial" w:cs="Arial" w:eastAsia="Arial" w:hAnsi="Arial"/>
          <w:sz w:val="22"/>
          <w:szCs w:val="22"/>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6" w:lineRule="exact"/>
        <w:rPr>
          <w:sz w:val="20"/>
          <w:szCs w:val="20"/>
          <w:color w:val="auto"/>
        </w:rPr>
      </w:pPr>
    </w:p>
    <w:p>
      <w:pPr>
        <w:ind w:right="200" w:firstLine="1131"/>
        <w:spacing w:after="0"/>
        <w:rPr>
          <w:sz w:val="20"/>
          <w:szCs w:val="20"/>
          <w:color w:val="auto"/>
        </w:rPr>
      </w:pPr>
      <w:r>
        <w:rPr>
          <w:rFonts w:ascii="Arial" w:cs="Arial" w:eastAsia="Arial" w:hAnsi="Arial"/>
          <w:sz w:val="22"/>
          <w:szCs w:val="22"/>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47" w:name="page48"/>
    <w:bookmarkEnd w:id="47"/>
    <w:p>
      <w:pPr>
        <w:ind w:right="80" w:firstLine="1131"/>
        <w:spacing w:after="0" w:line="275" w:lineRule="auto"/>
        <w:rPr>
          <w:sz w:val="20"/>
          <w:szCs w:val="20"/>
          <w:color w:val="auto"/>
        </w:rPr>
      </w:pPr>
      <w:r>
        <w:rPr>
          <w:rFonts w:ascii="Arial" w:cs="Arial" w:eastAsia="Arial" w:hAnsi="Arial"/>
          <w:sz w:val="19"/>
          <w:szCs w:val="19"/>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(c) an Opinion of Counsel complying with Section 10.4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w:t>
      </w:r>
    </w:p>
    <w:p>
      <w:pPr>
        <w:spacing w:after="0" w:line="157" w:lineRule="exact"/>
        <w:rPr>
          <w:sz w:val="20"/>
          <w:szCs w:val="20"/>
          <w:color w:val="auto"/>
        </w:rPr>
      </w:pPr>
    </w:p>
    <w:p>
      <w:pPr>
        <w:ind w:right="120" w:firstLine="1131"/>
        <w:spacing w:after="0" w:line="297" w:lineRule="auto"/>
        <w:rPr>
          <w:sz w:val="20"/>
          <w:szCs w:val="20"/>
          <w:color w:val="auto"/>
        </w:rPr>
      </w:pPr>
      <w:r>
        <w:rPr>
          <w:rFonts w:ascii="Arial" w:cs="Arial" w:eastAsia="Arial" w:hAnsi="Arial"/>
          <w:sz w:val="19"/>
          <w:szCs w:val="19"/>
          <w:color w:val="auto"/>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spacing w:after="0" w:line="134" w:lineRule="exact"/>
        <w:rPr>
          <w:sz w:val="20"/>
          <w:szCs w:val="20"/>
          <w:color w:val="auto"/>
        </w:rPr>
      </w:pPr>
    </w:p>
    <w:p>
      <w:pPr>
        <w:ind w:right="220" w:firstLine="1131"/>
        <w:spacing w:after="0" w:line="238" w:lineRule="auto"/>
        <w:rPr>
          <w:sz w:val="20"/>
          <w:szCs w:val="20"/>
          <w:color w:val="auto"/>
        </w:rPr>
      </w:pPr>
      <w:r>
        <w:rPr>
          <w:rFonts w:ascii="Arial" w:cs="Arial" w:eastAsia="Arial" w:hAnsi="Arial"/>
          <w:sz w:val="22"/>
          <w:szCs w:val="22"/>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85"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Registrar and Paying Agent.</w:t>
      </w:r>
    </w:p>
    <w:p>
      <w:pPr>
        <w:spacing w:after="0" w:line="206" w:lineRule="exact"/>
        <w:rPr>
          <w:sz w:val="20"/>
          <w:szCs w:val="20"/>
          <w:color w:val="auto"/>
        </w:rPr>
      </w:pPr>
    </w:p>
    <w:p>
      <w:pPr>
        <w:ind w:right="40" w:firstLine="1131"/>
        <w:spacing w:after="0" w:line="272" w:lineRule="auto"/>
        <w:rPr>
          <w:sz w:val="20"/>
          <w:szCs w:val="20"/>
          <w:color w:val="auto"/>
        </w:rPr>
      </w:pPr>
      <w:r>
        <w:rPr>
          <w:rFonts w:ascii="Arial" w:cs="Arial" w:eastAsia="Arial" w:hAnsi="Arial"/>
          <w:sz w:val="19"/>
          <w:szCs w:val="19"/>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9"/>
          <w:szCs w:val="19"/>
          <w:i w:val="1"/>
          <w:iCs w:val="1"/>
          <w:color w:val="auto"/>
        </w:rPr>
        <w:t>Paying Agent</w:t>
      </w:r>
      <w:r>
        <w:rPr>
          <w:rFonts w:ascii="Arial" w:cs="Arial" w:eastAsia="Arial" w:hAnsi="Arial"/>
          <w:sz w:val="19"/>
          <w:szCs w:val="19"/>
          <w:color w:val="auto"/>
        </w:rPr>
        <w:t>”), where Securities of such Series may be surrendered for registration of transfer or exchange (“</w:t>
      </w:r>
      <w:r>
        <w:rPr>
          <w:rFonts w:ascii="Arial" w:cs="Arial" w:eastAsia="Arial" w:hAnsi="Arial"/>
          <w:sz w:val="19"/>
          <w:szCs w:val="19"/>
          <w:i w:val="1"/>
          <w:iCs w:val="1"/>
          <w:color w:val="auto"/>
        </w:rPr>
        <w:t>Registrar</w:t>
      </w:r>
      <w:r>
        <w:rPr>
          <w:rFonts w:ascii="Arial" w:cs="Arial" w:eastAsia="Arial" w:hAnsi="Arial"/>
          <w:sz w:val="19"/>
          <w:szCs w:val="19"/>
          <w:color w:val="auto"/>
        </w:rPr>
        <w:t>”) and where notices and demands to or upon the Company in respect of the Securities of such Series and this Indenture may be delivered (“</w:t>
      </w:r>
      <w:r>
        <w:rPr>
          <w:rFonts w:ascii="Arial" w:cs="Arial" w:eastAsia="Arial" w:hAnsi="Arial"/>
          <w:sz w:val="19"/>
          <w:szCs w:val="19"/>
          <w:i w:val="1"/>
          <w:iCs w:val="1"/>
          <w:color w:val="auto"/>
        </w:rPr>
        <w:t>Notice Agent</w:t>
      </w:r>
      <w:r>
        <w:rPr>
          <w:rFonts w:ascii="Arial" w:cs="Arial" w:eastAsia="Arial" w:hAnsi="Arial"/>
          <w:sz w:val="19"/>
          <w:szCs w:val="19"/>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appointment of the Trustee as the Notice Agent shall exclude the appointment of the Trustee or any office of the Trustee as an agent to receive the service of legal process on the Company.</w:t>
      </w:r>
    </w:p>
    <w:p>
      <w:pPr>
        <w:spacing w:after="0" w:line="161" w:lineRule="exact"/>
        <w:rPr>
          <w:sz w:val="20"/>
          <w:szCs w:val="20"/>
          <w:color w:val="auto"/>
        </w:rPr>
      </w:pPr>
    </w:p>
    <w:p>
      <w:pPr>
        <w:ind w:firstLine="1131"/>
        <w:spacing w:after="0" w:line="238" w:lineRule="auto"/>
        <w:rPr>
          <w:sz w:val="20"/>
          <w:szCs w:val="20"/>
          <w:color w:val="auto"/>
        </w:rPr>
      </w:pPr>
      <w:r>
        <w:rPr>
          <w:rFonts w:ascii="Arial" w:cs="Arial" w:eastAsia="Arial" w:hAnsi="Arial"/>
          <w:sz w:val="22"/>
          <w:szCs w:val="22"/>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designation or rescission shall in any manner relieve the Company of its obligations to maintain a Registrar, Paying Agent and Notice Agent in each place so specified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8" w:name="page49"/>
    <w:bookmarkEnd w:id="48"/>
    <w:p>
      <w:pPr>
        <w:spacing w:after="0" w:line="236" w:lineRule="auto"/>
        <w:rPr>
          <w:sz w:val="20"/>
          <w:szCs w:val="20"/>
          <w:color w:val="auto"/>
        </w:rPr>
      </w:pPr>
      <w:r>
        <w:rPr>
          <w:rFonts w:ascii="Arial" w:cs="Arial" w:eastAsia="Arial" w:hAnsi="Arial"/>
          <w:sz w:val="22"/>
          <w:szCs w:val="22"/>
          <w:color w:val="auto"/>
        </w:rPr>
        <w:t>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22"/>
          <w:szCs w:val="22"/>
          <w:i w:val="1"/>
          <w:iCs w:val="1"/>
          <w:color w:val="auto"/>
        </w:rPr>
        <w:t>Registrar</w:t>
      </w:r>
      <w:r>
        <w:rPr>
          <w:rFonts w:ascii="Arial" w:cs="Arial" w:eastAsia="Arial" w:hAnsi="Arial"/>
          <w:sz w:val="22"/>
          <w:szCs w:val="22"/>
          <w:color w:val="auto"/>
        </w:rPr>
        <w:t>” includes any co-registrar; the term “</w:t>
      </w:r>
      <w:r>
        <w:rPr>
          <w:rFonts w:ascii="Arial" w:cs="Arial" w:eastAsia="Arial" w:hAnsi="Arial"/>
          <w:sz w:val="22"/>
          <w:szCs w:val="22"/>
          <w:i w:val="1"/>
          <w:iCs w:val="1"/>
          <w:color w:val="auto"/>
        </w:rPr>
        <w:t>Paying Agent</w:t>
      </w:r>
      <w:r>
        <w:rPr>
          <w:rFonts w:ascii="Arial" w:cs="Arial" w:eastAsia="Arial" w:hAnsi="Arial"/>
          <w:sz w:val="22"/>
          <w:szCs w:val="22"/>
          <w:color w:val="auto"/>
        </w:rPr>
        <w:t>” includes any additional paying agent; and the term “</w:t>
      </w:r>
      <w:r>
        <w:rPr>
          <w:rFonts w:ascii="Arial" w:cs="Arial" w:eastAsia="Arial" w:hAnsi="Arial"/>
          <w:sz w:val="22"/>
          <w:szCs w:val="22"/>
          <w:i w:val="1"/>
          <w:iCs w:val="1"/>
          <w:color w:val="auto"/>
        </w:rPr>
        <w:t>Notice Agent</w:t>
      </w:r>
      <w:r>
        <w:rPr>
          <w:rFonts w:ascii="Arial" w:cs="Arial" w:eastAsia="Arial" w:hAnsi="Arial"/>
          <w:sz w:val="22"/>
          <w:szCs w:val="22"/>
          <w:color w:val="auto"/>
        </w:rPr>
        <w:t>” includes any additional notice agent. The Company or any of its Affiliates may serve as Registrar or Paying Agent.</w:t>
      </w:r>
    </w:p>
    <w:p>
      <w:pPr>
        <w:spacing w:after="0" w:line="187" w:lineRule="exact"/>
        <w:rPr>
          <w:sz w:val="20"/>
          <w:szCs w:val="20"/>
          <w:color w:val="auto"/>
        </w:rPr>
      </w:pPr>
    </w:p>
    <w:p>
      <w:pPr>
        <w:jc w:val="both"/>
        <w:ind w:right="500" w:firstLine="1131"/>
        <w:spacing w:after="0"/>
        <w:rPr>
          <w:sz w:val="20"/>
          <w:szCs w:val="20"/>
          <w:color w:val="auto"/>
        </w:rPr>
      </w:pPr>
      <w:r>
        <w:rPr>
          <w:rFonts w:ascii="Arial" w:cs="Arial" w:eastAsia="Arial" w:hAnsi="Arial"/>
          <w:sz w:val="22"/>
          <w:szCs w:val="22"/>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86"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Paying Agent to Hold Money in Trust.</w:t>
      </w:r>
    </w:p>
    <w:p>
      <w:pPr>
        <w:spacing w:after="0" w:line="206" w:lineRule="exact"/>
        <w:rPr>
          <w:sz w:val="20"/>
          <w:szCs w:val="20"/>
          <w:color w:val="auto"/>
        </w:rPr>
      </w:pPr>
    </w:p>
    <w:p>
      <w:pPr>
        <w:ind w:right="40" w:firstLine="1131"/>
        <w:spacing w:after="0" w:line="245" w:lineRule="auto"/>
        <w:rPr>
          <w:sz w:val="20"/>
          <w:szCs w:val="20"/>
          <w:color w:val="auto"/>
        </w:rPr>
      </w:pPr>
      <w:r>
        <w:rPr>
          <w:rFonts w:ascii="Arial" w:cs="Arial" w:eastAsia="Arial" w:hAnsi="Arial"/>
          <w:sz w:val="21"/>
          <w:szCs w:val="21"/>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81"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Securityholder Lists.</w:t>
      </w:r>
    </w:p>
    <w:p>
      <w:pPr>
        <w:spacing w:after="0" w:line="206" w:lineRule="exact"/>
        <w:rPr>
          <w:sz w:val="20"/>
          <w:szCs w:val="20"/>
          <w:color w:val="auto"/>
        </w:rPr>
      </w:pPr>
    </w:p>
    <w:p>
      <w:pPr>
        <w:ind w:firstLine="1131"/>
        <w:spacing w:after="0" w:line="249" w:lineRule="auto"/>
        <w:rPr>
          <w:sz w:val="20"/>
          <w:szCs w:val="20"/>
          <w:color w:val="auto"/>
        </w:rPr>
      </w:pPr>
      <w:r>
        <w:rPr>
          <w:rFonts w:ascii="Arial" w:cs="Arial" w:eastAsia="Arial" w:hAnsi="Arial"/>
          <w:sz w:val="21"/>
          <w:szCs w:val="21"/>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7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Transfer and Exchange.</w:t>
      </w:r>
    </w:p>
    <w:p>
      <w:pPr>
        <w:spacing w:after="0" w:line="206" w:lineRule="exact"/>
        <w:rPr>
          <w:sz w:val="20"/>
          <w:szCs w:val="20"/>
          <w:color w:val="auto"/>
        </w:rPr>
      </w:pPr>
    </w:p>
    <w:p>
      <w:pPr>
        <w:ind w:right="40" w:firstLine="1131"/>
        <w:spacing w:after="0" w:line="277" w:lineRule="auto"/>
        <w:rPr>
          <w:sz w:val="20"/>
          <w:szCs w:val="20"/>
          <w:color w:val="auto"/>
        </w:rPr>
      </w:pPr>
      <w:r>
        <w:rPr>
          <w:rFonts w:ascii="Arial" w:cs="Arial" w:eastAsia="Arial" w:hAnsi="Arial"/>
          <w:sz w:val="19"/>
          <w:szCs w:val="19"/>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49" w:name="page50"/>
    <w:bookmarkEnd w:id="49"/>
    <w:p>
      <w:pPr>
        <w:ind w:right="80" w:firstLine="1131"/>
        <w:spacing w:after="0" w:line="282" w:lineRule="auto"/>
        <w:rPr>
          <w:sz w:val="20"/>
          <w:szCs w:val="20"/>
          <w:color w:val="auto"/>
        </w:rPr>
      </w:pPr>
      <w:r>
        <w:rPr>
          <w:rFonts w:ascii="Arial" w:cs="Arial" w:eastAsia="Arial" w:hAnsi="Arial"/>
          <w:sz w:val="19"/>
          <w:szCs w:val="19"/>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47"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Mutilated, Destroyed, Lost and Stolen Securities.</w:t>
      </w:r>
    </w:p>
    <w:p>
      <w:pPr>
        <w:spacing w:after="0" w:line="206" w:lineRule="exact"/>
        <w:rPr>
          <w:sz w:val="20"/>
          <w:szCs w:val="20"/>
          <w:color w:val="auto"/>
        </w:rPr>
      </w:pPr>
    </w:p>
    <w:p>
      <w:pPr>
        <w:jc w:val="both"/>
        <w:ind w:right="20" w:firstLine="1131"/>
        <w:spacing w:after="0"/>
        <w:rPr>
          <w:sz w:val="20"/>
          <w:szCs w:val="20"/>
          <w:color w:val="auto"/>
        </w:rPr>
      </w:pPr>
      <w:r>
        <w:rPr>
          <w:rFonts w:ascii="Arial" w:cs="Arial" w:eastAsia="Arial" w:hAnsi="Arial"/>
          <w:sz w:val="22"/>
          <w:szCs w:val="22"/>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86" w:lineRule="exact"/>
        <w:rPr>
          <w:sz w:val="20"/>
          <w:szCs w:val="20"/>
          <w:color w:val="auto"/>
        </w:rPr>
      </w:pPr>
    </w:p>
    <w:p>
      <w:pPr>
        <w:ind w:firstLine="1131"/>
        <w:spacing w:after="0" w:line="279" w:lineRule="auto"/>
        <w:rPr>
          <w:sz w:val="20"/>
          <w:szCs w:val="20"/>
          <w:color w:val="auto"/>
        </w:rPr>
      </w:pPr>
      <w:r>
        <w:rPr>
          <w:rFonts w:ascii="Arial" w:cs="Arial" w:eastAsia="Arial" w:hAnsi="Arial"/>
          <w:sz w:val="19"/>
          <w:szCs w:val="19"/>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50" w:lineRule="exact"/>
        <w:rPr>
          <w:sz w:val="20"/>
          <w:szCs w:val="20"/>
          <w:color w:val="auto"/>
        </w:rPr>
      </w:pPr>
    </w:p>
    <w:p>
      <w:pPr>
        <w:ind w:right="20" w:firstLine="1131"/>
        <w:spacing w:after="0" w:line="250" w:lineRule="auto"/>
        <w:rPr>
          <w:sz w:val="20"/>
          <w:szCs w:val="20"/>
          <w:color w:val="auto"/>
        </w:rPr>
      </w:pPr>
      <w:r>
        <w:rPr>
          <w:rFonts w:ascii="Arial" w:cs="Arial" w:eastAsia="Arial" w:hAnsi="Arial"/>
          <w:sz w:val="22"/>
          <w:szCs w:val="22"/>
          <w:color w:val="auto"/>
        </w:rPr>
        <w:t>In case any such mutilated, destroyed, lost or stolen Security has become or is about to become due and payable, the Company in its discretion may, instead of issuing a new Security, pay such Security.</w:t>
      </w:r>
    </w:p>
    <w:p>
      <w:pPr>
        <w:spacing w:after="0" w:line="175" w:lineRule="exact"/>
        <w:rPr>
          <w:sz w:val="20"/>
          <w:szCs w:val="20"/>
          <w:color w:val="auto"/>
        </w:rPr>
      </w:pPr>
    </w:p>
    <w:p>
      <w:pPr>
        <w:jc w:val="both"/>
        <w:ind w:right="800" w:firstLine="1131"/>
        <w:spacing w:after="0"/>
        <w:rPr>
          <w:sz w:val="20"/>
          <w:szCs w:val="20"/>
          <w:color w:val="auto"/>
        </w:rPr>
      </w:pPr>
      <w:r>
        <w:rPr>
          <w:rFonts w:ascii="Arial" w:cs="Arial" w:eastAsia="Arial" w:hAnsi="Arial"/>
          <w:sz w:val="22"/>
          <w:szCs w:val="22"/>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6" w:lineRule="exact"/>
        <w:rPr>
          <w:sz w:val="20"/>
          <w:szCs w:val="20"/>
          <w:color w:val="auto"/>
        </w:rPr>
      </w:pPr>
    </w:p>
    <w:p>
      <w:pPr>
        <w:ind w:right="40" w:firstLine="1131"/>
        <w:spacing w:after="0" w:line="238" w:lineRule="auto"/>
        <w:rPr>
          <w:sz w:val="20"/>
          <w:szCs w:val="20"/>
          <w:color w:val="auto"/>
        </w:rPr>
      </w:pPr>
      <w:r>
        <w:rPr>
          <w:rFonts w:ascii="Arial" w:cs="Arial" w:eastAsia="Arial" w:hAnsi="Arial"/>
          <w:sz w:val="22"/>
          <w:szCs w:val="22"/>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85" w:lineRule="exact"/>
        <w:rPr>
          <w:sz w:val="20"/>
          <w:szCs w:val="20"/>
          <w:color w:val="auto"/>
        </w:rPr>
      </w:pPr>
    </w:p>
    <w:p>
      <w:pPr>
        <w:ind w:right="280" w:firstLine="1131"/>
        <w:spacing w:after="0" w:line="250" w:lineRule="auto"/>
        <w:rPr>
          <w:sz w:val="20"/>
          <w:szCs w:val="20"/>
          <w:color w:val="auto"/>
        </w:rPr>
      </w:pPr>
      <w:r>
        <w:rPr>
          <w:rFonts w:ascii="Arial" w:cs="Arial" w:eastAsia="Arial" w:hAnsi="Arial"/>
          <w:sz w:val="22"/>
          <w:szCs w:val="22"/>
          <w:color w:val="auto"/>
        </w:rPr>
        <w:t>The provisions of this Section are exclusive and shall preclude (to the extent lawful) all other rights and remedies with respect to the replacement or payment of mutilated, destroyed, lost or stolen Securities.</w:t>
      </w:r>
    </w:p>
    <w:p>
      <w:pPr>
        <w:spacing w:after="0" w:line="175"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Outstanding Securities.</w:t>
      </w:r>
    </w:p>
    <w:p>
      <w:pPr>
        <w:spacing w:after="0" w:line="206" w:lineRule="exact"/>
        <w:rPr>
          <w:sz w:val="20"/>
          <w:szCs w:val="20"/>
          <w:color w:val="auto"/>
        </w:rPr>
      </w:pPr>
    </w:p>
    <w:p>
      <w:pPr>
        <w:ind w:right="200" w:firstLine="1131"/>
        <w:spacing w:after="0" w:line="250" w:lineRule="auto"/>
        <w:rPr>
          <w:sz w:val="20"/>
          <w:szCs w:val="20"/>
          <w:color w:val="auto"/>
        </w:rPr>
      </w:pPr>
      <w:r>
        <w:rPr>
          <w:rFonts w:ascii="Arial" w:cs="Arial" w:eastAsia="Arial" w:hAnsi="Arial"/>
          <w:sz w:val="22"/>
          <w:szCs w:val="22"/>
          <w:color w:val="auto"/>
        </w:rPr>
        <w:t>The Securities outstanding at any time are all the Securities authenticated by the Trustee except for those canceled by it, those delivered to it for cancellation, those reductions in the interest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50" w:name="page51"/>
    <w:bookmarkEnd w:id="50"/>
    <w:p>
      <w:pPr>
        <w:ind w:right="240"/>
        <w:spacing w:after="0" w:line="250" w:lineRule="auto"/>
        <w:rPr>
          <w:sz w:val="20"/>
          <w:szCs w:val="20"/>
          <w:color w:val="auto"/>
        </w:rPr>
      </w:pPr>
      <w:r>
        <w:rPr>
          <w:rFonts w:ascii="Arial" w:cs="Arial" w:eastAsia="Arial" w:hAnsi="Arial"/>
          <w:sz w:val="22"/>
          <w:szCs w:val="22"/>
          <w:color w:val="auto"/>
        </w:rPr>
        <w:t>on a Global Security effected by the Trustee in accordance with the provisions hereof and those described in this Section as not outstanding.</w:t>
      </w:r>
    </w:p>
    <w:p>
      <w:pPr>
        <w:spacing w:after="0" w:line="175" w:lineRule="exact"/>
        <w:rPr>
          <w:sz w:val="20"/>
          <w:szCs w:val="20"/>
          <w:color w:val="auto"/>
        </w:rPr>
      </w:pPr>
    </w:p>
    <w:p>
      <w:pPr>
        <w:ind w:right="880" w:firstLine="1131"/>
        <w:spacing w:after="0" w:line="250" w:lineRule="auto"/>
        <w:rPr>
          <w:sz w:val="20"/>
          <w:szCs w:val="20"/>
          <w:color w:val="auto"/>
        </w:rPr>
      </w:pPr>
      <w:r>
        <w:rPr>
          <w:rFonts w:ascii="Arial" w:cs="Arial" w:eastAsia="Arial" w:hAnsi="Arial"/>
          <w:sz w:val="22"/>
          <w:szCs w:val="22"/>
          <w:color w:val="auto"/>
        </w:rPr>
        <w:t>If a Security is replaced pursuant to Section 2.8, it ceases to be outstanding until the Trustee receives proof satisfactory to it that the replaced Security is held by a bona fide purchaser.</w:t>
      </w:r>
    </w:p>
    <w:p>
      <w:pPr>
        <w:spacing w:after="0" w:line="175" w:lineRule="exact"/>
        <w:rPr>
          <w:sz w:val="20"/>
          <w:szCs w:val="20"/>
          <w:color w:val="auto"/>
        </w:rPr>
      </w:pPr>
    </w:p>
    <w:p>
      <w:pPr>
        <w:jc w:val="both"/>
        <w:ind w:right="180" w:firstLine="1131"/>
        <w:spacing w:after="0" w:line="257" w:lineRule="auto"/>
        <w:rPr>
          <w:sz w:val="20"/>
          <w:szCs w:val="20"/>
          <w:color w:val="auto"/>
        </w:rPr>
      </w:pPr>
      <w:r>
        <w:rPr>
          <w:rFonts w:ascii="Arial" w:cs="Arial" w:eastAsia="Arial" w:hAnsi="Arial"/>
          <w:sz w:val="21"/>
          <w:szCs w:val="21"/>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69" w:lineRule="exact"/>
        <w:rPr>
          <w:sz w:val="20"/>
          <w:szCs w:val="20"/>
          <w:color w:val="auto"/>
        </w:rPr>
      </w:pPr>
    </w:p>
    <w:p>
      <w:pPr>
        <w:jc w:val="both"/>
        <w:ind w:right="460" w:firstLine="1131"/>
        <w:spacing w:after="0"/>
        <w:rPr>
          <w:sz w:val="20"/>
          <w:szCs w:val="20"/>
          <w:color w:val="auto"/>
        </w:rPr>
      </w:pPr>
      <w:r>
        <w:rPr>
          <w:rFonts w:ascii="Arial" w:cs="Arial" w:eastAsia="Arial" w:hAnsi="Arial"/>
          <w:sz w:val="22"/>
          <w:szCs w:val="22"/>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86" w:lineRule="exact"/>
        <w:rPr>
          <w:sz w:val="20"/>
          <w:szCs w:val="20"/>
          <w:color w:val="auto"/>
        </w:rPr>
      </w:pPr>
    </w:p>
    <w:p>
      <w:pPr>
        <w:ind w:right="20" w:firstLine="1131"/>
        <w:spacing w:after="0" w:line="287" w:lineRule="auto"/>
        <w:rPr>
          <w:sz w:val="20"/>
          <w:szCs w:val="20"/>
          <w:color w:val="auto"/>
        </w:rPr>
      </w:pPr>
      <w:r>
        <w:rPr>
          <w:rFonts w:ascii="Arial" w:cs="Arial" w:eastAsia="Arial" w:hAnsi="Arial"/>
          <w:sz w:val="19"/>
          <w:szCs w:val="19"/>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43"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Treasury Securities.</w:t>
      </w:r>
    </w:p>
    <w:p>
      <w:pPr>
        <w:spacing w:after="0" w:line="206" w:lineRule="exact"/>
        <w:rPr>
          <w:sz w:val="20"/>
          <w:szCs w:val="20"/>
          <w:color w:val="auto"/>
        </w:rPr>
      </w:pPr>
    </w:p>
    <w:p>
      <w:pPr>
        <w:ind w:firstLine="1131"/>
        <w:spacing w:after="0" w:line="249" w:lineRule="auto"/>
        <w:rPr>
          <w:sz w:val="20"/>
          <w:szCs w:val="20"/>
          <w:color w:val="auto"/>
        </w:rPr>
      </w:pPr>
      <w:r>
        <w:rPr>
          <w:rFonts w:ascii="Arial" w:cs="Arial" w:eastAsia="Arial" w:hAnsi="Arial"/>
          <w:sz w:val="21"/>
          <w:szCs w:val="21"/>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7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Temporary Securities.</w:t>
      </w:r>
    </w:p>
    <w:p>
      <w:pPr>
        <w:spacing w:after="0" w:line="206" w:lineRule="exact"/>
        <w:rPr>
          <w:sz w:val="20"/>
          <w:szCs w:val="20"/>
          <w:color w:val="auto"/>
        </w:rPr>
      </w:pPr>
    </w:p>
    <w:p>
      <w:pPr>
        <w:ind w:right="20" w:firstLine="1131"/>
        <w:spacing w:after="0" w:line="248" w:lineRule="auto"/>
        <w:rPr>
          <w:sz w:val="20"/>
          <w:szCs w:val="20"/>
          <w:color w:val="auto"/>
        </w:rPr>
      </w:pPr>
      <w:r>
        <w:rPr>
          <w:rFonts w:ascii="Arial" w:cs="Arial" w:eastAsia="Arial" w:hAnsi="Arial"/>
          <w:sz w:val="21"/>
          <w:szCs w:val="21"/>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77"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Cancellation.</w:t>
      </w:r>
    </w:p>
    <w:p>
      <w:pPr>
        <w:spacing w:after="0" w:line="206" w:lineRule="exact"/>
        <w:rPr>
          <w:sz w:val="20"/>
          <w:szCs w:val="20"/>
          <w:color w:val="auto"/>
        </w:rPr>
      </w:pPr>
    </w:p>
    <w:p>
      <w:pPr>
        <w:ind w:right="60" w:firstLine="1131"/>
        <w:spacing w:after="0" w:line="238" w:lineRule="auto"/>
        <w:rPr>
          <w:sz w:val="20"/>
          <w:szCs w:val="20"/>
          <w:color w:val="auto"/>
        </w:rPr>
      </w:pPr>
      <w:r>
        <w:rPr>
          <w:rFonts w:ascii="Arial" w:cs="Arial" w:eastAsia="Arial" w:hAnsi="Arial"/>
          <w:sz w:val="22"/>
          <w:szCs w:val="22"/>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1" w:name="page52"/>
    <w:bookmarkEnd w:id="51"/>
    <w:p>
      <w:pPr>
        <w:ind w:right="420"/>
        <w:spacing w:after="0"/>
        <w:rPr>
          <w:sz w:val="20"/>
          <w:szCs w:val="20"/>
          <w:color w:val="auto"/>
        </w:rPr>
      </w:pPr>
      <w:r>
        <w:rPr>
          <w:rFonts w:ascii="Arial" w:cs="Arial" w:eastAsia="Arial" w:hAnsi="Arial"/>
          <w:sz w:val="22"/>
          <w:szCs w:val="22"/>
          <w:color w:val="auto"/>
        </w:rPr>
        <w:t>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6"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Defaulted Interest.</w:t>
      </w:r>
    </w:p>
    <w:p>
      <w:pPr>
        <w:spacing w:after="0" w:line="206" w:lineRule="exact"/>
        <w:rPr>
          <w:sz w:val="20"/>
          <w:szCs w:val="20"/>
          <w:color w:val="auto"/>
        </w:rPr>
      </w:pPr>
    </w:p>
    <w:p>
      <w:pPr>
        <w:ind w:right="20" w:firstLine="1131"/>
        <w:spacing w:after="0" w:line="235" w:lineRule="auto"/>
        <w:rPr>
          <w:sz w:val="20"/>
          <w:szCs w:val="20"/>
          <w:color w:val="auto"/>
        </w:rPr>
      </w:pPr>
      <w:r>
        <w:rPr>
          <w:rFonts w:ascii="Arial" w:cs="Arial" w:eastAsia="Arial" w:hAnsi="Arial"/>
          <w:sz w:val="22"/>
          <w:szCs w:val="22"/>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8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Global Securities.</w:t>
      </w:r>
    </w:p>
    <w:p>
      <w:pPr>
        <w:spacing w:after="0" w:line="206" w:lineRule="exact"/>
        <w:rPr>
          <w:sz w:val="20"/>
          <w:szCs w:val="20"/>
          <w:color w:val="auto"/>
        </w:rPr>
      </w:pPr>
    </w:p>
    <w:p>
      <w:pPr>
        <w:jc w:val="both"/>
        <w:ind w:right="120" w:firstLine="1131"/>
        <w:spacing w:after="0"/>
        <w:rPr>
          <w:sz w:val="20"/>
          <w:szCs w:val="20"/>
          <w:color w:val="auto"/>
        </w:rPr>
      </w:pPr>
      <w:r>
        <w:rPr>
          <w:rFonts w:ascii="Arial" w:cs="Arial" w:eastAsia="Arial" w:hAnsi="Arial"/>
          <w:sz w:val="22"/>
          <w:szCs w:val="22"/>
          <w:color w:val="auto"/>
        </w:rPr>
        <w:t xml:space="preserve">2.14.1. </w:t>
      </w:r>
      <w:r>
        <w:rPr>
          <w:rFonts w:ascii="Arial" w:cs="Arial" w:eastAsia="Arial" w:hAnsi="Arial"/>
          <w:sz w:val="22"/>
          <w:szCs w:val="22"/>
          <w:u w:val="single" w:color="auto"/>
          <w:color w:val="auto"/>
        </w:rPr>
        <w:t>Terms of Securities</w:t>
      </w:r>
      <w:r>
        <w:rPr>
          <w:rFonts w:ascii="Arial" w:cs="Arial" w:eastAsia="Arial" w:hAnsi="Arial"/>
          <w:sz w:val="22"/>
          <w:szCs w:val="22"/>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6" w:lineRule="exact"/>
        <w:rPr>
          <w:sz w:val="20"/>
          <w:szCs w:val="20"/>
          <w:color w:val="auto"/>
        </w:rPr>
      </w:pPr>
    </w:p>
    <w:p>
      <w:pPr>
        <w:ind w:firstLine="1131"/>
        <w:spacing w:after="0" w:line="277" w:lineRule="auto"/>
        <w:rPr>
          <w:sz w:val="20"/>
          <w:szCs w:val="20"/>
          <w:color w:val="auto"/>
        </w:rPr>
      </w:pPr>
      <w:r>
        <w:rPr>
          <w:rFonts w:ascii="Arial" w:cs="Arial" w:eastAsia="Arial" w:hAnsi="Arial"/>
          <w:sz w:val="19"/>
          <w:szCs w:val="19"/>
          <w:color w:val="auto"/>
        </w:rPr>
        <w:t xml:space="preserve">2.14.2. </w:t>
      </w:r>
      <w:r>
        <w:rPr>
          <w:rFonts w:ascii="Arial" w:cs="Arial" w:eastAsia="Arial" w:hAnsi="Arial"/>
          <w:sz w:val="19"/>
          <w:szCs w:val="19"/>
          <w:u w:val="single" w:color="auto"/>
          <w:color w:val="auto"/>
        </w:rPr>
        <w:t>Transfer and Exchange</w:t>
      </w:r>
      <w:r>
        <w:rPr>
          <w:rFonts w:ascii="Arial" w:cs="Arial" w:eastAsia="Arial" w:hAnsi="Arial"/>
          <w:sz w:val="19"/>
          <w:szCs w:val="19"/>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w:t>
      </w:r>
    </w:p>
    <w:p>
      <w:pPr>
        <w:spacing w:after="0" w:line="152" w:lineRule="exact"/>
        <w:rPr>
          <w:sz w:val="20"/>
          <w:szCs w:val="20"/>
          <w:color w:val="auto"/>
        </w:rPr>
      </w:pPr>
    </w:p>
    <w:p>
      <w:pPr>
        <w:ind w:right="40" w:firstLine="832"/>
        <w:spacing w:after="0" w:line="257" w:lineRule="auto"/>
        <w:rPr>
          <w:sz w:val="20"/>
          <w:szCs w:val="20"/>
          <w:color w:val="auto"/>
        </w:rPr>
      </w:pPr>
      <w:r>
        <w:rPr>
          <w:rFonts w:ascii="Arial" w:cs="Arial" w:eastAsia="Arial" w:hAnsi="Arial"/>
          <w:sz w:val="21"/>
          <w:szCs w:val="21"/>
          <w:color w:val="auto"/>
        </w:rPr>
        <w:t>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69" w:lineRule="exact"/>
        <w:rPr>
          <w:sz w:val="20"/>
          <w:szCs w:val="20"/>
          <w:color w:val="auto"/>
        </w:rPr>
      </w:pPr>
    </w:p>
    <w:p>
      <w:pPr>
        <w:ind w:right="40" w:firstLine="832"/>
        <w:spacing w:after="0" w:line="238" w:lineRule="auto"/>
        <w:rPr>
          <w:sz w:val="20"/>
          <w:szCs w:val="20"/>
          <w:color w:val="auto"/>
        </w:rPr>
      </w:pPr>
      <w:r>
        <w:rPr>
          <w:rFonts w:ascii="Arial" w:cs="Arial" w:eastAsia="Arial" w:hAnsi="Arial"/>
          <w:sz w:val="22"/>
          <w:szCs w:val="22"/>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5" w:lineRule="exact"/>
        <w:rPr>
          <w:sz w:val="20"/>
          <w:szCs w:val="20"/>
          <w:color w:val="auto"/>
        </w:rPr>
      </w:pPr>
    </w:p>
    <w:p>
      <w:pPr>
        <w:jc w:val="center"/>
        <w:ind w:right="20"/>
        <w:spacing w:after="0" w:line="455" w:lineRule="auto"/>
        <w:rPr>
          <w:sz w:val="20"/>
          <w:szCs w:val="20"/>
          <w:color w:val="auto"/>
        </w:rPr>
      </w:pPr>
      <w:r>
        <w:rPr>
          <w:rFonts w:ascii="Arial" w:cs="Arial" w:eastAsia="Arial" w:hAnsi="Arial"/>
          <w:sz w:val="22"/>
          <w:szCs w:val="22"/>
          <w:color w:val="auto"/>
        </w:rPr>
        <w:t>Neither the Trustee nor any Agent shall have any responsibility for any actions taken or not taken by the Depositary.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52" w:name="page53"/>
    <w:bookmarkEnd w:id="52"/>
    <w:p>
      <w:pPr>
        <w:ind w:left="1140"/>
        <w:spacing w:after="0"/>
        <w:tabs>
          <w:tab w:leader="none" w:pos="2360" w:val="left"/>
        </w:tabs>
        <w:rPr>
          <w:sz w:val="20"/>
          <w:szCs w:val="20"/>
          <w:color w:val="auto"/>
        </w:rPr>
      </w:pPr>
      <w:r>
        <w:rPr>
          <w:rFonts w:ascii="Arial" w:cs="Arial" w:eastAsia="Arial" w:hAnsi="Arial"/>
          <w:sz w:val="22"/>
          <w:szCs w:val="22"/>
          <w:color w:val="auto"/>
        </w:rPr>
        <w:t>2.14.3.</w:t>
      </w:r>
      <w:r>
        <w:rPr>
          <w:sz w:val="20"/>
          <w:szCs w:val="20"/>
          <w:color w:val="auto"/>
        </w:rPr>
        <w:tab/>
      </w:r>
      <w:r>
        <w:rPr>
          <w:rFonts w:ascii="Arial" w:cs="Arial" w:eastAsia="Arial" w:hAnsi="Arial"/>
          <w:sz w:val="19"/>
          <w:szCs w:val="19"/>
          <w:u w:val="single" w:color="auto"/>
          <w:color w:val="auto"/>
        </w:rPr>
        <w:t>Legends</w:t>
      </w:r>
      <w:r>
        <w:rPr>
          <w:rFonts w:ascii="Arial" w:cs="Arial" w:eastAsia="Arial" w:hAnsi="Arial"/>
          <w:sz w:val="19"/>
          <w:szCs w:val="19"/>
          <w:color w:val="auto"/>
        </w:rPr>
        <w:t>. Any Global Security issued hereunder shall bear a legend in substantially the following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form:</w:t>
      </w:r>
    </w:p>
    <w:p>
      <w:pPr>
        <w:spacing w:after="0" w:line="80" w:lineRule="exact"/>
        <w:rPr>
          <w:sz w:val="20"/>
          <w:szCs w:val="20"/>
          <w:color w:val="auto"/>
        </w:rPr>
      </w:pPr>
    </w:p>
    <w:p>
      <w:pPr>
        <w:ind w:firstLine="1131"/>
        <w:spacing w:after="0" w:line="246" w:lineRule="auto"/>
        <w:rPr>
          <w:sz w:val="20"/>
          <w:szCs w:val="20"/>
          <w:color w:val="auto"/>
        </w:rPr>
      </w:pPr>
      <w:r>
        <w:rPr>
          <w:rFonts w:ascii="Arial" w:cs="Arial" w:eastAsia="Arial" w:hAnsi="Arial"/>
          <w:sz w:val="21"/>
          <w:szCs w:val="21"/>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0" w:lineRule="exact"/>
        <w:rPr>
          <w:sz w:val="20"/>
          <w:szCs w:val="20"/>
          <w:color w:val="auto"/>
        </w:rPr>
      </w:pPr>
    </w:p>
    <w:p>
      <w:pPr>
        <w:ind w:right="40" w:firstLine="1131"/>
        <w:spacing w:after="0" w:line="250" w:lineRule="auto"/>
        <w:rPr>
          <w:sz w:val="20"/>
          <w:szCs w:val="20"/>
          <w:color w:val="auto"/>
        </w:rPr>
      </w:pPr>
      <w:r>
        <w:rPr>
          <w:rFonts w:ascii="Arial" w:cs="Arial" w:eastAsia="Arial" w:hAnsi="Arial"/>
          <w:sz w:val="22"/>
          <w:szCs w:val="22"/>
          <w:color w:val="auto"/>
        </w:rPr>
        <w:t>In addition, so long as the Depository Trust Company (“</w:t>
      </w:r>
      <w:r>
        <w:rPr>
          <w:rFonts w:ascii="Arial" w:cs="Arial" w:eastAsia="Arial" w:hAnsi="Arial"/>
          <w:sz w:val="22"/>
          <w:szCs w:val="22"/>
          <w:i w:val="1"/>
          <w:iCs w:val="1"/>
          <w:color w:val="auto"/>
        </w:rPr>
        <w:t>DTC</w:t>
      </w:r>
      <w:r>
        <w:rPr>
          <w:rFonts w:ascii="Arial" w:cs="Arial" w:eastAsia="Arial" w:hAnsi="Arial"/>
          <w:sz w:val="22"/>
          <w:szCs w:val="22"/>
          <w:color w:val="auto"/>
        </w:rPr>
        <w:t>”) is the Depositary, each Global Note registered in the name of DTC or its nominee shall bear a legend in substantially the following form:</w:t>
      </w:r>
    </w:p>
    <w:p>
      <w:pPr>
        <w:spacing w:after="0" w:line="67" w:lineRule="exact"/>
        <w:rPr>
          <w:sz w:val="20"/>
          <w:szCs w:val="20"/>
          <w:color w:val="auto"/>
        </w:rPr>
      </w:pPr>
    </w:p>
    <w:p>
      <w:pPr>
        <w:ind w:right="100" w:firstLine="1131"/>
        <w:spacing w:after="0" w:line="234" w:lineRule="auto"/>
        <w:rPr>
          <w:sz w:val="20"/>
          <w:szCs w:val="20"/>
          <w:color w:val="auto"/>
        </w:rPr>
      </w:pPr>
      <w:r>
        <w:rPr>
          <w:rFonts w:ascii="Arial" w:cs="Arial" w:eastAsia="Arial" w:hAnsi="Arial"/>
          <w:sz w:val="22"/>
          <w:szCs w:val="22"/>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spacing w:after="0" w:line="187" w:lineRule="exact"/>
        <w:rPr>
          <w:sz w:val="20"/>
          <w:szCs w:val="20"/>
          <w:color w:val="auto"/>
        </w:rPr>
      </w:pPr>
    </w:p>
    <w:p>
      <w:pPr>
        <w:ind w:right="140" w:firstLine="1131"/>
        <w:spacing w:after="0"/>
        <w:rPr>
          <w:sz w:val="20"/>
          <w:szCs w:val="20"/>
          <w:color w:val="auto"/>
        </w:rPr>
      </w:pPr>
      <w:r>
        <w:rPr>
          <w:rFonts w:ascii="Arial" w:cs="Arial" w:eastAsia="Arial" w:hAnsi="Arial"/>
          <w:sz w:val="22"/>
          <w:szCs w:val="22"/>
          <w:color w:val="auto"/>
        </w:rPr>
        <w:t xml:space="preserve">2.14.4. </w:t>
      </w:r>
      <w:r>
        <w:rPr>
          <w:rFonts w:ascii="Arial" w:cs="Arial" w:eastAsia="Arial" w:hAnsi="Arial"/>
          <w:sz w:val="22"/>
          <w:szCs w:val="22"/>
          <w:u w:val="single" w:color="auto"/>
          <w:color w:val="auto"/>
        </w:rPr>
        <w:t>Acts of Holders</w:t>
      </w:r>
      <w:r>
        <w:rPr>
          <w:rFonts w:ascii="Arial" w:cs="Arial" w:eastAsia="Arial" w:hAnsi="Arial"/>
          <w:sz w:val="22"/>
          <w:szCs w:val="22"/>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86" w:lineRule="exact"/>
        <w:rPr>
          <w:sz w:val="20"/>
          <w:szCs w:val="20"/>
          <w:color w:val="auto"/>
        </w:rPr>
      </w:pPr>
    </w:p>
    <w:p>
      <w:pPr>
        <w:ind w:right="20" w:firstLine="1671"/>
        <w:spacing w:after="0" w:line="275" w:lineRule="auto"/>
        <w:tabs>
          <w:tab w:leader="none" w:pos="2551"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57" w:lineRule="exact"/>
        <w:rPr>
          <w:rFonts w:ascii="Arial" w:cs="Arial" w:eastAsia="Arial" w:hAnsi="Arial"/>
          <w:sz w:val="19"/>
          <w:szCs w:val="19"/>
          <w:color w:val="auto"/>
        </w:rPr>
      </w:pPr>
    </w:p>
    <w:p>
      <w:pPr>
        <w:ind w:right="140" w:firstLine="1671"/>
        <w:spacing w:after="0" w:line="250" w:lineRule="auto"/>
        <w:tabs>
          <w:tab w:leader="none" w:pos="2563"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fact and date of the execution by any Person of any such instrument or writing may be proved by the affidavit of a witness of such execution or by a certificate of a notary</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53" w:name="page54"/>
    <w:bookmarkEnd w:id="53"/>
    <w:p>
      <w:pPr>
        <w:spacing w:after="0"/>
        <w:rPr>
          <w:sz w:val="20"/>
          <w:szCs w:val="20"/>
          <w:color w:val="auto"/>
        </w:rPr>
      </w:pPr>
      <w:r>
        <w:rPr>
          <w:rFonts w:ascii="Arial" w:cs="Arial" w:eastAsia="Arial" w:hAnsi="Arial"/>
          <w:sz w:val="19"/>
          <w:szCs w:val="19"/>
          <w:color w:val="auto"/>
        </w:rPr>
        <w:t>public or other officer authorized by law to take acknowledgments of deeds, certifying that the individual signing such instrument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or writing acknowledged to such officer the execution thereof. Where such execution is by a signer acting in a capacity other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than such signer’s individual capacity, such certificate or affidavit shall also constitute sufficient proof of such signer’s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authority. The fact and date of the execution of any such instrument or writing, or the authority of the Person executing the same,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may also be proved in any other manner which the Trustee deems sufficient.</w:t>
      </w:r>
    </w:p>
    <w:p>
      <w:pPr>
        <w:spacing w:after="0" w:line="188" w:lineRule="exact"/>
        <w:rPr>
          <w:sz w:val="20"/>
          <w:szCs w:val="20"/>
          <w:color w:val="auto"/>
        </w:rPr>
      </w:pPr>
    </w:p>
    <w:p>
      <w:pPr>
        <w:ind w:left="2560" w:hanging="889"/>
        <w:spacing w:after="0"/>
        <w:tabs>
          <w:tab w:leader="none" w:pos="25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ownership of Global Securities or any Securities issued in certificated form shall be proved by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Registrar.</w:t>
      </w:r>
    </w:p>
    <w:p>
      <w:pPr>
        <w:spacing w:after="0" w:line="188" w:lineRule="exact"/>
        <w:rPr>
          <w:sz w:val="20"/>
          <w:szCs w:val="20"/>
          <w:color w:val="auto"/>
        </w:rPr>
      </w:pPr>
    </w:p>
    <w:p>
      <w:pPr>
        <w:ind w:right="60" w:firstLine="1671"/>
        <w:spacing w:after="0" w:line="287" w:lineRule="auto"/>
        <w:tabs>
          <w:tab w:leader="none" w:pos="2563"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42" w:lineRule="exact"/>
        <w:rPr>
          <w:rFonts w:ascii="Arial" w:cs="Arial" w:eastAsia="Arial" w:hAnsi="Arial"/>
          <w:sz w:val="19"/>
          <w:szCs w:val="19"/>
          <w:color w:val="auto"/>
        </w:rPr>
      </w:pPr>
    </w:p>
    <w:p>
      <w:pPr>
        <w:ind w:right="40" w:firstLine="1671"/>
        <w:spacing w:after="0" w:line="244" w:lineRule="auto"/>
        <w:tabs>
          <w:tab w:leader="none" w:pos="2551" w:val="left"/>
        </w:tabs>
        <w:numPr>
          <w:ilvl w:val="0"/>
          <w:numId w:val="39"/>
        </w:numPr>
        <w:rPr>
          <w:rFonts w:ascii="Arial" w:cs="Arial" w:eastAsia="Arial" w:hAnsi="Arial"/>
          <w:sz w:val="21"/>
          <w:szCs w:val="21"/>
          <w:color w:val="auto"/>
        </w:rPr>
      </w:pPr>
      <w:r>
        <w:rPr>
          <w:rFonts w:ascii="Arial" w:cs="Arial" w:eastAsia="Arial" w:hAnsi="Arial"/>
          <w:sz w:val="21"/>
          <w:szCs w:val="21"/>
          <w:color w:val="auto"/>
        </w:rPr>
        <w:t>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188" w:lineRule="exact"/>
        <w:rPr>
          <w:sz w:val="20"/>
          <w:szCs w:val="20"/>
          <w:color w:val="auto"/>
        </w:rPr>
      </w:pPr>
    </w:p>
    <w:p>
      <w:pPr>
        <w:ind w:right="120" w:firstLine="1131"/>
        <w:spacing w:after="0"/>
        <w:rPr>
          <w:sz w:val="20"/>
          <w:szCs w:val="20"/>
          <w:color w:val="auto"/>
        </w:rPr>
      </w:pPr>
      <w:r>
        <w:rPr>
          <w:rFonts w:ascii="Arial" w:cs="Arial" w:eastAsia="Arial" w:hAnsi="Arial"/>
          <w:sz w:val="22"/>
          <w:szCs w:val="22"/>
          <w:color w:val="auto"/>
        </w:rPr>
        <w:t xml:space="preserve">2.14.5. </w:t>
      </w:r>
      <w:r>
        <w:rPr>
          <w:rFonts w:ascii="Arial" w:cs="Arial" w:eastAsia="Arial" w:hAnsi="Arial"/>
          <w:sz w:val="22"/>
          <w:szCs w:val="22"/>
          <w:u w:val="single" w:color="auto"/>
          <w:color w:val="auto"/>
        </w:rPr>
        <w:t>Payments</w:t>
      </w:r>
      <w:r>
        <w:rPr>
          <w:rFonts w:ascii="Arial" w:cs="Arial" w:eastAsia="Arial" w:hAnsi="Arial"/>
          <w:sz w:val="22"/>
          <w:szCs w:val="22"/>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86" w:lineRule="exact"/>
        <w:rPr>
          <w:sz w:val="20"/>
          <w:szCs w:val="20"/>
          <w:color w:val="auto"/>
        </w:rPr>
      </w:pPr>
    </w:p>
    <w:p>
      <w:pPr>
        <w:ind w:right="100" w:firstLine="1131"/>
        <w:spacing w:after="0" w:line="236" w:lineRule="auto"/>
        <w:rPr>
          <w:sz w:val="20"/>
          <w:szCs w:val="20"/>
          <w:color w:val="auto"/>
        </w:rPr>
      </w:pPr>
      <w:r>
        <w:rPr>
          <w:rFonts w:ascii="Arial" w:cs="Arial" w:eastAsia="Arial" w:hAnsi="Arial"/>
          <w:sz w:val="22"/>
          <w:szCs w:val="22"/>
          <w:color w:val="auto"/>
        </w:rPr>
        <w:t xml:space="preserve">2.14.6. </w:t>
      </w:r>
      <w:r>
        <w:rPr>
          <w:rFonts w:ascii="Arial" w:cs="Arial" w:eastAsia="Arial" w:hAnsi="Arial"/>
          <w:sz w:val="22"/>
          <w:szCs w:val="22"/>
          <w:u w:val="single" w:color="auto"/>
          <w:color w:val="auto"/>
        </w:rPr>
        <w:t>Consents, Declaration and Directions</w:t>
      </w:r>
      <w:r>
        <w:rPr>
          <w:rFonts w:ascii="Arial" w:cs="Arial" w:eastAsia="Arial" w:hAnsi="Arial"/>
          <w:sz w:val="22"/>
          <w:szCs w:val="22"/>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9"/>
          <w:szCs w:val="19"/>
          <w:u w:val="single" w:color="auto"/>
          <w:color w:val="auto"/>
        </w:rPr>
        <w:t>CUSIP Numbers.</w:t>
      </w:r>
    </w:p>
    <w:p>
      <w:pPr>
        <w:spacing w:after="0" w:line="206" w:lineRule="exact"/>
        <w:rPr>
          <w:sz w:val="20"/>
          <w:szCs w:val="20"/>
          <w:color w:val="auto"/>
        </w:rPr>
      </w:pPr>
    </w:p>
    <w:p>
      <w:pPr>
        <w:ind w:firstLine="1131"/>
        <w:spacing w:after="0"/>
        <w:rPr>
          <w:sz w:val="20"/>
          <w:szCs w:val="20"/>
          <w:color w:val="auto"/>
        </w:rPr>
      </w:pPr>
      <w:r>
        <w:rPr>
          <w:rFonts w:ascii="Arial" w:cs="Arial" w:eastAsia="Arial" w:hAnsi="Arial"/>
          <w:sz w:val="22"/>
          <w:szCs w:val="22"/>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notice may state that no representation is made as to the correctness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4" w:name="page55"/>
    <w:bookmarkEnd w:id="54"/>
    <w:p>
      <w:pPr>
        <w:jc w:val="both"/>
        <w:ind w:right="20"/>
        <w:spacing w:after="0" w:line="238" w:lineRule="auto"/>
        <w:rPr>
          <w:sz w:val="20"/>
          <w:szCs w:val="20"/>
          <w:color w:val="auto"/>
        </w:rPr>
      </w:pPr>
      <w:r>
        <w:rPr>
          <w:rFonts w:ascii="Arial" w:cs="Arial" w:eastAsia="Arial" w:hAnsi="Arial"/>
          <w:sz w:val="22"/>
          <w:szCs w:val="22"/>
          <w:color w:val="auto"/>
        </w:rPr>
        <w:t>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spacing w:after="0" w:line="179"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REDEMPTION</w:t>
      </w:r>
    </w:p>
    <w:p>
      <w:pPr>
        <w:spacing w:after="0" w:line="18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Notice to Trustee.</w:t>
      </w:r>
    </w:p>
    <w:p>
      <w:pPr>
        <w:spacing w:after="0" w:line="206" w:lineRule="exact"/>
        <w:rPr>
          <w:sz w:val="20"/>
          <w:szCs w:val="20"/>
          <w:color w:val="auto"/>
        </w:rPr>
      </w:pPr>
    </w:p>
    <w:p>
      <w:pPr>
        <w:ind w:firstLine="1131"/>
        <w:spacing w:after="0" w:line="246" w:lineRule="auto"/>
        <w:rPr>
          <w:sz w:val="20"/>
          <w:szCs w:val="20"/>
          <w:color w:val="auto"/>
        </w:rPr>
      </w:pPr>
      <w:r>
        <w:rPr>
          <w:rFonts w:ascii="Arial" w:cs="Arial" w:eastAsia="Arial" w:hAnsi="Arial"/>
          <w:sz w:val="21"/>
          <w:szCs w:val="21"/>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spacing w:after="0" w:line="184"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Selection of Securities to be Redeemed.</w:t>
      </w:r>
    </w:p>
    <w:p>
      <w:pPr>
        <w:spacing w:after="0" w:line="206" w:lineRule="exact"/>
        <w:rPr>
          <w:sz w:val="20"/>
          <w:szCs w:val="20"/>
          <w:color w:val="auto"/>
        </w:rPr>
      </w:pPr>
    </w:p>
    <w:p>
      <w:pPr>
        <w:ind w:right="80" w:firstLine="1131"/>
        <w:spacing w:after="0" w:line="270" w:lineRule="auto"/>
        <w:rPr>
          <w:sz w:val="20"/>
          <w:szCs w:val="20"/>
          <w:color w:val="auto"/>
        </w:rPr>
      </w:pPr>
      <w:r>
        <w:rPr>
          <w:rFonts w:ascii="Arial" w:cs="Arial" w:eastAsia="Arial" w:hAnsi="Arial"/>
          <w:sz w:val="19"/>
          <w:szCs w:val="19"/>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w:t>
      </w:r>
    </w:p>
    <w:p>
      <w:pPr>
        <w:spacing w:after="0" w:line="4" w:lineRule="exact"/>
        <w:rPr>
          <w:sz w:val="20"/>
          <w:szCs w:val="20"/>
          <w:color w:val="auto"/>
        </w:rPr>
      </w:pPr>
    </w:p>
    <w:p>
      <w:pPr>
        <w:ind w:right="40" w:firstLine="8"/>
        <w:spacing w:after="0" w:line="243" w:lineRule="auto"/>
        <w:tabs>
          <w:tab w:leader="none" w:pos="294" w:val="left"/>
        </w:tabs>
        <w:numPr>
          <w:ilvl w:val="0"/>
          <w:numId w:val="40"/>
        </w:numPr>
        <w:rPr>
          <w:rFonts w:ascii="Arial" w:cs="Arial" w:eastAsia="Arial" w:hAnsi="Arial"/>
          <w:sz w:val="21"/>
          <w:szCs w:val="21"/>
          <w:color w:val="auto"/>
        </w:rPr>
      </w:pPr>
      <w:r>
        <w:rPr>
          <w:rFonts w:ascii="Arial" w:cs="Arial" w:eastAsia="Arial" w:hAnsi="Arial"/>
          <w:sz w:val="21"/>
          <w:szCs w:val="21"/>
          <w:color w:val="auto"/>
        </w:rPr>
        <w:t xml:space="preserve">or (b) in the manner that the Trustee deems fair and appropriate, including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85"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Notice of Redemption.</w:t>
      </w:r>
    </w:p>
    <w:p>
      <w:pPr>
        <w:spacing w:after="0" w:line="206" w:lineRule="exact"/>
        <w:rPr>
          <w:sz w:val="20"/>
          <w:szCs w:val="20"/>
          <w:color w:val="auto"/>
        </w:rPr>
      </w:pPr>
    </w:p>
    <w:p>
      <w:pPr>
        <w:ind w:right="80" w:firstLine="1131"/>
        <w:spacing w:after="0"/>
        <w:rPr>
          <w:sz w:val="20"/>
          <w:szCs w:val="20"/>
          <w:color w:val="auto"/>
        </w:rPr>
      </w:pPr>
      <w:r>
        <w:rPr>
          <w:rFonts w:ascii="Arial" w:cs="Arial" w:eastAsia="Arial" w:hAnsi="Arial"/>
          <w:sz w:val="22"/>
          <w:szCs w:val="22"/>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55" w:name="page56"/>
    <w:bookmarkEnd w:id="55"/>
    <w:p>
      <w:pPr>
        <w:spacing w:after="0"/>
        <w:rPr>
          <w:sz w:val="20"/>
          <w:szCs w:val="20"/>
          <w:color w:val="auto"/>
        </w:rPr>
      </w:pPr>
      <w:r>
        <w:rPr>
          <w:rFonts w:ascii="Arial" w:cs="Arial" w:eastAsia="Arial" w:hAnsi="Arial"/>
          <w:sz w:val="19"/>
          <w:szCs w:val="19"/>
          <w:color w:val="auto"/>
        </w:rPr>
        <w:t>accordance with the procedures of the Depositary, a notice of redemption to each Holder whose Securities are to be redeemed.</w:t>
      </w:r>
    </w:p>
    <w:p>
      <w:pPr>
        <w:spacing w:after="0" w:line="24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The notice shall identify the Securities of the Series to be redeemed and shall state:</w:t>
      </w:r>
    </w:p>
    <w:p>
      <w:pPr>
        <w:spacing w:after="0" w:line="206" w:lineRule="exact"/>
        <w:rPr>
          <w:sz w:val="20"/>
          <w:szCs w:val="20"/>
          <w:color w:val="auto"/>
        </w:rPr>
      </w:pPr>
    </w:p>
    <w:p>
      <w:pPr>
        <w:ind w:left="2560" w:hanging="889"/>
        <w:spacing w:after="0"/>
        <w:tabs>
          <w:tab w:leader="none" w:pos="25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6" w:lineRule="exact"/>
        <w:rPr>
          <w:rFonts w:ascii="Arial" w:cs="Arial" w:eastAsia="Arial" w:hAnsi="Arial"/>
          <w:sz w:val="22"/>
          <w:szCs w:val="22"/>
          <w:color w:val="auto"/>
        </w:rPr>
      </w:pPr>
    </w:p>
    <w:p>
      <w:pPr>
        <w:ind w:left="2580" w:hanging="909"/>
        <w:spacing w:after="0"/>
        <w:tabs>
          <w:tab w:leader="none" w:pos="25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redemption price (or manner of calculation if not then known);</w:t>
      </w:r>
    </w:p>
    <w:p>
      <w:pPr>
        <w:spacing w:after="0" w:line="206" w:lineRule="exact"/>
        <w:rPr>
          <w:rFonts w:ascii="Arial" w:cs="Arial" w:eastAsia="Arial" w:hAnsi="Arial"/>
          <w:sz w:val="22"/>
          <w:szCs w:val="22"/>
          <w:color w:val="auto"/>
        </w:rPr>
      </w:pPr>
    </w:p>
    <w:p>
      <w:pPr>
        <w:ind w:left="2560" w:hanging="889"/>
        <w:spacing w:after="0"/>
        <w:tabs>
          <w:tab w:leader="none" w:pos="25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06" w:lineRule="exact"/>
        <w:rPr>
          <w:rFonts w:ascii="Arial" w:cs="Arial" w:eastAsia="Arial" w:hAnsi="Arial"/>
          <w:sz w:val="22"/>
          <w:szCs w:val="22"/>
          <w:color w:val="auto"/>
        </w:rPr>
      </w:pPr>
    </w:p>
    <w:p>
      <w:pPr>
        <w:jc w:val="both"/>
        <w:ind w:right="60" w:firstLine="1671"/>
        <w:spacing w:after="0" w:line="238" w:lineRule="auto"/>
        <w:tabs>
          <w:tab w:leader="none" w:pos="2563" w:val="left"/>
        </w:tabs>
        <w:numPr>
          <w:ilvl w:val="0"/>
          <w:numId w:val="41"/>
        </w:numPr>
        <w:rPr>
          <w:rFonts w:ascii="Arial" w:cs="Arial" w:eastAsia="Arial" w:hAnsi="Arial"/>
          <w:sz w:val="22"/>
          <w:szCs w:val="22"/>
          <w:color w:val="auto"/>
        </w:rPr>
      </w:pPr>
      <w:r>
        <w:rPr>
          <w:rFonts w:ascii="Arial" w:cs="Arial" w:eastAsia="Arial" w:hAnsi="Arial"/>
          <w:sz w:val="22"/>
          <w:szCs w:val="22"/>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84" w:lineRule="exact"/>
        <w:rPr>
          <w:rFonts w:ascii="Arial" w:cs="Arial" w:eastAsia="Arial" w:hAnsi="Arial"/>
          <w:sz w:val="22"/>
          <w:szCs w:val="22"/>
          <w:color w:val="auto"/>
        </w:rPr>
      </w:pPr>
    </w:p>
    <w:p>
      <w:pPr>
        <w:ind w:left="2560" w:hanging="889"/>
        <w:spacing w:after="0"/>
        <w:tabs>
          <w:tab w:leader="none" w:pos="25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that Securities of the Series called for redemption must be surrendered to the Paying Agent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collect the redemption price;</w:t>
      </w:r>
    </w:p>
    <w:p>
      <w:pPr>
        <w:spacing w:after="0" w:line="188" w:lineRule="exact"/>
        <w:rPr>
          <w:rFonts w:ascii="Arial" w:cs="Arial" w:eastAsia="Arial" w:hAnsi="Arial"/>
          <w:sz w:val="19"/>
          <w:szCs w:val="19"/>
          <w:color w:val="auto"/>
        </w:rPr>
      </w:pPr>
    </w:p>
    <w:p>
      <w:pPr>
        <w:ind w:right="520" w:firstLine="1671"/>
        <w:spacing w:after="0" w:line="250" w:lineRule="auto"/>
        <w:tabs>
          <w:tab w:leader="none" w:pos="2527"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that interest on Securities of the Series called for redemption ceases to accrue on and after the redemption date unless the Company defaults in the deposit of the redemption price;</w:t>
      </w:r>
    </w:p>
    <w:p>
      <w:pPr>
        <w:spacing w:after="0" w:line="174" w:lineRule="exact"/>
        <w:rPr>
          <w:rFonts w:ascii="Arial" w:cs="Arial" w:eastAsia="Arial" w:hAnsi="Arial"/>
          <w:sz w:val="22"/>
          <w:szCs w:val="22"/>
          <w:color w:val="auto"/>
        </w:rPr>
      </w:pPr>
    </w:p>
    <w:p>
      <w:pPr>
        <w:ind w:left="2580" w:hanging="909"/>
        <w:spacing w:after="0"/>
        <w:tabs>
          <w:tab w:leader="none" w:pos="25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CUSIP number, if any; and</w:t>
      </w:r>
    </w:p>
    <w:p>
      <w:pPr>
        <w:spacing w:after="0" w:line="206" w:lineRule="exact"/>
        <w:rPr>
          <w:rFonts w:ascii="Arial" w:cs="Arial" w:eastAsia="Arial" w:hAnsi="Arial"/>
          <w:sz w:val="22"/>
          <w:szCs w:val="22"/>
          <w:color w:val="auto"/>
        </w:rPr>
      </w:pPr>
    </w:p>
    <w:p>
      <w:pPr>
        <w:ind w:left="2580" w:hanging="909"/>
        <w:spacing w:after="0"/>
        <w:tabs>
          <w:tab w:leader="none" w:pos="25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other information as may be required by the terms of the particular Series or the Securities of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Series being redeemed.</w:t>
      </w:r>
    </w:p>
    <w:p>
      <w:pPr>
        <w:spacing w:after="0" w:line="188" w:lineRule="exact"/>
        <w:rPr>
          <w:sz w:val="20"/>
          <w:szCs w:val="20"/>
          <w:color w:val="auto"/>
        </w:rPr>
      </w:pPr>
    </w:p>
    <w:p>
      <w:pPr>
        <w:ind w:firstLine="1131"/>
        <w:spacing w:after="0" w:line="238" w:lineRule="auto"/>
        <w:rPr>
          <w:sz w:val="20"/>
          <w:szCs w:val="20"/>
          <w:color w:val="auto"/>
        </w:rPr>
      </w:pPr>
      <w:r>
        <w:rPr>
          <w:rFonts w:ascii="Arial" w:cs="Arial" w:eastAsia="Arial" w:hAnsi="Arial"/>
          <w:sz w:val="22"/>
          <w:szCs w:val="22"/>
          <w:color w:val="auto"/>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spacing w:after="0" w:line="185"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Effect of Notice of Redemption.</w:t>
      </w:r>
    </w:p>
    <w:p>
      <w:pPr>
        <w:spacing w:after="0" w:line="206" w:lineRule="exact"/>
        <w:rPr>
          <w:sz w:val="20"/>
          <w:szCs w:val="20"/>
          <w:color w:val="auto"/>
        </w:rPr>
      </w:pPr>
    </w:p>
    <w:p>
      <w:pPr>
        <w:ind w:right="20" w:firstLine="1131"/>
        <w:spacing w:after="0" w:line="287" w:lineRule="auto"/>
        <w:rPr>
          <w:sz w:val="20"/>
          <w:szCs w:val="20"/>
          <w:color w:val="auto"/>
        </w:rPr>
      </w:pPr>
      <w:r>
        <w:rPr>
          <w:rFonts w:ascii="Arial" w:cs="Arial" w:eastAsia="Arial" w:hAnsi="Arial"/>
          <w:sz w:val="19"/>
          <w:szCs w:val="19"/>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43"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u w:val="single" w:color="auto"/>
          <w:color w:val="auto"/>
        </w:rPr>
        <w:t>Deposit of Redemption Price.</w:t>
      </w:r>
    </w:p>
    <w:p>
      <w:pPr>
        <w:spacing w:after="0" w:line="206" w:lineRule="exact"/>
        <w:rPr>
          <w:sz w:val="20"/>
          <w:szCs w:val="20"/>
          <w:color w:val="auto"/>
        </w:rPr>
      </w:pPr>
    </w:p>
    <w:p>
      <w:pPr>
        <w:jc w:val="both"/>
        <w:ind w:right="100" w:firstLine="1131"/>
        <w:spacing w:after="0"/>
        <w:rPr>
          <w:sz w:val="20"/>
          <w:szCs w:val="20"/>
          <w:color w:val="auto"/>
        </w:rPr>
      </w:pPr>
      <w:r>
        <w:rPr>
          <w:rFonts w:ascii="Arial" w:cs="Arial" w:eastAsia="Arial" w:hAnsi="Arial"/>
          <w:sz w:val="22"/>
          <w:szCs w:val="22"/>
          <w:color w:val="auto"/>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50" w:right="439" w:bottom="1440" w:gutter="0" w:footer="0" w:header="0"/>
        </w:sectPr>
      </w:pPr>
    </w:p>
    <w:bookmarkStart w:id="56" w:name="page57"/>
    <w:bookmarkEnd w:id="56"/>
    <w:p>
      <w:pPr>
        <w:ind w:left="840"/>
        <w:spacing w:after="0"/>
        <w:tabs>
          <w:tab w:leader="none" w:pos="244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9"/>
          <w:szCs w:val="19"/>
          <w:u w:val="single" w:color="auto"/>
          <w:color w:val="auto"/>
        </w:rPr>
        <w:t>Securities Redeemed in Part.</w:t>
      </w:r>
    </w:p>
    <w:p>
      <w:pPr>
        <w:spacing w:after="0" w:line="206" w:lineRule="exact"/>
        <w:rPr>
          <w:sz w:val="20"/>
          <w:szCs w:val="20"/>
          <w:color w:val="auto"/>
        </w:rPr>
      </w:pPr>
    </w:p>
    <w:p>
      <w:pPr>
        <w:ind w:firstLine="1131"/>
        <w:spacing w:after="0" w:line="328" w:lineRule="auto"/>
        <w:rPr>
          <w:sz w:val="20"/>
          <w:szCs w:val="20"/>
          <w:color w:val="auto"/>
        </w:rPr>
      </w:pPr>
      <w:r>
        <w:rPr>
          <w:rFonts w:ascii="Arial" w:cs="Arial" w:eastAsia="Arial" w:hAnsi="Arial"/>
          <w:sz w:val="19"/>
          <w:szCs w:val="19"/>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99"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COVENANTS</w:t>
      </w:r>
    </w:p>
    <w:p>
      <w:pPr>
        <w:spacing w:after="0" w:line="18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Payment of Principal and Interest.</w:t>
      </w:r>
    </w:p>
    <w:p>
      <w:pPr>
        <w:spacing w:after="0" w:line="206" w:lineRule="exact"/>
        <w:rPr>
          <w:sz w:val="20"/>
          <w:szCs w:val="20"/>
          <w:color w:val="auto"/>
        </w:rPr>
      </w:pPr>
    </w:p>
    <w:p>
      <w:pPr>
        <w:ind w:right="20" w:firstLine="1131"/>
        <w:spacing w:after="0" w:line="236" w:lineRule="auto"/>
        <w:rPr>
          <w:sz w:val="20"/>
          <w:szCs w:val="20"/>
          <w:color w:val="auto"/>
        </w:rPr>
      </w:pPr>
      <w:r>
        <w:rPr>
          <w:rFonts w:ascii="Arial" w:cs="Arial" w:eastAsia="Arial" w:hAnsi="Arial"/>
          <w:sz w:val="22"/>
          <w:szCs w:val="22"/>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7"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SEC Reports.</w:t>
      </w:r>
    </w:p>
    <w:p>
      <w:pPr>
        <w:spacing w:after="0" w:line="206" w:lineRule="exact"/>
        <w:rPr>
          <w:sz w:val="20"/>
          <w:szCs w:val="20"/>
          <w:color w:val="auto"/>
        </w:rPr>
      </w:pPr>
    </w:p>
    <w:p>
      <w:pPr>
        <w:ind w:right="60" w:firstLine="1131"/>
        <w:spacing w:after="0" w:line="275" w:lineRule="auto"/>
        <w:rPr>
          <w:sz w:val="20"/>
          <w:szCs w:val="20"/>
          <w:color w:val="auto"/>
        </w:rPr>
      </w:pPr>
      <w:r>
        <w:rPr>
          <w:rFonts w:ascii="Arial" w:cs="Arial" w:eastAsia="Arial" w:hAnsi="Arial"/>
          <w:sz w:val="19"/>
          <w:szCs w:val="19"/>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w:t>
      </w:r>
    </w:p>
    <w:p>
      <w:pPr>
        <w:spacing w:after="0" w:line="157" w:lineRule="exact"/>
        <w:rPr>
          <w:sz w:val="20"/>
          <w:szCs w:val="20"/>
          <w:color w:val="auto"/>
        </w:rPr>
      </w:pPr>
    </w:p>
    <w:p>
      <w:pPr>
        <w:ind w:right="80" w:firstLine="1131"/>
        <w:spacing w:after="0" w:line="252" w:lineRule="auto"/>
        <w:rPr>
          <w:sz w:val="20"/>
          <w:szCs w:val="20"/>
          <w:color w:val="auto"/>
        </w:rPr>
      </w:pPr>
      <w:r>
        <w:rPr>
          <w:rFonts w:ascii="Arial" w:cs="Arial" w:eastAsia="Arial" w:hAnsi="Arial"/>
          <w:sz w:val="21"/>
          <w:szCs w:val="21"/>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74"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Compliance Certificate.</w:t>
      </w:r>
    </w:p>
    <w:p>
      <w:pPr>
        <w:spacing w:after="0" w:line="206" w:lineRule="exact"/>
        <w:rPr>
          <w:sz w:val="20"/>
          <w:szCs w:val="20"/>
          <w:color w:val="auto"/>
        </w:rPr>
      </w:pPr>
    </w:p>
    <w:p>
      <w:pPr>
        <w:ind w:right="200" w:firstLine="1131"/>
        <w:spacing w:after="0" w:line="279" w:lineRule="auto"/>
        <w:rPr>
          <w:sz w:val="20"/>
          <w:szCs w:val="20"/>
          <w:color w:val="auto"/>
        </w:rPr>
      </w:pPr>
      <w:r>
        <w:rPr>
          <w:rFonts w:ascii="Arial" w:cs="Arial" w:eastAsia="Arial" w:hAnsi="Arial"/>
          <w:sz w:val="19"/>
          <w:szCs w:val="19"/>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57" w:name="page58"/>
    <w:bookmarkEnd w:id="57"/>
    <w:p>
      <w:pPr>
        <w:ind w:right="100"/>
        <w:spacing w:after="0"/>
        <w:rPr>
          <w:sz w:val="20"/>
          <w:szCs w:val="20"/>
          <w:color w:val="auto"/>
        </w:rPr>
      </w:pPr>
      <w:r>
        <w:rPr>
          <w:rFonts w:ascii="Arial" w:cs="Arial" w:eastAsia="Arial" w:hAnsi="Arial"/>
          <w:sz w:val="22"/>
          <w:szCs w:val="22"/>
          <w:color w:val="auto"/>
        </w:rPr>
        <w:t>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6"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Stay, Extension and Usury Laws.</w:t>
      </w:r>
    </w:p>
    <w:p>
      <w:pPr>
        <w:spacing w:after="0" w:line="206" w:lineRule="exact"/>
        <w:rPr>
          <w:sz w:val="20"/>
          <w:szCs w:val="20"/>
          <w:color w:val="auto"/>
        </w:rPr>
      </w:pPr>
    </w:p>
    <w:p>
      <w:pPr>
        <w:ind w:right="60" w:firstLine="1131"/>
        <w:spacing w:after="0" w:line="279" w:lineRule="auto"/>
        <w:rPr>
          <w:sz w:val="20"/>
          <w:szCs w:val="20"/>
          <w:color w:val="auto"/>
        </w:rPr>
      </w:pPr>
      <w:r>
        <w:rPr>
          <w:rFonts w:ascii="Arial" w:cs="Arial" w:eastAsia="Arial" w:hAnsi="Arial"/>
          <w:sz w:val="19"/>
          <w:szCs w:val="19"/>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44"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SUCCESSORS</w:t>
      </w:r>
    </w:p>
    <w:p>
      <w:pPr>
        <w:spacing w:after="0" w:line="18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When Company May Merge, Etc.</w:t>
      </w:r>
    </w:p>
    <w:p>
      <w:pPr>
        <w:spacing w:after="0" w:line="206" w:lineRule="exact"/>
        <w:rPr>
          <w:sz w:val="20"/>
          <w:szCs w:val="20"/>
          <w:color w:val="auto"/>
        </w:rPr>
      </w:pPr>
    </w:p>
    <w:p>
      <w:pPr>
        <w:ind w:right="120" w:firstLine="1131"/>
        <w:spacing w:after="0" w:line="250" w:lineRule="auto"/>
        <w:rPr>
          <w:sz w:val="20"/>
          <w:szCs w:val="20"/>
          <w:color w:val="auto"/>
        </w:rPr>
      </w:pPr>
      <w:r>
        <w:rPr>
          <w:rFonts w:ascii="Arial" w:cs="Arial" w:eastAsia="Arial" w:hAnsi="Arial"/>
          <w:sz w:val="22"/>
          <w:szCs w:val="22"/>
          <w:color w:val="auto"/>
        </w:rPr>
        <w:t>The Company shall not consolidate with or merge with or into, or convey, transfer or lease all or substantially all of its properties and assets to, any person (a “</w:t>
      </w:r>
      <w:r>
        <w:rPr>
          <w:rFonts w:ascii="Arial" w:cs="Arial" w:eastAsia="Arial" w:hAnsi="Arial"/>
          <w:sz w:val="22"/>
          <w:szCs w:val="22"/>
          <w:i w:val="1"/>
          <w:iCs w:val="1"/>
          <w:color w:val="auto"/>
        </w:rPr>
        <w:t>successor person</w:t>
      </w:r>
      <w:r>
        <w:rPr>
          <w:rFonts w:ascii="Arial" w:cs="Arial" w:eastAsia="Arial" w:hAnsi="Arial"/>
          <w:sz w:val="22"/>
          <w:szCs w:val="22"/>
          <w:color w:val="auto"/>
        </w:rPr>
        <w:t>”) unless:</w:t>
      </w:r>
    </w:p>
    <w:p>
      <w:pPr>
        <w:spacing w:after="0" w:line="175" w:lineRule="exact"/>
        <w:rPr>
          <w:sz w:val="20"/>
          <w:szCs w:val="20"/>
          <w:color w:val="auto"/>
        </w:rPr>
      </w:pPr>
    </w:p>
    <w:p>
      <w:pPr>
        <w:ind w:right="200" w:firstLine="1671"/>
        <w:spacing w:after="0" w:line="238" w:lineRule="auto"/>
        <w:tabs>
          <w:tab w:leader="none" w:pos="2551"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spacing w:after="0" w:line="184" w:lineRule="exact"/>
        <w:rPr>
          <w:rFonts w:ascii="Arial" w:cs="Arial" w:eastAsia="Arial" w:hAnsi="Arial"/>
          <w:sz w:val="22"/>
          <w:szCs w:val="22"/>
          <w:color w:val="auto"/>
        </w:rPr>
      </w:pPr>
    </w:p>
    <w:p>
      <w:pPr>
        <w:ind w:left="2580" w:hanging="909"/>
        <w:spacing w:after="0"/>
        <w:tabs>
          <w:tab w:leader="none" w:pos="25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immediately after giving effect to the transaction, no Default or Event of Default, shall have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occurred and be continuing.</w:t>
      </w:r>
    </w:p>
    <w:p>
      <w:pPr>
        <w:spacing w:after="0" w:line="188" w:lineRule="exact"/>
        <w:rPr>
          <w:sz w:val="20"/>
          <w:szCs w:val="20"/>
          <w:color w:val="auto"/>
        </w:rPr>
      </w:pPr>
    </w:p>
    <w:p>
      <w:pPr>
        <w:ind w:right="140" w:firstLine="1131"/>
        <w:spacing w:after="0"/>
        <w:rPr>
          <w:sz w:val="20"/>
          <w:szCs w:val="20"/>
          <w:color w:val="auto"/>
        </w:rPr>
      </w:pPr>
      <w:r>
        <w:rPr>
          <w:rFonts w:ascii="Arial" w:cs="Arial" w:eastAsia="Arial" w:hAnsi="Arial"/>
          <w:sz w:val="22"/>
          <w:szCs w:val="22"/>
          <w:color w:val="auto"/>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86" w:lineRule="exact"/>
        <w:rPr>
          <w:sz w:val="20"/>
          <w:szCs w:val="20"/>
          <w:color w:val="auto"/>
        </w:rPr>
      </w:pPr>
    </w:p>
    <w:p>
      <w:pPr>
        <w:jc w:val="both"/>
        <w:ind w:right="160" w:firstLine="1131"/>
        <w:spacing w:after="0"/>
        <w:rPr>
          <w:sz w:val="20"/>
          <w:szCs w:val="20"/>
          <w:color w:val="auto"/>
        </w:rPr>
      </w:pPr>
      <w:r>
        <w:rPr>
          <w:rFonts w:ascii="Arial" w:cs="Arial" w:eastAsia="Arial" w:hAnsi="Arial"/>
          <w:sz w:val="22"/>
          <w:szCs w:val="22"/>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86"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u w:val="single" w:color="auto"/>
          <w:color w:val="auto"/>
        </w:rPr>
        <w:t>Successor Corporation Substituted.</w:t>
      </w:r>
    </w:p>
    <w:p>
      <w:pPr>
        <w:spacing w:after="0" w:line="206" w:lineRule="exact"/>
        <w:rPr>
          <w:sz w:val="20"/>
          <w:szCs w:val="20"/>
          <w:color w:val="auto"/>
        </w:rPr>
      </w:pPr>
    </w:p>
    <w:p>
      <w:pPr>
        <w:ind w:firstLine="1131"/>
        <w:spacing w:after="0" w:line="287" w:lineRule="auto"/>
        <w:rPr>
          <w:sz w:val="20"/>
          <w:szCs w:val="20"/>
          <w:color w:val="auto"/>
        </w:rPr>
      </w:pPr>
      <w:r>
        <w:rPr>
          <w:rFonts w:ascii="Arial" w:cs="Arial" w:eastAsia="Arial" w:hAnsi="Arial"/>
          <w:sz w:val="19"/>
          <w:szCs w:val="19"/>
          <w:color w:val="auto"/>
        </w:rPr>
        <w:t>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8" w:name="page59"/>
    <w:bookmarkEnd w:id="58"/>
    <w:p>
      <w:pPr>
        <w:jc w:val="both"/>
        <w:spacing w:after="0"/>
        <w:rPr>
          <w:sz w:val="20"/>
          <w:szCs w:val="20"/>
          <w:color w:val="auto"/>
        </w:rPr>
      </w:pPr>
      <w:r>
        <w:rPr>
          <w:rFonts w:ascii="Arial" w:cs="Arial" w:eastAsia="Arial" w:hAnsi="Arial"/>
          <w:sz w:val="22"/>
          <w:szCs w:val="22"/>
          <w:color w:val="auto"/>
        </w:rPr>
        <w:t xml:space="preserve">such successor person has been named as the Company 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predecessor Company in the case of a sale, conveyance or other disposition (other than a lease) shall be released from all obligations and covenants under this Indenture and the Securities.</w:t>
      </w:r>
    </w:p>
    <w:p>
      <w:pPr>
        <w:spacing w:after="0" w:line="180"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DEFAULTS AND REMEDIES</w:t>
      </w:r>
    </w:p>
    <w:p>
      <w:pPr>
        <w:spacing w:after="0" w:line="18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Events of Default.</w:t>
      </w:r>
    </w:p>
    <w:p>
      <w:pPr>
        <w:spacing w:after="0" w:line="206" w:lineRule="exact"/>
        <w:rPr>
          <w:sz w:val="20"/>
          <w:szCs w:val="20"/>
          <w:color w:val="auto"/>
        </w:rPr>
      </w:pPr>
    </w:p>
    <w:p>
      <w:pPr>
        <w:ind w:firstLine="113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86" w:lineRule="exact"/>
        <w:rPr>
          <w:sz w:val="20"/>
          <w:szCs w:val="20"/>
          <w:color w:val="auto"/>
        </w:rPr>
      </w:pPr>
    </w:p>
    <w:p>
      <w:pPr>
        <w:ind w:right="280" w:firstLine="1671"/>
        <w:spacing w:after="0" w:line="297" w:lineRule="auto"/>
        <w:tabs>
          <w:tab w:leader="none" w:pos="2551" w:val="left"/>
        </w:tabs>
        <w:numPr>
          <w:ilvl w:val="0"/>
          <w:numId w:val="43"/>
        </w:numPr>
        <w:rPr>
          <w:rFonts w:ascii="Arial" w:cs="Arial" w:eastAsia="Arial" w:hAnsi="Arial"/>
          <w:sz w:val="19"/>
          <w:szCs w:val="19"/>
          <w:color w:val="auto"/>
        </w:rPr>
      </w:pPr>
      <w:r>
        <w:rPr>
          <w:rFonts w:ascii="Arial" w:cs="Arial" w:eastAsia="Arial" w:hAnsi="Arial"/>
          <w:sz w:val="19"/>
          <w:szCs w:val="19"/>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Arial" w:cs="Arial" w:eastAsia="Arial" w:hAnsi="Arial"/>
          <w:sz w:val="16"/>
          <w:szCs w:val="16"/>
          <w:color w:val="auto"/>
        </w:rPr>
        <w:t>th</w:t>
      </w:r>
      <w:r>
        <w:rPr>
          <w:rFonts w:ascii="Arial" w:cs="Arial" w:eastAsia="Arial" w:hAnsi="Arial"/>
          <w:sz w:val="19"/>
          <w:szCs w:val="19"/>
          <w:color w:val="auto"/>
        </w:rPr>
        <w:t xml:space="preserve"> day of such period); or</w:t>
      </w:r>
    </w:p>
    <w:p>
      <w:pPr>
        <w:spacing w:after="0" w:line="133" w:lineRule="exact"/>
        <w:rPr>
          <w:rFonts w:ascii="Arial" w:cs="Arial" w:eastAsia="Arial" w:hAnsi="Arial"/>
          <w:sz w:val="19"/>
          <w:szCs w:val="19"/>
          <w:color w:val="auto"/>
        </w:rPr>
      </w:pPr>
    </w:p>
    <w:p>
      <w:pPr>
        <w:ind w:left="2580" w:hanging="909"/>
        <w:spacing w:after="0"/>
        <w:tabs>
          <w:tab w:leader="none" w:pos="25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default in the payment of principal of any Security of that Series at its Maturity; or</w:t>
      </w:r>
    </w:p>
    <w:p>
      <w:pPr>
        <w:spacing w:after="0" w:line="206" w:lineRule="exact"/>
        <w:rPr>
          <w:rFonts w:ascii="Arial" w:cs="Arial" w:eastAsia="Arial" w:hAnsi="Arial"/>
          <w:sz w:val="22"/>
          <w:szCs w:val="22"/>
          <w:color w:val="auto"/>
        </w:rPr>
      </w:pPr>
    </w:p>
    <w:p>
      <w:pPr>
        <w:ind w:right="60" w:firstLine="1671"/>
        <w:spacing w:after="0" w:line="279" w:lineRule="auto"/>
        <w:tabs>
          <w:tab w:leader="none" w:pos="2551" w:val="left"/>
        </w:tabs>
        <w:numPr>
          <w:ilvl w:val="0"/>
          <w:numId w:val="43"/>
        </w:numPr>
        <w:rPr>
          <w:rFonts w:ascii="Arial" w:cs="Arial" w:eastAsia="Arial" w:hAnsi="Arial"/>
          <w:sz w:val="19"/>
          <w:szCs w:val="19"/>
          <w:color w:val="auto"/>
        </w:rPr>
      </w:pPr>
      <w:r>
        <w:rPr>
          <w:rFonts w:ascii="Arial" w:cs="Arial" w:eastAsia="Arial" w:hAnsi="Arial"/>
          <w:sz w:val="19"/>
          <w:szCs w:val="19"/>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50" w:lineRule="exact"/>
        <w:rPr>
          <w:rFonts w:ascii="Arial" w:cs="Arial" w:eastAsia="Arial" w:hAnsi="Arial"/>
          <w:sz w:val="19"/>
          <w:szCs w:val="19"/>
          <w:color w:val="auto"/>
        </w:rPr>
      </w:pPr>
    </w:p>
    <w:p>
      <w:pPr>
        <w:ind w:left="2580" w:hanging="909"/>
        <w:spacing w:after="0"/>
        <w:tabs>
          <w:tab w:leader="none" w:pos="25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Company pursuant to or within the meaning of any Bankruptcy Law:</w:t>
      </w:r>
    </w:p>
    <w:p>
      <w:pPr>
        <w:spacing w:after="0" w:line="206" w:lineRule="exact"/>
        <w:rPr>
          <w:rFonts w:ascii="Arial" w:cs="Arial" w:eastAsia="Arial" w:hAnsi="Arial"/>
          <w:sz w:val="22"/>
          <w:szCs w:val="22"/>
          <w:color w:val="auto"/>
        </w:rPr>
      </w:pPr>
    </w:p>
    <w:p>
      <w:pPr>
        <w:ind w:left="3780" w:hanging="860"/>
        <w:spacing w:after="0"/>
        <w:tabs>
          <w:tab w:leader="none" w:pos="37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06" w:lineRule="exact"/>
        <w:rPr>
          <w:rFonts w:ascii="Arial" w:cs="Arial" w:eastAsia="Arial" w:hAnsi="Arial"/>
          <w:sz w:val="22"/>
          <w:szCs w:val="22"/>
          <w:color w:val="auto"/>
        </w:rPr>
      </w:pPr>
    </w:p>
    <w:p>
      <w:pPr>
        <w:ind w:left="3840" w:hanging="920"/>
        <w:spacing w:after="0"/>
        <w:tabs>
          <w:tab w:leader="none" w:pos="3840" w:val="left"/>
        </w:tabs>
        <w:numPr>
          <w:ilvl w:val="1"/>
          <w:numId w:val="43"/>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06" w:lineRule="exact"/>
        <w:rPr>
          <w:rFonts w:ascii="Arial" w:cs="Arial" w:eastAsia="Arial" w:hAnsi="Arial"/>
          <w:sz w:val="22"/>
          <w:szCs w:val="22"/>
          <w:color w:val="auto"/>
        </w:rPr>
      </w:pPr>
    </w:p>
    <w:p>
      <w:pPr>
        <w:ind w:left="3900" w:hanging="980"/>
        <w:spacing w:after="0"/>
        <w:tabs>
          <w:tab w:leader="none" w:pos="39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consents to the appointment of a Custodian of it or for all or substantially all of its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property,</w:t>
      </w:r>
    </w:p>
    <w:p>
      <w:pPr>
        <w:spacing w:after="0" w:line="188" w:lineRule="exact"/>
        <w:rPr>
          <w:rFonts w:ascii="Arial" w:cs="Arial" w:eastAsia="Arial" w:hAnsi="Arial"/>
          <w:sz w:val="19"/>
          <w:szCs w:val="19"/>
          <w:color w:val="auto"/>
        </w:rPr>
      </w:pPr>
    </w:p>
    <w:p>
      <w:pPr>
        <w:ind w:left="3880" w:hanging="960"/>
        <w:spacing w:after="0"/>
        <w:tabs>
          <w:tab w:leader="none" w:pos="38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06" w:lineRule="exact"/>
        <w:rPr>
          <w:rFonts w:ascii="Arial" w:cs="Arial" w:eastAsia="Arial" w:hAnsi="Arial"/>
          <w:sz w:val="22"/>
          <w:szCs w:val="22"/>
          <w:color w:val="auto"/>
        </w:rPr>
      </w:pPr>
    </w:p>
    <w:p>
      <w:pPr>
        <w:ind w:left="3820" w:hanging="900"/>
        <w:spacing w:after="0"/>
        <w:tabs>
          <w:tab w:leader="none" w:pos="3820" w:val="left"/>
        </w:tabs>
        <w:numPr>
          <w:ilvl w:val="1"/>
          <w:numId w:val="43"/>
        </w:numPr>
        <w:rPr>
          <w:rFonts w:ascii="Arial" w:cs="Arial" w:eastAsia="Arial" w:hAnsi="Arial"/>
          <w:sz w:val="22"/>
          <w:szCs w:val="22"/>
          <w:color w:val="auto"/>
        </w:rPr>
      </w:pPr>
      <w:r>
        <w:rPr>
          <w:rFonts w:ascii="Arial" w:cs="Arial" w:eastAsia="Arial" w:hAnsi="Arial"/>
          <w:sz w:val="22"/>
          <w:szCs w:val="22"/>
          <w:color w:val="auto"/>
        </w:rPr>
        <w:t>generally is unable to pay its debts as the same become due; or</w:t>
      </w:r>
    </w:p>
    <w:p>
      <w:pPr>
        <w:spacing w:after="0" w:line="206" w:lineRule="exact"/>
        <w:rPr>
          <w:rFonts w:ascii="Arial" w:cs="Arial" w:eastAsia="Arial" w:hAnsi="Arial"/>
          <w:sz w:val="22"/>
          <w:szCs w:val="22"/>
          <w:color w:val="auto"/>
        </w:rPr>
      </w:pPr>
    </w:p>
    <w:p>
      <w:pPr>
        <w:ind w:left="2560" w:hanging="889"/>
        <w:spacing w:after="0"/>
        <w:tabs>
          <w:tab w:leader="none" w:pos="25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a court of competent jurisdiction enters an order or decree under any Bankruptcy Law that: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59" w:name="page60"/>
    <w:bookmarkEnd w:id="59"/>
    <w:p>
      <w:pPr>
        <w:ind w:left="3780" w:hanging="860"/>
        <w:spacing w:after="0"/>
        <w:tabs>
          <w:tab w:leader="none" w:pos="3780" w:val="left"/>
        </w:tabs>
        <w:numPr>
          <w:ilvl w:val="0"/>
          <w:numId w:val="44"/>
        </w:numPr>
        <w:rPr>
          <w:rFonts w:ascii="Arial" w:cs="Arial" w:eastAsia="Arial" w:hAnsi="Arial"/>
          <w:sz w:val="22"/>
          <w:szCs w:val="22"/>
          <w:color w:val="auto"/>
        </w:rPr>
      </w:pPr>
      <w:r>
        <w:rPr>
          <w:rFonts w:ascii="Arial" w:cs="Arial" w:eastAsia="Arial" w:hAnsi="Arial"/>
          <w:sz w:val="22"/>
          <w:szCs w:val="22"/>
          <w:color w:val="auto"/>
        </w:rPr>
        <w:t>is for relief against the Company in an involuntary case,</w:t>
      </w:r>
    </w:p>
    <w:p>
      <w:pPr>
        <w:spacing w:after="0" w:line="206" w:lineRule="exact"/>
        <w:rPr>
          <w:rFonts w:ascii="Arial" w:cs="Arial" w:eastAsia="Arial" w:hAnsi="Arial"/>
          <w:sz w:val="22"/>
          <w:szCs w:val="22"/>
          <w:color w:val="auto"/>
        </w:rPr>
      </w:pPr>
    </w:p>
    <w:p>
      <w:pPr>
        <w:ind w:left="3840" w:hanging="920"/>
        <w:spacing w:after="0"/>
        <w:tabs>
          <w:tab w:leader="none" w:pos="38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appoints a Custodian of the Company or for all or substantially all of its property, or</w:t>
      </w:r>
    </w:p>
    <w:p>
      <w:pPr>
        <w:spacing w:after="0" w:line="240" w:lineRule="exact"/>
        <w:rPr>
          <w:rFonts w:ascii="Arial" w:cs="Arial" w:eastAsia="Arial" w:hAnsi="Arial"/>
          <w:sz w:val="19"/>
          <w:szCs w:val="19"/>
          <w:color w:val="auto"/>
        </w:rPr>
      </w:pPr>
    </w:p>
    <w:p>
      <w:pPr>
        <w:ind w:left="3900" w:hanging="980"/>
        <w:spacing w:after="0"/>
        <w:tabs>
          <w:tab w:leader="none" w:pos="39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orders the liquidation of the Company,</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and the order or decree remains unstayed and in effect for 60 days; or</w:t>
      </w:r>
    </w:p>
    <w:p>
      <w:pPr>
        <w:spacing w:after="0" w:line="206" w:lineRule="exact"/>
        <w:rPr>
          <w:sz w:val="20"/>
          <w:szCs w:val="20"/>
          <w:color w:val="auto"/>
        </w:rPr>
      </w:pPr>
    </w:p>
    <w:p>
      <w:pPr>
        <w:ind w:right="100" w:firstLine="1671"/>
        <w:spacing w:after="0" w:line="328" w:lineRule="auto"/>
        <w:tabs>
          <w:tab w:leader="none" w:pos="2527"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other Event of Default provided with respect to Securities of that Series, which is specified in a Board Resolution, a supplemental indenture hereto or an Officer’s Certificate, in accordance with Section 2.2.18.</w:t>
      </w:r>
    </w:p>
    <w:p>
      <w:pPr>
        <w:spacing w:after="0" w:line="105" w:lineRule="exact"/>
        <w:rPr>
          <w:sz w:val="20"/>
          <w:szCs w:val="20"/>
          <w:color w:val="auto"/>
        </w:rPr>
      </w:pPr>
    </w:p>
    <w:p>
      <w:pPr>
        <w:ind w:right="300" w:firstLine="1131"/>
        <w:spacing w:after="0" w:line="328"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i w:val="1"/>
          <w:iCs w:val="1"/>
          <w:color w:val="auto"/>
        </w:rPr>
        <w:t>Bankruptcy Law</w:t>
      </w:r>
      <w:r>
        <w:rPr>
          <w:rFonts w:ascii="Arial" w:cs="Arial" w:eastAsia="Arial" w:hAnsi="Arial"/>
          <w:sz w:val="19"/>
          <w:szCs w:val="19"/>
          <w:color w:val="auto"/>
        </w:rPr>
        <w:t>” means title 11, U.S. Code or any similar U.S. Federal or State law for the relief of debtors. The term “</w:t>
      </w:r>
      <w:r>
        <w:rPr>
          <w:rFonts w:ascii="Arial" w:cs="Arial" w:eastAsia="Arial" w:hAnsi="Arial"/>
          <w:sz w:val="19"/>
          <w:szCs w:val="19"/>
          <w:i w:val="1"/>
          <w:iCs w:val="1"/>
          <w:color w:val="auto"/>
        </w:rPr>
        <w:t>Custodian</w:t>
      </w:r>
      <w:r>
        <w:rPr>
          <w:rFonts w:ascii="Arial" w:cs="Arial" w:eastAsia="Arial" w:hAnsi="Arial"/>
          <w:sz w:val="19"/>
          <w:szCs w:val="19"/>
          <w:color w:val="auto"/>
        </w:rPr>
        <w:t>” means any receiver, trustee, assignee, liquidator or similar official under any Bankruptcy Law.</w:t>
      </w:r>
    </w:p>
    <w:p>
      <w:pPr>
        <w:spacing w:after="0" w:line="105" w:lineRule="exact"/>
        <w:rPr>
          <w:sz w:val="20"/>
          <w:szCs w:val="20"/>
          <w:color w:val="auto"/>
        </w:rPr>
      </w:pPr>
    </w:p>
    <w:p>
      <w:pPr>
        <w:ind w:firstLine="1131"/>
        <w:spacing w:after="0" w:line="257" w:lineRule="auto"/>
        <w:rPr>
          <w:sz w:val="20"/>
          <w:szCs w:val="20"/>
          <w:color w:val="auto"/>
        </w:rPr>
      </w:pPr>
      <w:r>
        <w:rPr>
          <w:rFonts w:ascii="Arial" w:cs="Arial" w:eastAsia="Arial" w:hAnsi="Arial"/>
          <w:sz w:val="21"/>
          <w:szCs w:val="21"/>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69"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Acceleration of Maturity; Rescission and Annulment.</w:t>
      </w:r>
    </w:p>
    <w:p>
      <w:pPr>
        <w:spacing w:after="0" w:line="206" w:lineRule="exact"/>
        <w:rPr>
          <w:sz w:val="20"/>
          <w:szCs w:val="20"/>
          <w:color w:val="auto"/>
        </w:rPr>
      </w:pPr>
    </w:p>
    <w:p>
      <w:pPr>
        <w:ind w:firstLine="1131"/>
        <w:spacing w:after="0" w:line="274" w:lineRule="auto"/>
        <w:rPr>
          <w:sz w:val="20"/>
          <w:szCs w:val="20"/>
          <w:color w:val="auto"/>
        </w:rPr>
      </w:pPr>
      <w:r>
        <w:rPr>
          <w:rFonts w:ascii="Arial" w:cs="Arial" w:eastAsia="Arial" w:hAnsi="Arial"/>
          <w:sz w:val="19"/>
          <w:szCs w:val="19"/>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9"/>
          <w:szCs w:val="19"/>
          <w:i w:val="1"/>
          <w:iCs w:val="1"/>
          <w:color w:val="auto"/>
        </w:rPr>
        <w:t>ipso facto</w:t>
      </w:r>
      <w:r>
        <w:rPr>
          <w:rFonts w:ascii="Arial" w:cs="Arial" w:eastAsia="Arial" w:hAnsi="Arial"/>
          <w:sz w:val="19"/>
          <w:szCs w:val="19"/>
          <w:color w:val="auto"/>
        </w:rPr>
        <w:t xml:space="preserve"> become and be immediately due and payable without any declaration or other act on the part of the Trustee or any Holder.</w:t>
      </w:r>
    </w:p>
    <w:p>
      <w:pPr>
        <w:spacing w:after="0" w:line="200" w:lineRule="exact"/>
        <w:rPr>
          <w:sz w:val="20"/>
          <w:szCs w:val="20"/>
          <w:color w:val="auto"/>
        </w:rPr>
      </w:pPr>
    </w:p>
    <w:p>
      <w:pPr>
        <w:spacing w:after="0" w:line="201" w:lineRule="exact"/>
        <w:rPr>
          <w:sz w:val="20"/>
          <w:szCs w:val="20"/>
          <w:color w:val="auto"/>
        </w:rPr>
      </w:pPr>
    </w:p>
    <w:p>
      <w:pPr>
        <w:ind w:right="80" w:firstLine="1131"/>
        <w:spacing w:after="0" w:line="279" w:lineRule="auto"/>
        <w:rPr>
          <w:sz w:val="20"/>
          <w:szCs w:val="20"/>
          <w:color w:val="auto"/>
        </w:rPr>
      </w:pPr>
      <w:r>
        <w:rPr>
          <w:rFonts w:ascii="Arial" w:cs="Arial" w:eastAsia="Arial" w:hAnsi="Arial"/>
          <w:sz w:val="19"/>
          <w:szCs w:val="19"/>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60" w:name="page61"/>
    <w:bookmarkEnd w:id="60"/>
    <w:p>
      <w:pPr>
        <w:ind w:left="1140"/>
        <w:spacing w:after="0"/>
        <w:rPr>
          <w:sz w:val="20"/>
          <w:szCs w:val="20"/>
          <w:color w:val="auto"/>
        </w:rPr>
      </w:pPr>
      <w:r>
        <w:rPr>
          <w:rFonts w:ascii="Arial" w:cs="Arial" w:eastAsia="Arial" w:hAnsi="Arial"/>
          <w:sz w:val="22"/>
          <w:szCs w:val="22"/>
          <w:color w:val="auto"/>
        </w:rPr>
        <w:t>No such rescission shall affect any subsequent Default or impair any right consequent thereon.</w:t>
      </w:r>
    </w:p>
    <w:p>
      <w:pPr>
        <w:spacing w:after="0" w:line="206"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Collection of Indebtedness and Suits for Enforcement by Trustee.</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The Company covenants that if</w:t>
      </w:r>
    </w:p>
    <w:p>
      <w:pPr>
        <w:spacing w:after="0" w:line="206" w:lineRule="exact"/>
        <w:rPr>
          <w:sz w:val="20"/>
          <w:szCs w:val="20"/>
          <w:color w:val="auto"/>
        </w:rPr>
      </w:pPr>
    </w:p>
    <w:p>
      <w:pPr>
        <w:ind w:right="40" w:firstLine="1671"/>
        <w:spacing w:after="0" w:line="250" w:lineRule="auto"/>
        <w:tabs>
          <w:tab w:leader="none" w:pos="2551" w:val="left"/>
        </w:tabs>
        <w:numPr>
          <w:ilvl w:val="0"/>
          <w:numId w:val="46"/>
        </w:numPr>
        <w:rPr>
          <w:rFonts w:ascii="Arial" w:cs="Arial" w:eastAsia="Arial" w:hAnsi="Arial"/>
          <w:sz w:val="22"/>
          <w:szCs w:val="22"/>
          <w:color w:val="auto"/>
        </w:rPr>
      </w:pPr>
      <w:r>
        <w:rPr>
          <w:rFonts w:ascii="Arial" w:cs="Arial" w:eastAsia="Arial" w:hAnsi="Arial"/>
          <w:sz w:val="22"/>
          <w:szCs w:val="22"/>
          <w:color w:val="auto"/>
        </w:rPr>
        <w:t>default is made in the payment of any interest on any Security when such interest becomes due and payable and such default continues for a period of 30 days, or</w:t>
      </w:r>
    </w:p>
    <w:p>
      <w:pPr>
        <w:spacing w:after="0" w:line="174" w:lineRule="exact"/>
        <w:rPr>
          <w:rFonts w:ascii="Arial" w:cs="Arial" w:eastAsia="Arial" w:hAnsi="Arial"/>
          <w:sz w:val="22"/>
          <w:szCs w:val="22"/>
          <w:color w:val="auto"/>
        </w:rPr>
      </w:pPr>
    </w:p>
    <w:p>
      <w:pPr>
        <w:ind w:left="2580" w:hanging="909"/>
        <w:spacing w:after="0"/>
        <w:tabs>
          <w:tab w:leader="none" w:pos="25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default is made in the payment of principal of any Security at the Maturity thereof, or</w:t>
      </w:r>
    </w:p>
    <w:p>
      <w:pPr>
        <w:spacing w:after="0" w:line="206" w:lineRule="exact"/>
        <w:rPr>
          <w:rFonts w:ascii="Arial" w:cs="Arial" w:eastAsia="Arial" w:hAnsi="Arial"/>
          <w:sz w:val="22"/>
          <w:szCs w:val="22"/>
          <w:color w:val="auto"/>
        </w:rPr>
      </w:pPr>
    </w:p>
    <w:p>
      <w:pPr>
        <w:ind w:left="2560" w:hanging="889"/>
        <w:spacing w:after="0"/>
        <w:tabs>
          <w:tab w:leader="none" w:pos="25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default is made in the deposit of any sinking fund payment, if any, when and as due by the terms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 Security,</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9"/>
          <w:szCs w:val="19"/>
          <w:i w:val="1"/>
          <w:iCs w:val="1"/>
          <w:color w:val="auto"/>
        </w:rPr>
        <w:t>then</w:t>
      </w:r>
      <w:r>
        <w:rPr>
          <w:rFonts w:ascii="Arial" w:cs="Arial" w:eastAsia="Arial" w:hAnsi="Arial"/>
          <w:sz w:val="19"/>
          <w:szCs w:val="19"/>
          <w:color w:val="auto"/>
        </w:rPr>
        <w:t>, the Company will, upon demand of the Trustee, pay to it, for the benefit of the Holders of such Securities, the whole</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47" w:lineRule="exact"/>
        <w:rPr>
          <w:sz w:val="20"/>
          <w:szCs w:val="20"/>
          <w:color w:val="auto"/>
        </w:rPr>
      </w:pPr>
    </w:p>
    <w:p>
      <w:pPr>
        <w:ind w:firstLine="1131"/>
        <w:spacing w:after="0" w:line="249" w:lineRule="auto"/>
        <w:rPr>
          <w:sz w:val="20"/>
          <w:szCs w:val="20"/>
          <w:color w:val="auto"/>
        </w:rPr>
      </w:pPr>
      <w:r>
        <w:rPr>
          <w:rFonts w:ascii="Arial" w:cs="Arial" w:eastAsia="Arial" w:hAnsi="Arial"/>
          <w:sz w:val="21"/>
          <w:szCs w:val="21"/>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8" w:lineRule="exact"/>
        <w:rPr>
          <w:sz w:val="20"/>
          <w:szCs w:val="20"/>
          <w:color w:val="auto"/>
        </w:rPr>
      </w:pPr>
    </w:p>
    <w:p>
      <w:pPr>
        <w:ind w:right="140" w:firstLine="1131"/>
        <w:spacing w:after="0" w:line="236" w:lineRule="auto"/>
        <w:rPr>
          <w:sz w:val="20"/>
          <w:szCs w:val="20"/>
          <w:color w:val="auto"/>
        </w:rPr>
      </w:pPr>
      <w:r>
        <w:rPr>
          <w:rFonts w:ascii="Arial" w:cs="Arial" w:eastAsia="Arial" w:hAnsi="Arial"/>
          <w:sz w:val="22"/>
          <w:szCs w:val="22"/>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19"/>
          <w:szCs w:val="19"/>
          <w:u w:val="single" w:color="auto"/>
          <w:color w:val="auto"/>
        </w:rPr>
        <w:t>Trustee May File Proofs of Claim.</w:t>
      </w:r>
    </w:p>
    <w:p>
      <w:pPr>
        <w:spacing w:after="0" w:line="206" w:lineRule="exact"/>
        <w:rPr>
          <w:sz w:val="20"/>
          <w:szCs w:val="20"/>
          <w:color w:val="auto"/>
        </w:rPr>
      </w:pPr>
    </w:p>
    <w:p>
      <w:pPr>
        <w:ind w:right="400" w:firstLine="1131"/>
        <w:spacing w:after="0" w:line="282" w:lineRule="auto"/>
        <w:rPr>
          <w:sz w:val="20"/>
          <w:szCs w:val="20"/>
          <w:color w:val="auto"/>
        </w:rPr>
      </w:pPr>
      <w:r>
        <w:rPr>
          <w:rFonts w:ascii="Arial" w:cs="Arial" w:eastAsia="Arial" w:hAnsi="Arial"/>
          <w:sz w:val="19"/>
          <w:szCs w:val="19"/>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0" w:right="41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principal or interest) shall be entitled and empowered, by intervention in such proceeding or otherwise,</w:t>
      </w:r>
    </w:p>
    <w:p>
      <w:pPr>
        <w:spacing w:after="0" w:line="206" w:lineRule="exact"/>
        <w:rPr>
          <w:sz w:val="20"/>
          <w:szCs w:val="20"/>
          <w:color w:val="auto"/>
        </w:rPr>
      </w:pPr>
    </w:p>
    <w:p>
      <w:pPr>
        <w:ind w:firstLine="1671"/>
        <w:spacing w:after="0" w:line="238" w:lineRule="auto"/>
        <w:tabs>
          <w:tab w:leader="none" w:pos="2551" w:val="left"/>
        </w:tabs>
        <w:numPr>
          <w:ilvl w:val="0"/>
          <w:numId w:val="47"/>
        </w:numPr>
        <w:rPr>
          <w:rFonts w:ascii="Arial" w:cs="Arial" w:eastAsia="Arial" w:hAnsi="Arial"/>
          <w:sz w:val="22"/>
          <w:szCs w:val="22"/>
          <w:color w:val="auto"/>
        </w:rPr>
      </w:pPr>
      <w:r>
        <w:rPr>
          <w:rFonts w:ascii="Arial" w:cs="Arial" w:eastAsia="Arial" w:hAnsi="Arial"/>
          <w:sz w:val="22"/>
          <w:szCs w:val="22"/>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84" w:lineRule="exact"/>
        <w:rPr>
          <w:rFonts w:ascii="Arial" w:cs="Arial" w:eastAsia="Arial" w:hAnsi="Arial"/>
          <w:sz w:val="22"/>
          <w:szCs w:val="22"/>
          <w:color w:val="auto"/>
        </w:rPr>
      </w:pPr>
    </w:p>
    <w:p>
      <w:pPr>
        <w:ind w:right="120" w:firstLine="1671"/>
        <w:spacing w:after="0" w:line="235" w:lineRule="auto"/>
        <w:tabs>
          <w:tab w:leader="none" w:pos="2563" w:val="left"/>
        </w:tabs>
        <w:numPr>
          <w:ilvl w:val="0"/>
          <w:numId w:val="47"/>
        </w:numPr>
        <w:rPr>
          <w:rFonts w:ascii="Arial" w:cs="Arial" w:eastAsia="Arial" w:hAnsi="Arial"/>
          <w:sz w:val="22"/>
          <w:szCs w:val="22"/>
          <w:color w:val="auto"/>
        </w:rPr>
      </w:pPr>
      <w:r>
        <w:rPr>
          <w:rFonts w:ascii="Arial" w:cs="Arial" w:eastAsia="Arial" w:hAnsi="Arial"/>
          <w:sz w:val="22"/>
          <w:szCs w:val="22"/>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8" w:lineRule="exact"/>
        <w:rPr>
          <w:sz w:val="20"/>
          <w:szCs w:val="20"/>
          <w:color w:val="auto"/>
        </w:rPr>
      </w:pPr>
    </w:p>
    <w:p>
      <w:pPr>
        <w:jc w:val="both"/>
        <w:ind w:right="80" w:firstLine="1131"/>
        <w:spacing w:after="0" w:line="297" w:lineRule="auto"/>
        <w:rPr>
          <w:sz w:val="20"/>
          <w:szCs w:val="20"/>
          <w:color w:val="auto"/>
        </w:rPr>
      </w:pPr>
      <w:r>
        <w:rPr>
          <w:rFonts w:ascii="Arial" w:cs="Arial" w:eastAsia="Arial" w:hAnsi="Arial"/>
          <w:sz w:val="19"/>
          <w:szCs w:val="19"/>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34"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Trustee May Enforce Claims Without Possession of Securities.</w:t>
      </w:r>
    </w:p>
    <w:p>
      <w:pPr>
        <w:spacing w:after="0" w:line="206" w:lineRule="exact"/>
        <w:rPr>
          <w:sz w:val="20"/>
          <w:szCs w:val="20"/>
          <w:color w:val="auto"/>
        </w:rPr>
      </w:pPr>
    </w:p>
    <w:p>
      <w:pPr>
        <w:ind w:firstLine="1131"/>
        <w:spacing w:after="0" w:line="235" w:lineRule="auto"/>
        <w:rPr>
          <w:sz w:val="20"/>
          <w:szCs w:val="20"/>
          <w:color w:val="auto"/>
        </w:rPr>
      </w:pPr>
      <w:r>
        <w:rPr>
          <w:rFonts w:ascii="Arial" w:cs="Arial" w:eastAsia="Arial" w:hAnsi="Arial"/>
          <w:sz w:val="22"/>
          <w:szCs w:val="22"/>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u w:val="single" w:color="auto"/>
          <w:color w:val="auto"/>
        </w:rPr>
        <w:t>Application of Money Collected.</w:t>
      </w:r>
    </w:p>
    <w:p>
      <w:pPr>
        <w:spacing w:after="0" w:line="206" w:lineRule="exact"/>
        <w:rPr>
          <w:sz w:val="20"/>
          <w:szCs w:val="20"/>
          <w:color w:val="auto"/>
        </w:rPr>
      </w:pPr>
    </w:p>
    <w:p>
      <w:pPr>
        <w:ind w:right="240" w:firstLine="1131"/>
        <w:spacing w:after="0" w:line="238" w:lineRule="auto"/>
        <w:rPr>
          <w:sz w:val="20"/>
          <w:szCs w:val="20"/>
          <w:color w:val="auto"/>
        </w:rPr>
      </w:pPr>
      <w:r>
        <w:rPr>
          <w:rFonts w:ascii="Arial" w:cs="Arial" w:eastAsia="Arial" w:hAnsi="Arial"/>
          <w:sz w:val="22"/>
          <w:szCs w:val="22"/>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77"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First: To the payment of all amounts due the Trustee under Section 7.7; and</w:t>
      </w:r>
    </w:p>
    <w:p>
      <w:pPr>
        <w:spacing w:after="0" w:line="206" w:lineRule="exact"/>
        <w:rPr>
          <w:sz w:val="20"/>
          <w:szCs w:val="20"/>
          <w:color w:val="auto"/>
        </w:rPr>
      </w:pPr>
    </w:p>
    <w:p>
      <w:pPr>
        <w:jc w:val="both"/>
        <w:ind w:firstLine="1131"/>
        <w:spacing w:after="0" w:line="257" w:lineRule="auto"/>
        <w:rPr>
          <w:sz w:val="20"/>
          <w:szCs w:val="20"/>
          <w:color w:val="auto"/>
        </w:rPr>
      </w:pPr>
      <w:r>
        <w:rPr>
          <w:rFonts w:ascii="Arial" w:cs="Arial" w:eastAsia="Arial" w:hAnsi="Arial"/>
          <w:sz w:val="21"/>
          <w:szCs w:val="21"/>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Third: To the Company.</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62" w:name="page63"/>
    <w:bookmarkEnd w:id="62"/>
    <w:p>
      <w:pPr>
        <w:ind w:left="840"/>
        <w:spacing w:after="0"/>
        <w:tabs>
          <w:tab w:leader="none" w:pos="244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u w:val="single" w:color="auto"/>
          <w:color w:val="auto"/>
        </w:rPr>
        <w:t>Limitation on Suits.</w:t>
      </w:r>
    </w:p>
    <w:p>
      <w:pPr>
        <w:spacing w:after="0" w:line="206" w:lineRule="exact"/>
        <w:rPr>
          <w:sz w:val="20"/>
          <w:szCs w:val="20"/>
          <w:color w:val="auto"/>
        </w:rPr>
      </w:pPr>
    </w:p>
    <w:p>
      <w:pPr>
        <w:ind w:right="120" w:firstLine="1131"/>
        <w:spacing w:after="0" w:line="328" w:lineRule="auto"/>
        <w:rPr>
          <w:sz w:val="20"/>
          <w:szCs w:val="20"/>
          <w:color w:val="auto"/>
        </w:rPr>
      </w:pPr>
      <w:r>
        <w:rPr>
          <w:rFonts w:ascii="Arial" w:cs="Arial" w:eastAsia="Arial" w:hAnsi="Arial"/>
          <w:sz w:val="19"/>
          <w:szCs w:val="19"/>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05" w:lineRule="exact"/>
        <w:rPr>
          <w:sz w:val="20"/>
          <w:szCs w:val="20"/>
          <w:color w:val="auto"/>
        </w:rPr>
      </w:pPr>
    </w:p>
    <w:p>
      <w:pPr>
        <w:ind w:firstLine="1671"/>
        <w:spacing w:after="0" w:line="250" w:lineRule="auto"/>
        <w:tabs>
          <w:tab w:leader="none" w:pos="2551"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such Holder has previously given written notice to the Trustee of a continuing Event of Default with respect to the Securities of that Series;</w:t>
      </w:r>
    </w:p>
    <w:p>
      <w:pPr>
        <w:spacing w:after="0" w:line="174" w:lineRule="exact"/>
        <w:rPr>
          <w:rFonts w:ascii="Arial" w:cs="Arial" w:eastAsia="Arial" w:hAnsi="Arial"/>
          <w:sz w:val="22"/>
          <w:szCs w:val="22"/>
          <w:color w:val="auto"/>
        </w:rPr>
      </w:pPr>
    </w:p>
    <w:p>
      <w:pPr>
        <w:ind w:right="360" w:firstLine="1671"/>
        <w:spacing w:after="0"/>
        <w:tabs>
          <w:tab w:leader="none" w:pos="2563"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6" w:lineRule="exact"/>
        <w:rPr>
          <w:rFonts w:ascii="Arial" w:cs="Arial" w:eastAsia="Arial" w:hAnsi="Arial"/>
          <w:sz w:val="22"/>
          <w:szCs w:val="22"/>
          <w:color w:val="auto"/>
        </w:rPr>
      </w:pPr>
    </w:p>
    <w:p>
      <w:pPr>
        <w:ind w:right="80" w:firstLine="1671"/>
        <w:spacing w:after="0" w:line="328" w:lineRule="auto"/>
        <w:tabs>
          <w:tab w:leader="none" w:pos="2551" w:val="left"/>
        </w:tabs>
        <w:numPr>
          <w:ilvl w:val="0"/>
          <w:numId w:val="48"/>
        </w:numPr>
        <w:rPr>
          <w:rFonts w:ascii="Arial" w:cs="Arial" w:eastAsia="Arial" w:hAnsi="Arial"/>
          <w:sz w:val="19"/>
          <w:szCs w:val="19"/>
          <w:color w:val="auto"/>
        </w:rPr>
      </w:pPr>
      <w:r>
        <w:rPr>
          <w:rFonts w:ascii="Arial" w:cs="Arial" w:eastAsia="Arial" w:hAnsi="Arial"/>
          <w:sz w:val="19"/>
          <w:szCs w:val="19"/>
          <w:color w:val="auto"/>
        </w:rPr>
        <w:t>such Holder or Holders have offered to the Trustee indemnity or security satisfactory to the Trustee against the costs, expenses and liabilities which might be incurred by the Trustee in compliance with such request;</w:t>
      </w:r>
    </w:p>
    <w:p>
      <w:pPr>
        <w:spacing w:after="0" w:line="104" w:lineRule="exact"/>
        <w:rPr>
          <w:rFonts w:ascii="Arial" w:cs="Arial" w:eastAsia="Arial" w:hAnsi="Arial"/>
          <w:sz w:val="19"/>
          <w:szCs w:val="19"/>
          <w:color w:val="auto"/>
        </w:rPr>
      </w:pPr>
    </w:p>
    <w:p>
      <w:pPr>
        <w:ind w:right="200" w:firstLine="1671"/>
        <w:spacing w:after="0" w:line="250" w:lineRule="auto"/>
        <w:tabs>
          <w:tab w:leader="none" w:pos="2563"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Trustee for 60 days after its receipt of such notice, request and offer of indemnity has failed to institute any such proceeding; and</w:t>
      </w:r>
    </w:p>
    <w:p>
      <w:pPr>
        <w:spacing w:after="0" w:line="174" w:lineRule="exact"/>
        <w:rPr>
          <w:rFonts w:ascii="Arial" w:cs="Arial" w:eastAsia="Arial" w:hAnsi="Arial"/>
          <w:sz w:val="22"/>
          <w:szCs w:val="22"/>
          <w:color w:val="auto"/>
        </w:rPr>
      </w:pPr>
    </w:p>
    <w:p>
      <w:pPr>
        <w:ind w:right="20" w:firstLine="1671"/>
        <w:spacing w:after="0" w:line="250" w:lineRule="auto"/>
        <w:tabs>
          <w:tab w:leader="none" w:pos="2551" w:val="left"/>
        </w:tabs>
        <w:numPr>
          <w:ilvl w:val="0"/>
          <w:numId w:val="48"/>
        </w:numPr>
        <w:rPr>
          <w:rFonts w:ascii="Arial" w:cs="Arial" w:eastAsia="Arial" w:hAnsi="Arial"/>
          <w:sz w:val="22"/>
          <w:szCs w:val="22"/>
          <w:color w:val="auto"/>
        </w:rPr>
      </w:pPr>
      <w:r>
        <w:rPr>
          <w:rFonts w:ascii="Arial" w:cs="Arial" w:eastAsia="Arial" w:hAnsi="Arial"/>
          <w:sz w:val="22"/>
          <w:szCs w:val="22"/>
          <w:color w:val="auto"/>
        </w:rPr>
        <w:t>no direction inconsistent with such written request has been given to the Trustee during such 60-day period by the Holders of a majority in principal amount of the outstanding Securities of that Series;</w:t>
      </w:r>
    </w:p>
    <w:p>
      <w:pPr>
        <w:spacing w:after="0" w:line="175"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7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6.8</w:t>
      </w:r>
      <w:r>
        <w:rPr>
          <w:sz w:val="20"/>
          <w:szCs w:val="20"/>
          <w:color w:val="auto"/>
        </w:rPr>
        <w:tab/>
      </w:r>
      <w:r>
        <w:rPr>
          <w:rFonts w:ascii="Arial" w:cs="Arial" w:eastAsia="Arial" w:hAnsi="Arial"/>
          <w:sz w:val="19"/>
          <w:szCs w:val="19"/>
          <w:u w:val="single" w:color="auto"/>
          <w:color w:val="auto"/>
        </w:rPr>
        <w:t>Unconditional Right of Holders to Receive Principal and Interest.</w:t>
      </w:r>
    </w:p>
    <w:p>
      <w:pPr>
        <w:spacing w:after="0" w:line="206" w:lineRule="exact"/>
        <w:rPr>
          <w:sz w:val="20"/>
          <w:szCs w:val="20"/>
          <w:color w:val="auto"/>
        </w:rPr>
      </w:pPr>
    </w:p>
    <w:p>
      <w:pPr>
        <w:ind w:right="140" w:firstLine="1131"/>
        <w:spacing w:after="0" w:line="287" w:lineRule="auto"/>
        <w:rPr>
          <w:sz w:val="20"/>
          <w:szCs w:val="20"/>
          <w:color w:val="auto"/>
        </w:rPr>
      </w:pPr>
      <w:r>
        <w:rPr>
          <w:rFonts w:ascii="Arial" w:cs="Arial" w:eastAsia="Arial" w:hAnsi="Arial"/>
          <w:sz w:val="19"/>
          <w:szCs w:val="19"/>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43"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6.9</w:t>
      </w:r>
      <w:r>
        <w:rPr>
          <w:sz w:val="20"/>
          <w:szCs w:val="20"/>
          <w:color w:val="auto"/>
        </w:rPr>
        <w:tab/>
      </w:r>
      <w:r>
        <w:rPr>
          <w:rFonts w:ascii="Arial" w:cs="Arial" w:eastAsia="Arial" w:hAnsi="Arial"/>
          <w:sz w:val="19"/>
          <w:szCs w:val="19"/>
          <w:u w:val="single" w:color="auto"/>
          <w:color w:val="auto"/>
        </w:rPr>
        <w:t>Restoration of Rights and Remedies.</w:t>
      </w:r>
    </w:p>
    <w:p>
      <w:pPr>
        <w:spacing w:after="0" w:line="206" w:lineRule="exact"/>
        <w:rPr>
          <w:sz w:val="20"/>
          <w:szCs w:val="20"/>
          <w:color w:val="auto"/>
        </w:rPr>
      </w:pPr>
    </w:p>
    <w:p>
      <w:pPr>
        <w:jc w:val="both"/>
        <w:ind w:right="160" w:firstLine="1131"/>
        <w:spacing w:after="0" w:line="238" w:lineRule="auto"/>
        <w:rPr>
          <w:sz w:val="20"/>
          <w:szCs w:val="20"/>
          <w:color w:val="auto"/>
        </w:rPr>
      </w:pPr>
      <w:r>
        <w:rPr>
          <w:rFonts w:ascii="Arial" w:cs="Arial" w:eastAsia="Arial" w:hAnsi="Arial"/>
          <w:sz w:val="22"/>
          <w:szCs w:val="22"/>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63" w:name="page64"/>
    <w:bookmarkEnd w:id="63"/>
    <w:p>
      <w:pPr>
        <w:ind w:right="720"/>
        <w:spacing w:after="0" w:line="250" w:lineRule="auto"/>
        <w:rPr>
          <w:sz w:val="20"/>
          <w:szCs w:val="20"/>
          <w:color w:val="auto"/>
        </w:rPr>
      </w:pPr>
      <w:r>
        <w:rPr>
          <w:rFonts w:ascii="Arial" w:cs="Arial" w:eastAsia="Arial" w:hAnsi="Arial"/>
          <w:sz w:val="22"/>
          <w:szCs w:val="22"/>
          <w:color w:val="auto"/>
        </w:rPr>
        <w:t>severally and respectively to their former positions hereunder and thereafter all rights and remedies of the Trustee and the Holders shall continue as though no such proceeding had been instituted.</w:t>
      </w:r>
    </w:p>
    <w:p>
      <w:pPr>
        <w:spacing w:after="0" w:line="175"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Rights and Remedies Cumulative.</w:t>
      </w:r>
    </w:p>
    <w:p>
      <w:pPr>
        <w:spacing w:after="0" w:line="206" w:lineRule="exact"/>
        <w:rPr>
          <w:sz w:val="20"/>
          <w:szCs w:val="20"/>
          <w:color w:val="auto"/>
        </w:rPr>
      </w:pPr>
    </w:p>
    <w:p>
      <w:pPr>
        <w:ind w:right="180" w:firstLine="1131"/>
        <w:spacing w:after="0" w:line="248" w:lineRule="auto"/>
        <w:rPr>
          <w:sz w:val="20"/>
          <w:szCs w:val="20"/>
          <w:color w:val="auto"/>
        </w:rPr>
      </w:pPr>
      <w:r>
        <w:rPr>
          <w:rFonts w:ascii="Arial" w:cs="Arial" w:eastAsia="Arial" w:hAnsi="Arial"/>
          <w:sz w:val="21"/>
          <w:szCs w:val="21"/>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7"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u w:val="single" w:color="auto"/>
          <w:color w:val="auto"/>
        </w:rPr>
        <w:t>Delay or Omission Not Waiver.</w:t>
      </w:r>
    </w:p>
    <w:p>
      <w:pPr>
        <w:spacing w:after="0" w:line="206" w:lineRule="exact"/>
        <w:rPr>
          <w:sz w:val="20"/>
          <w:szCs w:val="20"/>
          <w:color w:val="auto"/>
        </w:rPr>
      </w:pPr>
    </w:p>
    <w:p>
      <w:pPr>
        <w:ind w:right="220" w:firstLine="1131"/>
        <w:spacing w:after="0" w:line="287" w:lineRule="auto"/>
        <w:rPr>
          <w:sz w:val="20"/>
          <w:szCs w:val="20"/>
          <w:color w:val="auto"/>
        </w:rPr>
      </w:pPr>
      <w:r>
        <w:rPr>
          <w:rFonts w:ascii="Arial" w:cs="Arial" w:eastAsia="Arial" w:hAnsi="Arial"/>
          <w:sz w:val="19"/>
          <w:szCs w:val="19"/>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3"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Control by Holders.</w:t>
      </w:r>
    </w:p>
    <w:p>
      <w:pPr>
        <w:spacing w:after="0" w:line="206" w:lineRule="exact"/>
        <w:rPr>
          <w:sz w:val="20"/>
          <w:szCs w:val="20"/>
          <w:color w:val="auto"/>
        </w:rPr>
      </w:pPr>
    </w:p>
    <w:p>
      <w:pPr>
        <w:ind w:firstLine="1131"/>
        <w:spacing w:after="0"/>
        <w:rPr>
          <w:sz w:val="20"/>
          <w:szCs w:val="20"/>
          <w:color w:val="auto"/>
        </w:rPr>
      </w:pPr>
      <w:r>
        <w:rPr>
          <w:rFonts w:ascii="Arial" w:cs="Arial" w:eastAsia="Arial" w:hAnsi="Arial"/>
          <w:sz w:val="22"/>
          <w:szCs w:val="22"/>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6" w:lineRule="exact"/>
        <w:rPr>
          <w:sz w:val="20"/>
          <w:szCs w:val="20"/>
          <w:color w:val="auto"/>
        </w:rPr>
      </w:pPr>
    </w:p>
    <w:p>
      <w:pPr>
        <w:ind w:left="2560" w:hanging="889"/>
        <w:spacing w:after="0"/>
        <w:tabs>
          <w:tab w:leader="none" w:pos="25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such direction shall not be in conflict with any rule of law or with this Indenture,</w:t>
      </w:r>
    </w:p>
    <w:p>
      <w:pPr>
        <w:spacing w:after="0" w:line="206" w:lineRule="exact"/>
        <w:rPr>
          <w:rFonts w:ascii="Arial" w:cs="Arial" w:eastAsia="Arial" w:hAnsi="Arial"/>
          <w:sz w:val="22"/>
          <w:szCs w:val="22"/>
          <w:color w:val="auto"/>
        </w:rPr>
      </w:pPr>
    </w:p>
    <w:p>
      <w:pPr>
        <w:ind w:left="2580" w:hanging="909"/>
        <w:spacing w:after="0"/>
        <w:tabs>
          <w:tab w:leader="none" w:pos="25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Trustee may take any other action deemed proper by the Trustee which is not inconsistent with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such direction,</w:t>
      </w:r>
    </w:p>
    <w:p>
      <w:pPr>
        <w:spacing w:after="0" w:line="188" w:lineRule="exact"/>
        <w:rPr>
          <w:sz w:val="20"/>
          <w:szCs w:val="20"/>
          <w:color w:val="auto"/>
        </w:rPr>
      </w:pPr>
    </w:p>
    <w:p>
      <w:pPr>
        <w:ind w:firstLine="1671"/>
        <w:spacing w:after="0"/>
        <w:tabs>
          <w:tab w:leader="none" w:pos="2551"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86" w:lineRule="exact"/>
        <w:rPr>
          <w:rFonts w:ascii="Arial" w:cs="Arial" w:eastAsia="Arial" w:hAnsi="Arial"/>
          <w:sz w:val="22"/>
          <w:szCs w:val="22"/>
          <w:color w:val="auto"/>
        </w:rPr>
      </w:pPr>
    </w:p>
    <w:p>
      <w:pPr>
        <w:ind w:right="360" w:firstLine="1671"/>
        <w:spacing w:after="0"/>
        <w:tabs>
          <w:tab w:leader="none" w:pos="2563" w:val="left"/>
        </w:tabs>
        <w:numPr>
          <w:ilvl w:val="0"/>
          <w:numId w:val="50"/>
        </w:numPr>
        <w:rPr>
          <w:rFonts w:ascii="Arial" w:cs="Arial" w:eastAsia="Arial" w:hAnsi="Arial"/>
          <w:sz w:val="22"/>
          <w:szCs w:val="22"/>
          <w:color w:val="auto"/>
        </w:rPr>
      </w:pPr>
      <w:r>
        <w:rPr>
          <w:rFonts w:ascii="Arial" w:cs="Arial" w:eastAsia="Arial" w:hAnsi="Arial"/>
          <w:sz w:val="22"/>
          <w:szCs w:val="22"/>
          <w:color w:val="auto"/>
        </w:rPr>
        <w:t>prior to taking any action as directed under this Section 6.12, the Trustee shall be entitled to indemnity satisfactory to it against the losses, costs, expenses and liabilities which might be incurred by it in compliance with such request or direction.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64" w:name="page65"/>
    <w:bookmarkEnd w:id="64"/>
    <w:p>
      <w:pPr>
        <w:ind w:left="840"/>
        <w:spacing w:after="0"/>
        <w:tabs>
          <w:tab w:leader="none" w:pos="2540" w:val="left"/>
        </w:tabs>
        <w:rPr>
          <w:sz w:val="20"/>
          <w:szCs w:val="20"/>
          <w:color w:val="auto"/>
        </w:rPr>
      </w:pPr>
      <w:r>
        <w:rPr>
          <w:rFonts w:ascii="Arial" w:cs="Arial" w:eastAsia="Arial" w:hAnsi="Arial"/>
          <w:sz w:val="22"/>
          <w:szCs w:val="22"/>
          <w:color w:val="auto"/>
        </w:rPr>
        <w:t>Section 6.13</w:t>
      </w:r>
      <w:r>
        <w:rPr>
          <w:sz w:val="20"/>
          <w:szCs w:val="20"/>
          <w:color w:val="auto"/>
        </w:rPr>
        <w:tab/>
      </w:r>
      <w:r>
        <w:rPr>
          <w:rFonts w:ascii="Arial" w:cs="Arial" w:eastAsia="Arial" w:hAnsi="Arial"/>
          <w:sz w:val="19"/>
          <w:szCs w:val="19"/>
          <w:u w:val="single" w:color="auto"/>
          <w:color w:val="auto"/>
        </w:rPr>
        <w:t>Waiver of Past Defaults.</w:t>
      </w:r>
    </w:p>
    <w:p>
      <w:pPr>
        <w:spacing w:after="0" w:line="206" w:lineRule="exact"/>
        <w:rPr>
          <w:sz w:val="20"/>
          <w:szCs w:val="20"/>
          <w:color w:val="auto"/>
        </w:rPr>
      </w:pPr>
    </w:p>
    <w:p>
      <w:pPr>
        <w:ind w:firstLine="1131"/>
        <w:spacing w:after="0" w:line="246" w:lineRule="auto"/>
        <w:rPr>
          <w:sz w:val="20"/>
          <w:szCs w:val="20"/>
          <w:color w:val="auto"/>
        </w:rPr>
      </w:pPr>
      <w:r>
        <w:rPr>
          <w:rFonts w:ascii="Arial" w:cs="Arial" w:eastAsia="Arial" w:hAnsi="Arial"/>
          <w:sz w:val="21"/>
          <w:szCs w:val="21"/>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0"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6.14</w:t>
      </w:r>
      <w:r>
        <w:rPr>
          <w:sz w:val="20"/>
          <w:szCs w:val="20"/>
          <w:color w:val="auto"/>
        </w:rPr>
        <w:tab/>
      </w:r>
      <w:r>
        <w:rPr>
          <w:rFonts w:ascii="Arial" w:cs="Arial" w:eastAsia="Arial" w:hAnsi="Arial"/>
          <w:sz w:val="19"/>
          <w:szCs w:val="19"/>
          <w:u w:val="single" w:color="auto"/>
          <w:color w:val="auto"/>
        </w:rPr>
        <w:t>Undertaking for Costs.</w:t>
      </w:r>
    </w:p>
    <w:p>
      <w:pPr>
        <w:spacing w:after="0" w:line="206" w:lineRule="exact"/>
        <w:rPr>
          <w:sz w:val="20"/>
          <w:szCs w:val="20"/>
          <w:color w:val="auto"/>
        </w:rPr>
      </w:pPr>
    </w:p>
    <w:p>
      <w:pPr>
        <w:ind w:right="120" w:firstLine="1131"/>
        <w:spacing w:after="0" w:line="273" w:lineRule="auto"/>
        <w:rPr>
          <w:sz w:val="20"/>
          <w:szCs w:val="20"/>
          <w:color w:val="auto"/>
        </w:rPr>
      </w:pPr>
      <w:r>
        <w:rPr>
          <w:rFonts w:ascii="Arial" w:cs="Arial" w:eastAsia="Arial" w:hAnsi="Arial"/>
          <w:sz w:val="19"/>
          <w:szCs w:val="19"/>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55"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TRUSTEE</w:t>
      </w:r>
    </w:p>
    <w:p>
      <w:pPr>
        <w:spacing w:after="0" w:line="18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Duties of Trustee.</w:t>
      </w:r>
    </w:p>
    <w:p>
      <w:pPr>
        <w:spacing w:after="0" w:line="206" w:lineRule="exact"/>
        <w:rPr>
          <w:sz w:val="20"/>
          <w:szCs w:val="20"/>
          <w:color w:val="auto"/>
        </w:rPr>
      </w:pPr>
    </w:p>
    <w:p>
      <w:pPr>
        <w:ind w:right="520" w:firstLine="1671"/>
        <w:spacing w:after="0"/>
        <w:tabs>
          <w:tab w:leader="none" w:pos="2551"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86" w:lineRule="exact"/>
        <w:rPr>
          <w:rFonts w:ascii="Arial" w:cs="Arial" w:eastAsia="Arial" w:hAnsi="Arial"/>
          <w:sz w:val="22"/>
          <w:szCs w:val="22"/>
          <w:color w:val="auto"/>
        </w:rPr>
      </w:pPr>
    </w:p>
    <w:p>
      <w:pPr>
        <w:ind w:left="2580" w:hanging="909"/>
        <w:spacing w:after="0"/>
        <w:tabs>
          <w:tab w:leader="none" w:pos="25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06" w:lineRule="exact"/>
        <w:rPr>
          <w:rFonts w:ascii="Arial" w:cs="Arial" w:eastAsia="Arial" w:hAnsi="Arial"/>
          <w:sz w:val="22"/>
          <w:szCs w:val="22"/>
          <w:color w:val="auto"/>
        </w:rPr>
      </w:pPr>
    </w:p>
    <w:p>
      <w:pPr>
        <w:ind w:left="3780" w:hanging="860"/>
        <w:spacing w:after="0"/>
        <w:tabs>
          <w:tab w:leader="none" w:pos="3780" w:val="left"/>
        </w:tabs>
        <w:numPr>
          <w:ilvl w:val="1"/>
          <w:numId w:val="51"/>
        </w:numPr>
        <w:rPr>
          <w:rFonts w:ascii="Arial" w:cs="Arial" w:eastAsia="Arial" w:hAnsi="Arial"/>
          <w:sz w:val="21"/>
          <w:szCs w:val="21"/>
          <w:color w:val="auto"/>
        </w:rPr>
      </w:pPr>
      <w:r>
        <w:rPr>
          <w:rFonts w:ascii="Arial" w:cs="Arial" w:eastAsia="Arial" w:hAnsi="Arial"/>
          <w:sz w:val="21"/>
          <w:szCs w:val="21"/>
          <w:color w:val="auto"/>
        </w:rPr>
        <w:t>The Trustee need perform only those duties that are specifically set forth in this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Indenture and no others, and no implied covenants or obligations shall be read into this Indenture against the Trustee.</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65" w:name="page66"/>
    <w:bookmarkEnd w:id="65"/>
    <w:p>
      <w:pPr>
        <w:ind w:right="40" w:firstLine="2920"/>
        <w:spacing w:after="0" w:line="234" w:lineRule="auto"/>
        <w:tabs>
          <w:tab w:leader="none" w:pos="3824" w:val="left"/>
        </w:tabs>
        <w:numPr>
          <w:ilvl w:val="1"/>
          <w:numId w:val="52"/>
        </w:numPr>
        <w:rPr>
          <w:rFonts w:ascii="Arial" w:cs="Arial" w:eastAsia="Arial" w:hAnsi="Arial"/>
          <w:sz w:val="22"/>
          <w:szCs w:val="22"/>
          <w:color w:val="auto"/>
        </w:rPr>
      </w:pPr>
      <w:r>
        <w:rPr>
          <w:rFonts w:ascii="Arial" w:cs="Arial" w:eastAsia="Arial" w:hAnsi="Arial"/>
          <w:sz w:val="22"/>
          <w:szCs w:val="22"/>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22"/>
          <w:szCs w:val="22"/>
          <w:u w:val="single" w:color="auto"/>
          <w:color w:val="auto"/>
        </w:rPr>
        <w:t>however</w:t>
      </w:r>
      <w:r>
        <w:rPr>
          <w:rFonts w:ascii="Arial" w:cs="Arial" w:eastAsia="Arial" w:hAnsi="Arial"/>
          <w:sz w:val="22"/>
          <w:szCs w:val="22"/>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spacing w:after="0" w:line="190" w:lineRule="exact"/>
        <w:rPr>
          <w:rFonts w:ascii="Arial" w:cs="Arial" w:eastAsia="Arial" w:hAnsi="Arial"/>
          <w:sz w:val="22"/>
          <w:szCs w:val="22"/>
          <w:color w:val="auto"/>
        </w:rPr>
      </w:pPr>
    </w:p>
    <w:p>
      <w:pPr>
        <w:ind w:right="40" w:firstLine="1671"/>
        <w:spacing w:after="0" w:line="250" w:lineRule="auto"/>
        <w:tabs>
          <w:tab w:leader="none" w:pos="2551"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Trustee may not be relieved from liability for its own negligent action, its own negligent failure to act or its own willful misconduct, except that:</w:t>
      </w:r>
    </w:p>
    <w:p>
      <w:pPr>
        <w:spacing w:after="0" w:line="174" w:lineRule="exact"/>
        <w:rPr>
          <w:rFonts w:ascii="Arial" w:cs="Arial" w:eastAsia="Arial" w:hAnsi="Arial"/>
          <w:sz w:val="22"/>
          <w:szCs w:val="22"/>
          <w:color w:val="auto"/>
        </w:rPr>
      </w:pPr>
    </w:p>
    <w:p>
      <w:pPr>
        <w:ind w:left="3780" w:hanging="860"/>
        <w:spacing w:after="0"/>
        <w:tabs>
          <w:tab w:leader="none" w:pos="37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This paragraph does not limit the effect of paragraph (b) of this Section.</w:t>
      </w:r>
    </w:p>
    <w:p>
      <w:pPr>
        <w:spacing w:after="0" w:line="206" w:lineRule="exact"/>
        <w:rPr>
          <w:sz w:val="20"/>
          <w:szCs w:val="20"/>
          <w:color w:val="auto"/>
        </w:rPr>
      </w:pPr>
    </w:p>
    <w:p>
      <w:pPr>
        <w:jc w:val="both"/>
        <w:ind w:right="440" w:firstLine="2920"/>
        <w:spacing w:after="0"/>
        <w:tabs>
          <w:tab w:leader="none" w:pos="3824" w:val="left"/>
        </w:tabs>
        <w:numPr>
          <w:ilvl w:val="2"/>
          <w:numId w:val="54"/>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in a court of competent jurisdiction that the Trustee was negligent in ascertaining the pertinent facts.</w:t>
      </w:r>
    </w:p>
    <w:p>
      <w:pPr>
        <w:spacing w:after="0" w:line="186" w:lineRule="exact"/>
        <w:rPr>
          <w:rFonts w:ascii="Arial" w:cs="Arial" w:eastAsia="Arial" w:hAnsi="Arial"/>
          <w:sz w:val="22"/>
          <w:szCs w:val="22"/>
          <w:color w:val="auto"/>
        </w:rPr>
      </w:pPr>
    </w:p>
    <w:p>
      <w:pPr>
        <w:ind w:left="3900" w:hanging="980"/>
        <w:spacing w:after="0"/>
        <w:tabs>
          <w:tab w:leader="none" w:pos="3900" w:val="left"/>
        </w:tabs>
        <w:numPr>
          <w:ilvl w:val="2"/>
          <w:numId w:val="54"/>
        </w:numPr>
        <w:rPr>
          <w:rFonts w:ascii="Arial" w:cs="Arial" w:eastAsia="Arial" w:hAnsi="Arial"/>
          <w:sz w:val="19"/>
          <w:szCs w:val="19"/>
          <w:color w:val="auto"/>
        </w:rPr>
      </w:pPr>
      <w:r>
        <w:rPr>
          <w:rFonts w:ascii="Arial" w:cs="Arial" w:eastAsia="Arial" w:hAnsi="Arial"/>
          <w:sz w:val="19"/>
          <w:szCs w:val="19"/>
          <w:color w:val="auto"/>
        </w:rPr>
        <w:t>The Trustee shall not be liable with respect to any action taken, suffered or omitted</w:t>
      </w:r>
    </w:p>
    <w:p>
      <w:pPr>
        <w:spacing w:after="0" w:line="42" w:lineRule="exact"/>
        <w:rPr>
          <w:rFonts w:ascii="Arial" w:cs="Arial" w:eastAsia="Arial" w:hAnsi="Arial"/>
          <w:sz w:val="19"/>
          <w:szCs w:val="19"/>
          <w:color w:val="auto"/>
        </w:rPr>
      </w:pPr>
    </w:p>
    <w:p>
      <w:pPr>
        <w:ind w:right="40"/>
        <w:spacing w:after="0" w:line="246" w:lineRule="auto"/>
        <w:rPr>
          <w:rFonts w:ascii="Arial" w:cs="Arial" w:eastAsia="Arial" w:hAnsi="Arial"/>
          <w:sz w:val="19"/>
          <w:szCs w:val="19"/>
          <w:color w:val="auto"/>
        </w:rPr>
      </w:pPr>
      <w:r>
        <w:rPr>
          <w:rFonts w:ascii="Arial" w:cs="Arial" w:eastAsia="Arial" w:hAnsi="Arial"/>
          <w:sz w:val="21"/>
          <w:szCs w:val="21"/>
          <w:color w:val="auto"/>
        </w:rPr>
        <w:t>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79" w:lineRule="exact"/>
        <w:rPr>
          <w:rFonts w:ascii="Arial" w:cs="Arial" w:eastAsia="Arial" w:hAnsi="Arial"/>
          <w:sz w:val="19"/>
          <w:szCs w:val="19"/>
          <w:color w:val="auto"/>
        </w:rPr>
      </w:pPr>
    </w:p>
    <w:p>
      <w:pPr>
        <w:ind w:left="2580" w:hanging="909"/>
        <w:spacing w:after="0"/>
        <w:tabs>
          <w:tab w:leader="none" w:pos="2580" w:val="left"/>
        </w:tabs>
        <w:numPr>
          <w:ilvl w:val="1"/>
          <w:numId w:val="55"/>
        </w:numPr>
        <w:rPr>
          <w:rFonts w:ascii="Arial" w:cs="Arial" w:eastAsia="Arial" w:hAnsi="Arial"/>
          <w:sz w:val="19"/>
          <w:szCs w:val="19"/>
          <w:color w:val="auto"/>
        </w:rPr>
      </w:pPr>
      <w:r>
        <w:rPr>
          <w:rFonts w:ascii="Arial" w:cs="Arial" w:eastAsia="Arial" w:hAnsi="Arial"/>
          <w:sz w:val="19"/>
          <w:szCs w:val="19"/>
          <w:color w:val="auto"/>
        </w:rPr>
        <w:t>Every provision of this Indenture that in any way relates to the Trustee is subject to paragraph (a),</w:t>
      </w:r>
    </w:p>
    <w:p>
      <w:pPr>
        <w:spacing w:after="0" w:line="42" w:lineRule="exact"/>
        <w:rPr>
          <w:rFonts w:ascii="Arial" w:cs="Arial" w:eastAsia="Arial" w:hAnsi="Arial"/>
          <w:sz w:val="19"/>
          <w:szCs w:val="19"/>
          <w:color w:val="auto"/>
        </w:rPr>
      </w:pPr>
    </w:p>
    <w:p>
      <w:pPr>
        <w:ind w:left="320" w:hanging="312"/>
        <w:spacing w:after="0"/>
        <w:tabs>
          <w:tab w:leader="none" w:pos="3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and (c) of this Section.</w:t>
      </w:r>
    </w:p>
    <w:p>
      <w:pPr>
        <w:spacing w:after="0" w:line="188" w:lineRule="exact"/>
        <w:rPr>
          <w:rFonts w:ascii="Arial" w:cs="Arial" w:eastAsia="Arial" w:hAnsi="Arial"/>
          <w:sz w:val="22"/>
          <w:szCs w:val="22"/>
          <w:color w:val="auto"/>
        </w:rPr>
      </w:pPr>
    </w:p>
    <w:p>
      <w:pPr>
        <w:ind w:right="400" w:firstLine="1671"/>
        <w:spacing w:after="0"/>
        <w:tabs>
          <w:tab w:leader="none" w:pos="2551"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Trustee may refuse to perform any duty or exercise any right or power unless it receives indemnity satisfactory to it against the losses, costs, expenses and liabilities which might be incurred by it in performing such duty or exercising such right or power.</w:t>
      </w:r>
    </w:p>
    <w:p>
      <w:pPr>
        <w:spacing w:after="0" w:line="186" w:lineRule="exact"/>
        <w:rPr>
          <w:rFonts w:ascii="Arial" w:cs="Arial" w:eastAsia="Arial" w:hAnsi="Arial"/>
          <w:sz w:val="22"/>
          <w:szCs w:val="22"/>
          <w:color w:val="auto"/>
        </w:rPr>
      </w:pPr>
    </w:p>
    <w:p>
      <w:pPr>
        <w:ind w:right="180" w:firstLine="1671"/>
        <w:spacing w:after="0"/>
        <w:tabs>
          <w:tab w:leader="none" w:pos="2527"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Trustee shall not be liable for interest or investment on any money received by it except as the Trustee may agree in writing with the Company. Money held in trust by the Trustee need not be segregated from other funds except to the extent required by law.</w:t>
      </w:r>
    </w:p>
    <w:p>
      <w:pPr>
        <w:spacing w:after="0" w:line="186" w:lineRule="exact"/>
        <w:rPr>
          <w:rFonts w:ascii="Arial" w:cs="Arial" w:eastAsia="Arial" w:hAnsi="Arial"/>
          <w:sz w:val="22"/>
          <w:szCs w:val="22"/>
          <w:color w:val="auto"/>
        </w:rPr>
      </w:pPr>
    </w:p>
    <w:p>
      <w:pPr>
        <w:ind w:right="60" w:firstLine="1671"/>
        <w:spacing w:after="0" w:line="328" w:lineRule="auto"/>
        <w:tabs>
          <w:tab w:leader="none" w:pos="2563" w:val="left"/>
        </w:tabs>
        <w:numPr>
          <w:ilvl w:val="1"/>
          <w:numId w:val="56"/>
        </w:numPr>
        <w:rPr>
          <w:rFonts w:ascii="Arial" w:cs="Arial" w:eastAsia="Arial" w:hAnsi="Arial"/>
          <w:sz w:val="19"/>
          <w:szCs w:val="19"/>
          <w:color w:val="auto"/>
        </w:rPr>
      </w:pPr>
      <w:r>
        <w:rPr>
          <w:rFonts w:ascii="Arial" w:cs="Arial" w:eastAsia="Arial" w:hAnsi="Arial"/>
          <w:sz w:val="19"/>
          <w:szCs w:val="19"/>
          <w:color w:val="auto"/>
        </w:rPr>
        <w:t>No provision of this Indenture shall require the Trustee to expend or risk its own funds or otherwise incur any financial liability in the performance of any of its duties, or in the exercise of any of its rights or powers.</w:t>
      </w:r>
    </w:p>
    <w:p>
      <w:pPr>
        <w:spacing w:after="0" w:line="104" w:lineRule="exact"/>
        <w:rPr>
          <w:rFonts w:ascii="Arial" w:cs="Arial" w:eastAsia="Arial" w:hAnsi="Arial"/>
          <w:sz w:val="19"/>
          <w:szCs w:val="19"/>
          <w:color w:val="auto"/>
        </w:rPr>
      </w:pPr>
    </w:p>
    <w:p>
      <w:pPr>
        <w:ind w:firstLine="1671"/>
        <w:spacing w:after="0" w:line="328" w:lineRule="auto"/>
        <w:tabs>
          <w:tab w:leader="none" w:pos="2563"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66" w:name="page67"/>
    <w:bookmarkEnd w:id="66"/>
    <w:p>
      <w:pPr>
        <w:ind w:left="780"/>
        <w:spacing w:after="0"/>
        <w:tabs>
          <w:tab w:leader="none" w:pos="238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Rights of Trustee.</w:t>
      </w:r>
    </w:p>
    <w:p>
      <w:pPr>
        <w:spacing w:after="0" w:line="206" w:lineRule="exact"/>
        <w:rPr>
          <w:sz w:val="20"/>
          <w:szCs w:val="20"/>
          <w:color w:val="auto"/>
        </w:rPr>
      </w:pPr>
    </w:p>
    <w:p>
      <w:pPr>
        <w:ind w:left="-60" w:right="140" w:firstLine="1671"/>
        <w:spacing w:after="0" w:line="257" w:lineRule="auto"/>
        <w:tabs>
          <w:tab w:leader="none" w:pos="2491"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69" w:lineRule="exact"/>
        <w:rPr>
          <w:rFonts w:ascii="Arial" w:cs="Arial" w:eastAsia="Arial" w:hAnsi="Arial"/>
          <w:sz w:val="21"/>
          <w:szCs w:val="21"/>
          <w:color w:val="auto"/>
        </w:rPr>
      </w:pPr>
    </w:p>
    <w:p>
      <w:pPr>
        <w:ind w:left="-60" w:right="20" w:firstLine="1671"/>
        <w:spacing w:after="0"/>
        <w:tabs>
          <w:tab w:leader="none" w:pos="2503" w:val="left"/>
        </w:tabs>
        <w:numPr>
          <w:ilvl w:val="0"/>
          <w:numId w:val="57"/>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86" w:lineRule="exact"/>
        <w:rPr>
          <w:rFonts w:ascii="Arial" w:cs="Arial" w:eastAsia="Arial" w:hAnsi="Arial"/>
          <w:sz w:val="22"/>
          <w:szCs w:val="22"/>
          <w:color w:val="auto"/>
        </w:rPr>
      </w:pPr>
    </w:p>
    <w:p>
      <w:pPr>
        <w:ind w:left="-60" w:right="520" w:firstLine="1671"/>
        <w:spacing w:after="0" w:line="257" w:lineRule="auto"/>
        <w:tabs>
          <w:tab w:leader="none" w:pos="2491"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spacing w:after="0" w:line="169" w:lineRule="exact"/>
        <w:rPr>
          <w:rFonts w:ascii="Arial" w:cs="Arial" w:eastAsia="Arial" w:hAnsi="Arial"/>
          <w:sz w:val="21"/>
          <w:szCs w:val="21"/>
          <w:color w:val="auto"/>
        </w:rPr>
      </w:pPr>
    </w:p>
    <w:p>
      <w:pPr>
        <w:ind w:left="-60" w:firstLine="1671"/>
        <w:spacing w:after="0"/>
        <w:tabs>
          <w:tab w:leader="none" w:pos="2503"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86" w:lineRule="exact"/>
        <w:rPr>
          <w:rFonts w:ascii="Arial" w:cs="Arial" w:eastAsia="Arial" w:hAnsi="Arial"/>
          <w:sz w:val="22"/>
          <w:szCs w:val="22"/>
          <w:color w:val="auto"/>
        </w:rPr>
      </w:pPr>
    </w:p>
    <w:p>
      <w:pPr>
        <w:ind w:left="-60" w:right="40" w:firstLine="1671"/>
        <w:spacing w:after="0"/>
        <w:tabs>
          <w:tab w:leader="none" w:pos="2491"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86" w:lineRule="exact"/>
        <w:rPr>
          <w:rFonts w:ascii="Arial" w:cs="Arial" w:eastAsia="Arial" w:hAnsi="Arial"/>
          <w:sz w:val="22"/>
          <w:szCs w:val="22"/>
          <w:color w:val="auto"/>
        </w:rPr>
      </w:pPr>
    </w:p>
    <w:p>
      <w:pPr>
        <w:ind w:left="-60" w:right="80" w:firstLine="1671"/>
        <w:spacing w:after="0" w:line="238" w:lineRule="auto"/>
        <w:tabs>
          <w:tab w:leader="none" w:pos="2467"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spacing w:after="0" w:line="184" w:lineRule="exact"/>
        <w:rPr>
          <w:rFonts w:ascii="Arial" w:cs="Arial" w:eastAsia="Arial" w:hAnsi="Arial"/>
          <w:sz w:val="22"/>
          <w:szCs w:val="22"/>
          <w:color w:val="auto"/>
        </w:rPr>
      </w:pPr>
    </w:p>
    <w:p>
      <w:pPr>
        <w:jc w:val="both"/>
        <w:ind w:left="-60" w:right="280" w:firstLine="1671"/>
        <w:spacing w:after="0" w:line="238" w:lineRule="auto"/>
        <w:tabs>
          <w:tab w:leader="none" w:pos="2503"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84" w:lineRule="exact"/>
        <w:rPr>
          <w:rFonts w:ascii="Arial" w:cs="Arial" w:eastAsia="Arial" w:hAnsi="Arial"/>
          <w:sz w:val="22"/>
          <w:szCs w:val="22"/>
          <w:color w:val="auto"/>
        </w:rPr>
      </w:pPr>
    </w:p>
    <w:p>
      <w:pPr>
        <w:ind w:left="-60" w:right="460" w:firstLine="1671"/>
        <w:spacing w:after="0" w:line="287" w:lineRule="auto"/>
        <w:tabs>
          <w:tab w:leader="none" w:pos="2503"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spacing w:after="0" w:line="142" w:lineRule="exact"/>
        <w:rPr>
          <w:rFonts w:ascii="Arial" w:cs="Arial" w:eastAsia="Arial" w:hAnsi="Arial"/>
          <w:sz w:val="19"/>
          <w:szCs w:val="19"/>
          <w:color w:val="auto"/>
        </w:rPr>
      </w:pPr>
    </w:p>
    <w:p>
      <w:pPr>
        <w:ind w:left="-60" w:right="360" w:firstLine="1671"/>
        <w:spacing w:after="0" w:line="250" w:lineRule="auto"/>
        <w:tabs>
          <w:tab w:leader="none" w:pos="2455"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no event shall the Trustee be responsible or liable to any person for special, punitive, indirect, consequential or incidental loss or damage of any kind whatsoever (including but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62865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80" w:top="550" w:right="379" w:bottom="1440" w:gutter="0" w:footer="0" w:header="0"/>
        </w:sectPr>
      </w:pPr>
    </w:p>
    <w:bookmarkStart w:id="67" w:name="page68"/>
    <w:bookmarkEnd w:id="67"/>
    <w:p>
      <w:pPr>
        <w:ind w:right="360"/>
        <w:spacing w:after="0" w:line="250" w:lineRule="auto"/>
        <w:rPr>
          <w:sz w:val="20"/>
          <w:szCs w:val="20"/>
          <w:color w:val="auto"/>
        </w:rPr>
      </w:pPr>
      <w:r>
        <w:rPr>
          <w:rFonts w:ascii="Arial" w:cs="Arial" w:eastAsia="Arial" w:hAnsi="Arial"/>
          <w:sz w:val="22"/>
          <w:szCs w:val="22"/>
          <w:color w:val="auto"/>
        </w:rPr>
        <w:t>not limited to lost profits), even if the Trustee has been advised of the likelihood of such loss or damage and regardless of the form of action.</w:t>
      </w:r>
    </w:p>
    <w:p>
      <w:pPr>
        <w:spacing w:after="0" w:line="175" w:lineRule="exact"/>
        <w:rPr>
          <w:sz w:val="20"/>
          <w:szCs w:val="20"/>
          <w:color w:val="auto"/>
        </w:rPr>
      </w:pPr>
    </w:p>
    <w:p>
      <w:pPr>
        <w:ind w:right="560" w:firstLine="1671"/>
        <w:spacing w:after="0" w:line="250" w:lineRule="auto"/>
        <w:tabs>
          <w:tab w:leader="none" w:pos="2515"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permissive right of the Trustee to take the actions permitted by this Indenture shall not be construed as an obligation or duty to do so.</w:t>
      </w:r>
    </w:p>
    <w:p>
      <w:pPr>
        <w:spacing w:after="0" w:line="174" w:lineRule="exact"/>
        <w:rPr>
          <w:rFonts w:ascii="Arial" w:cs="Arial" w:eastAsia="Arial" w:hAnsi="Arial"/>
          <w:sz w:val="22"/>
          <w:szCs w:val="22"/>
          <w:color w:val="auto"/>
        </w:rPr>
      </w:pPr>
    </w:p>
    <w:p>
      <w:pPr>
        <w:ind w:left="2580" w:hanging="909"/>
        <w:spacing w:after="0"/>
        <w:tabs>
          <w:tab w:leader="none" w:pos="25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 bond or surety shall be required with respect to performance of Trustee’s duties and powers.</w:t>
      </w:r>
    </w:p>
    <w:p>
      <w:pPr>
        <w:spacing w:after="0" w:line="240" w:lineRule="exact"/>
        <w:rPr>
          <w:rFonts w:ascii="Arial" w:cs="Arial" w:eastAsia="Arial" w:hAnsi="Arial"/>
          <w:sz w:val="19"/>
          <w:szCs w:val="19"/>
          <w:color w:val="auto"/>
        </w:rPr>
      </w:pPr>
    </w:p>
    <w:p>
      <w:pPr>
        <w:ind w:left="2520" w:hanging="849"/>
        <w:spacing w:after="0"/>
        <w:tabs>
          <w:tab w:leader="none" w:pos="25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Under no circumstances shall the Trustee be liable in its individual capacity for the obligations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evidenced by the Securities.</w:t>
      </w:r>
    </w:p>
    <w:p>
      <w:pPr>
        <w:spacing w:after="0" w:line="188" w:lineRule="exact"/>
        <w:rPr>
          <w:rFonts w:ascii="Arial" w:cs="Arial" w:eastAsia="Arial" w:hAnsi="Arial"/>
          <w:sz w:val="19"/>
          <w:szCs w:val="19"/>
          <w:color w:val="auto"/>
        </w:rPr>
      </w:pPr>
    </w:p>
    <w:p>
      <w:pPr>
        <w:ind w:right="340" w:firstLine="1671"/>
        <w:spacing w:after="0" w:line="328" w:lineRule="auto"/>
        <w:tabs>
          <w:tab w:leader="none" w:pos="2623"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request or direction of the Company mentioned herein shall be sufficiently evidenced by a Company Order and any resolution of the Board of Directors may be sufficiently evidenced by a Board Resolution.</w:t>
      </w:r>
    </w:p>
    <w:p>
      <w:pPr>
        <w:spacing w:after="0" w:line="104" w:lineRule="exact"/>
        <w:rPr>
          <w:rFonts w:ascii="Arial" w:cs="Arial" w:eastAsia="Arial" w:hAnsi="Arial"/>
          <w:sz w:val="19"/>
          <w:szCs w:val="19"/>
          <w:color w:val="auto"/>
        </w:rPr>
      </w:pPr>
    </w:p>
    <w:p>
      <w:pPr>
        <w:ind w:right="900" w:firstLine="1671"/>
        <w:spacing w:after="0" w:line="328" w:lineRule="auto"/>
        <w:tabs>
          <w:tab w:leader="none" w:pos="2563"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Trustee may request that the Company deliver a certificate setting forth the names of individuals and/or titles of officers authorized at such time to take specified actions pursuant to this Indenture.</w:t>
      </w:r>
    </w:p>
    <w:p>
      <w:pPr>
        <w:spacing w:after="0" w:line="104" w:lineRule="exact"/>
        <w:rPr>
          <w:rFonts w:ascii="Arial" w:cs="Arial" w:eastAsia="Arial" w:hAnsi="Arial"/>
          <w:sz w:val="19"/>
          <w:szCs w:val="19"/>
          <w:color w:val="auto"/>
        </w:rPr>
      </w:pPr>
    </w:p>
    <w:p>
      <w:pPr>
        <w:jc w:val="both"/>
        <w:ind w:firstLine="1671"/>
        <w:spacing w:after="0"/>
        <w:tabs>
          <w:tab w:leader="none" w:pos="2563"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6"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19"/>
          <w:szCs w:val="19"/>
          <w:u w:val="single" w:color="auto"/>
          <w:color w:val="auto"/>
        </w:rPr>
        <w:t>Individual Rights of Trustee.</w:t>
      </w:r>
    </w:p>
    <w:p>
      <w:pPr>
        <w:spacing w:after="0" w:line="206" w:lineRule="exact"/>
        <w:rPr>
          <w:sz w:val="20"/>
          <w:szCs w:val="20"/>
          <w:color w:val="auto"/>
        </w:rPr>
      </w:pPr>
    </w:p>
    <w:p>
      <w:pPr>
        <w:ind w:right="140" w:firstLine="1131"/>
        <w:spacing w:after="0" w:line="257" w:lineRule="auto"/>
        <w:rPr>
          <w:sz w:val="20"/>
          <w:szCs w:val="20"/>
          <w:color w:val="auto"/>
        </w:rPr>
      </w:pPr>
      <w:r>
        <w:rPr>
          <w:rFonts w:ascii="Arial" w:cs="Arial" w:eastAsia="Arial" w:hAnsi="Arial"/>
          <w:sz w:val="21"/>
          <w:szCs w:val="21"/>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69"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7.4</w:t>
      </w:r>
      <w:r>
        <w:rPr>
          <w:sz w:val="20"/>
          <w:szCs w:val="20"/>
          <w:color w:val="auto"/>
        </w:rPr>
        <w:tab/>
      </w:r>
      <w:r>
        <w:rPr>
          <w:rFonts w:ascii="Arial" w:cs="Arial" w:eastAsia="Arial" w:hAnsi="Arial"/>
          <w:sz w:val="19"/>
          <w:szCs w:val="19"/>
          <w:u w:val="single" w:color="auto"/>
          <w:color w:val="auto"/>
        </w:rPr>
        <w:t>Trustee’s Disclaimer.</w:t>
      </w:r>
    </w:p>
    <w:p>
      <w:pPr>
        <w:spacing w:after="0" w:line="206" w:lineRule="exact"/>
        <w:rPr>
          <w:sz w:val="20"/>
          <w:szCs w:val="20"/>
          <w:color w:val="auto"/>
        </w:rPr>
      </w:pPr>
    </w:p>
    <w:p>
      <w:pPr>
        <w:ind w:right="20" w:firstLine="1131"/>
        <w:spacing w:after="0" w:line="277" w:lineRule="auto"/>
        <w:rPr>
          <w:sz w:val="20"/>
          <w:szCs w:val="20"/>
          <w:color w:val="auto"/>
        </w:rPr>
      </w:pPr>
      <w:r>
        <w:rPr>
          <w:rFonts w:ascii="Arial" w:cs="Arial" w:eastAsia="Arial" w:hAnsi="Arial"/>
          <w:sz w:val="19"/>
          <w:szCs w:val="19"/>
          <w:color w:val="auto"/>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68" w:name="page69"/>
    <w:bookmarkEnd w:id="68"/>
    <w:p>
      <w:pPr>
        <w:ind w:left="840"/>
        <w:spacing w:after="0"/>
        <w:tabs>
          <w:tab w:leader="none" w:pos="2440" w:val="left"/>
        </w:tabs>
        <w:rPr>
          <w:sz w:val="20"/>
          <w:szCs w:val="20"/>
          <w:color w:val="auto"/>
        </w:rPr>
      </w:pPr>
      <w:r>
        <w:rPr>
          <w:rFonts w:ascii="Arial" w:cs="Arial" w:eastAsia="Arial" w:hAnsi="Arial"/>
          <w:sz w:val="22"/>
          <w:szCs w:val="22"/>
          <w:color w:val="auto"/>
        </w:rPr>
        <w:t>Section 7.5</w:t>
      </w:r>
      <w:r>
        <w:rPr>
          <w:sz w:val="20"/>
          <w:szCs w:val="20"/>
          <w:color w:val="auto"/>
        </w:rPr>
        <w:tab/>
      </w:r>
      <w:r>
        <w:rPr>
          <w:rFonts w:ascii="Arial" w:cs="Arial" w:eastAsia="Arial" w:hAnsi="Arial"/>
          <w:sz w:val="19"/>
          <w:szCs w:val="19"/>
          <w:u w:val="single" w:color="auto"/>
          <w:color w:val="auto"/>
        </w:rPr>
        <w:t>Notice of Defaults.</w:t>
      </w:r>
    </w:p>
    <w:p>
      <w:pPr>
        <w:spacing w:after="0" w:line="206" w:lineRule="exact"/>
        <w:rPr>
          <w:sz w:val="20"/>
          <w:szCs w:val="20"/>
          <w:color w:val="auto"/>
        </w:rPr>
      </w:pPr>
    </w:p>
    <w:p>
      <w:pPr>
        <w:ind w:right="120" w:firstLine="1131"/>
        <w:spacing w:after="0" w:line="279" w:lineRule="auto"/>
        <w:rPr>
          <w:sz w:val="20"/>
          <w:szCs w:val="20"/>
          <w:color w:val="auto"/>
        </w:rPr>
      </w:pPr>
      <w:r>
        <w:rPr>
          <w:rFonts w:ascii="Arial" w:cs="Arial" w:eastAsia="Arial" w:hAnsi="Arial"/>
          <w:sz w:val="19"/>
          <w:szCs w:val="19"/>
          <w:color w:val="auto"/>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150"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u w:val="single" w:color="auto"/>
          <w:color w:val="auto"/>
        </w:rPr>
        <w:t>Reports by Trustee to Holders.</w:t>
      </w:r>
    </w:p>
    <w:p>
      <w:pPr>
        <w:spacing w:after="0" w:line="206" w:lineRule="exact"/>
        <w:rPr>
          <w:sz w:val="20"/>
          <w:szCs w:val="20"/>
          <w:color w:val="auto"/>
        </w:rPr>
      </w:pPr>
    </w:p>
    <w:p>
      <w:pPr>
        <w:ind w:right="280" w:firstLine="1131"/>
        <w:spacing w:after="0"/>
        <w:rPr>
          <w:sz w:val="20"/>
          <w:szCs w:val="20"/>
          <w:color w:val="auto"/>
        </w:rPr>
      </w:pPr>
      <w:r>
        <w:rPr>
          <w:rFonts w:ascii="Arial" w:cs="Arial" w:eastAsia="Arial" w:hAnsi="Arial"/>
          <w:sz w:val="22"/>
          <w:szCs w:val="22"/>
          <w:color w:val="auto"/>
        </w:rPr>
        <w:t>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86" w:lineRule="exact"/>
        <w:rPr>
          <w:sz w:val="20"/>
          <w:szCs w:val="20"/>
          <w:color w:val="auto"/>
        </w:rPr>
      </w:pPr>
    </w:p>
    <w:p>
      <w:pPr>
        <w:ind w:firstLine="1131"/>
        <w:spacing w:after="0" w:line="238" w:lineRule="auto"/>
        <w:rPr>
          <w:sz w:val="20"/>
          <w:szCs w:val="20"/>
          <w:color w:val="auto"/>
        </w:rPr>
      </w:pPr>
      <w:r>
        <w:rPr>
          <w:rFonts w:ascii="Arial" w:cs="Arial" w:eastAsia="Arial" w:hAnsi="Arial"/>
          <w:sz w:val="22"/>
          <w:szCs w:val="22"/>
          <w:color w:val="auto"/>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spacing w:after="0" w:line="185"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7.7</w:t>
      </w:r>
      <w:r>
        <w:rPr>
          <w:sz w:val="20"/>
          <w:szCs w:val="20"/>
          <w:color w:val="auto"/>
        </w:rPr>
        <w:tab/>
      </w:r>
      <w:r>
        <w:rPr>
          <w:rFonts w:ascii="Arial" w:cs="Arial" w:eastAsia="Arial" w:hAnsi="Arial"/>
          <w:sz w:val="19"/>
          <w:szCs w:val="19"/>
          <w:u w:val="single" w:color="auto"/>
          <w:color w:val="auto"/>
        </w:rPr>
        <w:t>Compensation and Indemnity.</w:t>
      </w:r>
    </w:p>
    <w:p>
      <w:pPr>
        <w:spacing w:after="0" w:line="206" w:lineRule="exact"/>
        <w:rPr>
          <w:sz w:val="20"/>
          <w:szCs w:val="20"/>
          <w:color w:val="auto"/>
        </w:rPr>
      </w:pPr>
    </w:p>
    <w:p>
      <w:pPr>
        <w:ind w:right="260" w:firstLine="1131"/>
        <w:spacing w:after="0" w:line="236" w:lineRule="auto"/>
        <w:rPr>
          <w:sz w:val="20"/>
          <w:szCs w:val="20"/>
          <w:color w:val="auto"/>
        </w:rPr>
      </w:pPr>
      <w:r>
        <w:rPr>
          <w:rFonts w:ascii="Arial" w:cs="Arial" w:eastAsia="Arial" w:hAnsi="Arial"/>
          <w:sz w:val="22"/>
          <w:szCs w:val="22"/>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ind w:right="140" w:firstLine="1131"/>
        <w:spacing w:after="0" w:line="273" w:lineRule="auto"/>
        <w:rPr>
          <w:sz w:val="20"/>
          <w:szCs w:val="20"/>
          <w:color w:val="auto"/>
        </w:rPr>
      </w:pPr>
      <w:r>
        <w:rPr>
          <w:rFonts w:ascii="Arial" w:cs="Arial" w:eastAsia="Arial" w:hAnsi="Arial"/>
          <w:sz w:val="19"/>
          <w:szCs w:val="19"/>
          <w:color w:val="auto"/>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69" w:name="page70"/>
    <w:bookmarkEnd w:id="69"/>
    <w:p>
      <w:pPr>
        <w:ind w:right="200" w:firstLine="1131"/>
        <w:spacing w:after="0"/>
        <w:rPr>
          <w:sz w:val="20"/>
          <w:szCs w:val="20"/>
          <w:color w:val="auto"/>
        </w:rPr>
      </w:pPr>
      <w:r>
        <w:rPr>
          <w:rFonts w:ascii="Arial" w:cs="Arial" w:eastAsia="Arial" w:hAnsi="Arial"/>
          <w:sz w:val="22"/>
          <w:szCs w:val="22"/>
          <w:color w:val="auto"/>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spacing w:after="0" w:line="186" w:lineRule="exact"/>
        <w:rPr>
          <w:sz w:val="20"/>
          <w:szCs w:val="20"/>
          <w:color w:val="auto"/>
        </w:rPr>
      </w:pPr>
    </w:p>
    <w:p>
      <w:pPr>
        <w:ind w:right="140" w:firstLine="1131"/>
        <w:spacing w:after="0"/>
        <w:rPr>
          <w:sz w:val="20"/>
          <w:szCs w:val="20"/>
          <w:color w:val="auto"/>
        </w:rPr>
      </w:pPr>
      <w:r>
        <w:rPr>
          <w:rFonts w:ascii="Arial" w:cs="Arial" w:eastAsia="Arial" w:hAnsi="Arial"/>
          <w:sz w:val="22"/>
          <w:szCs w:val="22"/>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86" w:lineRule="exact"/>
        <w:rPr>
          <w:sz w:val="20"/>
          <w:szCs w:val="20"/>
          <w:color w:val="auto"/>
        </w:rPr>
      </w:pPr>
    </w:p>
    <w:p>
      <w:pPr>
        <w:ind w:right="420" w:firstLine="1131"/>
        <w:spacing w:after="0"/>
        <w:rPr>
          <w:sz w:val="20"/>
          <w:szCs w:val="20"/>
          <w:color w:val="auto"/>
        </w:rPr>
      </w:pPr>
      <w:r>
        <w:rPr>
          <w:rFonts w:ascii="Arial" w:cs="Arial" w:eastAsia="Arial" w:hAnsi="Arial"/>
          <w:sz w:val="22"/>
          <w:szCs w:val="22"/>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The provisions of this Section shall survive the termination of this Indenture or the resignation or removal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Trustee.</w:t>
      </w:r>
    </w:p>
    <w:p>
      <w:pPr>
        <w:spacing w:after="0" w:line="18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7.8</w:t>
      </w:r>
      <w:r>
        <w:rPr>
          <w:sz w:val="20"/>
          <w:szCs w:val="20"/>
          <w:color w:val="auto"/>
        </w:rPr>
        <w:tab/>
      </w:r>
      <w:r>
        <w:rPr>
          <w:rFonts w:ascii="Arial" w:cs="Arial" w:eastAsia="Arial" w:hAnsi="Arial"/>
          <w:sz w:val="19"/>
          <w:szCs w:val="19"/>
          <w:u w:val="single" w:color="auto"/>
          <w:color w:val="auto"/>
        </w:rPr>
        <w:t>Replacement of Trustee.</w:t>
      </w:r>
    </w:p>
    <w:p>
      <w:pPr>
        <w:spacing w:after="0" w:line="206" w:lineRule="exact"/>
        <w:rPr>
          <w:sz w:val="20"/>
          <w:szCs w:val="20"/>
          <w:color w:val="auto"/>
        </w:rPr>
      </w:pPr>
    </w:p>
    <w:p>
      <w:pPr>
        <w:ind w:right="320" w:firstLine="1131"/>
        <w:spacing w:after="0" w:line="250" w:lineRule="auto"/>
        <w:rPr>
          <w:sz w:val="20"/>
          <w:szCs w:val="20"/>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w:t>
      </w:r>
    </w:p>
    <w:p>
      <w:pPr>
        <w:spacing w:after="0" w:line="175" w:lineRule="exact"/>
        <w:rPr>
          <w:sz w:val="20"/>
          <w:szCs w:val="20"/>
          <w:color w:val="auto"/>
        </w:rPr>
      </w:pPr>
    </w:p>
    <w:p>
      <w:pPr>
        <w:ind w:right="100" w:firstLine="1131"/>
        <w:spacing w:after="0" w:line="236" w:lineRule="auto"/>
        <w:rPr>
          <w:sz w:val="20"/>
          <w:szCs w:val="20"/>
          <w:color w:val="auto"/>
        </w:rPr>
      </w:pPr>
      <w:r>
        <w:rPr>
          <w:rFonts w:ascii="Arial" w:cs="Arial" w:eastAsia="Arial" w:hAnsi="Arial"/>
          <w:sz w:val="22"/>
          <w:szCs w:val="22"/>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spacing w:after="0" w:line="187" w:lineRule="exact"/>
        <w:rPr>
          <w:sz w:val="20"/>
          <w:szCs w:val="20"/>
          <w:color w:val="auto"/>
        </w:rPr>
      </w:pPr>
    </w:p>
    <w:p>
      <w:pPr>
        <w:ind w:left="2560" w:hanging="889"/>
        <w:spacing w:after="0"/>
        <w:tabs>
          <w:tab w:leader="none" w:pos="25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Trustee fails to comply with Section 7.10;</w:t>
      </w:r>
    </w:p>
    <w:p>
      <w:pPr>
        <w:spacing w:after="0" w:line="206" w:lineRule="exact"/>
        <w:rPr>
          <w:rFonts w:ascii="Arial" w:cs="Arial" w:eastAsia="Arial" w:hAnsi="Arial"/>
          <w:sz w:val="22"/>
          <w:szCs w:val="22"/>
          <w:color w:val="auto"/>
        </w:rPr>
      </w:pPr>
    </w:p>
    <w:p>
      <w:pPr>
        <w:ind w:firstLine="1671"/>
        <w:spacing w:after="0" w:line="250" w:lineRule="auto"/>
        <w:tabs>
          <w:tab w:leader="none" w:pos="2563"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74" w:lineRule="exact"/>
        <w:rPr>
          <w:rFonts w:ascii="Arial" w:cs="Arial" w:eastAsia="Arial" w:hAnsi="Arial"/>
          <w:sz w:val="22"/>
          <w:szCs w:val="22"/>
          <w:color w:val="auto"/>
        </w:rPr>
      </w:pPr>
    </w:p>
    <w:p>
      <w:pPr>
        <w:ind w:left="2560" w:hanging="889"/>
        <w:spacing w:after="0"/>
        <w:tabs>
          <w:tab w:leader="none" w:pos="25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06" w:lineRule="exact"/>
        <w:rPr>
          <w:rFonts w:ascii="Arial" w:cs="Arial" w:eastAsia="Arial" w:hAnsi="Arial"/>
          <w:sz w:val="22"/>
          <w:szCs w:val="22"/>
          <w:color w:val="auto"/>
        </w:rPr>
      </w:pPr>
    </w:p>
    <w:p>
      <w:pPr>
        <w:ind w:left="2580" w:hanging="909"/>
        <w:spacing w:after="0"/>
        <w:tabs>
          <w:tab w:leader="none" w:pos="25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06" w:lineRule="exact"/>
        <w:rPr>
          <w:sz w:val="20"/>
          <w:szCs w:val="20"/>
          <w:color w:val="auto"/>
        </w:rPr>
      </w:pPr>
    </w:p>
    <w:p>
      <w:pPr>
        <w:ind w:right="120" w:firstLine="1131"/>
        <w:spacing w:after="0" w:line="238" w:lineRule="auto"/>
        <w:rPr>
          <w:sz w:val="20"/>
          <w:szCs w:val="20"/>
          <w:color w:val="auto"/>
        </w:rPr>
      </w:pPr>
      <w:r>
        <w:rPr>
          <w:rFonts w:ascii="Arial" w:cs="Arial" w:eastAsia="Arial" w:hAnsi="Arial"/>
          <w:sz w:val="22"/>
          <w:szCs w:val="22"/>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spacing w:after="0" w:line="185" w:lineRule="exact"/>
        <w:rPr>
          <w:sz w:val="20"/>
          <w:szCs w:val="20"/>
          <w:color w:val="auto"/>
        </w:rPr>
      </w:pPr>
    </w:p>
    <w:p>
      <w:pPr>
        <w:ind w:right="40" w:firstLine="1131"/>
        <w:spacing w:after="0" w:line="238" w:lineRule="auto"/>
        <w:rPr>
          <w:sz w:val="20"/>
          <w:szCs w:val="20"/>
          <w:color w:val="auto"/>
        </w:rPr>
      </w:pPr>
      <w:r>
        <w:rPr>
          <w:rFonts w:ascii="Arial" w:cs="Arial" w:eastAsia="Arial" w:hAnsi="Arial"/>
          <w:sz w:val="22"/>
          <w:szCs w:val="22"/>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0" w:name="page71"/>
    <w:bookmarkEnd w:id="70"/>
    <w:p>
      <w:pPr>
        <w:ind w:firstLine="1131"/>
        <w:spacing w:after="0" w:line="275" w:lineRule="auto"/>
        <w:rPr>
          <w:sz w:val="20"/>
          <w:szCs w:val="20"/>
          <w:color w:val="auto"/>
        </w:rPr>
      </w:pPr>
      <w:r>
        <w:rPr>
          <w:rFonts w:ascii="Arial" w:cs="Arial" w:eastAsia="Arial" w:hAnsi="Arial"/>
          <w:sz w:val="19"/>
          <w:szCs w:val="19"/>
          <w:color w:val="auto"/>
        </w:rPr>
        <w:t>A successor Trustee shall deliver a written acceptance of its appointment to the retiring Trustee and to the Company. Promptly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57"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7.9</w:t>
      </w:r>
      <w:r>
        <w:rPr>
          <w:sz w:val="20"/>
          <w:szCs w:val="20"/>
          <w:color w:val="auto"/>
        </w:rPr>
        <w:tab/>
      </w:r>
      <w:r>
        <w:rPr>
          <w:rFonts w:ascii="Arial" w:cs="Arial" w:eastAsia="Arial" w:hAnsi="Arial"/>
          <w:sz w:val="19"/>
          <w:szCs w:val="19"/>
          <w:u w:val="single" w:color="auto"/>
          <w:color w:val="auto"/>
        </w:rPr>
        <w:t>Successor Trustee by Merger, Etc.</w:t>
      </w:r>
    </w:p>
    <w:p>
      <w:pPr>
        <w:spacing w:after="0" w:line="206" w:lineRule="exact"/>
        <w:rPr>
          <w:sz w:val="20"/>
          <w:szCs w:val="20"/>
          <w:color w:val="auto"/>
        </w:rPr>
      </w:pPr>
    </w:p>
    <w:p>
      <w:pPr>
        <w:ind w:right="400" w:firstLine="1131"/>
        <w:spacing w:after="0"/>
        <w:rPr>
          <w:sz w:val="20"/>
          <w:szCs w:val="20"/>
          <w:color w:val="auto"/>
        </w:rPr>
      </w:pPr>
      <w:r>
        <w:rPr>
          <w:rFonts w:ascii="Arial" w:cs="Arial" w:eastAsia="Arial" w:hAnsi="Arial"/>
          <w:sz w:val="22"/>
          <w:szCs w:val="22"/>
          <w:color w:val="auto"/>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86"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21"/>
          <w:szCs w:val="21"/>
          <w:u w:val="single" w:color="auto"/>
          <w:color w:val="auto"/>
        </w:rPr>
        <w:t>Eligibility; Disqualification.</w:t>
      </w:r>
    </w:p>
    <w:p>
      <w:pPr>
        <w:spacing w:after="0" w:line="206" w:lineRule="exact"/>
        <w:rPr>
          <w:sz w:val="20"/>
          <w:szCs w:val="20"/>
          <w:color w:val="auto"/>
        </w:rPr>
      </w:pPr>
    </w:p>
    <w:p>
      <w:pPr>
        <w:ind w:right="160" w:firstLine="1131"/>
        <w:spacing w:after="0"/>
        <w:rPr>
          <w:sz w:val="20"/>
          <w:szCs w:val="20"/>
          <w:color w:val="auto"/>
        </w:rPr>
      </w:pPr>
      <w:r>
        <w:rPr>
          <w:rFonts w:ascii="Arial" w:cs="Arial" w:eastAsia="Arial" w:hAnsi="Arial"/>
          <w:sz w:val="22"/>
          <w:szCs w:val="22"/>
          <w:color w:val="auto"/>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spacing w:after="0" w:line="186"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u w:val="single" w:color="auto"/>
          <w:color w:val="auto"/>
        </w:rPr>
        <w:t>Preferential Collection of Claims Against Company.</w:t>
      </w:r>
    </w:p>
    <w:p>
      <w:pPr>
        <w:spacing w:after="0" w:line="206" w:lineRule="exact"/>
        <w:rPr>
          <w:sz w:val="20"/>
          <w:szCs w:val="20"/>
          <w:color w:val="auto"/>
        </w:rPr>
      </w:pPr>
    </w:p>
    <w:p>
      <w:pPr>
        <w:ind w:right="260" w:firstLine="1131"/>
        <w:spacing w:after="0" w:line="250" w:lineRule="auto"/>
        <w:rPr>
          <w:sz w:val="20"/>
          <w:szCs w:val="20"/>
          <w:color w:val="auto"/>
        </w:rPr>
      </w:pPr>
      <w:r>
        <w:rPr>
          <w:rFonts w:ascii="Arial" w:cs="Arial" w:eastAsia="Arial" w:hAnsi="Arial"/>
          <w:sz w:val="22"/>
          <w:szCs w:val="22"/>
          <w:color w:val="auto"/>
        </w:rPr>
        <w:t>The Trustee is subject to TIA § 311(a), excluding any creditor relationship listed in TIA § 311(b). A Trustee who has resigned or been removed shall be subject to TIA § 311(a) to the extent indicated.</w:t>
      </w:r>
    </w:p>
    <w:p>
      <w:pPr>
        <w:spacing w:after="0" w:line="169"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SATISFACTION AND DISCHARGE; DEFEASANCE</w:t>
      </w:r>
    </w:p>
    <w:p>
      <w:pPr>
        <w:spacing w:after="0" w:line="18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u w:val="single" w:color="auto"/>
          <w:color w:val="auto"/>
        </w:rPr>
        <w:t>Satisfaction and Discharge of Indenture.</w:t>
      </w:r>
    </w:p>
    <w:p>
      <w:pPr>
        <w:spacing w:after="0" w:line="206" w:lineRule="exact"/>
        <w:rPr>
          <w:sz w:val="20"/>
          <w:szCs w:val="20"/>
          <w:color w:val="auto"/>
        </w:rPr>
      </w:pPr>
    </w:p>
    <w:p>
      <w:pPr>
        <w:ind w:right="60" w:firstLine="1131"/>
        <w:spacing w:after="0" w:line="297" w:lineRule="auto"/>
        <w:rPr>
          <w:sz w:val="20"/>
          <w:szCs w:val="20"/>
          <w:color w:val="auto"/>
        </w:rPr>
      </w:pPr>
      <w:r>
        <w:rPr>
          <w:rFonts w:ascii="Arial" w:cs="Arial" w:eastAsia="Arial" w:hAnsi="Arial"/>
          <w:sz w:val="19"/>
          <w:szCs w:val="19"/>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34" w:lineRule="exact"/>
        <w:rPr>
          <w:sz w:val="20"/>
          <w:szCs w:val="20"/>
          <w:color w:val="auto"/>
        </w:rPr>
      </w:pPr>
    </w:p>
    <w:p>
      <w:pPr>
        <w:ind w:left="2560" w:hanging="889"/>
        <w:spacing w:after="0"/>
        <w:tabs>
          <w:tab w:leader="none" w:pos="25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either</w:t>
      </w:r>
    </w:p>
    <w:p>
      <w:pPr>
        <w:spacing w:after="0" w:line="206" w:lineRule="exact"/>
        <w:rPr>
          <w:rFonts w:ascii="Arial" w:cs="Arial" w:eastAsia="Arial" w:hAnsi="Arial"/>
          <w:sz w:val="22"/>
          <w:szCs w:val="22"/>
          <w:color w:val="auto"/>
        </w:rPr>
      </w:pPr>
    </w:p>
    <w:p>
      <w:pPr>
        <w:ind w:right="420" w:firstLine="2920"/>
        <w:spacing w:after="0"/>
        <w:tabs>
          <w:tab w:leader="none" w:pos="3764" w:val="left"/>
        </w:tabs>
        <w:numPr>
          <w:ilvl w:val="1"/>
          <w:numId w:val="60"/>
        </w:numPr>
        <w:rPr>
          <w:rFonts w:ascii="Arial" w:cs="Arial" w:eastAsia="Arial" w:hAnsi="Arial"/>
          <w:sz w:val="22"/>
          <w:szCs w:val="22"/>
          <w:color w:val="auto"/>
        </w:rPr>
      </w:pPr>
      <w:r>
        <w:rPr>
          <w:rFonts w:ascii="Arial" w:cs="Arial" w:eastAsia="Arial" w:hAnsi="Arial"/>
          <w:sz w:val="22"/>
          <w:szCs w:val="22"/>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71" w:name="page72"/>
    <w:bookmarkEnd w:id="71"/>
    <w:p>
      <w:pPr>
        <w:ind w:left="3840" w:hanging="920"/>
        <w:spacing w:after="0"/>
        <w:tabs>
          <w:tab w:leader="none" w:pos="3840" w:val="left"/>
        </w:tabs>
        <w:numPr>
          <w:ilvl w:val="0"/>
          <w:numId w:val="61"/>
        </w:numPr>
        <w:rPr>
          <w:rFonts w:ascii="Arial" w:cs="Arial" w:eastAsia="Arial" w:hAnsi="Arial"/>
          <w:sz w:val="21"/>
          <w:szCs w:val="21"/>
          <w:color w:val="auto"/>
        </w:rPr>
      </w:pPr>
      <w:r>
        <w:rPr>
          <w:rFonts w:ascii="Arial" w:cs="Arial" w:eastAsia="Arial" w:hAnsi="Arial"/>
          <w:sz w:val="21"/>
          <w:szCs w:val="21"/>
          <w:color w:val="auto"/>
        </w:rPr>
        <w:t>all such Securities of such Series not theretofore delivered to the Trustee for</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cancellation</w:t>
      </w:r>
    </w:p>
    <w:p>
      <w:pPr>
        <w:spacing w:after="0" w:line="188" w:lineRule="exact"/>
        <w:rPr>
          <w:sz w:val="20"/>
          <w:szCs w:val="20"/>
          <w:color w:val="auto"/>
        </w:rPr>
      </w:pPr>
    </w:p>
    <w:p>
      <w:pPr>
        <w:ind w:left="4240" w:hanging="904"/>
        <w:spacing w:after="0"/>
        <w:tabs>
          <w:tab w:leader="none" w:pos="42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have become due and payable by reason of sending a notice of redemption 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otherwise, or</w:t>
      </w:r>
    </w:p>
    <w:p>
      <w:pPr>
        <w:spacing w:after="0" w:line="188" w:lineRule="exact"/>
        <w:rPr>
          <w:sz w:val="20"/>
          <w:szCs w:val="20"/>
          <w:color w:val="auto"/>
        </w:rPr>
      </w:pPr>
    </w:p>
    <w:p>
      <w:pPr>
        <w:ind w:left="4240" w:hanging="904"/>
        <w:spacing w:after="0"/>
        <w:tabs>
          <w:tab w:leader="none" w:pos="42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will become due and payable at their Stated Maturity within one year, or</w:t>
      </w:r>
    </w:p>
    <w:p>
      <w:pPr>
        <w:spacing w:after="0" w:line="206" w:lineRule="exact"/>
        <w:rPr>
          <w:rFonts w:ascii="Arial" w:cs="Arial" w:eastAsia="Arial" w:hAnsi="Arial"/>
          <w:sz w:val="22"/>
          <w:szCs w:val="22"/>
          <w:color w:val="auto"/>
        </w:rPr>
      </w:pPr>
    </w:p>
    <w:p>
      <w:pPr>
        <w:ind w:right="180" w:firstLine="3336"/>
        <w:spacing w:after="0"/>
        <w:tabs>
          <w:tab w:leader="none" w:pos="4228" w:val="left"/>
        </w:tabs>
        <w:numPr>
          <w:ilvl w:val="0"/>
          <w:numId w:val="63"/>
        </w:numPr>
        <w:rPr>
          <w:rFonts w:ascii="Arial" w:cs="Arial" w:eastAsia="Arial" w:hAnsi="Arial"/>
          <w:sz w:val="22"/>
          <w:szCs w:val="22"/>
          <w:color w:val="auto"/>
        </w:rPr>
      </w:pPr>
      <w:r>
        <w:rPr>
          <w:rFonts w:ascii="Arial" w:cs="Arial" w:eastAsia="Arial" w:hAnsi="Arial"/>
          <w:sz w:val="22"/>
          <w:szCs w:val="22"/>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86" w:lineRule="exact"/>
        <w:rPr>
          <w:rFonts w:ascii="Arial" w:cs="Arial" w:eastAsia="Arial" w:hAnsi="Arial"/>
          <w:sz w:val="22"/>
          <w:szCs w:val="22"/>
          <w:color w:val="auto"/>
        </w:rPr>
      </w:pPr>
    </w:p>
    <w:p>
      <w:pPr>
        <w:ind w:left="4240" w:hanging="904"/>
        <w:spacing w:after="0"/>
        <w:tabs>
          <w:tab w:leader="none" w:pos="4240" w:val="left"/>
        </w:tabs>
        <w:numPr>
          <w:ilvl w:val="0"/>
          <w:numId w:val="63"/>
        </w:numPr>
        <w:rPr>
          <w:rFonts w:ascii="Arial" w:cs="Arial" w:eastAsia="Arial" w:hAnsi="Arial"/>
          <w:sz w:val="21"/>
          <w:szCs w:val="21"/>
          <w:color w:val="auto"/>
        </w:rPr>
      </w:pPr>
      <w:r>
        <w:rPr>
          <w:rFonts w:ascii="Arial" w:cs="Arial" w:eastAsia="Arial" w:hAnsi="Arial"/>
          <w:sz w:val="21"/>
          <w:szCs w:val="21"/>
          <w:color w:val="auto"/>
        </w:rPr>
        <w:t>are deemed paid and discharged pursuant to Section 8.3, as applicable;</w:t>
      </w:r>
    </w:p>
    <w:p>
      <w:pPr>
        <w:spacing w:after="0" w:line="218"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87" w:lineRule="exact"/>
        <w:rPr>
          <w:sz w:val="20"/>
          <w:szCs w:val="20"/>
          <w:color w:val="auto"/>
        </w:rPr>
      </w:pPr>
    </w:p>
    <w:p>
      <w:pPr>
        <w:ind w:left="2580" w:hanging="909"/>
        <w:spacing w:after="0"/>
        <w:tabs>
          <w:tab w:leader="none" w:pos="25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Company has paid or caused to be paid all other sums payable hereunder by the Company; and</w:t>
      </w:r>
    </w:p>
    <w:p>
      <w:pPr>
        <w:spacing w:after="0" w:line="240" w:lineRule="exact"/>
        <w:rPr>
          <w:rFonts w:ascii="Arial" w:cs="Arial" w:eastAsia="Arial" w:hAnsi="Arial"/>
          <w:sz w:val="19"/>
          <w:szCs w:val="19"/>
          <w:color w:val="auto"/>
        </w:rPr>
      </w:pPr>
    </w:p>
    <w:p>
      <w:pPr>
        <w:jc w:val="both"/>
        <w:ind w:firstLine="1671"/>
        <w:spacing w:after="0"/>
        <w:tabs>
          <w:tab w:leader="none" w:pos="2551"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86" w:lineRule="exact"/>
        <w:rPr>
          <w:sz w:val="20"/>
          <w:szCs w:val="20"/>
          <w:color w:val="auto"/>
        </w:rPr>
      </w:pPr>
    </w:p>
    <w:p>
      <w:pPr>
        <w:ind w:right="140" w:firstLine="1131"/>
        <w:spacing w:after="0"/>
        <w:rPr>
          <w:sz w:val="20"/>
          <w:szCs w:val="20"/>
          <w:color w:val="auto"/>
        </w:rPr>
      </w:pPr>
      <w:r>
        <w:rPr>
          <w:rFonts w:ascii="Arial" w:cs="Arial" w:eastAsia="Arial" w:hAnsi="Arial"/>
          <w:sz w:val="22"/>
          <w:szCs w:val="22"/>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86"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u w:val="single" w:color="auto"/>
          <w:color w:val="auto"/>
        </w:rPr>
        <w:t>Application of Trust Funds; Indemnification.</w:t>
      </w:r>
    </w:p>
    <w:p>
      <w:pPr>
        <w:spacing w:after="0" w:line="206" w:lineRule="exact"/>
        <w:rPr>
          <w:sz w:val="20"/>
          <w:szCs w:val="20"/>
          <w:color w:val="auto"/>
        </w:rPr>
      </w:pPr>
    </w:p>
    <w:p>
      <w:pPr>
        <w:ind w:firstLine="1671"/>
        <w:spacing w:after="0" w:line="246" w:lineRule="auto"/>
        <w:tabs>
          <w:tab w:leader="none" w:pos="2551" w:val="left"/>
        </w:tabs>
        <w:numPr>
          <w:ilvl w:val="0"/>
          <w:numId w:val="65"/>
        </w:numPr>
        <w:rPr>
          <w:rFonts w:ascii="Arial" w:cs="Arial" w:eastAsia="Arial" w:hAnsi="Arial"/>
          <w:sz w:val="21"/>
          <w:szCs w:val="21"/>
          <w:color w:val="auto"/>
        </w:rPr>
      </w:pPr>
      <w:r>
        <w:rPr>
          <w:rFonts w:ascii="Arial" w:cs="Arial" w:eastAsia="Arial" w:hAnsi="Arial"/>
          <w:sz w:val="21"/>
          <w:szCs w:val="21"/>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72" w:name="page73"/>
    <w:bookmarkEnd w:id="72"/>
    <w:p>
      <w:pPr>
        <w:ind w:right="20" w:firstLine="1671"/>
        <w:spacing w:after="0" w:line="238" w:lineRule="auto"/>
        <w:tabs>
          <w:tab w:leader="none" w:pos="2563"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84" w:lineRule="exact"/>
        <w:rPr>
          <w:rFonts w:ascii="Arial" w:cs="Arial" w:eastAsia="Arial" w:hAnsi="Arial"/>
          <w:sz w:val="22"/>
          <w:szCs w:val="22"/>
          <w:color w:val="auto"/>
        </w:rPr>
      </w:pPr>
    </w:p>
    <w:p>
      <w:pPr>
        <w:ind w:right="20" w:firstLine="1671"/>
        <w:spacing w:after="0" w:line="246" w:lineRule="auto"/>
        <w:tabs>
          <w:tab w:leader="none" w:pos="2551"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4"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8.3</w:t>
      </w:r>
      <w:r>
        <w:rPr>
          <w:sz w:val="20"/>
          <w:szCs w:val="20"/>
          <w:color w:val="auto"/>
        </w:rPr>
        <w:tab/>
      </w:r>
      <w:r>
        <w:rPr>
          <w:rFonts w:ascii="Arial" w:cs="Arial" w:eastAsia="Arial" w:hAnsi="Arial"/>
          <w:sz w:val="19"/>
          <w:szCs w:val="19"/>
          <w:u w:val="single" w:color="auto"/>
          <w:color w:val="auto"/>
        </w:rPr>
        <w:t>Legal Defeasance of Securities of any Series.</w:t>
      </w:r>
    </w:p>
    <w:p>
      <w:pPr>
        <w:spacing w:after="0" w:line="206" w:lineRule="exact"/>
        <w:rPr>
          <w:sz w:val="20"/>
          <w:szCs w:val="20"/>
          <w:color w:val="auto"/>
        </w:rPr>
      </w:pPr>
    </w:p>
    <w:p>
      <w:pPr>
        <w:ind w:right="40" w:firstLine="1131"/>
        <w:spacing w:after="0" w:line="282" w:lineRule="auto"/>
        <w:rPr>
          <w:sz w:val="20"/>
          <w:szCs w:val="20"/>
          <w:color w:val="auto"/>
        </w:rPr>
      </w:pPr>
      <w:r>
        <w:rPr>
          <w:rFonts w:ascii="Arial" w:cs="Arial" w:eastAsia="Arial" w:hAnsi="Arial"/>
          <w:sz w:val="19"/>
          <w:szCs w:val="19"/>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47" w:lineRule="exact"/>
        <w:rPr>
          <w:sz w:val="20"/>
          <w:szCs w:val="20"/>
          <w:color w:val="auto"/>
        </w:rPr>
      </w:pPr>
    </w:p>
    <w:p>
      <w:pPr>
        <w:ind w:right="400" w:firstLine="1671"/>
        <w:spacing w:after="0" w:line="282" w:lineRule="auto"/>
        <w:tabs>
          <w:tab w:leader="none" w:pos="2551"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47" w:lineRule="exact"/>
        <w:rPr>
          <w:rFonts w:ascii="Arial" w:cs="Arial" w:eastAsia="Arial" w:hAnsi="Arial"/>
          <w:sz w:val="19"/>
          <w:szCs w:val="19"/>
          <w:color w:val="auto"/>
        </w:rPr>
      </w:pPr>
    </w:p>
    <w:p>
      <w:pPr>
        <w:ind w:left="2580" w:hanging="909"/>
        <w:spacing w:after="0"/>
        <w:tabs>
          <w:tab w:leader="none" w:pos="25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provisions of Sections 2.4, 2.5, 2.7, 2.8, 7.7, 8.2, 8.3, 8.5 and 8.6; and</w:t>
      </w:r>
    </w:p>
    <w:p>
      <w:pPr>
        <w:spacing w:after="0" w:line="206" w:lineRule="exact"/>
        <w:rPr>
          <w:rFonts w:ascii="Arial" w:cs="Arial" w:eastAsia="Arial" w:hAnsi="Arial"/>
          <w:sz w:val="22"/>
          <w:szCs w:val="22"/>
          <w:color w:val="auto"/>
        </w:rPr>
      </w:pPr>
    </w:p>
    <w:p>
      <w:pPr>
        <w:ind w:left="2560" w:hanging="889"/>
        <w:spacing w:after="0"/>
        <w:tabs>
          <w:tab w:leader="none" w:pos="25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rights, powers, trusts and immunities of the Trustee hereunder and the Company’s obligations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connection therewith;</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provided that, the following conditions shall have been satisfied:</w:t>
      </w:r>
    </w:p>
    <w:p>
      <w:pPr>
        <w:spacing w:after="0" w:line="206" w:lineRule="exact"/>
        <w:rPr>
          <w:sz w:val="20"/>
          <w:szCs w:val="20"/>
          <w:color w:val="auto"/>
        </w:rPr>
      </w:pPr>
    </w:p>
    <w:p>
      <w:pPr>
        <w:ind w:right="380" w:firstLine="1671"/>
        <w:spacing w:after="0" w:line="248" w:lineRule="auto"/>
        <w:tabs>
          <w:tab w:leader="none" w:pos="2563"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73" w:name="page74"/>
    <w:bookmarkEnd w:id="73"/>
    <w:p>
      <w:pPr>
        <w:ind w:right="360"/>
        <w:spacing w:after="0" w:line="282" w:lineRule="auto"/>
        <w:rPr>
          <w:sz w:val="20"/>
          <w:szCs w:val="20"/>
          <w:color w:val="auto"/>
        </w:rPr>
      </w:pPr>
      <w:r>
        <w:rPr>
          <w:rFonts w:ascii="Arial" w:cs="Arial" w:eastAsia="Arial" w:hAnsi="Arial"/>
          <w:sz w:val="19"/>
          <w:szCs w:val="19"/>
          <w:color w:val="auto"/>
        </w:rPr>
        <w:t>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47" w:lineRule="exact"/>
        <w:rPr>
          <w:sz w:val="20"/>
          <w:szCs w:val="20"/>
          <w:color w:val="auto"/>
        </w:rPr>
      </w:pPr>
    </w:p>
    <w:p>
      <w:pPr>
        <w:ind w:firstLine="1671"/>
        <w:spacing w:after="0" w:line="250" w:lineRule="auto"/>
        <w:tabs>
          <w:tab w:leader="none" w:pos="2551"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such deposit will not result in a breach or violation of, or constitute a default under, this Indenture or any other agreement or instrument to which the Company is a party or by which it is bound;</w:t>
      </w:r>
    </w:p>
    <w:p>
      <w:pPr>
        <w:spacing w:after="0" w:line="174" w:lineRule="exact"/>
        <w:rPr>
          <w:rFonts w:ascii="Arial" w:cs="Arial" w:eastAsia="Arial" w:hAnsi="Arial"/>
          <w:sz w:val="22"/>
          <w:szCs w:val="22"/>
          <w:color w:val="auto"/>
        </w:rPr>
      </w:pPr>
    </w:p>
    <w:p>
      <w:pPr>
        <w:ind w:right="140" w:firstLine="1671"/>
        <w:spacing w:after="0" w:line="274" w:lineRule="auto"/>
        <w:tabs>
          <w:tab w:leader="none" w:pos="2527" w:val="left"/>
        </w:tabs>
        <w:numPr>
          <w:ilvl w:val="0"/>
          <w:numId w:val="69"/>
        </w:numPr>
        <w:rPr>
          <w:rFonts w:ascii="Arial" w:cs="Arial" w:eastAsia="Arial" w:hAnsi="Arial"/>
          <w:sz w:val="21"/>
          <w:szCs w:val="21"/>
          <w:color w:val="auto"/>
        </w:rPr>
      </w:pPr>
      <w:r>
        <w:rPr>
          <w:rFonts w:ascii="Arial" w:cs="Arial" w:eastAsia="Arial" w:hAnsi="Arial"/>
          <w:sz w:val="21"/>
          <w:szCs w:val="21"/>
          <w:color w:val="auto"/>
        </w:rPr>
        <w:t>no Default or Event of Default with respect to the Securities of such Series shall have occurred and be continuing on the date of such deposit or during the period ending on the 91st day after such date;</w:t>
      </w:r>
    </w:p>
    <w:p>
      <w:pPr>
        <w:spacing w:after="0" w:line="150" w:lineRule="exact"/>
        <w:rPr>
          <w:rFonts w:ascii="Arial" w:cs="Arial" w:eastAsia="Arial" w:hAnsi="Arial"/>
          <w:sz w:val="21"/>
          <w:szCs w:val="21"/>
          <w:color w:val="auto"/>
        </w:rPr>
      </w:pPr>
    </w:p>
    <w:p>
      <w:pPr>
        <w:ind w:right="40" w:firstLine="1671"/>
        <w:spacing w:after="0" w:line="277" w:lineRule="auto"/>
        <w:tabs>
          <w:tab w:leader="none" w:pos="2563"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51" w:lineRule="exact"/>
        <w:rPr>
          <w:rFonts w:ascii="Arial" w:cs="Arial" w:eastAsia="Arial" w:hAnsi="Arial"/>
          <w:sz w:val="19"/>
          <w:szCs w:val="19"/>
          <w:color w:val="auto"/>
        </w:rPr>
      </w:pPr>
    </w:p>
    <w:p>
      <w:pPr>
        <w:jc w:val="both"/>
        <w:ind w:firstLine="1671"/>
        <w:spacing w:after="0" w:line="328" w:lineRule="auto"/>
        <w:tabs>
          <w:tab w:leader="none" w:pos="2563"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04" w:lineRule="exact"/>
        <w:rPr>
          <w:rFonts w:ascii="Arial" w:cs="Arial" w:eastAsia="Arial" w:hAnsi="Arial"/>
          <w:sz w:val="19"/>
          <w:szCs w:val="19"/>
          <w:color w:val="auto"/>
        </w:rPr>
      </w:pPr>
    </w:p>
    <w:p>
      <w:pPr>
        <w:ind w:right="60" w:firstLine="1671"/>
        <w:spacing w:after="0"/>
        <w:tabs>
          <w:tab w:leader="none" w:pos="2515"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86"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8.4</w:t>
      </w:r>
      <w:r>
        <w:rPr>
          <w:sz w:val="20"/>
          <w:szCs w:val="20"/>
          <w:color w:val="auto"/>
        </w:rPr>
        <w:tab/>
      </w:r>
      <w:r>
        <w:rPr>
          <w:rFonts w:ascii="Arial" w:cs="Arial" w:eastAsia="Arial" w:hAnsi="Arial"/>
          <w:sz w:val="19"/>
          <w:szCs w:val="19"/>
          <w:u w:val="single" w:color="auto"/>
          <w:color w:val="auto"/>
        </w:rPr>
        <w:t>Covenant Defeasance.</w:t>
      </w:r>
    </w:p>
    <w:p>
      <w:pPr>
        <w:spacing w:after="0" w:line="206" w:lineRule="exact"/>
        <w:rPr>
          <w:sz w:val="20"/>
          <w:szCs w:val="20"/>
          <w:color w:val="auto"/>
        </w:rPr>
      </w:pPr>
    </w:p>
    <w:p>
      <w:pPr>
        <w:ind w:right="40" w:firstLine="1131"/>
        <w:spacing w:after="0" w:line="275" w:lineRule="auto"/>
        <w:rPr>
          <w:sz w:val="20"/>
          <w:szCs w:val="20"/>
          <w:color w:val="auto"/>
        </w:rPr>
      </w:pPr>
      <w:r>
        <w:rPr>
          <w:rFonts w:ascii="Arial" w:cs="Arial" w:eastAsia="Arial" w:hAnsi="Arial"/>
          <w:sz w:val="19"/>
          <w:szCs w:val="19"/>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4" w:name="page75"/>
    <w:bookmarkEnd w:id="74"/>
    <w:p>
      <w:pPr>
        <w:ind w:right="560"/>
        <w:spacing w:after="0" w:line="250" w:lineRule="auto"/>
        <w:rPr>
          <w:sz w:val="20"/>
          <w:szCs w:val="20"/>
          <w:color w:val="auto"/>
        </w:rPr>
      </w:pPr>
      <w:r>
        <w:rPr>
          <w:rFonts w:ascii="Arial" w:cs="Arial" w:eastAsia="Arial" w:hAnsi="Arial"/>
          <w:sz w:val="22"/>
          <w:szCs w:val="22"/>
          <w:color w:val="auto"/>
        </w:rPr>
        <w:t>specified above, the remainder of this Indenture and such Securities will be unaffected thereby; provided that the following conditions shall have been satisfied:</w:t>
      </w:r>
    </w:p>
    <w:p>
      <w:pPr>
        <w:spacing w:after="0" w:line="175" w:lineRule="exact"/>
        <w:rPr>
          <w:sz w:val="20"/>
          <w:szCs w:val="20"/>
          <w:color w:val="auto"/>
        </w:rPr>
      </w:pPr>
    </w:p>
    <w:p>
      <w:pPr>
        <w:ind w:firstLine="1671"/>
        <w:spacing w:after="0" w:line="273" w:lineRule="auto"/>
        <w:tabs>
          <w:tab w:leader="none" w:pos="2551" w:val="left"/>
        </w:tabs>
        <w:numPr>
          <w:ilvl w:val="0"/>
          <w:numId w:val="70"/>
        </w:numPr>
        <w:rPr>
          <w:rFonts w:ascii="Arial" w:cs="Arial" w:eastAsia="Arial" w:hAnsi="Arial"/>
          <w:sz w:val="19"/>
          <w:szCs w:val="19"/>
          <w:color w:val="auto"/>
        </w:rPr>
      </w:pPr>
      <w:r>
        <w:rPr>
          <w:rFonts w:ascii="Arial" w:cs="Arial" w:eastAsia="Arial" w:hAnsi="Arial"/>
          <w:sz w:val="19"/>
          <w:szCs w:val="19"/>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155" w:lineRule="exact"/>
        <w:rPr>
          <w:rFonts w:ascii="Arial" w:cs="Arial" w:eastAsia="Arial" w:hAnsi="Arial"/>
          <w:sz w:val="19"/>
          <w:szCs w:val="19"/>
          <w:color w:val="auto"/>
        </w:rPr>
      </w:pPr>
    </w:p>
    <w:p>
      <w:pPr>
        <w:ind w:right="180" w:firstLine="1671"/>
        <w:spacing w:after="0" w:line="250" w:lineRule="auto"/>
        <w:tabs>
          <w:tab w:leader="none" w:pos="2563" w:val="left"/>
        </w:tabs>
        <w:numPr>
          <w:ilvl w:val="0"/>
          <w:numId w:val="70"/>
        </w:numPr>
        <w:rPr>
          <w:rFonts w:ascii="Arial" w:cs="Arial" w:eastAsia="Arial" w:hAnsi="Arial"/>
          <w:sz w:val="22"/>
          <w:szCs w:val="22"/>
          <w:color w:val="auto"/>
        </w:rPr>
      </w:pPr>
      <w:r>
        <w:rPr>
          <w:rFonts w:ascii="Arial" w:cs="Arial" w:eastAsia="Arial" w:hAnsi="Arial"/>
          <w:sz w:val="22"/>
          <w:szCs w:val="22"/>
          <w:color w:val="auto"/>
        </w:rPr>
        <w:t>such deposit will not result in a breach or violation of, or constitute a default under, this Indenture or any other agreement or instrument to which the Company is a party or by which it is bound;</w:t>
      </w:r>
    </w:p>
    <w:p>
      <w:pPr>
        <w:spacing w:after="0" w:line="174" w:lineRule="exact"/>
        <w:rPr>
          <w:rFonts w:ascii="Arial" w:cs="Arial" w:eastAsia="Arial" w:hAnsi="Arial"/>
          <w:sz w:val="22"/>
          <w:szCs w:val="22"/>
          <w:color w:val="auto"/>
        </w:rPr>
      </w:pPr>
    </w:p>
    <w:p>
      <w:pPr>
        <w:ind w:right="80" w:firstLine="1671"/>
        <w:spacing w:after="0" w:line="250" w:lineRule="auto"/>
        <w:tabs>
          <w:tab w:leader="none" w:pos="2551"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 Default or Event of Default with respect to the Securities of such Series shall have occurred and be continuing on the date of such deposit;</w:t>
      </w:r>
    </w:p>
    <w:p>
      <w:pPr>
        <w:spacing w:after="0" w:line="174" w:lineRule="exact"/>
        <w:rPr>
          <w:rFonts w:ascii="Arial" w:cs="Arial" w:eastAsia="Arial" w:hAnsi="Arial"/>
          <w:sz w:val="22"/>
          <w:szCs w:val="22"/>
          <w:color w:val="auto"/>
        </w:rPr>
      </w:pPr>
    </w:p>
    <w:p>
      <w:pPr>
        <w:ind w:right="20" w:firstLine="1671"/>
        <w:spacing w:after="0" w:line="277" w:lineRule="auto"/>
        <w:tabs>
          <w:tab w:leader="none" w:pos="2563"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spacing w:after="0" w:line="151" w:lineRule="exact"/>
        <w:rPr>
          <w:rFonts w:ascii="Arial" w:cs="Arial" w:eastAsia="Arial" w:hAnsi="Arial"/>
          <w:sz w:val="19"/>
          <w:szCs w:val="19"/>
          <w:color w:val="auto"/>
        </w:rPr>
      </w:pPr>
    </w:p>
    <w:p>
      <w:pPr>
        <w:ind w:firstLine="1671"/>
        <w:spacing w:after="0" w:line="328" w:lineRule="auto"/>
        <w:tabs>
          <w:tab w:leader="none" w:pos="2551"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04" w:lineRule="exact"/>
        <w:rPr>
          <w:rFonts w:ascii="Arial" w:cs="Arial" w:eastAsia="Arial" w:hAnsi="Arial"/>
          <w:sz w:val="19"/>
          <w:szCs w:val="19"/>
          <w:color w:val="auto"/>
        </w:rPr>
      </w:pPr>
    </w:p>
    <w:p>
      <w:pPr>
        <w:ind w:right="180" w:firstLine="1671"/>
        <w:spacing w:after="0"/>
        <w:tabs>
          <w:tab w:leader="none" w:pos="2527"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75" w:name="page76"/>
    <w:bookmarkEnd w:id="75"/>
    <w:p>
      <w:pPr>
        <w:ind w:left="840"/>
        <w:spacing w:after="0"/>
        <w:tabs>
          <w:tab w:leader="none" w:pos="2440" w:val="left"/>
        </w:tabs>
        <w:rPr>
          <w:sz w:val="20"/>
          <w:szCs w:val="20"/>
          <w:color w:val="auto"/>
        </w:rPr>
      </w:pPr>
      <w:r>
        <w:rPr>
          <w:rFonts w:ascii="Arial" w:cs="Arial" w:eastAsia="Arial" w:hAnsi="Arial"/>
          <w:sz w:val="22"/>
          <w:szCs w:val="22"/>
          <w:color w:val="auto"/>
        </w:rPr>
        <w:t>Section 8.5</w:t>
      </w:r>
      <w:r>
        <w:rPr>
          <w:sz w:val="20"/>
          <w:szCs w:val="20"/>
          <w:color w:val="auto"/>
        </w:rPr>
        <w:tab/>
      </w:r>
      <w:r>
        <w:rPr>
          <w:rFonts w:ascii="Arial" w:cs="Arial" w:eastAsia="Arial" w:hAnsi="Arial"/>
          <w:sz w:val="19"/>
          <w:szCs w:val="19"/>
          <w:u w:val="single" w:color="auto"/>
          <w:color w:val="auto"/>
        </w:rPr>
        <w:t>Repayment to Company.</w:t>
      </w:r>
    </w:p>
    <w:p>
      <w:pPr>
        <w:spacing w:after="0" w:line="206" w:lineRule="exact"/>
        <w:rPr>
          <w:sz w:val="20"/>
          <w:szCs w:val="20"/>
          <w:color w:val="auto"/>
        </w:rPr>
      </w:pPr>
    </w:p>
    <w:p>
      <w:pPr>
        <w:ind w:firstLine="1131"/>
        <w:spacing w:after="0" w:line="287" w:lineRule="auto"/>
        <w:rPr>
          <w:sz w:val="20"/>
          <w:szCs w:val="20"/>
          <w:color w:val="auto"/>
        </w:rPr>
      </w:pPr>
      <w:r>
        <w:rPr>
          <w:rFonts w:ascii="Arial" w:cs="Arial" w:eastAsia="Arial" w:hAnsi="Arial"/>
          <w:sz w:val="19"/>
          <w:szCs w:val="19"/>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spacing w:after="0" w:line="143"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8.6</w:t>
      </w:r>
      <w:r>
        <w:rPr>
          <w:sz w:val="20"/>
          <w:szCs w:val="20"/>
          <w:color w:val="auto"/>
        </w:rPr>
        <w:tab/>
      </w:r>
      <w:r>
        <w:rPr>
          <w:rFonts w:ascii="Arial" w:cs="Arial" w:eastAsia="Arial" w:hAnsi="Arial"/>
          <w:sz w:val="19"/>
          <w:szCs w:val="19"/>
          <w:u w:val="single" w:color="auto"/>
          <w:color w:val="auto"/>
        </w:rPr>
        <w:t>Reinstatement.</w:t>
      </w:r>
    </w:p>
    <w:p>
      <w:pPr>
        <w:spacing w:after="0" w:line="206" w:lineRule="exact"/>
        <w:rPr>
          <w:sz w:val="20"/>
          <w:szCs w:val="20"/>
          <w:color w:val="auto"/>
        </w:rPr>
      </w:pPr>
    </w:p>
    <w:p>
      <w:pPr>
        <w:ind w:firstLine="1131"/>
        <w:spacing w:after="0" w:line="274" w:lineRule="auto"/>
        <w:rPr>
          <w:sz w:val="20"/>
          <w:szCs w:val="20"/>
          <w:color w:val="auto"/>
        </w:rPr>
      </w:pPr>
      <w:r>
        <w:rPr>
          <w:rFonts w:ascii="Arial" w:cs="Arial" w:eastAsia="Arial" w:hAnsi="Arial"/>
          <w:sz w:val="19"/>
          <w:szCs w:val="19"/>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52"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AMENDMENTS AND WAIVERS</w:t>
      </w:r>
    </w:p>
    <w:p>
      <w:pPr>
        <w:spacing w:after="0" w:line="18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u w:val="single" w:color="auto"/>
          <w:color w:val="auto"/>
        </w:rPr>
        <w:t>Without Consent of Holders.</w:t>
      </w:r>
    </w:p>
    <w:p>
      <w:pPr>
        <w:spacing w:after="0" w:line="206" w:lineRule="exact"/>
        <w:rPr>
          <w:sz w:val="20"/>
          <w:szCs w:val="20"/>
          <w:color w:val="auto"/>
        </w:rPr>
      </w:pPr>
    </w:p>
    <w:p>
      <w:pPr>
        <w:ind w:right="520" w:firstLine="1131"/>
        <w:spacing w:after="0" w:line="250" w:lineRule="auto"/>
        <w:rPr>
          <w:sz w:val="20"/>
          <w:szCs w:val="20"/>
          <w:color w:val="auto"/>
        </w:rPr>
      </w:pPr>
      <w:r>
        <w:rPr>
          <w:rFonts w:ascii="Arial" w:cs="Arial" w:eastAsia="Arial" w:hAnsi="Arial"/>
          <w:sz w:val="22"/>
          <w:szCs w:val="22"/>
          <w:color w:val="auto"/>
        </w:rPr>
        <w:t>The Company and the Trustee may amend or supplement this Indenture or the Securities of one or more Series without the consent of any Securityholder:</w:t>
      </w:r>
    </w:p>
    <w:p>
      <w:pPr>
        <w:spacing w:after="0" w:line="175" w:lineRule="exact"/>
        <w:rPr>
          <w:sz w:val="20"/>
          <w:szCs w:val="20"/>
          <w:color w:val="auto"/>
        </w:rPr>
      </w:pPr>
    </w:p>
    <w:p>
      <w:pPr>
        <w:ind w:left="2560" w:hanging="889"/>
        <w:spacing w:after="0"/>
        <w:tabs>
          <w:tab w:leader="none" w:pos="25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cure any ambiguity, defect or inconsistency as evidenced by an Officer Certificate;</w:t>
      </w:r>
    </w:p>
    <w:p>
      <w:pPr>
        <w:spacing w:after="0" w:line="206" w:lineRule="exact"/>
        <w:rPr>
          <w:rFonts w:ascii="Arial" w:cs="Arial" w:eastAsia="Arial" w:hAnsi="Arial"/>
          <w:sz w:val="22"/>
          <w:szCs w:val="22"/>
          <w:color w:val="auto"/>
        </w:rPr>
      </w:pPr>
    </w:p>
    <w:p>
      <w:pPr>
        <w:ind w:left="2580" w:hanging="909"/>
        <w:spacing w:after="0"/>
        <w:tabs>
          <w:tab w:leader="none" w:pos="25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comply with Article V;</w:t>
      </w:r>
    </w:p>
    <w:p>
      <w:pPr>
        <w:spacing w:after="0" w:line="206" w:lineRule="exact"/>
        <w:rPr>
          <w:rFonts w:ascii="Arial" w:cs="Arial" w:eastAsia="Arial" w:hAnsi="Arial"/>
          <w:sz w:val="22"/>
          <w:szCs w:val="22"/>
          <w:color w:val="auto"/>
        </w:rPr>
      </w:pPr>
    </w:p>
    <w:p>
      <w:pPr>
        <w:ind w:left="2560" w:hanging="889"/>
        <w:spacing w:after="0"/>
        <w:tabs>
          <w:tab w:leader="none" w:pos="25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provide for uncertificated Securities in addition to or in place of certificated Securities;</w:t>
      </w:r>
    </w:p>
    <w:p>
      <w:pPr>
        <w:spacing w:after="0" w:line="206" w:lineRule="exact"/>
        <w:rPr>
          <w:rFonts w:ascii="Arial" w:cs="Arial" w:eastAsia="Arial" w:hAnsi="Arial"/>
          <w:sz w:val="22"/>
          <w:szCs w:val="22"/>
          <w:color w:val="auto"/>
        </w:rPr>
      </w:pPr>
    </w:p>
    <w:p>
      <w:pPr>
        <w:ind w:left="2580" w:hanging="909"/>
        <w:spacing w:after="0"/>
        <w:tabs>
          <w:tab w:leader="none" w:pos="2580" w:val="left"/>
        </w:tabs>
        <w:numPr>
          <w:ilvl w:val="0"/>
          <w:numId w:val="71"/>
        </w:numPr>
        <w:rPr>
          <w:rFonts w:ascii="Arial" w:cs="Arial" w:eastAsia="Arial" w:hAnsi="Arial"/>
          <w:sz w:val="21"/>
          <w:szCs w:val="21"/>
          <w:color w:val="auto"/>
        </w:rPr>
      </w:pPr>
      <w:r>
        <w:rPr>
          <w:rFonts w:ascii="Arial" w:cs="Arial" w:eastAsia="Arial" w:hAnsi="Arial"/>
          <w:sz w:val="21"/>
          <w:szCs w:val="21"/>
          <w:color w:val="auto"/>
        </w:rPr>
        <w:t>to add guarantees with respect to Securities of any Series or secure Securities of any Series;</w:t>
      </w:r>
    </w:p>
    <w:p>
      <w:pPr>
        <w:spacing w:after="0" w:line="217" w:lineRule="exact"/>
        <w:rPr>
          <w:rFonts w:ascii="Arial" w:cs="Arial" w:eastAsia="Arial" w:hAnsi="Arial"/>
          <w:sz w:val="21"/>
          <w:szCs w:val="21"/>
          <w:color w:val="auto"/>
        </w:rPr>
      </w:pPr>
    </w:p>
    <w:p>
      <w:pPr>
        <w:ind w:left="2560" w:hanging="889"/>
        <w:spacing w:after="0"/>
        <w:tabs>
          <w:tab w:leader="none" w:pos="25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surrender any of the Company’s rights or powers under this Indenture;</w:t>
      </w:r>
    </w:p>
    <w:p>
      <w:pPr>
        <w:spacing w:after="0" w:line="206" w:lineRule="exact"/>
        <w:rPr>
          <w:rFonts w:ascii="Arial" w:cs="Arial" w:eastAsia="Arial" w:hAnsi="Arial"/>
          <w:sz w:val="22"/>
          <w:szCs w:val="22"/>
          <w:color w:val="auto"/>
        </w:rPr>
      </w:pPr>
    </w:p>
    <w:p>
      <w:pPr>
        <w:ind w:left="5440" w:right="600" w:hanging="3769"/>
        <w:spacing w:after="0" w:line="455" w:lineRule="auto"/>
        <w:tabs>
          <w:tab w:leader="none" w:pos="2531"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add covenants or events of default for the benefit of the holders of Securities of any Series;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76" w:name="page77"/>
    <w:bookmarkEnd w:id="76"/>
    <w:p>
      <w:pPr>
        <w:ind w:left="2580" w:hanging="909"/>
        <w:spacing w:after="0"/>
        <w:tabs>
          <w:tab w:leader="none" w:pos="25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to comply with the applicable procedures of the applicable depositary;</w:t>
      </w:r>
    </w:p>
    <w:p>
      <w:pPr>
        <w:spacing w:after="0" w:line="206" w:lineRule="exact"/>
        <w:rPr>
          <w:rFonts w:ascii="Arial" w:cs="Arial" w:eastAsia="Arial" w:hAnsi="Arial"/>
          <w:sz w:val="22"/>
          <w:szCs w:val="22"/>
          <w:color w:val="auto"/>
        </w:rPr>
      </w:pPr>
    </w:p>
    <w:p>
      <w:pPr>
        <w:ind w:left="2580" w:hanging="909"/>
        <w:spacing w:after="0"/>
        <w:tabs>
          <w:tab w:leader="none" w:pos="25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to make any change that does not adversely affect the rights of any Securityholder;</w:t>
      </w:r>
    </w:p>
    <w:p>
      <w:pPr>
        <w:spacing w:after="0" w:line="206" w:lineRule="exact"/>
        <w:rPr>
          <w:rFonts w:ascii="Arial" w:cs="Arial" w:eastAsia="Arial" w:hAnsi="Arial"/>
          <w:sz w:val="22"/>
          <w:szCs w:val="22"/>
          <w:color w:val="auto"/>
        </w:rPr>
      </w:pPr>
    </w:p>
    <w:p>
      <w:pPr>
        <w:ind w:right="220" w:firstLine="1671"/>
        <w:spacing w:after="0" w:line="250" w:lineRule="auto"/>
        <w:tabs>
          <w:tab w:leader="none" w:pos="2515" w:val="left"/>
        </w:tabs>
        <w:numPr>
          <w:ilvl w:val="1"/>
          <w:numId w:val="72"/>
        </w:numPr>
        <w:rPr>
          <w:rFonts w:ascii="Arial" w:cs="Arial" w:eastAsia="Arial" w:hAnsi="Arial"/>
          <w:sz w:val="22"/>
          <w:szCs w:val="22"/>
          <w:color w:val="auto"/>
        </w:rPr>
      </w:pPr>
      <w:r>
        <w:rPr>
          <w:rFonts w:ascii="Arial" w:cs="Arial" w:eastAsia="Arial" w:hAnsi="Arial"/>
          <w:sz w:val="22"/>
          <w:szCs w:val="22"/>
          <w:color w:val="auto"/>
        </w:rPr>
        <w:t>to provide for the issuance of and establish the form and terms and conditions of Securities of any Series as permitted by this Indenture;</w:t>
      </w:r>
    </w:p>
    <w:p>
      <w:pPr>
        <w:spacing w:after="0" w:line="174" w:lineRule="exact"/>
        <w:rPr>
          <w:rFonts w:ascii="Arial" w:cs="Arial" w:eastAsia="Arial" w:hAnsi="Arial"/>
          <w:sz w:val="22"/>
          <w:szCs w:val="22"/>
          <w:color w:val="auto"/>
        </w:rPr>
      </w:pPr>
    </w:p>
    <w:p>
      <w:pPr>
        <w:ind w:right="260" w:firstLine="1671"/>
        <w:spacing w:after="0" w:line="297" w:lineRule="auto"/>
        <w:tabs>
          <w:tab w:leader="none" w:pos="2515" w:val="left"/>
        </w:tabs>
        <w:numPr>
          <w:ilvl w:val="1"/>
          <w:numId w:val="72"/>
        </w:numPr>
        <w:rPr>
          <w:rFonts w:ascii="Arial" w:cs="Arial" w:eastAsia="Arial" w:hAnsi="Arial"/>
          <w:sz w:val="19"/>
          <w:szCs w:val="19"/>
          <w:color w:val="auto"/>
        </w:rPr>
      </w:pPr>
      <w:r>
        <w:rPr>
          <w:rFonts w:ascii="Arial" w:cs="Arial" w:eastAsia="Arial" w:hAnsi="Arial"/>
          <w:sz w:val="19"/>
          <w:szCs w:val="19"/>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33" w:lineRule="exact"/>
        <w:rPr>
          <w:rFonts w:ascii="Arial" w:cs="Arial" w:eastAsia="Arial" w:hAnsi="Arial"/>
          <w:sz w:val="19"/>
          <w:szCs w:val="19"/>
          <w:color w:val="auto"/>
        </w:rPr>
      </w:pPr>
    </w:p>
    <w:p>
      <w:pPr>
        <w:ind w:left="2580" w:hanging="909"/>
        <w:spacing w:after="0"/>
        <w:tabs>
          <w:tab w:leader="none" w:pos="2580" w:val="left"/>
        </w:tabs>
        <w:numPr>
          <w:ilvl w:val="1"/>
          <w:numId w:val="72"/>
        </w:numPr>
        <w:rPr>
          <w:rFonts w:ascii="Arial" w:cs="Arial" w:eastAsia="Arial" w:hAnsi="Arial"/>
          <w:sz w:val="21"/>
          <w:szCs w:val="21"/>
          <w:color w:val="auto"/>
        </w:rPr>
      </w:pPr>
      <w:r>
        <w:rPr>
          <w:rFonts w:ascii="Arial" w:cs="Arial" w:eastAsia="Arial" w:hAnsi="Arial"/>
          <w:sz w:val="21"/>
          <w:szCs w:val="21"/>
          <w:color w:val="auto"/>
        </w:rPr>
        <w:t>to comply with requirements of the SEC in order to effect or maintain the qualification of this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Indenture under the TIA;</w:t>
      </w:r>
    </w:p>
    <w:p>
      <w:pPr>
        <w:spacing w:after="0" w:line="188" w:lineRule="exact"/>
        <w:rPr>
          <w:rFonts w:ascii="Arial" w:cs="Arial" w:eastAsia="Arial" w:hAnsi="Arial"/>
          <w:sz w:val="21"/>
          <w:szCs w:val="21"/>
          <w:color w:val="auto"/>
        </w:rPr>
      </w:pPr>
    </w:p>
    <w:p>
      <w:pPr>
        <w:ind w:right="20" w:firstLine="840"/>
        <w:spacing w:after="0" w:line="238" w:lineRule="auto"/>
        <w:tabs>
          <w:tab w:leader="none" w:pos="1684"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spacing w:after="0" w:line="184" w:lineRule="exact"/>
        <w:rPr>
          <w:rFonts w:ascii="Arial" w:cs="Arial" w:eastAsia="Arial" w:hAnsi="Arial"/>
          <w:sz w:val="22"/>
          <w:szCs w:val="22"/>
          <w:color w:val="auto"/>
        </w:rPr>
      </w:pPr>
    </w:p>
    <w:p>
      <w:pPr>
        <w:ind w:right="160" w:firstLine="840"/>
        <w:spacing w:after="0" w:line="328" w:lineRule="auto"/>
        <w:tabs>
          <w:tab w:leader="none" w:pos="1792" w:val="left"/>
        </w:tabs>
        <w:numPr>
          <w:ilvl w:val="0"/>
          <w:numId w:val="73"/>
        </w:numPr>
        <w:rPr>
          <w:rFonts w:ascii="Arial" w:cs="Arial" w:eastAsia="Arial" w:hAnsi="Arial"/>
          <w:sz w:val="19"/>
          <w:szCs w:val="19"/>
          <w:color w:val="auto"/>
        </w:rPr>
      </w:pPr>
      <w:r>
        <w:rPr>
          <w:rFonts w:ascii="Arial" w:cs="Arial" w:eastAsia="Arial" w:hAnsi="Arial"/>
          <w:sz w:val="19"/>
          <w:szCs w:val="19"/>
          <w:color w:val="auto"/>
        </w:rPr>
        <w:t>to conform any provision of this Indenture, in so far as it relates to the Securities of such Series, to the description of the Securities of such Series in the prospectus supplement relation to the offering of the Securities of such Series.</w:t>
      </w:r>
    </w:p>
    <w:p>
      <w:pPr>
        <w:spacing w:after="0" w:line="105"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9.2</w:t>
      </w:r>
      <w:r>
        <w:rPr>
          <w:sz w:val="20"/>
          <w:szCs w:val="20"/>
          <w:color w:val="auto"/>
        </w:rPr>
        <w:tab/>
      </w:r>
      <w:r>
        <w:rPr>
          <w:rFonts w:ascii="Arial" w:cs="Arial" w:eastAsia="Arial" w:hAnsi="Arial"/>
          <w:sz w:val="19"/>
          <w:szCs w:val="19"/>
          <w:u w:val="single" w:color="auto"/>
          <w:color w:val="auto"/>
        </w:rPr>
        <w:t>With Consent of Holders.</w:t>
      </w:r>
    </w:p>
    <w:p>
      <w:pPr>
        <w:spacing w:after="0" w:line="206" w:lineRule="exact"/>
        <w:rPr>
          <w:sz w:val="20"/>
          <w:szCs w:val="20"/>
          <w:color w:val="auto"/>
        </w:rPr>
      </w:pPr>
    </w:p>
    <w:p>
      <w:pPr>
        <w:ind w:firstLine="1131"/>
        <w:spacing w:after="0" w:line="233" w:lineRule="auto"/>
        <w:rPr>
          <w:sz w:val="20"/>
          <w:szCs w:val="20"/>
          <w:color w:val="auto"/>
        </w:rPr>
      </w:pPr>
      <w:r>
        <w:rPr>
          <w:rFonts w:ascii="Arial" w:cs="Arial" w:eastAsia="Arial" w:hAnsi="Arial"/>
          <w:sz w:val="22"/>
          <w:szCs w:val="22"/>
          <w:color w:val="auto"/>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93"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It shall not be necessary for the consent of the Holders of Securities under this Section 9.2 to approve the particular</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form of any proposed supplemental indenture or waiver, but it shall be sufficient if such consent approves the substance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thereof. After a supplemental indenture or waiver under this section becomes effective, the Company shall send to the Holders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Securities affected thereby, a notice briefly describing the supplemental indenture or waiver. Any failure by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77" w:name="page78"/>
    <w:bookmarkEnd w:id="77"/>
    <w:p>
      <w:pPr>
        <w:ind w:right="560"/>
        <w:spacing w:after="0" w:line="250" w:lineRule="auto"/>
        <w:rPr>
          <w:sz w:val="20"/>
          <w:szCs w:val="20"/>
          <w:color w:val="auto"/>
        </w:rPr>
      </w:pPr>
      <w:r>
        <w:rPr>
          <w:rFonts w:ascii="Arial" w:cs="Arial" w:eastAsia="Arial" w:hAnsi="Arial"/>
          <w:sz w:val="22"/>
          <w:szCs w:val="22"/>
          <w:color w:val="auto"/>
        </w:rPr>
        <w:t>Company to send such notice, or any defect therein, shall not, however, in any way impair or affect the validity of any such supplemental indenture or waiver.</w:t>
      </w:r>
    </w:p>
    <w:p>
      <w:pPr>
        <w:spacing w:after="0" w:line="175"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u w:val="single" w:color="auto"/>
          <w:color w:val="auto"/>
        </w:rPr>
        <w:t>Limitations.</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Without the consent of each Securityholder affected, an amendment or waiver may not:</w:t>
      </w:r>
    </w:p>
    <w:p>
      <w:pPr>
        <w:spacing w:after="0" w:line="206" w:lineRule="exact"/>
        <w:rPr>
          <w:sz w:val="20"/>
          <w:szCs w:val="20"/>
          <w:color w:val="auto"/>
        </w:rPr>
      </w:pPr>
    </w:p>
    <w:p>
      <w:pPr>
        <w:ind w:left="2560" w:hanging="889"/>
        <w:spacing w:after="0"/>
        <w:tabs>
          <w:tab w:leader="none" w:pos="2560" w:val="left"/>
        </w:tabs>
        <w:numPr>
          <w:ilvl w:val="0"/>
          <w:numId w:val="74"/>
        </w:numPr>
        <w:rPr>
          <w:rFonts w:ascii="Arial" w:cs="Arial" w:eastAsia="Arial" w:hAnsi="Arial"/>
          <w:sz w:val="21"/>
          <w:szCs w:val="21"/>
          <w:color w:val="auto"/>
        </w:rPr>
      </w:pPr>
      <w:r>
        <w:rPr>
          <w:rFonts w:ascii="Arial" w:cs="Arial" w:eastAsia="Arial" w:hAnsi="Arial"/>
          <w:sz w:val="21"/>
          <w:szCs w:val="21"/>
          <w:color w:val="auto"/>
        </w:rPr>
        <w:t>reduce the principal amount of Securities whose Holders must consent to an amendment,</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supplement or waiver;</w:t>
      </w:r>
    </w:p>
    <w:p>
      <w:pPr>
        <w:spacing w:after="0" w:line="188" w:lineRule="exact"/>
        <w:rPr>
          <w:rFonts w:ascii="Arial" w:cs="Arial" w:eastAsia="Arial" w:hAnsi="Arial"/>
          <w:sz w:val="21"/>
          <w:szCs w:val="21"/>
          <w:color w:val="auto"/>
        </w:rPr>
      </w:pPr>
    </w:p>
    <w:p>
      <w:pPr>
        <w:ind w:left="2580" w:hanging="909"/>
        <w:spacing w:after="0"/>
        <w:tabs>
          <w:tab w:leader="none" w:pos="2580" w:val="left"/>
        </w:tabs>
        <w:numPr>
          <w:ilvl w:val="0"/>
          <w:numId w:val="74"/>
        </w:numPr>
        <w:rPr>
          <w:rFonts w:ascii="Arial" w:cs="Arial" w:eastAsia="Arial" w:hAnsi="Arial"/>
          <w:sz w:val="19"/>
          <w:szCs w:val="19"/>
          <w:color w:val="auto"/>
        </w:rPr>
      </w:pPr>
      <w:r>
        <w:rPr>
          <w:rFonts w:ascii="Arial" w:cs="Arial" w:eastAsia="Arial" w:hAnsi="Arial"/>
          <w:sz w:val="19"/>
          <w:szCs w:val="19"/>
          <w:color w:val="auto"/>
        </w:rPr>
        <w:t>reduce the rate of or extend the time for payment of interest (including default interest) on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Security;</w:t>
      </w:r>
    </w:p>
    <w:p>
      <w:pPr>
        <w:spacing w:after="0" w:line="188" w:lineRule="exact"/>
        <w:rPr>
          <w:rFonts w:ascii="Arial" w:cs="Arial" w:eastAsia="Arial" w:hAnsi="Arial"/>
          <w:sz w:val="19"/>
          <w:szCs w:val="19"/>
          <w:color w:val="auto"/>
        </w:rPr>
      </w:pPr>
    </w:p>
    <w:p>
      <w:pPr>
        <w:ind w:right="540" w:firstLine="1671"/>
        <w:spacing w:after="0" w:line="250" w:lineRule="auto"/>
        <w:tabs>
          <w:tab w:leader="none" w:pos="2551" w:val="left"/>
        </w:tabs>
        <w:numPr>
          <w:ilvl w:val="0"/>
          <w:numId w:val="74"/>
        </w:numPr>
        <w:rPr>
          <w:rFonts w:ascii="Arial" w:cs="Arial" w:eastAsia="Arial" w:hAnsi="Arial"/>
          <w:sz w:val="22"/>
          <w:szCs w:val="22"/>
          <w:color w:val="auto"/>
        </w:rPr>
      </w:pPr>
      <w:r>
        <w:rPr>
          <w:rFonts w:ascii="Arial" w:cs="Arial" w:eastAsia="Arial" w:hAnsi="Arial"/>
          <w:sz w:val="22"/>
          <w:szCs w:val="22"/>
          <w:color w:val="auto"/>
        </w:rPr>
        <w:t>reduce the principal or change the Stated Maturity of any Security or reduce the amount of, or postpone the date fixed for, the payment of any sinking fund or analogous obligation;</w:t>
      </w:r>
    </w:p>
    <w:p>
      <w:pPr>
        <w:spacing w:after="0" w:line="174" w:lineRule="exact"/>
        <w:rPr>
          <w:rFonts w:ascii="Arial" w:cs="Arial" w:eastAsia="Arial" w:hAnsi="Arial"/>
          <w:sz w:val="22"/>
          <w:szCs w:val="22"/>
          <w:color w:val="auto"/>
        </w:rPr>
      </w:pPr>
    </w:p>
    <w:p>
      <w:pPr>
        <w:ind w:left="2580" w:hanging="909"/>
        <w:spacing w:after="0"/>
        <w:tabs>
          <w:tab w:leader="none" w:pos="25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reduce the principal amount of Discount Securities payable upon acceleration of the maturity</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thereof;</w:t>
      </w:r>
    </w:p>
    <w:p>
      <w:pPr>
        <w:spacing w:after="0" w:line="188" w:lineRule="exact"/>
        <w:rPr>
          <w:rFonts w:ascii="Arial" w:cs="Arial" w:eastAsia="Arial" w:hAnsi="Arial"/>
          <w:sz w:val="21"/>
          <w:szCs w:val="21"/>
          <w:color w:val="auto"/>
        </w:rPr>
      </w:pPr>
    </w:p>
    <w:p>
      <w:pPr>
        <w:ind w:right="340" w:firstLine="1671"/>
        <w:spacing w:after="0" w:line="297" w:lineRule="auto"/>
        <w:tabs>
          <w:tab w:leader="none" w:pos="2551" w:val="left"/>
        </w:tabs>
        <w:numPr>
          <w:ilvl w:val="0"/>
          <w:numId w:val="74"/>
        </w:numPr>
        <w:rPr>
          <w:rFonts w:ascii="Arial" w:cs="Arial" w:eastAsia="Arial" w:hAnsi="Arial"/>
          <w:sz w:val="19"/>
          <w:szCs w:val="19"/>
          <w:color w:val="auto"/>
        </w:rPr>
      </w:pPr>
      <w:r>
        <w:rPr>
          <w:rFonts w:ascii="Arial" w:cs="Arial" w:eastAsia="Arial" w:hAnsi="Arial"/>
          <w:sz w:val="19"/>
          <w:szCs w:val="19"/>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33" w:lineRule="exact"/>
        <w:rPr>
          <w:rFonts w:ascii="Arial" w:cs="Arial" w:eastAsia="Arial" w:hAnsi="Arial"/>
          <w:sz w:val="19"/>
          <w:szCs w:val="19"/>
          <w:color w:val="auto"/>
        </w:rPr>
      </w:pPr>
    </w:p>
    <w:p>
      <w:pPr>
        <w:ind w:left="2540" w:hanging="869"/>
        <w:spacing w:after="0"/>
        <w:tabs>
          <w:tab w:leader="none" w:pos="2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make the principal of or interest, if any, on any Security payable in any currency other than that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stated in the Security;</w:t>
      </w:r>
    </w:p>
    <w:p>
      <w:pPr>
        <w:spacing w:after="0" w:line="188" w:lineRule="exact"/>
        <w:rPr>
          <w:rFonts w:ascii="Arial" w:cs="Arial" w:eastAsia="Arial" w:hAnsi="Arial"/>
          <w:sz w:val="19"/>
          <w:szCs w:val="19"/>
          <w:color w:val="auto"/>
        </w:rPr>
      </w:pPr>
    </w:p>
    <w:p>
      <w:pPr>
        <w:ind w:left="2580" w:hanging="909"/>
        <w:spacing w:after="0"/>
        <w:tabs>
          <w:tab w:leader="none" w:pos="25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make any change in Sections 6.8, 6.13 or 9.3 (this sentence); or</w:t>
      </w:r>
    </w:p>
    <w:p>
      <w:pPr>
        <w:spacing w:after="0" w:line="206" w:lineRule="exact"/>
        <w:rPr>
          <w:rFonts w:ascii="Arial" w:cs="Arial" w:eastAsia="Arial" w:hAnsi="Arial"/>
          <w:sz w:val="22"/>
          <w:szCs w:val="22"/>
          <w:color w:val="auto"/>
        </w:rPr>
      </w:pPr>
    </w:p>
    <w:p>
      <w:pPr>
        <w:ind w:left="2580" w:hanging="909"/>
        <w:spacing w:after="0"/>
        <w:tabs>
          <w:tab w:leader="none" w:pos="2580" w:val="left"/>
        </w:tabs>
        <w:numPr>
          <w:ilvl w:val="0"/>
          <w:numId w:val="74"/>
        </w:numPr>
        <w:rPr>
          <w:rFonts w:ascii="Arial" w:cs="Arial" w:eastAsia="Arial" w:hAnsi="Arial"/>
          <w:sz w:val="19"/>
          <w:szCs w:val="19"/>
          <w:color w:val="auto"/>
        </w:rPr>
      </w:pPr>
      <w:r>
        <w:rPr>
          <w:rFonts w:ascii="Arial" w:cs="Arial" w:eastAsia="Arial" w:hAnsi="Arial"/>
          <w:sz w:val="19"/>
          <w:szCs w:val="19"/>
          <w:color w:val="auto"/>
        </w:rPr>
        <w:t>waive a redemption payment with respect to any Security, provided that such redemption is made at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Company’s option.</w:t>
      </w:r>
    </w:p>
    <w:p>
      <w:pPr>
        <w:spacing w:after="0" w:line="188"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9.4</w:t>
      </w:r>
      <w:r>
        <w:rPr>
          <w:sz w:val="20"/>
          <w:szCs w:val="20"/>
          <w:color w:val="auto"/>
        </w:rPr>
        <w:tab/>
      </w:r>
      <w:r>
        <w:rPr>
          <w:rFonts w:ascii="Arial" w:cs="Arial" w:eastAsia="Arial" w:hAnsi="Arial"/>
          <w:sz w:val="19"/>
          <w:szCs w:val="19"/>
          <w:u w:val="single" w:color="auto"/>
          <w:color w:val="auto"/>
        </w:rPr>
        <w:t>Compliance with Trust Indenture Act.</w:t>
      </w:r>
    </w:p>
    <w:p>
      <w:pPr>
        <w:spacing w:after="0" w:line="206" w:lineRule="exact"/>
        <w:rPr>
          <w:sz w:val="20"/>
          <w:szCs w:val="20"/>
          <w:color w:val="auto"/>
        </w:rPr>
      </w:pPr>
    </w:p>
    <w:p>
      <w:pPr>
        <w:ind w:right="600" w:firstLine="1131"/>
        <w:spacing w:after="0" w:line="250" w:lineRule="auto"/>
        <w:rPr>
          <w:sz w:val="20"/>
          <w:szCs w:val="20"/>
          <w:color w:val="auto"/>
        </w:rPr>
      </w:pPr>
      <w:r>
        <w:rPr>
          <w:rFonts w:ascii="Arial" w:cs="Arial" w:eastAsia="Arial" w:hAnsi="Arial"/>
          <w:sz w:val="22"/>
          <w:szCs w:val="22"/>
          <w:color w:val="auto"/>
        </w:rPr>
        <w:t>Every amendment to this Indenture or the Securities of one or more Series shall be set forth in a supplemental indenture hereto that complies with the TIA as then in effect.</w:t>
      </w:r>
    </w:p>
    <w:p>
      <w:pPr>
        <w:spacing w:after="0" w:line="175"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9.5</w:t>
      </w:r>
      <w:r>
        <w:rPr>
          <w:sz w:val="20"/>
          <w:szCs w:val="20"/>
          <w:color w:val="auto"/>
        </w:rPr>
        <w:tab/>
      </w:r>
      <w:r>
        <w:rPr>
          <w:rFonts w:ascii="Arial" w:cs="Arial" w:eastAsia="Arial" w:hAnsi="Arial"/>
          <w:sz w:val="19"/>
          <w:szCs w:val="19"/>
          <w:u w:val="single" w:color="auto"/>
          <w:color w:val="auto"/>
        </w:rPr>
        <w:t>Revocation and Effect of Consents.</w:t>
      </w:r>
    </w:p>
    <w:p>
      <w:pPr>
        <w:spacing w:after="0" w:line="206" w:lineRule="exact"/>
        <w:rPr>
          <w:sz w:val="20"/>
          <w:szCs w:val="20"/>
          <w:color w:val="auto"/>
        </w:rPr>
      </w:pPr>
    </w:p>
    <w:p>
      <w:pPr>
        <w:ind w:firstLine="1131"/>
        <w:spacing w:after="0" w:line="273" w:lineRule="auto"/>
        <w:rPr>
          <w:sz w:val="20"/>
          <w:szCs w:val="20"/>
          <w:color w:val="auto"/>
        </w:rPr>
      </w:pPr>
      <w:r>
        <w:rPr>
          <w:rFonts w:ascii="Arial" w:cs="Arial" w:eastAsia="Arial" w:hAnsi="Arial"/>
          <w:sz w:val="19"/>
          <w:szCs w:val="19"/>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w:t>
      </w:r>
    </w:p>
    <w:p>
      <w:pPr>
        <w:spacing w:after="0" w:line="1" w:lineRule="exact"/>
        <w:rPr>
          <w:sz w:val="20"/>
          <w:szCs w:val="20"/>
          <w:color w:val="auto"/>
        </w:rPr>
      </w:pPr>
    </w:p>
    <w:p>
      <w:pPr>
        <w:ind w:right="240"/>
        <w:spacing w:after="0" w:line="234" w:lineRule="auto"/>
        <w:rPr>
          <w:sz w:val="20"/>
          <w:szCs w:val="20"/>
          <w:color w:val="auto"/>
        </w:rPr>
      </w:pPr>
      <w:r>
        <w:rPr>
          <w:rFonts w:ascii="Arial" w:cs="Arial" w:eastAsia="Arial" w:hAnsi="Arial"/>
          <w:sz w:val="22"/>
          <w:szCs w:val="22"/>
          <w:color w:val="auto"/>
        </w:rPr>
        <w:t>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78" w:name="page79"/>
    <w:bookmarkEnd w:id="78"/>
    <w:p>
      <w:pPr>
        <w:ind w:right="140" w:firstLine="1131"/>
        <w:spacing w:after="0" w:line="252" w:lineRule="auto"/>
        <w:rPr>
          <w:sz w:val="20"/>
          <w:szCs w:val="20"/>
          <w:color w:val="auto"/>
        </w:rPr>
      </w:pPr>
      <w:r>
        <w:rPr>
          <w:rFonts w:ascii="Arial" w:cs="Arial" w:eastAsia="Arial" w:hAnsi="Arial"/>
          <w:sz w:val="21"/>
          <w:szCs w:val="21"/>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4" w:lineRule="exact"/>
        <w:rPr>
          <w:sz w:val="20"/>
          <w:szCs w:val="20"/>
          <w:color w:val="auto"/>
        </w:rPr>
      </w:pPr>
    </w:p>
    <w:p>
      <w:pPr>
        <w:ind w:right="100" w:firstLine="1131"/>
        <w:spacing w:after="0" w:line="279" w:lineRule="auto"/>
        <w:rPr>
          <w:sz w:val="20"/>
          <w:szCs w:val="20"/>
          <w:color w:val="auto"/>
        </w:rPr>
      </w:pPr>
      <w:r>
        <w:rPr>
          <w:rFonts w:ascii="Arial" w:cs="Arial" w:eastAsia="Arial" w:hAnsi="Arial"/>
          <w:sz w:val="19"/>
          <w:szCs w:val="19"/>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50"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9.6</w:t>
      </w:r>
      <w:r>
        <w:rPr>
          <w:sz w:val="20"/>
          <w:szCs w:val="20"/>
          <w:color w:val="auto"/>
        </w:rPr>
        <w:tab/>
      </w:r>
      <w:r>
        <w:rPr>
          <w:rFonts w:ascii="Arial" w:cs="Arial" w:eastAsia="Arial" w:hAnsi="Arial"/>
          <w:sz w:val="19"/>
          <w:szCs w:val="19"/>
          <w:u w:val="single" w:color="auto"/>
          <w:color w:val="auto"/>
        </w:rPr>
        <w:t>Notation on or Exchange of Securities.</w:t>
      </w:r>
    </w:p>
    <w:p>
      <w:pPr>
        <w:spacing w:after="0" w:line="206" w:lineRule="exact"/>
        <w:rPr>
          <w:sz w:val="20"/>
          <w:szCs w:val="20"/>
          <w:color w:val="auto"/>
        </w:rPr>
      </w:pPr>
    </w:p>
    <w:p>
      <w:pPr>
        <w:ind w:right="260" w:firstLine="1131"/>
        <w:spacing w:after="0" w:line="238" w:lineRule="auto"/>
        <w:rPr>
          <w:sz w:val="20"/>
          <w:szCs w:val="20"/>
          <w:color w:val="auto"/>
        </w:rPr>
      </w:pPr>
      <w:r>
        <w:rPr>
          <w:rFonts w:ascii="Arial" w:cs="Arial" w:eastAsia="Arial" w:hAnsi="Arial"/>
          <w:sz w:val="22"/>
          <w:szCs w:val="22"/>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85" w:lineRule="exact"/>
        <w:rPr>
          <w:sz w:val="20"/>
          <w:szCs w:val="20"/>
          <w:color w:val="auto"/>
        </w:rPr>
      </w:pPr>
    </w:p>
    <w:p>
      <w:pPr>
        <w:ind w:left="840"/>
        <w:spacing w:after="0"/>
        <w:tabs>
          <w:tab w:leader="none" w:pos="2440" w:val="left"/>
        </w:tabs>
        <w:rPr>
          <w:sz w:val="20"/>
          <w:szCs w:val="20"/>
          <w:color w:val="auto"/>
        </w:rPr>
      </w:pPr>
      <w:r>
        <w:rPr>
          <w:rFonts w:ascii="Arial" w:cs="Arial" w:eastAsia="Arial" w:hAnsi="Arial"/>
          <w:sz w:val="22"/>
          <w:szCs w:val="22"/>
          <w:color w:val="auto"/>
        </w:rPr>
        <w:t>Section 9.7</w:t>
      </w:r>
      <w:r>
        <w:rPr>
          <w:sz w:val="20"/>
          <w:szCs w:val="20"/>
          <w:color w:val="auto"/>
        </w:rPr>
        <w:tab/>
      </w:r>
      <w:r>
        <w:rPr>
          <w:rFonts w:ascii="Arial" w:cs="Arial" w:eastAsia="Arial" w:hAnsi="Arial"/>
          <w:sz w:val="18"/>
          <w:szCs w:val="18"/>
          <w:u w:val="single" w:color="auto"/>
          <w:color w:val="auto"/>
        </w:rPr>
        <w:t>Trustee Protected.</w:t>
      </w:r>
    </w:p>
    <w:p>
      <w:pPr>
        <w:spacing w:after="0" w:line="206" w:lineRule="exact"/>
        <w:rPr>
          <w:sz w:val="20"/>
          <w:szCs w:val="20"/>
          <w:color w:val="auto"/>
        </w:rPr>
      </w:pPr>
    </w:p>
    <w:p>
      <w:pPr>
        <w:ind w:right="60" w:firstLine="1131"/>
        <w:spacing w:after="0" w:line="277" w:lineRule="auto"/>
        <w:rPr>
          <w:sz w:val="20"/>
          <w:szCs w:val="20"/>
          <w:color w:val="auto"/>
        </w:rPr>
      </w:pPr>
      <w:r>
        <w:rPr>
          <w:rFonts w:ascii="Arial" w:cs="Arial" w:eastAsia="Arial" w:hAnsi="Arial"/>
          <w:sz w:val="19"/>
          <w:szCs w:val="19"/>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46" w:lineRule="exact"/>
        <w:rPr>
          <w:sz w:val="20"/>
          <w:szCs w:val="20"/>
          <w:color w:val="auto"/>
        </w:rPr>
      </w:pPr>
    </w:p>
    <w:p>
      <w:pPr>
        <w:jc w:val="center"/>
        <w:ind w:left="840"/>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MISCELLANEOUS</w:t>
      </w:r>
    </w:p>
    <w:p>
      <w:pPr>
        <w:spacing w:after="0" w:line="18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Trust Indenture Act Controls.</w:t>
      </w:r>
    </w:p>
    <w:p>
      <w:pPr>
        <w:spacing w:after="0" w:line="206" w:lineRule="exact"/>
        <w:rPr>
          <w:sz w:val="20"/>
          <w:szCs w:val="20"/>
          <w:color w:val="auto"/>
        </w:rPr>
      </w:pPr>
    </w:p>
    <w:p>
      <w:pPr>
        <w:ind w:firstLine="1131"/>
        <w:spacing w:after="0" w:line="250" w:lineRule="auto"/>
        <w:rPr>
          <w:sz w:val="20"/>
          <w:szCs w:val="20"/>
          <w:color w:val="auto"/>
        </w:rPr>
      </w:pPr>
      <w:r>
        <w:rPr>
          <w:rFonts w:ascii="Arial" w:cs="Arial" w:eastAsia="Arial" w:hAnsi="Arial"/>
          <w:sz w:val="22"/>
          <w:szCs w:val="22"/>
          <w:color w:val="auto"/>
        </w:rPr>
        <w:t>If any provision of this Indenture limits, qualifies, or conflicts with another provision which is required or deemed to be included in this Indenture by the TIA, such required or deemed provision shall control.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9" w:name="page80"/>
    <w:bookmarkEnd w:id="79"/>
    <w:p>
      <w:pPr>
        <w:ind w:left="840"/>
        <w:spacing w:after="0"/>
        <w:tabs>
          <w:tab w:leader="none" w:pos="254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Notices.</w:t>
      </w:r>
    </w:p>
    <w:p>
      <w:pPr>
        <w:spacing w:after="0" w:line="206" w:lineRule="exact"/>
        <w:rPr>
          <w:sz w:val="20"/>
          <w:szCs w:val="20"/>
          <w:color w:val="auto"/>
        </w:rPr>
      </w:pPr>
    </w:p>
    <w:p>
      <w:pPr>
        <w:jc w:val="both"/>
        <w:ind w:right="380" w:firstLine="1131"/>
        <w:spacing w:after="0" w:line="297" w:lineRule="auto"/>
        <w:rPr>
          <w:sz w:val="20"/>
          <w:szCs w:val="20"/>
          <w:color w:val="auto"/>
        </w:rPr>
      </w:pPr>
      <w:r>
        <w:rPr>
          <w:rFonts w:ascii="Arial" w:cs="Arial" w:eastAsia="Arial" w:hAnsi="Arial"/>
          <w:sz w:val="19"/>
          <w:szCs w:val="19"/>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ATHIRA PHARMA, INC.</w:t>
      </w:r>
    </w:p>
    <w:p>
      <w:pPr>
        <w:ind w:left="1680"/>
        <w:spacing w:after="0" w:line="238" w:lineRule="auto"/>
        <w:rPr>
          <w:sz w:val="20"/>
          <w:szCs w:val="20"/>
          <w:color w:val="auto"/>
        </w:rPr>
      </w:pPr>
      <w:r>
        <w:rPr>
          <w:rFonts w:ascii="Arial" w:cs="Arial" w:eastAsia="Arial" w:hAnsi="Arial"/>
          <w:sz w:val="22"/>
          <w:szCs w:val="22"/>
          <w:color w:val="auto"/>
        </w:rPr>
        <w:t>18706 North Creek Parkway, Suite 104</w:t>
      </w:r>
    </w:p>
    <w:p>
      <w:pPr>
        <w:ind w:left="1620"/>
        <w:spacing w:after="0" w:line="230" w:lineRule="auto"/>
        <w:rPr>
          <w:sz w:val="20"/>
          <w:szCs w:val="20"/>
          <w:color w:val="auto"/>
        </w:rPr>
      </w:pPr>
      <w:r>
        <w:rPr>
          <w:rFonts w:ascii="Arial" w:cs="Arial" w:eastAsia="Arial" w:hAnsi="Arial"/>
          <w:sz w:val="22"/>
          <w:szCs w:val="22"/>
          <w:color w:val="auto"/>
        </w:rPr>
        <w:t>Bothell, Washington 98011</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Attention: General Counsel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ind w:left="1680"/>
        <w:spacing w:after="0" w:line="238" w:lineRule="auto"/>
        <w:rPr>
          <w:sz w:val="20"/>
          <w:szCs w:val="20"/>
          <w:color w:val="auto"/>
        </w:rPr>
      </w:pPr>
      <w:r>
        <w:rPr>
          <w:rFonts w:ascii="Arial" w:cs="Arial" w:eastAsia="Arial" w:hAnsi="Arial"/>
          <w:sz w:val="22"/>
          <w:szCs w:val="22"/>
          <w:color w:val="auto"/>
        </w:rPr>
        <w:t>Wilson Sonsini Goodrich &amp; Rosati, Professional Corporation</w:t>
      </w:r>
    </w:p>
    <w:p>
      <w:pPr>
        <w:ind w:left="1680"/>
        <w:spacing w:after="0" w:line="230" w:lineRule="auto"/>
        <w:rPr>
          <w:sz w:val="20"/>
          <w:szCs w:val="20"/>
          <w:color w:val="auto"/>
        </w:rPr>
      </w:pPr>
      <w:r>
        <w:rPr>
          <w:rFonts w:ascii="Arial" w:cs="Arial" w:eastAsia="Arial" w:hAnsi="Arial"/>
          <w:sz w:val="22"/>
          <w:szCs w:val="22"/>
          <w:color w:val="auto"/>
        </w:rPr>
        <w:t>701 Fifth Avenue</w:t>
      </w:r>
    </w:p>
    <w:p>
      <w:pPr>
        <w:ind w:left="1680"/>
        <w:spacing w:after="0" w:line="231" w:lineRule="auto"/>
        <w:rPr>
          <w:sz w:val="20"/>
          <w:szCs w:val="20"/>
          <w:color w:val="auto"/>
        </w:rPr>
      </w:pPr>
      <w:r>
        <w:rPr>
          <w:rFonts w:ascii="Arial" w:cs="Arial" w:eastAsia="Arial" w:hAnsi="Arial"/>
          <w:sz w:val="22"/>
          <w:szCs w:val="22"/>
          <w:color w:val="auto"/>
        </w:rPr>
        <w:t>Suite 5100</w:t>
      </w:r>
    </w:p>
    <w:p>
      <w:pPr>
        <w:ind w:left="1680"/>
        <w:spacing w:after="0" w:line="230" w:lineRule="auto"/>
        <w:rPr>
          <w:sz w:val="20"/>
          <w:szCs w:val="20"/>
          <w:color w:val="auto"/>
        </w:rPr>
      </w:pPr>
      <w:r>
        <w:rPr>
          <w:rFonts w:ascii="Arial" w:cs="Arial" w:eastAsia="Arial" w:hAnsi="Arial"/>
          <w:sz w:val="22"/>
          <w:szCs w:val="22"/>
          <w:color w:val="auto"/>
        </w:rPr>
        <w:t>Seattle, WA 98104-7036</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Attention: Michael Nordtvedt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if to the Trustee:</w:t>
      </w:r>
    </w:p>
    <w:p>
      <w:pPr>
        <w:spacing w:after="0" w:line="206"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[__________]</w:t>
      </w:r>
    </w:p>
    <w:p>
      <w:pPr>
        <w:ind w:left="1680"/>
        <w:spacing w:after="0" w:line="238" w:lineRule="auto"/>
        <w:rPr>
          <w:sz w:val="20"/>
          <w:szCs w:val="20"/>
          <w:color w:val="auto"/>
        </w:rPr>
      </w:pPr>
      <w:r>
        <w:rPr>
          <w:rFonts w:ascii="Arial" w:cs="Arial" w:eastAsia="Arial" w:hAnsi="Arial"/>
          <w:sz w:val="22"/>
          <w:szCs w:val="22"/>
          <w:color w:val="auto"/>
        </w:rPr>
        <w:t>[__________]</w:t>
      </w:r>
    </w:p>
    <w:p>
      <w:pPr>
        <w:ind w:left="1680"/>
        <w:spacing w:after="0"/>
        <w:rPr>
          <w:sz w:val="20"/>
          <w:szCs w:val="20"/>
          <w:color w:val="auto"/>
        </w:rPr>
      </w:pPr>
      <w:r>
        <w:rPr>
          <w:rFonts w:ascii="Arial" w:cs="Arial" w:eastAsia="Arial" w:hAnsi="Arial"/>
          <w:sz w:val="22"/>
          <w:szCs w:val="22"/>
          <w:color w:val="auto"/>
        </w:rPr>
        <w:t>Attention: [__________]</w:t>
      </w:r>
    </w:p>
    <w:p>
      <w:pPr>
        <w:spacing w:after="0" w:line="188" w:lineRule="exact"/>
        <w:rPr>
          <w:sz w:val="20"/>
          <w:szCs w:val="20"/>
          <w:color w:val="auto"/>
        </w:rPr>
      </w:pPr>
    </w:p>
    <w:p>
      <w:pPr>
        <w:ind w:right="80" w:firstLine="1131"/>
        <w:spacing w:after="0"/>
        <w:rPr>
          <w:sz w:val="20"/>
          <w:szCs w:val="20"/>
          <w:color w:val="auto"/>
        </w:rPr>
      </w:pPr>
      <w:r>
        <w:rPr>
          <w:rFonts w:ascii="Arial" w:cs="Arial" w:eastAsia="Arial" w:hAnsi="Arial"/>
          <w:sz w:val="22"/>
          <w:szCs w:val="22"/>
          <w:color w:val="auto"/>
        </w:rPr>
        <w:t>The Company or the Trustee by notice to the other may designate additional or different addresses for subsequent notices or communications. Any notice or communication delivered to the Trustee shall be deemed effective upon actual receipt thereof.</w:t>
      </w:r>
    </w:p>
    <w:p>
      <w:pPr>
        <w:spacing w:after="0" w:line="186" w:lineRule="exact"/>
        <w:rPr>
          <w:sz w:val="20"/>
          <w:szCs w:val="20"/>
          <w:color w:val="auto"/>
        </w:rPr>
      </w:pPr>
    </w:p>
    <w:p>
      <w:pPr>
        <w:ind w:right="360" w:firstLine="1131"/>
        <w:spacing w:after="0" w:line="238" w:lineRule="auto"/>
        <w:rPr>
          <w:sz w:val="20"/>
          <w:szCs w:val="20"/>
          <w:color w:val="auto"/>
        </w:rPr>
      </w:pPr>
      <w:r>
        <w:rPr>
          <w:rFonts w:ascii="Arial" w:cs="Arial" w:eastAsia="Arial" w:hAnsi="Arial"/>
          <w:sz w:val="22"/>
          <w:szCs w:val="22"/>
          <w:color w:val="auto"/>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85" w:lineRule="exact"/>
        <w:rPr>
          <w:sz w:val="20"/>
          <w:szCs w:val="20"/>
          <w:color w:val="auto"/>
        </w:rPr>
      </w:pPr>
    </w:p>
    <w:p>
      <w:pPr>
        <w:ind w:right="400" w:firstLine="1131"/>
        <w:spacing w:after="0" w:line="250" w:lineRule="auto"/>
        <w:rPr>
          <w:sz w:val="20"/>
          <w:szCs w:val="20"/>
          <w:color w:val="auto"/>
        </w:rPr>
      </w:pPr>
      <w:r>
        <w:rPr>
          <w:rFonts w:ascii="Arial" w:cs="Arial" w:eastAsia="Arial" w:hAnsi="Arial"/>
          <w:sz w:val="22"/>
          <w:szCs w:val="22"/>
          <w:color w:val="auto"/>
        </w:rPr>
        <w:t>If a notice or communication is sent or published in the manner provided above, within the time prescribed, it is duly given, whether or not the Securityholder receives it.</w:t>
      </w:r>
    </w:p>
    <w:p>
      <w:pPr>
        <w:spacing w:after="0" w:line="175" w:lineRule="exact"/>
        <w:rPr>
          <w:sz w:val="20"/>
          <w:szCs w:val="20"/>
          <w:color w:val="auto"/>
        </w:rPr>
      </w:pPr>
    </w:p>
    <w:p>
      <w:pPr>
        <w:ind w:right="360" w:firstLine="1131"/>
        <w:spacing w:after="0" w:line="250" w:lineRule="auto"/>
        <w:rPr>
          <w:sz w:val="20"/>
          <w:szCs w:val="20"/>
          <w:color w:val="auto"/>
        </w:rPr>
      </w:pPr>
      <w:r>
        <w:rPr>
          <w:rFonts w:ascii="Arial" w:cs="Arial" w:eastAsia="Arial" w:hAnsi="Arial"/>
          <w:sz w:val="22"/>
          <w:szCs w:val="22"/>
          <w:color w:val="auto"/>
        </w:rPr>
        <w:t>If the Company sends a notice or communication to Securityholders, it shall send a copy to the Trustee and each Agent at the same time.</w:t>
      </w:r>
    </w:p>
    <w:p>
      <w:pPr>
        <w:spacing w:after="0" w:line="175" w:lineRule="exact"/>
        <w:rPr>
          <w:sz w:val="20"/>
          <w:szCs w:val="20"/>
          <w:color w:val="auto"/>
        </w:rPr>
      </w:pPr>
    </w:p>
    <w:p>
      <w:pPr>
        <w:ind w:firstLine="1131"/>
        <w:spacing w:after="0"/>
        <w:rPr>
          <w:sz w:val="20"/>
          <w:szCs w:val="20"/>
          <w:color w:val="auto"/>
        </w:rPr>
      </w:pPr>
      <w:r>
        <w:rPr>
          <w:rFonts w:ascii="Arial" w:cs="Arial" w:eastAsia="Arial" w:hAnsi="Arial"/>
          <w:sz w:val="22"/>
          <w:szCs w:val="22"/>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the Depositary for such Security (or its designee) pursuant to the customary procedures of such Depositary.</w:t>
      </w:r>
    </w:p>
    <w:p>
      <w:pPr>
        <w:spacing w:after="0" w:line="206"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u w:val="single" w:color="auto"/>
          <w:color w:val="auto"/>
        </w:rPr>
        <w:t>Communication by Holders with Other Holders.</w:t>
      </w:r>
    </w:p>
    <w:p>
      <w:pPr>
        <w:spacing w:after="0" w:line="206" w:lineRule="exact"/>
        <w:rPr>
          <w:sz w:val="20"/>
          <w:szCs w:val="20"/>
          <w:color w:val="auto"/>
        </w:rPr>
      </w:pPr>
    </w:p>
    <w:p>
      <w:pPr>
        <w:ind w:firstLine="1131"/>
        <w:spacing w:after="0"/>
        <w:rPr>
          <w:sz w:val="20"/>
          <w:szCs w:val="20"/>
          <w:color w:val="auto"/>
        </w:rPr>
      </w:pPr>
      <w:r>
        <w:rPr>
          <w:rFonts w:ascii="Arial" w:cs="Arial" w:eastAsia="Arial" w:hAnsi="Arial"/>
          <w:sz w:val="22"/>
          <w:szCs w:val="22"/>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6"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Certificate and Opinion as to Conditions Precedent.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Upon any request or application by the Company to the Trustee to take any action under this Indenture,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Company shall furnish to the Trustee:</w:t>
      </w:r>
    </w:p>
    <w:p>
      <w:pPr>
        <w:spacing w:after="0" w:line="188" w:lineRule="exact"/>
        <w:rPr>
          <w:sz w:val="20"/>
          <w:szCs w:val="20"/>
          <w:color w:val="auto"/>
        </w:rPr>
      </w:pPr>
    </w:p>
    <w:p>
      <w:pPr>
        <w:ind w:right="340" w:firstLine="1671"/>
        <w:spacing w:after="0" w:line="250" w:lineRule="auto"/>
        <w:tabs>
          <w:tab w:leader="none" w:pos="2551"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 Officer’s Certificate stating that, in the opinion of the signers, all conditions precedent, if any, provided for in this Indenture relating to the proposed action have been complied with; and</w:t>
      </w:r>
    </w:p>
    <w:p>
      <w:pPr>
        <w:spacing w:after="0" w:line="174" w:lineRule="exact"/>
        <w:rPr>
          <w:rFonts w:ascii="Arial" w:cs="Arial" w:eastAsia="Arial" w:hAnsi="Arial"/>
          <w:sz w:val="22"/>
          <w:szCs w:val="22"/>
          <w:color w:val="auto"/>
        </w:rPr>
      </w:pPr>
    </w:p>
    <w:p>
      <w:pPr>
        <w:ind w:left="2580" w:hanging="909"/>
        <w:spacing w:after="0"/>
        <w:tabs>
          <w:tab w:leader="none" w:pos="25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 Opinion of Counsel stating that, in the opinion of such counsel, all such conditions precedent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have been complied with.</w:t>
      </w:r>
    </w:p>
    <w:p>
      <w:pPr>
        <w:spacing w:after="0" w:line="18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u w:val="single" w:color="auto"/>
          <w:color w:val="auto"/>
        </w:rPr>
        <w:t>Statements Required in Certificate or Opinion.</w:t>
      </w:r>
    </w:p>
    <w:p>
      <w:pPr>
        <w:spacing w:after="0" w:line="206" w:lineRule="exact"/>
        <w:rPr>
          <w:sz w:val="20"/>
          <w:szCs w:val="20"/>
          <w:color w:val="auto"/>
        </w:rPr>
      </w:pPr>
    </w:p>
    <w:p>
      <w:pPr>
        <w:ind w:right="300" w:firstLine="1131"/>
        <w:spacing w:after="0"/>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86" w:lineRule="exact"/>
        <w:rPr>
          <w:sz w:val="20"/>
          <w:szCs w:val="20"/>
          <w:color w:val="auto"/>
        </w:rPr>
      </w:pPr>
    </w:p>
    <w:p>
      <w:pPr>
        <w:ind w:left="2560" w:hanging="889"/>
        <w:spacing w:after="0"/>
        <w:tabs>
          <w:tab w:leader="none" w:pos="25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 statement that the person making such certificate or opinion has read such covenant or condition;</w:t>
      </w:r>
    </w:p>
    <w:p>
      <w:pPr>
        <w:spacing w:after="0" w:line="240" w:lineRule="exact"/>
        <w:rPr>
          <w:rFonts w:ascii="Arial" w:cs="Arial" w:eastAsia="Arial" w:hAnsi="Arial"/>
          <w:sz w:val="19"/>
          <w:szCs w:val="19"/>
          <w:color w:val="auto"/>
        </w:rPr>
      </w:pPr>
    </w:p>
    <w:p>
      <w:pPr>
        <w:ind w:right="480" w:firstLine="1671"/>
        <w:spacing w:after="0" w:line="250" w:lineRule="auto"/>
        <w:tabs>
          <w:tab w:leader="none" w:pos="2563"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4" w:lineRule="exact"/>
        <w:rPr>
          <w:rFonts w:ascii="Arial" w:cs="Arial" w:eastAsia="Arial" w:hAnsi="Arial"/>
          <w:sz w:val="22"/>
          <w:szCs w:val="22"/>
          <w:color w:val="auto"/>
        </w:rPr>
      </w:pPr>
    </w:p>
    <w:p>
      <w:pPr>
        <w:jc w:val="both"/>
        <w:ind w:right="100" w:firstLine="1671"/>
        <w:spacing w:after="0"/>
        <w:tabs>
          <w:tab w:leader="none" w:pos="2551"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86" w:lineRule="exact"/>
        <w:rPr>
          <w:rFonts w:ascii="Arial" w:cs="Arial" w:eastAsia="Arial" w:hAnsi="Arial"/>
          <w:sz w:val="22"/>
          <w:szCs w:val="22"/>
          <w:color w:val="auto"/>
        </w:rPr>
      </w:pPr>
    </w:p>
    <w:p>
      <w:pPr>
        <w:ind w:left="2580" w:hanging="909"/>
        <w:spacing w:after="0"/>
        <w:tabs>
          <w:tab w:leader="none" w:pos="25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 statement as to whether or not, in the opinion of such person, such condition or covenant has been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complied with.</w:t>
      </w:r>
    </w:p>
    <w:p>
      <w:pPr>
        <w:spacing w:after="0" w:line="18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10.6</w:t>
      </w:r>
      <w:r>
        <w:rPr>
          <w:sz w:val="20"/>
          <w:szCs w:val="20"/>
          <w:color w:val="auto"/>
        </w:rPr>
        <w:tab/>
      </w:r>
      <w:r>
        <w:rPr>
          <w:rFonts w:ascii="Arial" w:cs="Arial" w:eastAsia="Arial" w:hAnsi="Arial"/>
          <w:sz w:val="19"/>
          <w:szCs w:val="19"/>
          <w:u w:val="single" w:color="auto"/>
          <w:color w:val="auto"/>
        </w:rPr>
        <w:t>Rules by Trustee and Agents.</w:t>
      </w:r>
    </w:p>
    <w:p>
      <w:pPr>
        <w:spacing w:after="0" w:line="206" w:lineRule="exact"/>
        <w:rPr>
          <w:sz w:val="20"/>
          <w:szCs w:val="20"/>
          <w:color w:val="auto"/>
        </w:rPr>
      </w:pPr>
    </w:p>
    <w:p>
      <w:pPr>
        <w:ind w:right="300" w:firstLine="1131"/>
        <w:spacing w:after="0" w:line="250" w:lineRule="auto"/>
        <w:rPr>
          <w:sz w:val="20"/>
          <w:szCs w:val="20"/>
          <w:color w:val="auto"/>
        </w:rPr>
      </w:pPr>
      <w:r>
        <w:rPr>
          <w:rFonts w:ascii="Arial" w:cs="Arial" w:eastAsia="Arial" w:hAnsi="Arial"/>
          <w:sz w:val="22"/>
          <w:szCs w:val="22"/>
          <w:color w:val="auto"/>
        </w:rPr>
        <w:t>The Trustee may make reasonable rules for action by or a meeting of Securityholders of one or more Series. Any Agent may make reasonable rules and set reasonable requirements for its functions.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1" w:name="page82"/>
    <w:bookmarkEnd w:id="81"/>
    <w:p>
      <w:pPr>
        <w:ind w:left="840"/>
        <w:spacing w:after="0"/>
        <w:tabs>
          <w:tab w:leader="none" w:pos="2540" w:val="left"/>
        </w:tabs>
        <w:rPr>
          <w:sz w:val="20"/>
          <w:szCs w:val="20"/>
          <w:color w:val="auto"/>
        </w:rPr>
      </w:pPr>
      <w:r>
        <w:rPr>
          <w:rFonts w:ascii="Arial" w:cs="Arial" w:eastAsia="Arial" w:hAnsi="Arial"/>
          <w:sz w:val="22"/>
          <w:szCs w:val="22"/>
          <w:color w:val="auto"/>
        </w:rPr>
        <w:t>Section 10.7</w:t>
      </w:r>
      <w:r>
        <w:rPr>
          <w:sz w:val="20"/>
          <w:szCs w:val="20"/>
          <w:color w:val="auto"/>
        </w:rPr>
        <w:tab/>
      </w:r>
      <w:r>
        <w:rPr>
          <w:rFonts w:ascii="Arial" w:cs="Arial" w:eastAsia="Arial" w:hAnsi="Arial"/>
          <w:sz w:val="19"/>
          <w:szCs w:val="19"/>
          <w:u w:val="single" w:color="auto"/>
          <w:color w:val="auto"/>
        </w:rPr>
        <w:t>Legal Holidays.</w:t>
      </w:r>
    </w:p>
    <w:p>
      <w:pPr>
        <w:spacing w:after="0" w:line="206" w:lineRule="exact"/>
        <w:rPr>
          <w:sz w:val="20"/>
          <w:szCs w:val="20"/>
          <w:color w:val="auto"/>
        </w:rPr>
      </w:pPr>
    </w:p>
    <w:p>
      <w:pPr>
        <w:ind w:right="140" w:firstLine="1131"/>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i w:val="1"/>
          <w:iCs w:val="1"/>
          <w:color w:val="auto"/>
        </w:rPr>
        <w:t>Legal Holiday</w:t>
      </w:r>
      <w:r>
        <w:rPr>
          <w:rFonts w:ascii="Arial" w:cs="Arial" w:eastAsia="Arial" w:hAnsi="Arial"/>
          <w:sz w:val="22"/>
          <w:szCs w:val="22"/>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86"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10.8</w:t>
      </w:r>
      <w:r>
        <w:rPr>
          <w:sz w:val="20"/>
          <w:szCs w:val="20"/>
          <w:color w:val="auto"/>
        </w:rPr>
        <w:tab/>
      </w:r>
      <w:r>
        <w:rPr>
          <w:rFonts w:ascii="Arial" w:cs="Arial" w:eastAsia="Arial" w:hAnsi="Arial"/>
          <w:sz w:val="19"/>
          <w:szCs w:val="19"/>
          <w:u w:val="single" w:color="auto"/>
          <w:color w:val="auto"/>
        </w:rPr>
        <w:t>No Recourse Against Others.</w:t>
      </w:r>
    </w:p>
    <w:p>
      <w:pPr>
        <w:spacing w:after="0" w:line="206" w:lineRule="exact"/>
        <w:rPr>
          <w:sz w:val="20"/>
          <w:szCs w:val="20"/>
          <w:color w:val="auto"/>
        </w:rPr>
      </w:pPr>
    </w:p>
    <w:p>
      <w:pPr>
        <w:jc w:val="both"/>
        <w:ind w:right="60" w:firstLine="1131"/>
        <w:spacing w:after="0" w:line="238" w:lineRule="auto"/>
        <w:rPr>
          <w:sz w:val="20"/>
          <w:szCs w:val="20"/>
          <w:color w:val="auto"/>
        </w:rPr>
      </w:pPr>
      <w:r>
        <w:rPr>
          <w:rFonts w:ascii="Arial" w:cs="Arial" w:eastAsia="Arial" w:hAnsi="Arial"/>
          <w:sz w:val="22"/>
          <w:szCs w:val="22"/>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5"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u w:val="single" w:color="auto"/>
          <w:color w:val="auto"/>
        </w:rPr>
        <w:t>Counterparts.</w:t>
      </w:r>
    </w:p>
    <w:p>
      <w:pPr>
        <w:spacing w:after="0" w:line="206" w:lineRule="exact"/>
        <w:rPr>
          <w:sz w:val="20"/>
          <w:szCs w:val="20"/>
          <w:color w:val="auto"/>
        </w:rPr>
      </w:pPr>
    </w:p>
    <w:p>
      <w:pPr>
        <w:ind w:right="220" w:firstLine="1131"/>
        <w:spacing w:after="0" w:line="235" w:lineRule="auto"/>
        <w:rPr>
          <w:sz w:val="20"/>
          <w:szCs w:val="20"/>
          <w:color w:val="auto"/>
        </w:rPr>
      </w:pPr>
      <w:r>
        <w:rPr>
          <w:rFonts w:ascii="Arial" w:cs="Arial" w:eastAsia="Arial" w:hAnsi="Arial"/>
          <w:sz w:val="22"/>
          <w:szCs w:val="22"/>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8" w:lineRule="exact"/>
        <w:rPr>
          <w:sz w:val="20"/>
          <w:szCs w:val="20"/>
          <w:color w:val="auto"/>
        </w:rPr>
      </w:pPr>
    </w:p>
    <w:p>
      <w:pPr>
        <w:ind w:left="840"/>
        <w:spacing w:after="0"/>
        <w:tabs>
          <w:tab w:leader="none" w:pos="2660" w:val="left"/>
        </w:tabs>
        <w:rPr>
          <w:sz w:val="20"/>
          <w:szCs w:val="20"/>
          <w:color w:val="auto"/>
        </w:rPr>
      </w:pPr>
      <w:r>
        <w:rPr>
          <w:rFonts w:ascii="Arial" w:cs="Arial" w:eastAsia="Arial" w:hAnsi="Arial"/>
          <w:sz w:val="22"/>
          <w:szCs w:val="22"/>
          <w:color w:val="auto"/>
        </w:rPr>
        <w:t>Section 10.10</w:t>
      </w:r>
      <w:r>
        <w:rPr>
          <w:sz w:val="20"/>
          <w:szCs w:val="20"/>
          <w:color w:val="auto"/>
        </w:rPr>
        <w:tab/>
      </w:r>
      <w:r>
        <w:rPr>
          <w:rFonts w:ascii="Arial" w:cs="Arial" w:eastAsia="Arial" w:hAnsi="Arial"/>
          <w:sz w:val="19"/>
          <w:szCs w:val="19"/>
          <w:u w:val="single" w:color="auto"/>
          <w:color w:val="auto"/>
        </w:rPr>
        <w:t>Governing Law; Waiver of Jury Trial; Consent to Jurisdiction.</w:t>
      </w:r>
    </w:p>
    <w:p>
      <w:pPr>
        <w:spacing w:after="0" w:line="200" w:lineRule="exact"/>
        <w:rPr>
          <w:sz w:val="20"/>
          <w:szCs w:val="20"/>
          <w:color w:val="auto"/>
        </w:rPr>
      </w:pPr>
    </w:p>
    <w:p>
      <w:pPr>
        <w:ind w:firstLine="1131"/>
        <w:spacing w:after="0" w:line="235" w:lineRule="auto"/>
        <w:rPr>
          <w:sz w:val="20"/>
          <w:szCs w:val="20"/>
          <w:color w:val="auto"/>
        </w:rPr>
      </w:pPr>
      <w:r>
        <w:rPr>
          <w:rFonts w:ascii="Arial" w:cs="Arial" w:eastAsia="Arial" w:hAnsi="Arial"/>
          <w:sz w:val="22"/>
          <w:szCs w:val="22"/>
          <w:b w:val="1"/>
          <w:bCs w:val="1"/>
          <w:color w:val="auto"/>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89" w:lineRule="exact"/>
        <w:rPr>
          <w:sz w:val="20"/>
          <w:szCs w:val="20"/>
          <w:color w:val="auto"/>
        </w:rPr>
      </w:pPr>
    </w:p>
    <w:p>
      <w:pPr>
        <w:ind w:right="40" w:firstLine="1131"/>
        <w:spacing w:after="0" w:line="275" w:lineRule="auto"/>
        <w:rPr>
          <w:sz w:val="20"/>
          <w:szCs w:val="20"/>
          <w:color w:val="auto"/>
        </w:rPr>
      </w:pPr>
      <w:r>
        <w:rPr>
          <w:rFonts w:ascii="Arial" w:cs="Arial" w:eastAsia="Arial" w:hAnsi="Arial"/>
          <w:sz w:val="19"/>
          <w:szCs w:val="19"/>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9"/>
          <w:szCs w:val="19"/>
          <w:i w:val="1"/>
          <w:iCs w:val="1"/>
          <w:color w:val="auto"/>
        </w:rPr>
        <w:t>Specified Courts</w:t>
      </w:r>
      <w:r>
        <w:rPr>
          <w:rFonts w:ascii="Arial" w:cs="Arial" w:eastAsia="Arial" w:hAnsi="Arial"/>
          <w:sz w:val="19"/>
          <w:szCs w:val="19"/>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2" w:name="page83"/>
    <w:bookmarkEnd w:id="82"/>
    <w:p>
      <w:pPr>
        <w:ind w:right="80"/>
        <w:spacing w:after="0" w:line="250" w:lineRule="auto"/>
        <w:rPr>
          <w:sz w:val="20"/>
          <w:szCs w:val="20"/>
          <w:color w:val="auto"/>
        </w:rPr>
      </w:pPr>
      <w:r>
        <w:rPr>
          <w:rFonts w:ascii="Arial" w:cs="Arial" w:eastAsia="Arial" w:hAnsi="Arial"/>
          <w:sz w:val="22"/>
          <w:szCs w:val="22"/>
          <w:color w:val="auto"/>
        </w:rPr>
        <w:t>irrevocably and unconditionally waive and agree not to plead or claim any such suit, action or other proceeding has been brought in an inconvenient forum.</w:t>
      </w:r>
    </w:p>
    <w:p>
      <w:pPr>
        <w:spacing w:after="0" w:line="175" w:lineRule="exact"/>
        <w:rPr>
          <w:sz w:val="20"/>
          <w:szCs w:val="20"/>
          <w:color w:val="auto"/>
        </w:rPr>
      </w:pPr>
    </w:p>
    <w:p>
      <w:pPr>
        <w:ind w:left="840"/>
        <w:spacing w:after="0"/>
        <w:tabs>
          <w:tab w:leader="none" w:pos="2640" w:val="left"/>
        </w:tabs>
        <w:rPr>
          <w:sz w:val="20"/>
          <w:szCs w:val="20"/>
          <w:color w:val="auto"/>
        </w:rPr>
      </w:pPr>
      <w:r>
        <w:rPr>
          <w:rFonts w:ascii="Arial" w:cs="Arial" w:eastAsia="Arial" w:hAnsi="Arial"/>
          <w:sz w:val="22"/>
          <w:szCs w:val="22"/>
          <w:color w:val="auto"/>
        </w:rPr>
        <w:t>Section 10.11</w:t>
      </w:r>
      <w:r>
        <w:rPr>
          <w:sz w:val="20"/>
          <w:szCs w:val="20"/>
          <w:color w:val="auto"/>
        </w:rPr>
        <w:tab/>
      </w:r>
      <w:r>
        <w:rPr>
          <w:rFonts w:ascii="Arial" w:cs="Arial" w:eastAsia="Arial" w:hAnsi="Arial"/>
          <w:sz w:val="19"/>
          <w:szCs w:val="19"/>
          <w:u w:val="single" w:color="auto"/>
          <w:color w:val="auto"/>
        </w:rPr>
        <w:t>No Adverse Interpretation of Other Agreements.</w:t>
      </w:r>
    </w:p>
    <w:p>
      <w:pPr>
        <w:spacing w:after="0" w:line="206" w:lineRule="exact"/>
        <w:rPr>
          <w:sz w:val="20"/>
          <w:szCs w:val="20"/>
          <w:color w:val="auto"/>
        </w:rPr>
      </w:pPr>
    </w:p>
    <w:p>
      <w:pPr>
        <w:ind w:right="860" w:firstLine="1131"/>
        <w:spacing w:after="0" w:line="328" w:lineRule="auto"/>
        <w:rPr>
          <w:sz w:val="20"/>
          <w:szCs w:val="20"/>
          <w:color w:val="auto"/>
        </w:rPr>
      </w:pPr>
      <w:r>
        <w:rPr>
          <w:rFonts w:ascii="Arial" w:cs="Arial" w:eastAsia="Arial" w:hAnsi="Arial"/>
          <w:sz w:val="19"/>
          <w:szCs w:val="19"/>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05" w:lineRule="exact"/>
        <w:rPr>
          <w:sz w:val="20"/>
          <w:szCs w:val="20"/>
          <w:color w:val="auto"/>
        </w:rPr>
      </w:pPr>
    </w:p>
    <w:p>
      <w:pPr>
        <w:ind w:left="840"/>
        <w:spacing w:after="0"/>
        <w:tabs>
          <w:tab w:leader="none" w:pos="2660" w:val="left"/>
        </w:tabs>
        <w:rPr>
          <w:sz w:val="20"/>
          <w:szCs w:val="20"/>
          <w:color w:val="auto"/>
        </w:rPr>
      </w:pPr>
      <w:r>
        <w:rPr>
          <w:rFonts w:ascii="Arial" w:cs="Arial" w:eastAsia="Arial" w:hAnsi="Arial"/>
          <w:sz w:val="22"/>
          <w:szCs w:val="22"/>
          <w:color w:val="auto"/>
        </w:rPr>
        <w:t>Section 10.12</w:t>
      </w:r>
      <w:r>
        <w:rPr>
          <w:sz w:val="20"/>
          <w:szCs w:val="20"/>
          <w:color w:val="auto"/>
        </w:rPr>
        <w:tab/>
      </w:r>
      <w:r>
        <w:rPr>
          <w:rFonts w:ascii="Arial" w:cs="Arial" w:eastAsia="Arial" w:hAnsi="Arial"/>
          <w:sz w:val="18"/>
          <w:szCs w:val="18"/>
          <w:u w:val="single" w:color="auto"/>
          <w:color w:val="auto"/>
        </w:rPr>
        <w:t>Successors.</w:t>
      </w:r>
    </w:p>
    <w:p>
      <w:pPr>
        <w:spacing w:after="0" w:line="206" w:lineRule="exact"/>
        <w:rPr>
          <w:sz w:val="20"/>
          <w:szCs w:val="20"/>
          <w:color w:val="auto"/>
        </w:rPr>
      </w:pPr>
    </w:p>
    <w:p>
      <w:pPr>
        <w:ind w:right="240" w:firstLine="1131"/>
        <w:spacing w:after="0" w:line="250" w:lineRule="auto"/>
        <w:rPr>
          <w:sz w:val="20"/>
          <w:szCs w:val="20"/>
          <w:color w:val="auto"/>
        </w:rPr>
      </w:pPr>
      <w:r>
        <w:rPr>
          <w:rFonts w:ascii="Arial" w:cs="Arial" w:eastAsia="Arial" w:hAnsi="Arial"/>
          <w:sz w:val="22"/>
          <w:szCs w:val="22"/>
          <w:color w:val="auto"/>
        </w:rPr>
        <w:t>All agreements of the Company in this Indenture and the Securities shall bind its successor. All agreements of the Trustee in this Indenture shall bind its successor.</w:t>
      </w:r>
    </w:p>
    <w:p>
      <w:pPr>
        <w:spacing w:after="0" w:line="175" w:lineRule="exact"/>
        <w:rPr>
          <w:sz w:val="20"/>
          <w:szCs w:val="20"/>
          <w:color w:val="auto"/>
        </w:rPr>
      </w:pPr>
    </w:p>
    <w:p>
      <w:pPr>
        <w:ind w:left="840"/>
        <w:spacing w:after="0"/>
        <w:tabs>
          <w:tab w:leader="none" w:pos="2660" w:val="left"/>
        </w:tabs>
        <w:rPr>
          <w:sz w:val="20"/>
          <w:szCs w:val="20"/>
          <w:color w:val="auto"/>
        </w:rPr>
      </w:pPr>
      <w:r>
        <w:rPr>
          <w:rFonts w:ascii="Arial" w:cs="Arial" w:eastAsia="Arial" w:hAnsi="Arial"/>
          <w:sz w:val="22"/>
          <w:szCs w:val="22"/>
          <w:color w:val="auto"/>
        </w:rPr>
        <w:t>Section 10.13</w:t>
      </w:r>
      <w:r>
        <w:rPr>
          <w:sz w:val="20"/>
          <w:szCs w:val="20"/>
          <w:color w:val="auto"/>
        </w:rPr>
        <w:tab/>
      </w:r>
      <w:r>
        <w:rPr>
          <w:rFonts w:ascii="Arial" w:cs="Arial" w:eastAsia="Arial" w:hAnsi="Arial"/>
          <w:sz w:val="19"/>
          <w:szCs w:val="19"/>
          <w:u w:val="single" w:color="auto"/>
          <w:color w:val="auto"/>
        </w:rPr>
        <w:t>Severability.</w:t>
      </w:r>
    </w:p>
    <w:p>
      <w:pPr>
        <w:spacing w:after="0" w:line="206" w:lineRule="exact"/>
        <w:rPr>
          <w:sz w:val="20"/>
          <w:szCs w:val="20"/>
          <w:color w:val="auto"/>
        </w:rPr>
      </w:pPr>
    </w:p>
    <w:p>
      <w:pPr>
        <w:ind w:right="460" w:firstLine="1131"/>
        <w:spacing w:after="0" w:line="274" w:lineRule="auto"/>
        <w:rPr>
          <w:sz w:val="20"/>
          <w:szCs w:val="20"/>
          <w:color w:val="auto"/>
        </w:rPr>
      </w:pPr>
      <w:r>
        <w:rPr>
          <w:rFonts w:ascii="Arial" w:cs="Arial" w:eastAsia="Arial" w:hAnsi="Arial"/>
          <w:sz w:val="21"/>
          <w:szCs w:val="21"/>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51" w:lineRule="exact"/>
        <w:rPr>
          <w:sz w:val="20"/>
          <w:szCs w:val="20"/>
          <w:color w:val="auto"/>
        </w:rPr>
      </w:pPr>
    </w:p>
    <w:p>
      <w:pPr>
        <w:ind w:left="840"/>
        <w:spacing w:after="0"/>
        <w:tabs>
          <w:tab w:leader="none" w:pos="2660" w:val="left"/>
        </w:tabs>
        <w:rPr>
          <w:sz w:val="20"/>
          <w:szCs w:val="20"/>
          <w:color w:val="auto"/>
        </w:rPr>
      </w:pPr>
      <w:r>
        <w:rPr>
          <w:rFonts w:ascii="Arial" w:cs="Arial" w:eastAsia="Arial" w:hAnsi="Arial"/>
          <w:sz w:val="22"/>
          <w:szCs w:val="22"/>
          <w:color w:val="auto"/>
        </w:rPr>
        <w:t>Section 10.14</w:t>
      </w:r>
      <w:r>
        <w:rPr>
          <w:sz w:val="20"/>
          <w:szCs w:val="20"/>
          <w:color w:val="auto"/>
        </w:rPr>
        <w:tab/>
      </w:r>
      <w:r>
        <w:rPr>
          <w:rFonts w:ascii="Arial" w:cs="Arial" w:eastAsia="Arial" w:hAnsi="Arial"/>
          <w:sz w:val="19"/>
          <w:szCs w:val="19"/>
          <w:u w:val="single" w:color="auto"/>
          <w:color w:val="auto"/>
        </w:rPr>
        <w:t>Table of Contents, Headings, Etc.</w:t>
      </w:r>
    </w:p>
    <w:p>
      <w:pPr>
        <w:spacing w:after="0" w:line="206" w:lineRule="exact"/>
        <w:rPr>
          <w:sz w:val="20"/>
          <w:szCs w:val="20"/>
          <w:color w:val="auto"/>
        </w:rPr>
      </w:pPr>
    </w:p>
    <w:p>
      <w:pPr>
        <w:jc w:val="both"/>
        <w:ind w:firstLine="1131"/>
        <w:spacing w:after="0"/>
        <w:rPr>
          <w:sz w:val="20"/>
          <w:szCs w:val="20"/>
          <w:color w:val="auto"/>
        </w:rPr>
      </w:pPr>
      <w:r>
        <w:rPr>
          <w:rFonts w:ascii="Arial" w:cs="Arial" w:eastAsia="Arial" w:hAnsi="Arial"/>
          <w:sz w:val="22"/>
          <w:szCs w:val="22"/>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86" w:lineRule="exact"/>
        <w:rPr>
          <w:sz w:val="20"/>
          <w:szCs w:val="20"/>
          <w:color w:val="auto"/>
        </w:rPr>
      </w:pPr>
    </w:p>
    <w:p>
      <w:pPr>
        <w:ind w:left="840"/>
        <w:spacing w:after="0"/>
        <w:tabs>
          <w:tab w:leader="none" w:pos="2660" w:val="left"/>
        </w:tabs>
        <w:rPr>
          <w:sz w:val="20"/>
          <w:szCs w:val="20"/>
          <w:color w:val="auto"/>
        </w:rPr>
      </w:pPr>
      <w:r>
        <w:rPr>
          <w:rFonts w:ascii="Arial" w:cs="Arial" w:eastAsia="Arial" w:hAnsi="Arial"/>
          <w:sz w:val="22"/>
          <w:szCs w:val="22"/>
          <w:color w:val="auto"/>
        </w:rPr>
        <w:t>Section 10.15</w:t>
      </w:r>
      <w:r>
        <w:rPr>
          <w:sz w:val="20"/>
          <w:szCs w:val="20"/>
          <w:color w:val="auto"/>
        </w:rPr>
        <w:tab/>
      </w:r>
      <w:r>
        <w:rPr>
          <w:rFonts w:ascii="Arial" w:cs="Arial" w:eastAsia="Arial" w:hAnsi="Arial"/>
          <w:sz w:val="19"/>
          <w:szCs w:val="19"/>
          <w:u w:val="single" w:color="auto"/>
          <w:color w:val="auto"/>
        </w:rPr>
        <w:t>Securities in a Foreign Currency.</w:t>
      </w:r>
    </w:p>
    <w:p>
      <w:pPr>
        <w:spacing w:after="0" w:line="206" w:lineRule="exact"/>
        <w:rPr>
          <w:sz w:val="20"/>
          <w:szCs w:val="20"/>
          <w:color w:val="auto"/>
        </w:rPr>
      </w:pPr>
    </w:p>
    <w:p>
      <w:pPr>
        <w:ind w:right="20" w:firstLine="1131"/>
        <w:spacing w:after="0" w:line="271" w:lineRule="auto"/>
        <w:rPr>
          <w:sz w:val="20"/>
          <w:szCs w:val="20"/>
          <w:color w:val="auto"/>
        </w:rPr>
      </w:pPr>
      <w:r>
        <w:rPr>
          <w:rFonts w:ascii="Arial" w:cs="Arial" w:eastAsia="Arial" w:hAnsi="Arial"/>
          <w:sz w:val="19"/>
          <w:szCs w:val="19"/>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3" w:name="page84"/>
    <w:bookmarkEnd w:id="83"/>
    <w:p>
      <w:pPr>
        <w:ind w:right="200" w:firstLine="1131"/>
        <w:spacing w:after="0" w:line="328" w:lineRule="auto"/>
        <w:rPr>
          <w:sz w:val="20"/>
          <w:szCs w:val="20"/>
          <w:color w:val="auto"/>
        </w:rPr>
      </w:pPr>
      <w:r>
        <w:rPr>
          <w:rFonts w:ascii="Arial" w:cs="Arial" w:eastAsia="Arial" w:hAnsi="Arial"/>
          <w:sz w:val="19"/>
          <w:szCs w:val="19"/>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05" w:lineRule="exact"/>
        <w:rPr>
          <w:sz w:val="20"/>
          <w:szCs w:val="20"/>
          <w:color w:val="auto"/>
        </w:rPr>
      </w:pPr>
    </w:p>
    <w:p>
      <w:pPr>
        <w:ind w:left="840"/>
        <w:spacing w:after="0"/>
        <w:tabs>
          <w:tab w:leader="none" w:pos="2660" w:val="left"/>
        </w:tabs>
        <w:rPr>
          <w:sz w:val="20"/>
          <w:szCs w:val="20"/>
          <w:color w:val="auto"/>
        </w:rPr>
      </w:pPr>
      <w:r>
        <w:rPr>
          <w:rFonts w:ascii="Arial" w:cs="Arial" w:eastAsia="Arial" w:hAnsi="Arial"/>
          <w:sz w:val="22"/>
          <w:szCs w:val="22"/>
          <w:color w:val="auto"/>
        </w:rPr>
        <w:t>Section 10.16</w:t>
      </w:r>
      <w:r>
        <w:rPr>
          <w:sz w:val="20"/>
          <w:szCs w:val="20"/>
          <w:color w:val="auto"/>
        </w:rPr>
        <w:tab/>
      </w:r>
      <w:r>
        <w:rPr>
          <w:rFonts w:ascii="Arial" w:cs="Arial" w:eastAsia="Arial" w:hAnsi="Arial"/>
          <w:sz w:val="19"/>
          <w:szCs w:val="19"/>
          <w:u w:val="single" w:color="auto"/>
          <w:color w:val="auto"/>
        </w:rPr>
        <w:t>Judgment Currency.</w:t>
      </w:r>
    </w:p>
    <w:p>
      <w:pPr>
        <w:spacing w:after="0" w:line="206" w:lineRule="exact"/>
        <w:rPr>
          <w:sz w:val="20"/>
          <w:szCs w:val="20"/>
          <w:color w:val="auto"/>
        </w:rPr>
      </w:pPr>
    </w:p>
    <w:p>
      <w:pPr>
        <w:ind w:right="40" w:firstLine="1131"/>
        <w:spacing w:after="0" w:line="270" w:lineRule="auto"/>
        <w:rPr>
          <w:sz w:val="20"/>
          <w:szCs w:val="20"/>
          <w:color w:val="auto"/>
        </w:rPr>
      </w:pPr>
      <w:r>
        <w:rPr>
          <w:rFonts w:ascii="Arial" w:cs="Arial" w:eastAsia="Arial" w:hAnsi="Arial"/>
          <w:sz w:val="19"/>
          <w:szCs w:val="19"/>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9"/>
          <w:szCs w:val="19"/>
          <w:i w:val="1"/>
          <w:iCs w:val="1"/>
          <w:color w:val="auto"/>
        </w:rPr>
        <w:t>Required Currency</w:t>
      </w:r>
      <w:r>
        <w:rPr>
          <w:rFonts w:ascii="Arial" w:cs="Arial" w:eastAsia="Arial" w:hAnsi="Arial"/>
          <w:sz w:val="19"/>
          <w:szCs w:val="19"/>
          <w:color w:val="auto"/>
        </w:rPr>
        <w:t>”) into a currency in which a judgment will be rendered (the “</w:t>
      </w:r>
      <w:r>
        <w:rPr>
          <w:rFonts w:ascii="Arial" w:cs="Arial" w:eastAsia="Arial" w:hAnsi="Arial"/>
          <w:sz w:val="19"/>
          <w:szCs w:val="19"/>
          <w:i w:val="1"/>
          <w:iCs w:val="1"/>
          <w:color w:val="auto"/>
        </w:rPr>
        <w:t>Judgment Currency</w:t>
      </w:r>
      <w:r>
        <w:rPr>
          <w:rFonts w:ascii="Arial" w:cs="Arial" w:eastAsia="Arial" w:hAnsi="Arial"/>
          <w:sz w:val="19"/>
          <w:szCs w:val="19"/>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9"/>
          <w:szCs w:val="19"/>
          <w:i w:val="1"/>
          <w:iCs w:val="1"/>
          <w:color w:val="auto"/>
        </w:rPr>
        <w:t>New York Banking Day</w:t>
      </w:r>
      <w:r>
        <w:rPr>
          <w:rFonts w:ascii="Arial" w:cs="Arial" w:eastAsia="Arial" w:hAnsi="Arial"/>
          <w:sz w:val="19"/>
          <w:szCs w:val="19"/>
          <w:color w:val="auto"/>
        </w:rPr>
        <w:t>” means any day except a Saturday, Sunday or a Legal Holiday in The City of New York on which banking institutions are authorized or required by law, regulation or executive order to close.</w:t>
      </w:r>
    </w:p>
    <w:p>
      <w:pPr>
        <w:spacing w:after="0" w:line="168" w:lineRule="exact"/>
        <w:rPr>
          <w:sz w:val="20"/>
          <w:szCs w:val="20"/>
          <w:color w:val="auto"/>
        </w:rPr>
      </w:pPr>
    </w:p>
    <w:p>
      <w:pPr>
        <w:ind w:left="840"/>
        <w:spacing w:after="0"/>
        <w:tabs>
          <w:tab w:leader="none" w:pos="2660" w:val="left"/>
        </w:tabs>
        <w:rPr>
          <w:sz w:val="20"/>
          <w:szCs w:val="20"/>
          <w:color w:val="auto"/>
        </w:rPr>
      </w:pPr>
      <w:r>
        <w:rPr>
          <w:rFonts w:ascii="Arial" w:cs="Arial" w:eastAsia="Arial" w:hAnsi="Arial"/>
          <w:sz w:val="22"/>
          <w:szCs w:val="22"/>
          <w:color w:val="auto"/>
        </w:rPr>
        <w:t>Section 10.17</w:t>
      </w:r>
      <w:r>
        <w:rPr>
          <w:sz w:val="20"/>
          <w:szCs w:val="20"/>
          <w:color w:val="auto"/>
        </w:rPr>
        <w:tab/>
      </w:r>
      <w:r>
        <w:rPr>
          <w:rFonts w:ascii="Arial" w:cs="Arial" w:eastAsia="Arial" w:hAnsi="Arial"/>
          <w:sz w:val="19"/>
          <w:szCs w:val="19"/>
          <w:u w:val="single" w:color="auto"/>
          <w:color w:val="auto"/>
        </w:rPr>
        <w:t>Force Majeure.</w:t>
      </w:r>
    </w:p>
    <w:p>
      <w:pPr>
        <w:spacing w:after="0" w:line="206" w:lineRule="exact"/>
        <w:rPr>
          <w:sz w:val="20"/>
          <w:szCs w:val="20"/>
          <w:color w:val="auto"/>
        </w:rPr>
      </w:pPr>
    </w:p>
    <w:p>
      <w:pPr>
        <w:ind w:firstLine="1131"/>
        <w:spacing w:after="0" w:line="248" w:lineRule="auto"/>
        <w:rPr>
          <w:sz w:val="20"/>
          <w:szCs w:val="20"/>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77" w:lineRule="exact"/>
        <w:rPr>
          <w:sz w:val="20"/>
          <w:szCs w:val="20"/>
          <w:color w:val="auto"/>
        </w:rPr>
      </w:pPr>
    </w:p>
    <w:p>
      <w:pPr>
        <w:ind w:left="840"/>
        <w:spacing w:after="0"/>
        <w:tabs>
          <w:tab w:leader="none" w:pos="2660" w:val="left"/>
        </w:tabs>
        <w:rPr>
          <w:sz w:val="20"/>
          <w:szCs w:val="20"/>
          <w:color w:val="auto"/>
        </w:rPr>
      </w:pPr>
      <w:r>
        <w:rPr>
          <w:rFonts w:ascii="Arial" w:cs="Arial" w:eastAsia="Arial" w:hAnsi="Arial"/>
          <w:sz w:val="22"/>
          <w:szCs w:val="22"/>
          <w:color w:val="auto"/>
        </w:rPr>
        <w:t>Section 10.18</w:t>
      </w:r>
      <w:r>
        <w:rPr>
          <w:sz w:val="20"/>
          <w:szCs w:val="20"/>
          <w:color w:val="auto"/>
        </w:rPr>
        <w:tab/>
      </w:r>
      <w:r>
        <w:rPr>
          <w:rFonts w:ascii="Arial" w:cs="Arial" w:eastAsia="Arial" w:hAnsi="Arial"/>
          <w:sz w:val="19"/>
          <w:szCs w:val="19"/>
          <w:u w:val="single" w:color="auto"/>
          <w:color w:val="auto"/>
        </w:rPr>
        <w:t>U.S.A. Patriot Act.</w:t>
      </w:r>
    </w:p>
    <w:p>
      <w:pPr>
        <w:spacing w:after="0" w:line="206" w:lineRule="exact"/>
        <w:rPr>
          <w:sz w:val="20"/>
          <w:szCs w:val="20"/>
          <w:color w:val="auto"/>
        </w:rPr>
      </w:pPr>
    </w:p>
    <w:p>
      <w:pPr>
        <w:ind w:right="40" w:firstLine="1131"/>
        <w:spacing w:after="0"/>
        <w:rPr>
          <w:sz w:val="20"/>
          <w:szCs w:val="20"/>
          <w:color w:val="auto"/>
        </w:rPr>
      </w:pPr>
      <w:r>
        <w:rPr>
          <w:rFonts w:ascii="Arial" w:cs="Arial" w:eastAsia="Arial" w:hAnsi="Arial"/>
          <w:sz w:val="22"/>
          <w:szCs w:val="22"/>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4" w:name="page85"/>
    <w:bookmarkEnd w:id="84"/>
    <w:p>
      <w:pPr>
        <w:ind w:right="260"/>
        <w:spacing w:after="0" w:line="250" w:lineRule="auto"/>
        <w:rPr>
          <w:sz w:val="20"/>
          <w:szCs w:val="20"/>
          <w:color w:val="auto"/>
        </w:rPr>
      </w:pPr>
      <w:r>
        <w:rPr>
          <w:rFonts w:ascii="Arial" w:cs="Arial" w:eastAsia="Arial" w:hAnsi="Arial"/>
          <w:sz w:val="22"/>
          <w:szCs w:val="22"/>
          <w:color w:val="auto"/>
        </w:rPr>
        <w:t>Indenture agree that they will provide the Trustee with such information as it may request in order for the Trustee to satisfy the requirements of the U.S.A. Patriot Act.</w:t>
      </w:r>
    </w:p>
    <w:p>
      <w:pPr>
        <w:spacing w:after="0" w:line="169"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ind w:left="820"/>
        <w:spacing w:after="0"/>
        <w:rPr>
          <w:sz w:val="20"/>
          <w:szCs w:val="20"/>
          <w:color w:val="auto"/>
        </w:rPr>
      </w:pPr>
      <w:r>
        <w:rPr>
          <w:rFonts w:ascii="Arial" w:cs="Arial" w:eastAsia="Arial" w:hAnsi="Arial"/>
          <w:sz w:val="22"/>
          <w:szCs w:val="22"/>
          <w:b w:val="1"/>
          <w:bCs w:val="1"/>
          <w:color w:val="auto"/>
        </w:rPr>
        <w:t>SINKING FUNDS</w:t>
      </w:r>
    </w:p>
    <w:p>
      <w:pPr>
        <w:spacing w:after="0" w:line="18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21"/>
          <w:szCs w:val="21"/>
          <w:u w:val="single" w:color="auto"/>
          <w:color w:val="auto"/>
        </w:rPr>
        <w:t>Applicability of Article.</w:t>
      </w:r>
    </w:p>
    <w:p>
      <w:pPr>
        <w:spacing w:after="0" w:line="206" w:lineRule="exact"/>
        <w:rPr>
          <w:sz w:val="20"/>
          <w:szCs w:val="20"/>
          <w:color w:val="auto"/>
        </w:rPr>
      </w:pPr>
    </w:p>
    <w:p>
      <w:pPr>
        <w:jc w:val="both"/>
        <w:ind w:right="140" w:firstLine="1131"/>
        <w:spacing w:after="0"/>
        <w:rPr>
          <w:sz w:val="20"/>
          <w:szCs w:val="20"/>
          <w:color w:val="auto"/>
        </w:rPr>
      </w:pPr>
      <w:r>
        <w:rPr>
          <w:rFonts w:ascii="Arial" w:cs="Arial" w:eastAsia="Arial" w:hAnsi="Arial"/>
          <w:sz w:val="22"/>
          <w:szCs w:val="22"/>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86" w:lineRule="exact"/>
        <w:rPr>
          <w:sz w:val="20"/>
          <w:szCs w:val="20"/>
          <w:color w:val="auto"/>
        </w:rPr>
      </w:pPr>
    </w:p>
    <w:p>
      <w:pPr>
        <w:ind w:right="220" w:firstLine="1131"/>
        <w:spacing w:after="0" w:line="282" w:lineRule="auto"/>
        <w:rPr>
          <w:sz w:val="20"/>
          <w:szCs w:val="20"/>
          <w:color w:val="auto"/>
        </w:rPr>
      </w:pPr>
      <w:r>
        <w:rPr>
          <w:rFonts w:ascii="Arial" w:cs="Arial" w:eastAsia="Arial" w:hAnsi="Arial"/>
          <w:sz w:val="19"/>
          <w:szCs w:val="19"/>
          <w:color w:val="auto"/>
        </w:rPr>
        <w:t>The minimum amount of any sinking fund payment provided for by the terms of the Securities of any Series is herein referred to as a “</w:t>
      </w:r>
      <w:r>
        <w:rPr>
          <w:rFonts w:ascii="Arial" w:cs="Arial" w:eastAsia="Arial" w:hAnsi="Arial"/>
          <w:sz w:val="19"/>
          <w:szCs w:val="19"/>
          <w:i w:val="1"/>
          <w:iCs w:val="1"/>
          <w:color w:val="auto"/>
        </w:rPr>
        <w:t>mandatory sinking fund payment</w:t>
      </w:r>
      <w:r>
        <w:rPr>
          <w:rFonts w:ascii="Arial" w:cs="Arial" w:eastAsia="Arial" w:hAnsi="Arial"/>
          <w:sz w:val="19"/>
          <w:szCs w:val="19"/>
          <w:color w:val="auto"/>
        </w:rPr>
        <w:t>” and any other amount provided for by the terms of Securities of such Series is herein referred to as an “</w:t>
      </w:r>
      <w:r>
        <w:rPr>
          <w:rFonts w:ascii="Arial" w:cs="Arial" w:eastAsia="Arial" w:hAnsi="Arial"/>
          <w:sz w:val="19"/>
          <w:szCs w:val="19"/>
          <w:i w:val="1"/>
          <w:iCs w:val="1"/>
          <w:color w:val="auto"/>
        </w:rPr>
        <w:t>optional sinking fund payment</w:t>
      </w:r>
      <w:r>
        <w:rPr>
          <w:rFonts w:ascii="Arial" w:cs="Arial" w:eastAsia="Arial" w:hAnsi="Arial"/>
          <w:sz w:val="19"/>
          <w:szCs w:val="19"/>
          <w:color w:val="auto"/>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47"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u w:val="single" w:color="auto"/>
          <w:color w:val="auto"/>
        </w:rPr>
        <w:t>Satisfaction of Sinking Fund Payments with Securities.</w:t>
      </w:r>
    </w:p>
    <w:p>
      <w:pPr>
        <w:spacing w:after="0" w:line="206" w:lineRule="exact"/>
        <w:rPr>
          <w:sz w:val="20"/>
          <w:szCs w:val="20"/>
          <w:color w:val="auto"/>
        </w:rPr>
      </w:pPr>
    </w:p>
    <w:p>
      <w:pPr>
        <w:ind w:firstLine="1131"/>
        <w:spacing w:after="0" w:line="270" w:lineRule="auto"/>
        <w:rPr>
          <w:sz w:val="20"/>
          <w:szCs w:val="20"/>
          <w:color w:val="auto"/>
        </w:rPr>
      </w:pPr>
      <w:r>
        <w:rPr>
          <w:rFonts w:ascii="Arial" w:cs="Arial" w:eastAsia="Arial" w:hAnsi="Arial"/>
          <w:sz w:val="19"/>
          <w:szCs w:val="19"/>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having an unpaid principal amount equal to the cash payment required to be released to the Company.</w:t>
      </w:r>
    </w:p>
    <w:p>
      <w:pPr>
        <w:spacing w:after="0" w:line="206"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19"/>
          <w:szCs w:val="19"/>
          <w:u w:val="single" w:color="auto"/>
          <w:color w:val="auto"/>
        </w:rPr>
        <w:t>Redemption of Securities for Sinking Fund.</w:t>
      </w:r>
    </w:p>
    <w:p>
      <w:pPr>
        <w:spacing w:after="0" w:line="206" w:lineRule="exact"/>
        <w:rPr>
          <w:sz w:val="20"/>
          <w:szCs w:val="20"/>
          <w:color w:val="auto"/>
        </w:rPr>
      </w:pPr>
    </w:p>
    <w:p>
      <w:pPr>
        <w:ind w:firstLine="1131"/>
        <w:spacing w:after="0" w:line="272" w:lineRule="auto"/>
        <w:rPr>
          <w:sz w:val="20"/>
          <w:szCs w:val="20"/>
          <w:color w:val="auto"/>
        </w:rPr>
      </w:pPr>
      <w:r>
        <w:rPr>
          <w:rFonts w:ascii="Arial" w:cs="Arial" w:eastAsia="Arial" w:hAnsi="Arial"/>
          <w:sz w:val="19"/>
          <w:szCs w:val="19"/>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550" w:right="479" w:bottom="1440" w:gutter="0" w:footer="0" w:header="0"/>
        </w:sectPr>
      </w:pPr>
    </w:p>
    <w:bookmarkStart w:id="86" w:name="page87"/>
    <w:bookmarkEnd w:id="86"/>
    <w:p>
      <w:pPr>
        <w:ind w:firstLine="1131"/>
        <w:spacing w:after="0" w:line="250" w:lineRule="auto"/>
        <w:rPr>
          <w:sz w:val="20"/>
          <w:szCs w:val="20"/>
          <w:color w:val="auto"/>
        </w:rPr>
      </w:pPr>
      <w:r>
        <w:rPr>
          <w:rFonts w:ascii="Arial" w:cs="Arial" w:eastAsia="Arial" w:hAnsi="Arial"/>
          <w:sz w:val="22"/>
          <w:szCs w:val="22"/>
          <w:color w:val="auto"/>
        </w:rPr>
        <w:t>IN WITNESS WHEREOF, the parties hereto have caused this Indenture to be duly executed as of the day and year first above written.</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ATHIRA PHARMA, INC.</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6985</wp:posOffset>
            </wp:positionV>
            <wp:extent cx="33089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20"/>
        <w:spacing w:after="0"/>
        <w:rPr>
          <w:sz w:val="20"/>
          <w:szCs w:val="20"/>
          <w:color w:val="auto"/>
        </w:rPr>
      </w:pPr>
      <w:r>
        <w:rPr>
          <w:rFonts w:ascii="Arial" w:cs="Arial" w:eastAsia="Arial" w:hAnsi="Arial"/>
          <w:sz w:val="22"/>
          <w:szCs w:val="22"/>
          <w:color w:val="auto"/>
        </w:rPr>
        <w:t>Name:</w:t>
      </w:r>
    </w:p>
    <w:p>
      <w:pPr>
        <w:ind w:left="6020"/>
        <w:spacing w:after="0" w:line="230" w:lineRule="auto"/>
        <w:rPr>
          <w:sz w:val="20"/>
          <w:szCs w:val="20"/>
          <w:color w:val="auto"/>
        </w:rPr>
      </w:pPr>
      <w:r>
        <w:rPr>
          <w:rFonts w:ascii="Arial" w:cs="Arial" w:eastAsia="Arial" w:hAnsi="Arial"/>
          <w:sz w:val="22"/>
          <w:szCs w:val="22"/>
          <w:color w:val="auto"/>
        </w:rPr>
        <w:t>Its:</w:t>
      </w:r>
    </w:p>
    <w:p>
      <w:pPr>
        <w:ind w:left="5620"/>
        <w:spacing w:after="0" w:line="231" w:lineRule="auto"/>
        <w:rPr>
          <w:sz w:val="20"/>
          <w:szCs w:val="20"/>
          <w:color w:val="auto"/>
        </w:rPr>
      </w:pPr>
      <w:r>
        <w:rPr>
          <w:rFonts w:ascii="Arial" w:cs="Arial" w:eastAsia="Arial" w:hAnsi="Arial"/>
          <w:sz w:val="22"/>
          <w:szCs w:val="22"/>
          <w:color w:val="auto"/>
        </w:rPr>
        <w:t>[__________],</w:t>
      </w:r>
    </w:p>
    <w:p>
      <w:pPr>
        <w:ind w:left="5620"/>
        <w:spacing w:after="0"/>
        <w:rPr>
          <w:sz w:val="20"/>
          <w:szCs w:val="20"/>
          <w:color w:val="auto"/>
        </w:rPr>
      </w:pPr>
      <w:r>
        <w:rPr>
          <w:rFonts w:ascii="Arial" w:cs="Arial" w:eastAsia="Arial" w:hAnsi="Arial"/>
          <w:sz w:val="22"/>
          <w:szCs w:val="22"/>
          <w:color w:val="auto"/>
        </w:rPr>
        <w:t>as Trustee</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6985</wp:posOffset>
            </wp:positionV>
            <wp:extent cx="33089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20"/>
        <w:spacing w:after="0"/>
        <w:rPr>
          <w:sz w:val="20"/>
          <w:szCs w:val="20"/>
          <w:color w:val="auto"/>
        </w:rPr>
      </w:pPr>
      <w:r>
        <w:rPr>
          <w:rFonts w:ascii="Arial" w:cs="Arial" w:eastAsia="Arial" w:hAnsi="Arial"/>
          <w:sz w:val="22"/>
          <w:szCs w:val="22"/>
          <w:color w:val="auto"/>
        </w:rPr>
        <w:t>Name:</w:t>
      </w:r>
    </w:p>
    <w:p>
      <w:pPr>
        <w:ind w:left="6020"/>
        <w:spacing w:after="0"/>
        <w:rPr>
          <w:sz w:val="20"/>
          <w:szCs w:val="20"/>
          <w:color w:val="auto"/>
        </w:rPr>
      </w:pPr>
      <w:r>
        <w:rPr>
          <w:rFonts w:ascii="Arial" w:cs="Arial" w:eastAsia="Arial" w:hAnsi="Arial"/>
          <w:sz w:val="22"/>
          <w:szCs w:val="22"/>
          <w:color w:val="auto"/>
        </w:rPr>
        <w:t>Its:</w:t>
      </w:r>
    </w:p>
    <w:p>
      <w:pPr>
        <w:sectPr>
          <w:pgSz w:w="11900" w:h="16838" w:orient="portrait"/>
          <w:cols w:equalWidth="0" w:num="1">
            <w:col w:w="11060"/>
          </w:cols>
          <w:pgMar w:left="320" w:top="766" w:right="519" w:bottom="1440" w:gutter="0" w:footer="0" w:header="0"/>
        </w:sectPr>
      </w:pPr>
    </w:p>
    <w:bookmarkStart w:id="87" w:name="page88"/>
    <w:bookmarkEnd w:id="87"/>
    <w:p>
      <w:pPr>
        <w:jc w:val="right"/>
        <w:ind w:right="20"/>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1088390" cy="402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1088390" cy="402590"/>
                    </a:xfrm>
                    <a:prstGeom prst="rect">
                      <a:avLst/>
                    </a:prstGeom>
                    <a:noFill/>
                  </pic:spPr>
                </pic:pic>
              </a:graphicData>
            </a:graphic>
          </wp:anchor>
        </w:drawing>
      </w:r>
    </w:p>
    <w:p>
      <w:pPr>
        <w:spacing w:after="0" w:line="239" w:lineRule="exact"/>
        <w:rPr>
          <w:sz w:val="20"/>
          <w:szCs w:val="20"/>
          <w:color w:val="auto"/>
        </w:rPr>
      </w:pPr>
    </w:p>
    <w:p>
      <w:pPr>
        <w:ind w:left="7880"/>
        <w:spacing w:after="0"/>
        <w:rPr>
          <w:sz w:val="20"/>
          <w:szCs w:val="20"/>
          <w:color w:val="auto"/>
        </w:rPr>
      </w:pPr>
      <w:r>
        <w:rPr>
          <w:rFonts w:ascii="Arial" w:cs="Arial" w:eastAsia="Arial" w:hAnsi="Arial"/>
          <w:sz w:val="14"/>
          <w:szCs w:val="14"/>
          <w:color w:val="003D4C"/>
        </w:rPr>
        <w:t>Wilson Sonsini Goodrich &amp; Rosati</w:t>
      </w:r>
    </w:p>
    <w:p>
      <w:pPr>
        <w:ind w:left="7880"/>
        <w:spacing w:after="0"/>
        <w:rPr>
          <w:sz w:val="20"/>
          <w:szCs w:val="20"/>
          <w:color w:val="auto"/>
        </w:rPr>
      </w:pPr>
      <w:r>
        <w:rPr>
          <w:rFonts w:ascii="Arial" w:cs="Arial" w:eastAsia="Arial" w:hAnsi="Arial"/>
          <w:sz w:val="14"/>
          <w:szCs w:val="14"/>
          <w:color w:val="003D4C"/>
        </w:rPr>
        <w:t>Professional Corporation</w:t>
      </w:r>
    </w:p>
    <w:p>
      <w:pPr>
        <w:spacing w:after="0" w:line="83" w:lineRule="exact"/>
        <w:rPr>
          <w:sz w:val="20"/>
          <w:szCs w:val="20"/>
          <w:color w:val="auto"/>
        </w:rPr>
      </w:pPr>
    </w:p>
    <w:p>
      <w:pPr>
        <w:ind w:left="7880"/>
        <w:spacing w:after="0"/>
        <w:rPr>
          <w:sz w:val="20"/>
          <w:szCs w:val="20"/>
          <w:color w:val="auto"/>
        </w:rPr>
      </w:pPr>
      <w:r>
        <w:rPr>
          <w:rFonts w:ascii="Arial" w:cs="Arial" w:eastAsia="Arial" w:hAnsi="Arial"/>
          <w:sz w:val="14"/>
          <w:szCs w:val="14"/>
          <w:color w:val="003D4C"/>
        </w:rPr>
        <w:t>701 Fifth Avenue</w:t>
      </w:r>
    </w:p>
    <w:p>
      <w:pPr>
        <w:ind w:left="7880"/>
        <w:spacing w:after="0" w:line="221" w:lineRule="auto"/>
        <w:rPr>
          <w:sz w:val="20"/>
          <w:szCs w:val="20"/>
          <w:color w:val="auto"/>
        </w:rPr>
      </w:pPr>
      <w:r>
        <w:rPr>
          <w:rFonts w:ascii="Arial" w:cs="Arial" w:eastAsia="Arial" w:hAnsi="Arial"/>
          <w:sz w:val="14"/>
          <w:szCs w:val="14"/>
          <w:color w:val="003D4C"/>
        </w:rPr>
        <w:t>Suite 5100</w:t>
      </w:r>
    </w:p>
    <w:p>
      <w:pPr>
        <w:ind w:left="7880"/>
        <w:spacing w:after="0"/>
        <w:rPr>
          <w:sz w:val="20"/>
          <w:szCs w:val="20"/>
          <w:color w:val="auto"/>
        </w:rPr>
      </w:pPr>
      <w:r>
        <w:rPr>
          <w:rFonts w:ascii="Arial" w:cs="Arial" w:eastAsia="Arial" w:hAnsi="Arial"/>
          <w:sz w:val="14"/>
          <w:szCs w:val="14"/>
          <w:color w:val="003D4C"/>
        </w:rPr>
        <w:t>Seattle, WA 98104-7036</w:t>
      </w:r>
    </w:p>
    <w:p>
      <w:pPr>
        <w:spacing w:after="0" w:line="83" w:lineRule="exact"/>
        <w:rPr>
          <w:sz w:val="20"/>
          <w:szCs w:val="20"/>
          <w:color w:val="auto"/>
        </w:rPr>
      </w:pPr>
    </w:p>
    <w:p>
      <w:pPr>
        <w:ind w:left="7880"/>
        <w:spacing w:after="0"/>
        <w:rPr>
          <w:sz w:val="20"/>
          <w:szCs w:val="20"/>
          <w:color w:val="auto"/>
        </w:rPr>
      </w:pPr>
      <w:r>
        <w:rPr>
          <w:rFonts w:ascii="Arial" w:cs="Arial" w:eastAsia="Arial" w:hAnsi="Arial"/>
          <w:sz w:val="9"/>
          <w:szCs w:val="9"/>
          <w:color w:val="003D4C"/>
        </w:rPr>
        <w:t>O</w:t>
      </w:r>
      <w:r>
        <w:rPr>
          <w:rFonts w:ascii="Arial" w:cs="Arial" w:eastAsia="Arial" w:hAnsi="Arial"/>
          <w:sz w:val="14"/>
          <w:szCs w:val="14"/>
          <w:color w:val="003D4C"/>
        </w:rPr>
        <w:t>: (206) 883-2500</w:t>
      </w:r>
    </w:p>
    <w:p>
      <w:pPr>
        <w:ind w:left="7880"/>
        <w:spacing w:after="0"/>
        <w:rPr>
          <w:sz w:val="20"/>
          <w:szCs w:val="20"/>
          <w:color w:val="auto"/>
        </w:rPr>
      </w:pPr>
      <w:r>
        <w:rPr>
          <w:rFonts w:ascii="Arial" w:cs="Arial" w:eastAsia="Arial" w:hAnsi="Arial"/>
          <w:sz w:val="9"/>
          <w:szCs w:val="9"/>
          <w:color w:val="003D4C"/>
        </w:rPr>
        <w:t>F</w:t>
      </w:r>
      <w:r>
        <w:rPr>
          <w:rFonts w:ascii="Arial" w:cs="Arial" w:eastAsia="Arial" w:hAnsi="Arial"/>
          <w:sz w:val="14"/>
          <w:szCs w:val="14"/>
          <w:color w:val="003D4C"/>
        </w:rPr>
        <w:t>: (206) 883-2699</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November 15, 2021</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ATHIRA PHARMA,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18706 North Creek Parkway, Suite 104</w:t>
      </w:r>
    </w:p>
    <w:p>
      <w:pPr>
        <w:spacing w:after="0"/>
        <w:rPr>
          <w:sz w:val="20"/>
          <w:szCs w:val="20"/>
          <w:color w:val="auto"/>
        </w:rPr>
      </w:pPr>
      <w:r>
        <w:rPr>
          <w:rFonts w:ascii="Arial" w:cs="Arial" w:eastAsia="Arial" w:hAnsi="Arial"/>
          <w:sz w:val="20"/>
          <w:szCs w:val="20"/>
          <w:color w:val="auto"/>
        </w:rPr>
        <w:t>Bothell, Washington 98011</w:t>
      </w:r>
    </w:p>
    <w:p>
      <w:pPr>
        <w:spacing w:after="0" w:line="194" w:lineRule="exact"/>
        <w:rPr>
          <w:sz w:val="20"/>
          <w:szCs w:val="20"/>
          <w:color w:val="auto"/>
        </w:rPr>
      </w:pPr>
    </w:p>
    <w:p>
      <w:pPr>
        <w:ind w:left="860"/>
        <w:spacing w:after="0" w:line="230" w:lineRule="exact"/>
        <w:tabs>
          <w:tab w:leader="none" w:pos="16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Registration Statement on Form S</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3</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440" w:firstLine="864"/>
        <w:spacing w:after="0" w:line="237" w:lineRule="exact"/>
        <w:rPr>
          <w:sz w:val="20"/>
          <w:szCs w:val="20"/>
          <w:color w:val="auto"/>
        </w:rPr>
      </w:pPr>
      <w:r>
        <w:rPr>
          <w:rFonts w:ascii="Arial" w:cs="Arial" w:eastAsia="Arial" w:hAnsi="Arial"/>
          <w:sz w:val="18"/>
          <w:szCs w:val="18"/>
          <w:color w:val="auto"/>
        </w:rPr>
        <w:t>At your request, we have examined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(the “Registration Statement”), filed by ATHIRA PHARMA, INC., a Delaware corporation (the “Company”), with the Securities and Exchange Commission (the “Commission”) in connection with the registration pursuant to the Securities Act of 1933, as amended (the “Act”), of the Securities (as defined below).</w:t>
      </w:r>
    </w:p>
    <w:p>
      <w:pPr>
        <w:spacing w:after="0" w:line="196" w:lineRule="exact"/>
        <w:rPr>
          <w:sz w:val="20"/>
          <w:szCs w:val="20"/>
          <w:color w:val="auto"/>
        </w:rPr>
      </w:pPr>
    </w:p>
    <w:p>
      <w:pPr>
        <w:ind w:right="60" w:firstLine="864"/>
        <w:spacing w:after="0" w:line="255" w:lineRule="auto"/>
        <w:rPr>
          <w:sz w:val="20"/>
          <w:szCs w:val="20"/>
          <w:color w:val="auto"/>
        </w:rPr>
      </w:pPr>
      <w:r>
        <w:rPr>
          <w:rFonts w:ascii="Arial" w:cs="Arial" w:eastAsia="Arial" w:hAnsi="Arial"/>
          <w:sz w:val="19"/>
          <w:szCs w:val="19"/>
          <w:color w:val="auto"/>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$300,000,000, or the equivalent thereof, of (a) shares of the Company’s common stock, $0.0001 par value per share (the “Common Stock”); (b) shares of the Company’s preferred stock, $0.0001 par value per share (the “Preferred Stock”); (c) the Company’s debt securities (the “Debt Securities”); (d) depositary shares of the Company representing a fractional interest in a share of Preferred Stock (the “Depositary Shares”); (e) warrants to purchase Common Stock, Preferred Stock, Debt Securities or Depositary Shares (the “Warrants”); (f) subscription rights to purchase Common Stock, Preferred Stock, Debt Securities, Depositary Shares, Warrants or units consisting of some or all of these securities (the “Subscription Rights”); (g) purchase contracts of the Company with respect to the securities of the Company (the “Purchase Contracts”); and (h) units consisting of two or more securities described above in any combination (the “Units”) (the Common Stock, the Preferred Stock, the Debt Securities, the Depositary Shares, the Warrants, the Subscription Rights, the Purchase Contracts and the Units are collectively referred to herein as the “Securities”).</w:t>
      </w:r>
    </w:p>
    <w:p>
      <w:pPr>
        <w:spacing w:after="0" w:line="184" w:lineRule="exact"/>
        <w:rPr>
          <w:sz w:val="20"/>
          <w:szCs w:val="20"/>
          <w:color w:val="auto"/>
        </w:rPr>
      </w:pPr>
    </w:p>
    <w:p>
      <w:pPr>
        <w:ind w:right="140" w:firstLine="864"/>
        <w:spacing w:after="0" w:line="232" w:lineRule="exact"/>
        <w:rPr>
          <w:sz w:val="20"/>
          <w:szCs w:val="20"/>
          <w:color w:val="auto"/>
        </w:rPr>
      </w:pPr>
      <w:r>
        <w:rPr>
          <w:rFonts w:ascii="Arial" w:cs="Arial" w:eastAsia="Arial" w:hAnsi="Arial"/>
          <w:sz w:val="18"/>
          <w:szCs w:val="18"/>
          <w:color w:val="auto"/>
        </w:rPr>
        <w:t>The Securities are to be sold from time to time as set forth in the Registration Statement, the Prospectus contained therein and the Prospectus Supplements.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or similar agreement in substantially the form to be filed under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ind w:left="40"/>
              <w:spacing w:after="0"/>
              <w:rPr>
                <w:sz w:val="20"/>
                <w:szCs w:val="20"/>
                <w:color w:val="auto"/>
              </w:rPr>
            </w:pPr>
            <w:r>
              <w:rPr>
                <w:rFonts w:ascii="Arial" w:cs="Arial" w:eastAsia="Arial" w:hAnsi="Arial"/>
                <w:sz w:val="13"/>
                <w:szCs w:val="13"/>
                <w:color w:val="003D4C"/>
              </w:rPr>
              <w:t>A U S T I N</w:t>
            </w:r>
          </w:p>
        </w:tc>
        <w:tc>
          <w:tcPr>
            <w:tcW w:w="1140" w:type="dxa"/>
            <w:vAlign w:val="bottom"/>
          </w:tcPr>
          <w:p>
            <w:pPr>
              <w:ind w:left="240"/>
              <w:spacing w:after="0"/>
              <w:rPr>
                <w:sz w:val="20"/>
                <w:szCs w:val="20"/>
                <w:color w:val="auto"/>
              </w:rPr>
            </w:pPr>
            <w:r>
              <w:rPr>
                <w:rFonts w:ascii="Arial" w:cs="Arial" w:eastAsia="Arial" w:hAnsi="Arial"/>
                <w:sz w:val="13"/>
                <w:szCs w:val="13"/>
                <w:color w:val="003D4C"/>
              </w:rPr>
              <w:t>B E I J I N G</w:t>
            </w:r>
          </w:p>
        </w:tc>
        <w:tc>
          <w:tcPr>
            <w:tcW w:w="1220" w:type="dxa"/>
            <w:vAlign w:val="bottom"/>
          </w:tcPr>
          <w:p>
            <w:pPr>
              <w:ind w:left="280"/>
              <w:spacing w:after="0"/>
              <w:rPr>
                <w:sz w:val="20"/>
                <w:szCs w:val="20"/>
                <w:color w:val="auto"/>
              </w:rPr>
            </w:pPr>
            <w:r>
              <w:rPr>
                <w:rFonts w:ascii="Arial" w:cs="Arial" w:eastAsia="Arial" w:hAnsi="Arial"/>
                <w:sz w:val="13"/>
                <w:szCs w:val="13"/>
                <w:color w:val="003D4C"/>
              </w:rPr>
              <w:t>B O S T O N</w:t>
            </w:r>
          </w:p>
        </w:tc>
        <w:tc>
          <w:tcPr>
            <w:tcW w:w="1360" w:type="dxa"/>
            <w:vAlign w:val="bottom"/>
            <w:gridSpan w:val="2"/>
          </w:tcPr>
          <w:p>
            <w:pPr>
              <w:ind w:left="220"/>
              <w:spacing w:after="0"/>
              <w:rPr>
                <w:sz w:val="20"/>
                <w:szCs w:val="20"/>
                <w:color w:val="auto"/>
              </w:rPr>
            </w:pPr>
            <w:r>
              <w:rPr>
                <w:rFonts w:ascii="Arial" w:cs="Arial" w:eastAsia="Arial" w:hAnsi="Arial"/>
                <w:sz w:val="13"/>
                <w:szCs w:val="13"/>
                <w:color w:val="003D4C"/>
              </w:rPr>
              <w:t>B R U S S E L S</w:t>
            </w:r>
          </w:p>
        </w:tc>
        <w:tc>
          <w:tcPr>
            <w:tcW w:w="1540" w:type="dxa"/>
            <w:vAlign w:val="bottom"/>
            <w:gridSpan w:val="2"/>
          </w:tcPr>
          <w:p>
            <w:pPr>
              <w:ind w:left="240"/>
              <w:spacing w:after="0"/>
              <w:rPr>
                <w:sz w:val="20"/>
                <w:szCs w:val="20"/>
                <w:color w:val="auto"/>
              </w:rPr>
            </w:pPr>
            <w:r>
              <w:rPr>
                <w:rFonts w:ascii="Arial" w:cs="Arial" w:eastAsia="Arial" w:hAnsi="Arial"/>
                <w:sz w:val="13"/>
                <w:szCs w:val="13"/>
                <w:color w:val="003D4C"/>
              </w:rPr>
              <w:t>H O N G  K O N G</w:t>
            </w:r>
          </w:p>
        </w:tc>
        <w:tc>
          <w:tcPr>
            <w:tcW w:w="1200" w:type="dxa"/>
            <w:vAlign w:val="bottom"/>
            <w:gridSpan w:val="2"/>
          </w:tcPr>
          <w:p>
            <w:pPr>
              <w:ind w:left="240"/>
              <w:spacing w:after="0"/>
              <w:rPr>
                <w:sz w:val="20"/>
                <w:szCs w:val="20"/>
                <w:color w:val="auto"/>
              </w:rPr>
            </w:pPr>
            <w:r>
              <w:rPr>
                <w:rFonts w:ascii="Arial" w:cs="Arial" w:eastAsia="Arial" w:hAnsi="Arial"/>
                <w:sz w:val="13"/>
                <w:szCs w:val="13"/>
                <w:color w:val="003D4C"/>
              </w:rPr>
              <w:t>L O N D O N</w:t>
            </w:r>
          </w:p>
        </w:tc>
        <w:tc>
          <w:tcPr>
            <w:tcW w:w="1540" w:type="dxa"/>
            <w:vAlign w:val="bottom"/>
          </w:tcPr>
          <w:p>
            <w:pPr>
              <w:ind w:left="240"/>
              <w:spacing w:after="0"/>
              <w:rPr>
                <w:sz w:val="20"/>
                <w:szCs w:val="20"/>
                <w:color w:val="auto"/>
              </w:rPr>
            </w:pPr>
            <w:r>
              <w:rPr>
                <w:rFonts w:ascii="Arial" w:cs="Arial" w:eastAsia="Arial" w:hAnsi="Arial"/>
                <w:sz w:val="13"/>
                <w:szCs w:val="13"/>
                <w:color w:val="003D4C"/>
              </w:rPr>
              <w:t>L O S  A N G E L E S</w:t>
            </w:r>
          </w:p>
        </w:tc>
        <w:tc>
          <w:tcPr>
            <w:tcW w:w="1740" w:type="dxa"/>
            <w:vAlign w:val="bottom"/>
          </w:tcPr>
          <w:p>
            <w:pPr>
              <w:jc w:val="center"/>
              <w:spacing w:after="0"/>
              <w:rPr>
                <w:sz w:val="20"/>
                <w:szCs w:val="20"/>
                <w:color w:val="auto"/>
              </w:rPr>
            </w:pPr>
            <w:r>
              <w:rPr>
                <w:rFonts w:ascii="Arial" w:cs="Arial" w:eastAsia="Arial" w:hAnsi="Arial"/>
                <w:sz w:val="13"/>
                <w:szCs w:val="13"/>
                <w:color w:val="003D4C"/>
              </w:rPr>
              <w:t>N E W  Y O R K</w:t>
            </w:r>
          </w:p>
        </w:tc>
        <w:tc>
          <w:tcPr>
            <w:tcW w:w="600" w:type="dxa"/>
            <w:vAlign w:val="bottom"/>
          </w:tcPr>
          <w:p>
            <w:pPr>
              <w:ind w:left="80"/>
              <w:spacing w:after="0"/>
              <w:rPr>
                <w:sz w:val="20"/>
                <w:szCs w:val="20"/>
                <w:color w:val="auto"/>
              </w:rPr>
            </w:pPr>
            <w:r>
              <w:rPr>
                <w:rFonts w:ascii="Arial" w:cs="Arial" w:eastAsia="Arial" w:hAnsi="Arial"/>
                <w:sz w:val="13"/>
                <w:szCs w:val="13"/>
                <w:color w:val="003D4C"/>
              </w:rPr>
              <w:t>P A L O</w:t>
            </w:r>
          </w:p>
        </w:tc>
      </w:tr>
      <w:tr>
        <w:trPr>
          <w:trHeight w:val="160"/>
        </w:trPr>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3"/>
                <w:szCs w:val="13"/>
                <w:color w:val="003D4C"/>
              </w:rPr>
              <w:t>A L T O</w:t>
            </w: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89"/>
        </w:trPr>
        <w:tc>
          <w:tcPr>
            <w:tcW w:w="2060" w:type="dxa"/>
            <w:vAlign w:val="bottom"/>
            <w:gridSpan w:val="2"/>
          </w:tcPr>
          <w:p>
            <w:pPr>
              <w:ind w:left="640"/>
              <w:spacing w:after="0"/>
              <w:rPr>
                <w:sz w:val="20"/>
                <w:szCs w:val="20"/>
                <w:color w:val="auto"/>
              </w:rPr>
            </w:pPr>
            <w:r>
              <w:rPr>
                <w:rFonts w:ascii="Arial" w:cs="Arial" w:eastAsia="Arial" w:hAnsi="Arial"/>
                <w:sz w:val="13"/>
                <w:szCs w:val="13"/>
                <w:color w:val="003D4C"/>
              </w:rPr>
              <w:t>S A N  D I E G O</w:t>
            </w:r>
          </w:p>
        </w:tc>
        <w:tc>
          <w:tcPr>
            <w:tcW w:w="1940" w:type="dxa"/>
            <w:vAlign w:val="bottom"/>
            <w:gridSpan w:val="2"/>
          </w:tcPr>
          <w:p>
            <w:pPr>
              <w:ind w:left="180"/>
              <w:spacing w:after="0"/>
              <w:rPr>
                <w:sz w:val="20"/>
                <w:szCs w:val="20"/>
                <w:color w:val="auto"/>
              </w:rPr>
            </w:pPr>
            <w:r>
              <w:rPr>
                <w:rFonts w:ascii="Arial" w:cs="Arial" w:eastAsia="Arial" w:hAnsi="Arial"/>
                <w:sz w:val="13"/>
                <w:szCs w:val="13"/>
                <w:color w:val="003D4C"/>
              </w:rPr>
              <w:t>S A N  F R A N C I S C O</w:t>
            </w:r>
          </w:p>
        </w:tc>
        <w:tc>
          <w:tcPr>
            <w:tcW w:w="1240" w:type="dxa"/>
            <w:vAlign w:val="bottom"/>
            <w:gridSpan w:val="2"/>
          </w:tcPr>
          <w:p>
            <w:pPr>
              <w:ind w:left="300"/>
              <w:spacing w:after="0"/>
              <w:rPr>
                <w:sz w:val="20"/>
                <w:szCs w:val="20"/>
                <w:color w:val="auto"/>
              </w:rPr>
            </w:pPr>
            <w:r>
              <w:rPr>
                <w:rFonts w:ascii="Arial" w:cs="Arial" w:eastAsia="Arial" w:hAnsi="Arial"/>
                <w:sz w:val="13"/>
                <w:szCs w:val="13"/>
                <w:color w:val="003D4C"/>
              </w:rPr>
              <w:t>S E A T T L E</w:t>
            </w:r>
          </w:p>
        </w:tc>
        <w:tc>
          <w:tcPr>
            <w:tcW w:w="1480" w:type="dxa"/>
            <w:vAlign w:val="bottom"/>
            <w:gridSpan w:val="2"/>
          </w:tcPr>
          <w:p>
            <w:pPr>
              <w:ind w:left="300"/>
              <w:spacing w:after="0"/>
              <w:rPr>
                <w:sz w:val="20"/>
                <w:szCs w:val="20"/>
                <w:color w:val="auto"/>
              </w:rPr>
            </w:pPr>
            <w:r>
              <w:rPr>
                <w:rFonts w:ascii="Arial" w:cs="Arial" w:eastAsia="Arial" w:hAnsi="Arial"/>
                <w:sz w:val="13"/>
                <w:szCs w:val="13"/>
                <w:color w:val="003D4C"/>
              </w:rPr>
              <w:t>S H A N G H A I</w:t>
            </w:r>
          </w:p>
        </w:tc>
        <w:tc>
          <w:tcPr>
            <w:tcW w:w="2200" w:type="dxa"/>
            <w:vAlign w:val="bottom"/>
            <w:gridSpan w:val="2"/>
          </w:tcPr>
          <w:p>
            <w:pPr>
              <w:ind w:left="220"/>
              <w:spacing w:after="0"/>
              <w:rPr>
                <w:sz w:val="20"/>
                <w:szCs w:val="20"/>
                <w:color w:val="auto"/>
              </w:rPr>
            </w:pPr>
            <w:r>
              <w:rPr>
                <w:rFonts w:ascii="Arial" w:cs="Arial" w:eastAsia="Arial" w:hAnsi="Arial"/>
                <w:sz w:val="13"/>
                <w:szCs w:val="13"/>
                <w:color w:val="003D4C"/>
              </w:rPr>
              <w:t>W A S H I N G T O N ,  D C</w:t>
            </w:r>
          </w:p>
        </w:tc>
        <w:tc>
          <w:tcPr>
            <w:tcW w:w="1740" w:type="dxa"/>
            <w:vAlign w:val="bottom"/>
          </w:tcPr>
          <w:p>
            <w:pPr>
              <w:jc w:val="center"/>
              <w:spacing w:after="0"/>
              <w:rPr>
                <w:sz w:val="20"/>
                <w:szCs w:val="20"/>
                <w:color w:val="auto"/>
              </w:rPr>
            </w:pPr>
            <w:r>
              <w:rPr>
                <w:rFonts w:ascii="Arial" w:cs="Arial" w:eastAsia="Arial" w:hAnsi="Arial"/>
                <w:sz w:val="13"/>
                <w:szCs w:val="13"/>
                <w:color w:val="003D4C"/>
              </w:rPr>
              <w:t>W I L M I N G T O N ,  D E</w:t>
            </w:r>
          </w:p>
        </w:tc>
        <w:tc>
          <w:tcPr>
            <w:tcW w:w="600" w:type="dxa"/>
            <w:vAlign w:val="bottom"/>
          </w:tcPr>
          <w:p>
            <w:pPr>
              <w:spacing w:after="0"/>
              <w:rPr>
                <w:sz w:val="16"/>
                <w:szCs w:val="16"/>
                <w:color w:val="auto"/>
              </w:rPr>
            </w:pPr>
          </w:p>
        </w:tc>
      </w:tr>
      <w:tr>
        <w:trPr>
          <w:trHeight w:val="320"/>
        </w:trPr>
        <w:tc>
          <w:tcPr>
            <w:tcW w:w="9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8" w:name="page89"/>
    <w:bookmarkEnd w:id="88"/>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6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6850"/>
                    </a:xfrm>
                    <a:prstGeom prst="rect">
                      <a:avLst/>
                    </a:prstGeom>
                    <a:noFill/>
                  </pic:spPr>
                </pic:pic>
              </a:graphicData>
            </a:graphic>
          </wp:anchor>
        </w:drawing>
        <w:t>ATHIRA PHARMA,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November 15, 2021</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firstLine="864"/>
        <w:spacing w:after="0" w:line="233" w:lineRule="exact"/>
        <w:rPr>
          <w:sz w:val="20"/>
          <w:szCs w:val="20"/>
          <w:color w:val="auto"/>
        </w:rPr>
      </w:pPr>
      <w:r>
        <w:rPr>
          <w:rFonts w:ascii="Arial" w:cs="Arial" w:eastAsia="Arial" w:hAnsi="Arial"/>
          <w:sz w:val="16"/>
          <w:szCs w:val="16"/>
          <w:color w:val="auto"/>
        </w:rPr>
        <w:t>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w:t>
      </w:r>
      <w:r>
        <w:rPr>
          <w:rFonts w:ascii="MS PGothic" w:cs="MS PGothic" w:eastAsia="MS PGothic" w:hAnsi="MS PGothic"/>
          <w:sz w:val="16"/>
          <w:szCs w:val="16"/>
          <w:color w:val="auto"/>
        </w:rPr>
        <w:t>‑</w:t>
      </w:r>
      <w:r>
        <w:rPr>
          <w:rFonts w:ascii="Arial" w:cs="Arial" w:eastAsia="Arial" w:hAnsi="Arial"/>
          <w:sz w:val="16"/>
          <w:szCs w:val="16"/>
          <w:color w:val="auto"/>
        </w:rPr>
        <w:t>effective amendments), will have become effective under the Act;</w:t>
      </w:r>
    </w:p>
    <w:p>
      <w:pPr>
        <w:spacing w:after="0" w:line="2" w:lineRule="exact"/>
        <w:rPr>
          <w:sz w:val="20"/>
          <w:szCs w:val="20"/>
          <w:color w:val="auto"/>
        </w:rPr>
      </w:pPr>
    </w:p>
    <w:p>
      <w:pPr>
        <w:ind w:right="40" w:firstLine="8"/>
        <w:spacing w:after="0" w:line="253" w:lineRule="auto"/>
        <w:tabs>
          <w:tab w:leader="none" w:pos="269"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that a Prospectus Supplement will have been filed with the Commission describing the 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Common Stock or Preferred Stock,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 The term “Board” means the Board of Directors of the Company or a duly constituted and acting committee thereof.</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Based on such examination, we are of the opinion that:</w:t>
      </w:r>
    </w:p>
    <w:p>
      <w:pPr>
        <w:spacing w:after="0" w:line="216" w:lineRule="exact"/>
        <w:rPr>
          <w:sz w:val="20"/>
          <w:szCs w:val="20"/>
          <w:color w:val="auto"/>
        </w:rPr>
      </w:pPr>
    </w:p>
    <w:p>
      <w:pPr>
        <w:ind w:firstLine="872"/>
        <w:spacing w:after="0" w:line="274" w:lineRule="auto"/>
        <w:tabs>
          <w:tab w:leader="none" w:pos="1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 respect to the shares of Common Stock, when: (a)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168" w:lineRule="exact"/>
        <w:rPr>
          <w:rFonts w:ascii="Arial" w:cs="Arial" w:eastAsia="Arial" w:hAnsi="Arial"/>
          <w:sz w:val="18"/>
          <w:szCs w:val="18"/>
          <w:color w:val="auto"/>
        </w:rPr>
      </w:pPr>
    </w:p>
    <w:p>
      <w:pPr>
        <w:ind w:right="80" w:firstLine="872"/>
        <w:spacing w:after="0" w:line="316" w:lineRule="auto"/>
        <w:tabs>
          <w:tab w:leader="none" w:pos="1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 (i) in accordance with the applicable definitive purchase, underwriting or similar agreement approved by the Board, or upon the exercise of Warrants to purchase Preferred Stock, upon payment of the consideration therefor (not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49" w:right="359" w:bottom="1440" w:gutter="0" w:footer="0" w:header="0"/>
        </w:sectPr>
      </w:pPr>
    </w:p>
    <w:bookmarkStart w:id="89" w:name="page90"/>
    <w:bookmarkEnd w:id="89"/>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6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6850"/>
                    </a:xfrm>
                    <a:prstGeom prst="rect">
                      <a:avLst/>
                    </a:prstGeom>
                    <a:noFill/>
                  </pic:spPr>
                </pic:pic>
              </a:graphicData>
            </a:graphic>
          </wp:anchor>
        </w:drawing>
        <w:t>ATHIRA PHARMA,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November 15, 2021</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than the par value of the Preferred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152" w:lineRule="exact"/>
        <w:rPr>
          <w:sz w:val="20"/>
          <w:szCs w:val="20"/>
          <w:color w:val="auto"/>
        </w:rPr>
      </w:pPr>
    </w:p>
    <w:p>
      <w:pPr>
        <w:ind w:firstLine="872"/>
        <w:spacing w:after="0" w:line="232" w:lineRule="exact"/>
        <w:tabs>
          <w:tab w:leader="none" w:pos="1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With respect to Debt Securities to be issued under the Indenture, when: (a) the Trustee is qualified to act as Trustee under the Indenture and the Company has filed a Form T</w:t>
      </w:r>
      <w:r>
        <w:rPr>
          <w:rFonts w:ascii="MS PGothic" w:cs="MS PGothic" w:eastAsia="MS PGothic" w:hAnsi="MS PGothic"/>
          <w:sz w:val="18"/>
          <w:szCs w:val="18"/>
          <w:color w:val="auto"/>
        </w:rPr>
        <w:t>‑</w:t>
      </w:r>
      <w:r>
        <w:rPr>
          <w:rFonts w:ascii="Arial" w:cs="Arial" w:eastAsia="Arial" w:hAnsi="Arial"/>
          <w:sz w:val="18"/>
          <w:szCs w:val="18"/>
          <w:color w:val="auto"/>
        </w:rPr>
        <w: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w:t>
      </w:r>
    </w:p>
    <w:p>
      <w:pPr>
        <w:spacing w:after="0" w:line="201" w:lineRule="exact"/>
        <w:rPr>
          <w:rFonts w:ascii="Arial" w:cs="Arial" w:eastAsia="Arial" w:hAnsi="Arial"/>
          <w:sz w:val="18"/>
          <w:szCs w:val="18"/>
          <w:color w:val="auto"/>
        </w:rPr>
      </w:pPr>
    </w:p>
    <w:p>
      <w:pPr>
        <w:ind w:right="80" w:firstLine="872"/>
        <w:spacing w:after="0" w:line="306" w:lineRule="auto"/>
        <w:tabs>
          <w:tab w:leader="none" w:pos="16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 filing of the Certificate with the Secretary of State of the State of Delaware;</w:t>
      </w:r>
    </w:p>
    <w:p>
      <w:pPr>
        <w:ind w:right="20" w:firstLine="8"/>
        <w:spacing w:after="0" w:line="310" w:lineRule="auto"/>
        <w:tabs>
          <w:tab w:leader="none" w:pos="2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Deposit Agreement (the “Deposit Agreement”) or agreements relating to the Depositary Shares and the related Depositary Receipts (the “Depositary Receipts”)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or similar agreement approved by the Board upon payment of the consideration therefor provided for therein, the Depositary Shares will be validly issued, fully paid and nonassessable.</w:t>
      </w:r>
    </w:p>
    <w:p>
      <w:pPr>
        <w:spacing w:after="0" w:line="142" w:lineRule="exact"/>
        <w:rPr>
          <w:rFonts w:ascii="Arial" w:cs="Arial" w:eastAsia="Arial" w:hAnsi="Arial"/>
          <w:sz w:val="16"/>
          <w:szCs w:val="16"/>
          <w:color w:val="auto"/>
        </w:rPr>
      </w:pPr>
    </w:p>
    <w:p>
      <w:pPr>
        <w:ind w:right="60" w:firstLine="872"/>
        <w:spacing w:after="0" w:line="243" w:lineRule="auto"/>
        <w:tabs>
          <w:tab w:leader="none" w:pos="1660" w:val="left"/>
        </w:tabs>
        <w:numPr>
          <w:ilvl w:val="1"/>
          <w:numId w:val="80"/>
        </w:numPr>
        <w:rPr>
          <w:rFonts w:ascii="Arial" w:cs="Arial" w:eastAsia="Arial" w:hAnsi="Arial"/>
          <w:sz w:val="20"/>
          <w:szCs w:val="20"/>
          <w:color w:val="auto"/>
        </w:rPr>
      </w:pPr>
      <w:r>
        <w:rPr>
          <w:rFonts w:ascii="Arial" w:cs="Arial" w:eastAsia="Arial" w:hAnsi="Arial"/>
          <w:sz w:val="20"/>
          <w:szCs w:val="20"/>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spacing w:after="0" w:line="195" w:lineRule="exact"/>
        <w:rPr>
          <w:rFonts w:ascii="Arial" w:cs="Arial" w:eastAsia="Arial" w:hAnsi="Arial"/>
          <w:sz w:val="20"/>
          <w:szCs w:val="20"/>
          <w:color w:val="auto"/>
        </w:rPr>
      </w:pPr>
    </w:p>
    <w:p>
      <w:pPr>
        <w:ind w:right="280" w:firstLine="872"/>
        <w:spacing w:after="0" w:line="260" w:lineRule="auto"/>
        <w:tabs>
          <w:tab w:leader="none" w:pos="1660" w:val="left"/>
        </w:tabs>
        <w:numPr>
          <w:ilvl w:val="1"/>
          <w:numId w:val="80"/>
        </w:numPr>
        <w:rPr>
          <w:rFonts w:ascii="Arial" w:cs="Arial" w:eastAsia="Arial" w:hAnsi="Arial"/>
          <w:sz w:val="20"/>
          <w:szCs w:val="20"/>
          <w:color w:val="auto"/>
        </w:rPr>
      </w:pPr>
      <w:r>
        <w:rPr>
          <w:rFonts w:ascii="Arial" w:cs="Arial" w:eastAsia="Arial" w:hAnsi="Arial"/>
          <w:sz w:val="20"/>
          <w:szCs w:val="20"/>
          <w:color w:val="auto"/>
        </w:rPr>
        <w:t>With respect to the Subscription Rights, when: (a) the Board has taken all necessary corporate action to authorize the issuance and terms of the Subscription Rights, the 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49" w:right="37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6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6850"/>
                    </a:xfrm>
                    <a:prstGeom prst="rect">
                      <a:avLst/>
                    </a:prstGeom>
                    <a:noFill/>
                  </pic:spPr>
                </pic:pic>
              </a:graphicData>
            </a:graphic>
          </wp:anchor>
        </w:drawing>
        <w:t>ATHIRA PHARMA,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November 15, 2021</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w:t>
      </w:r>
    </w:p>
    <w:p>
      <w:pPr>
        <w:spacing w:after="0" w:line="191" w:lineRule="exact"/>
        <w:rPr>
          <w:sz w:val="20"/>
          <w:szCs w:val="20"/>
          <w:color w:val="auto"/>
        </w:rPr>
      </w:pPr>
    </w:p>
    <w:p>
      <w:pPr>
        <w:ind w:right="160" w:firstLine="872"/>
        <w:spacing w:after="0" w:line="263" w:lineRule="auto"/>
        <w:tabs>
          <w:tab w:leader="none" w:pos="16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spacing w:after="0" w:line="176" w:lineRule="exact"/>
        <w:rPr>
          <w:rFonts w:ascii="Arial" w:cs="Arial" w:eastAsia="Arial" w:hAnsi="Arial"/>
          <w:sz w:val="19"/>
          <w:szCs w:val="19"/>
          <w:color w:val="auto"/>
        </w:rPr>
      </w:pPr>
    </w:p>
    <w:p>
      <w:pPr>
        <w:ind w:right="20" w:firstLine="872"/>
        <w:spacing w:after="0" w:line="243" w:lineRule="auto"/>
        <w:tabs>
          <w:tab w:leader="none" w:pos="16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Our opinion that any document is legal, valid and binding is qualified as to:</w:t>
      </w:r>
    </w:p>
    <w:p>
      <w:pPr>
        <w:spacing w:after="0" w:line="216" w:lineRule="exact"/>
        <w:rPr>
          <w:sz w:val="20"/>
          <w:szCs w:val="20"/>
          <w:color w:val="auto"/>
        </w:rPr>
      </w:pPr>
    </w:p>
    <w:p>
      <w:pPr>
        <w:ind w:right="40" w:firstLine="1735"/>
        <w:spacing w:after="0" w:line="260" w:lineRule="auto"/>
        <w:tabs>
          <w:tab w:leader="none" w:pos="2595" w:val="left"/>
        </w:tabs>
        <w:numPr>
          <w:ilvl w:val="0"/>
          <w:numId w:val="82"/>
        </w:numPr>
        <w:rPr>
          <w:rFonts w:ascii="Arial" w:cs="Arial" w:eastAsia="Arial" w:hAnsi="Arial"/>
          <w:sz w:val="20"/>
          <w:szCs w:val="20"/>
          <w:color w:val="auto"/>
        </w:rPr>
      </w:pPr>
      <w:r>
        <w:rPr>
          <w:rFonts w:ascii="Arial" w:cs="Arial" w:eastAsia="Arial" w:hAnsi="Arial"/>
          <w:sz w:val="20"/>
          <w:szCs w:val="20"/>
          <w:color w:val="auto"/>
        </w:rPr>
        <w:t>limitations imposed by bankruptcy, insolvency, reorganization, arrangement, fraudulent transfer, moratorium or other similar laws relating to or affecting the rights of creditors generally;</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99" w:lineRule="exact"/>
        <w:rPr>
          <w:rFonts w:ascii="Arial" w:cs="Arial" w:eastAsia="Arial" w:hAnsi="Arial"/>
          <w:sz w:val="18"/>
          <w:szCs w:val="18"/>
          <w:color w:val="auto"/>
        </w:rPr>
      </w:pPr>
    </w:p>
    <w:p>
      <w:pPr>
        <w:ind w:right="40" w:firstLine="1735"/>
        <w:spacing w:after="0" w:line="250" w:lineRule="auto"/>
        <w:tabs>
          <w:tab w:leader="none" w:pos="2595"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pacing w:after="0" w:line="186" w:lineRule="exact"/>
        <w:rPr>
          <w:sz w:val="20"/>
          <w:szCs w:val="20"/>
          <w:color w:val="auto"/>
        </w:rPr>
      </w:pPr>
    </w:p>
    <w:p>
      <w:pPr>
        <w:ind w:right="380" w:firstLine="864"/>
        <w:spacing w:after="0" w:line="260" w:lineRule="auto"/>
        <w:rPr>
          <w:sz w:val="20"/>
          <w:szCs w:val="20"/>
          <w:color w:val="auto"/>
        </w:rPr>
      </w:pPr>
      <w:r>
        <w:rPr>
          <w:rFonts w:ascii="Arial" w:cs="Arial" w:eastAsia="Arial" w:hAnsi="Arial"/>
          <w:sz w:val="20"/>
          <w:szCs w:val="20"/>
          <w:color w:val="auto"/>
        </w:rPr>
        <w:t>We express no opinion as to the laws of any other jurisdiction, other than the federal laws of the United States of America, the laws of the State of New York as to the enforceability of the Debt Securities and the DGCL.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1" w:name="page92"/>
    <w:bookmarkEnd w:id="9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6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6850"/>
                    </a:xfrm>
                    <a:prstGeom prst="rect">
                      <a:avLst/>
                    </a:prstGeom>
                    <a:noFill/>
                  </pic:spPr>
                </pic:pic>
              </a:graphicData>
            </a:graphic>
          </wp:anchor>
        </w:drawing>
        <w:t>ATHIRA PHARMA,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November 15, 2021</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864"/>
        <w:spacing w:after="0" w:line="234" w:lineRule="exact"/>
        <w:rPr>
          <w:sz w:val="20"/>
          <w:szCs w:val="20"/>
          <w:color w:val="auto"/>
        </w:rPr>
      </w:pPr>
      <w:r>
        <w:rPr>
          <w:rFonts w:ascii="Arial" w:cs="Arial" w:eastAsia="Arial" w:hAnsi="Arial"/>
          <w:sz w:val="20"/>
          <w:szCs w:val="20"/>
          <w:color w:val="auto"/>
        </w:rPr>
        <w:t>We hereby consent to the filing of this opinion as an exhibit to the above</w:t>
      </w:r>
      <w:r>
        <w:rPr>
          <w:rFonts w:ascii="MS PGothic" w:cs="MS PGothic" w:eastAsia="MS PGothic" w:hAnsi="MS PGothic"/>
          <w:sz w:val="20"/>
          <w:szCs w:val="20"/>
          <w:color w:val="auto"/>
        </w:rPr>
        <w:t>‑</w:t>
      </w:r>
      <w:r>
        <w:rPr>
          <w:rFonts w:ascii="Arial" w:cs="Arial" w:eastAsia="Arial" w:hAnsi="Arial"/>
          <w:sz w:val="20"/>
          <w:szCs w:val="20"/>
          <w:color w:val="auto"/>
        </w:rPr>
        <w:t>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spacing w:after="0" w:line="199"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Very truly yours,</w:t>
      </w:r>
    </w:p>
    <w:p>
      <w:pPr>
        <w:spacing w:after="0" w:line="21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Wilson Sonsini Goodrich &amp; Rosati, P.C.</w:t>
      </w:r>
    </w:p>
    <w:p>
      <w:pPr>
        <w:spacing w:after="0" w:line="21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WILSON SONSINI GOODRICH &amp; ROSATI</w:t>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Professional Corporation</w:t>
      </w:r>
    </w:p>
    <w:p>
      <w:pPr>
        <w:sectPr>
          <w:pgSz w:w="11900" w:h="16838" w:orient="portrait"/>
          <w:cols w:equalWidth="0" w:num="1">
            <w:col w:w="11080"/>
          </w:cols>
          <w:pgMar w:left="320" w:top="649" w:right="499" w:bottom="1440" w:gutter="0" w:footer="0" w:header="0"/>
        </w:sectPr>
      </w:pPr>
    </w:p>
    <w:bookmarkStart w:id="92" w:name="page93"/>
    <w:bookmarkEnd w:id="92"/>
    <w:p>
      <w:pPr>
        <w:jc w:val="right"/>
        <w:spacing w:after="0"/>
        <w:rPr>
          <w:sz w:val="20"/>
          <w:szCs w:val="20"/>
          <w:color w:val="auto"/>
        </w:rPr>
      </w:pPr>
      <w:r>
        <w:rPr>
          <w:rFonts w:ascii="Arial" w:cs="Arial" w:eastAsia="Arial" w:hAnsi="Arial"/>
          <w:sz w:val="19"/>
          <w:szCs w:val="19"/>
          <w:b w:val="1"/>
          <w:bCs w:val="1"/>
          <w:color w:val="333333"/>
        </w:rPr>
        <w:t>Exhibit 23.1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333333"/>
        </w:rPr>
        <w:t>Consent of Independent Registered Public Accounting Firm</w:t>
      </w:r>
    </w:p>
    <w:p>
      <w:pPr>
        <w:spacing w:after="0" w:line="220" w:lineRule="exact"/>
        <w:rPr>
          <w:sz w:val="20"/>
          <w:szCs w:val="20"/>
          <w:color w:val="auto"/>
        </w:rPr>
      </w:pPr>
    </w:p>
    <w:p>
      <w:pPr>
        <w:ind w:right="180"/>
        <w:spacing w:after="0" w:line="243" w:lineRule="auto"/>
        <w:rPr>
          <w:sz w:val="20"/>
          <w:szCs w:val="20"/>
          <w:color w:val="auto"/>
        </w:rPr>
      </w:pPr>
      <w:r>
        <w:rPr>
          <w:rFonts w:ascii="Arial" w:cs="Arial" w:eastAsia="Arial" w:hAnsi="Arial"/>
          <w:sz w:val="19"/>
          <w:szCs w:val="19"/>
          <w:color w:val="333333"/>
        </w:rPr>
        <w:t>We consent to the reference to our firm under the caption "Experts" in the Registration Statement (Form S-3) and related Prospectus of Athira Pharma, Inc. for the registration of common stock, preferred stock, debt securities, depositary shares, warrants, subscription rights, purchase contracts, and units and to the incorporation by reference therein of our report dated March 25, 2021, with respect to the consolidated financial statements of Athira Pharma, Inc., included in its Annual Report (Form 10-K) for the year ended December 31, 2020, filed with the Securities and Exchange Commission.</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333333"/>
        </w:rPr>
        <w:t>/s/ Ernst &amp; Young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333333"/>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333333"/>
        </w:rPr>
        <w:t>November 15, 2021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decimal"/>
      <w:start w:val="1"/>
    </w:lvl>
  </w:abstractNum>
  <w:abstractNum w:abstractNumId="1">
    <w:nsid w:val="70A64E2A"/>
    <w:multiLevelType w:val="hybridMultilevel"/>
    <w:lvl w:ilvl="0">
      <w:lvlJc w:val="left"/>
      <w:lvlText w:val="(%1)"/>
      <w:numFmt w:val="decimal"/>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1)"/>
      <w:numFmt w:val="decimal"/>
      <w:start w:val="425"/>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
    <w:nsid w:val="39386575"/>
    <w:multiLevelType w:val="hybridMultilevel"/>
    <w:lvl w:ilvl="0">
      <w:lvlJc w:val="left"/>
      <w:lvlText w:val="(%1)"/>
      <w:numFmt w:val="lowerRoman"/>
      <w:start w:val="3"/>
    </w:lvl>
  </w:abstractNum>
  <w:abstractNum w:abstractNumId="31">
    <w:nsid w:val="1CF10FD8"/>
    <w:multiLevelType w:val="hybridMultilevel"/>
    <w:lvl w:ilvl="0">
      <w:lvlJc w:val="left"/>
      <w:lvlText w:val="(%1)"/>
      <w:numFmt w:val="decimal"/>
      <w:start w:val="2"/>
    </w:lvl>
    <w:lvl w:ilvl="1">
      <w:lvlJc w:val="left"/>
      <w:lvlText w:val="(%2)"/>
      <w:numFmt w:val="lowerRoman"/>
      <w:start w:val="1"/>
    </w:lvl>
  </w:abstractNum>
  <w:abstractNum w:abstractNumId="32">
    <w:nsid w:val="180115B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33">
    <w:nsid w:val="235BA861"/>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4">
    <w:nsid w:val="47398C8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5">
    <w:nsid w:val="354FE9F9"/>
    <w:multiLevelType w:val="hybridMultilevel"/>
    <w:lvl w:ilvl="0">
      <w:lvlJc w:val="left"/>
      <w:lvlText w:val="(%1)"/>
      <w:numFmt w:val="lowerLetter"/>
      <w:start w:val="1"/>
    </w:lvl>
  </w:abstractNum>
  <w:abstractNum w:abstractNumId="36">
    <w:nsid w:val="15B5AF5C"/>
    <w:multiLevelType w:val="hybridMultilevel"/>
    <w:lvl w:ilvl="0">
      <w:lvlJc w:val="left"/>
      <w:lvlText w:val="(%1)"/>
      <w:numFmt w:val="lowerLetter"/>
      <w:start w:val="1"/>
    </w:lvl>
  </w:abstractNum>
  <w:abstractNum w:abstractNumId="37">
    <w:nsid w:val="741226BB"/>
    <w:multiLevelType w:val="hybridMultilevel"/>
    <w:lvl w:ilvl="0">
      <w:lvlJc w:val="left"/>
      <w:lvlText w:val="(%1)"/>
      <w:numFmt w:val="lowerLetter"/>
      <w:start w:val="3"/>
    </w:lvl>
  </w:abstractNum>
  <w:abstractNum w:abstractNumId="38">
    <w:nsid w:val="D34B6A8"/>
    <w:multiLevelType w:val="hybridMultilevel"/>
    <w:lvl w:ilvl="0">
      <w:lvlJc w:val="left"/>
      <w:lvlText w:val="(%1)"/>
      <w:numFmt w:val="lowerLetter"/>
      <w:start w:val="4"/>
    </w:lvl>
  </w:abstractNum>
  <w:abstractNum w:abstractNumId="39">
    <w:nsid w:val="10233C99"/>
    <w:multiLevelType w:val="hybridMultilevel"/>
    <w:lvl w:ilvl="0">
      <w:lvlJc w:val="left"/>
      <w:lvlText w:val="(%1)"/>
      <w:numFmt w:val="lowerLetter"/>
      <w:start w:val="1"/>
    </w:lvl>
  </w:abstractNum>
  <w:abstractNum w:abstractNumId="40">
    <w:nsid w:val="3F6AB60F"/>
    <w:multiLevelType w:val="hybridMultilevel"/>
    <w:lvl w:ilvl="0">
      <w:lvlJc w:val="left"/>
      <w:lvlText w:val="(%1)"/>
      <w:numFmt w:val="lowerLetter"/>
      <w:start w:val="1"/>
    </w:lvl>
  </w:abstractNum>
  <w:abstractNum w:abstractNumId="41">
    <w:nsid w:val="61574095"/>
    <w:multiLevelType w:val="hybridMultilevel"/>
    <w:lvl w:ilvl="0">
      <w:lvlJc w:val="left"/>
      <w:lvlText w:val="(%1)"/>
      <w:numFmt w:val="lowerLetter"/>
      <w:start w:val="1"/>
    </w:lvl>
  </w:abstractNum>
  <w:abstractNum w:abstractNumId="42">
    <w:nsid w:val="7E0C57B1"/>
    <w:multiLevelType w:val="hybridMultilevel"/>
    <w:lvl w:ilvl="0">
      <w:lvlJc w:val="left"/>
      <w:lvlText w:val="(%1)"/>
      <w:numFmt w:val="lowerLetter"/>
      <w:start w:val="1"/>
    </w:lvl>
    <w:lvl w:ilvl="1">
      <w:lvlJc w:val="left"/>
      <w:lvlText w:val="(%2)"/>
      <w:numFmt w:val="lowerRoman"/>
      <w:start w:val="1"/>
    </w:lvl>
  </w:abstractNum>
  <w:abstractNum w:abstractNumId="43">
    <w:nsid w:val="77AE35EB"/>
    <w:multiLevelType w:val="hybridMultilevel"/>
    <w:lvl w:ilvl="0">
      <w:lvlJc w:val="left"/>
      <w:lvlText w:val="(%1)"/>
      <w:numFmt w:val="lowerRoman"/>
      <w:start w:val="1"/>
    </w:lvl>
  </w:abstractNum>
  <w:abstractNum w:abstractNumId="44">
    <w:nsid w:val="579BE4F1"/>
    <w:multiLevelType w:val="hybridMultilevel"/>
    <w:lvl w:ilvl="0">
      <w:lvlJc w:val="left"/>
      <w:lvlText w:val="(%1)"/>
      <w:numFmt w:val="lowerLetter"/>
      <w:start w:val="6"/>
    </w:lvl>
  </w:abstractNum>
  <w:abstractNum w:abstractNumId="45">
    <w:nsid w:val="310C50B3"/>
    <w:multiLevelType w:val="hybridMultilevel"/>
    <w:lvl w:ilvl="0">
      <w:lvlJc w:val="left"/>
      <w:lvlText w:val="(%1)"/>
      <w:numFmt w:val="lowerLetter"/>
      <w:start w:val="1"/>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lowerLetter"/>
      <w:start w:val="1"/>
    </w:lvl>
  </w:abstractNum>
  <w:abstractNum w:abstractNumId="48">
    <w:nsid w:val="25A70BF7"/>
    <w:multiLevelType w:val="hybridMultilevel"/>
    <w:lvl w:ilvl="0">
      <w:lvlJc w:val="left"/>
      <w:lvlText w:val="(%1)"/>
      <w:numFmt w:val="lowerLetter"/>
      <w:start w:val="1"/>
    </w:lvl>
  </w:abstractNum>
  <w:abstractNum w:abstractNumId="49">
    <w:nsid w:val="1DBABF00"/>
    <w:multiLevelType w:val="hybridMultilevel"/>
    <w:lvl w:ilvl="0">
      <w:lvlJc w:val="left"/>
      <w:lvlText w:val="(%1)"/>
      <w:numFmt w:val="lowerLetter"/>
      <w:start w:val="3"/>
    </w:lvl>
  </w:abstractNum>
  <w:abstractNum w:abstractNumId="50">
    <w:nsid w:val="4AD084E9"/>
    <w:multiLevelType w:val="hybridMultilevel"/>
    <w:lvl w:ilvl="0">
      <w:lvlJc w:val="left"/>
      <w:lvlText w:val="(%1)"/>
      <w:numFmt w:val="lowerLetter"/>
      <w:start w:val="1"/>
    </w:lvl>
    <w:lvl w:ilvl="1">
      <w:lvlJc w:val="left"/>
      <w:lvlText w:val="(%2)"/>
      <w:numFmt w:val="lowerLetter"/>
      <w:start w:val="9"/>
    </w:lvl>
  </w:abstractNum>
  <w:abstractNum w:abstractNumId="51">
    <w:nsid w:val="1F48EAA1"/>
    <w:multiLevelType w:val="hybridMultilevel"/>
    <w:lvl w:ilvl="0">
      <w:lvlJc w:val="left"/>
      <w:lvlText w:val="%1"/>
      <w:numFmt w:val="lowerLetter"/>
      <w:start w:val="1"/>
    </w:lvl>
    <w:lvl w:ilvl="1">
      <w:lvlJc w:val="left"/>
      <w:lvlText w:val="(%2)"/>
      <w:numFmt w:val="lowerLetter"/>
      <w:start w:val="35"/>
    </w:lvl>
  </w:abstractNum>
  <w:abstractNum w:abstractNumId="52">
    <w:nsid w:val="1381823A"/>
    <w:multiLevelType w:val="hybridMultilevel"/>
    <w:lvl w:ilvl="0">
      <w:lvlJc w:val="left"/>
      <w:lvlText w:val="(%1)"/>
      <w:numFmt w:val="lowerLetter"/>
      <w:start w:val="3"/>
    </w:lvl>
    <w:lvl w:ilvl="1">
      <w:lvlJc w:val="left"/>
      <w:lvlText w:val="(%2)"/>
      <w:numFmt w:val="lowerLetter"/>
      <w:start w:val="9"/>
    </w:lvl>
  </w:abstractNum>
  <w:abstractNum w:abstractNumId="53">
    <w:nsid w:val="5DB70AE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4">
    <w:nsid w:val="100F8FC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55">
    <w:nsid w:val="6590700B"/>
    <w:multiLevelType w:val="hybridMultilevel"/>
    <w:lvl w:ilvl="0">
      <w:lvlJc w:val="left"/>
      <w:lvlText w:val="(%1)"/>
      <w:numFmt w:val="lowerLetter"/>
      <w:start w:val="2"/>
    </w:lvl>
    <w:lvl w:ilvl="1">
      <w:lvlJc w:val="left"/>
      <w:lvlText w:val="(%2)"/>
      <w:numFmt w:val="lowerLetter"/>
      <w:start w:val="5"/>
    </w:lvl>
    <w:lvl w:ilvl="2">
      <w:lvlJc w:val="left"/>
      <w:lvlText w:val="%3"/>
      <w:numFmt w:val="lowerRoman"/>
      <w:start w:val="1"/>
    </w:lvl>
  </w:abstractNum>
  <w:abstractNum w:abstractNumId="56">
    <w:nsid w:val="15014ACB"/>
    <w:multiLevelType w:val="hybridMultilevel"/>
    <w:lvl w:ilvl="0">
      <w:lvlJc w:val="left"/>
      <w:lvlText w:val="(%1)"/>
      <w:numFmt w:val="lowerLetter"/>
      <w:start w:val="1"/>
    </w:lvl>
  </w:abstractNum>
  <w:abstractNum w:abstractNumId="57">
    <w:nsid w:val="5F5E7FD0"/>
    <w:multiLevelType w:val="hybridMultilevel"/>
    <w:lvl w:ilvl="0">
      <w:lvlJc w:val="left"/>
      <w:lvlText w:val="(%1)"/>
      <w:numFmt w:val="lowerLetter"/>
      <w:start w:val="10"/>
    </w:lvl>
  </w:abstractNum>
  <w:abstractNum w:abstractNumId="58">
    <w:nsid w:val="98A3148"/>
    <w:multiLevelType w:val="hybridMultilevel"/>
    <w:lvl w:ilvl="0">
      <w:lvlJc w:val="left"/>
      <w:lvlText w:val="(%1)"/>
      <w:numFmt w:val="lowerLetter"/>
      <w:start w:val="1"/>
    </w:lvl>
  </w:abstractNum>
  <w:abstractNum w:abstractNumId="59">
    <w:nsid w:val="799D0247"/>
    <w:multiLevelType w:val="hybridMultilevel"/>
    <w:lvl w:ilvl="0">
      <w:lvlJc w:val="left"/>
      <w:lvlText w:val="(%1)"/>
      <w:numFmt w:val="lowerLetter"/>
      <w:start w:val="1"/>
    </w:lvl>
    <w:lvl w:ilvl="1">
      <w:lvlJc w:val="left"/>
      <w:lvlText w:val="(%2)"/>
      <w:numFmt w:val="lowerLetter"/>
      <w:start w:val="9"/>
    </w:lvl>
  </w:abstractNum>
  <w:abstractNum w:abstractNumId="60">
    <w:nsid w:val="6B94764"/>
    <w:multiLevelType w:val="hybridMultilevel"/>
    <w:lvl w:ilvl="0">
      <w:lvlJc w:val="left"/>
      <w:lvlText w:val="(%1)"/>
      <w:numFmt w:val="lowerRoman"/>
      <w:start w:val="2"/>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2"/>
    </w:lvl>
  </w:abstractNum>
  <w:abstractNum w:abstractNumId="63">
    <w:nsid w:val="1EBA5D23"/>
    <w:multiLevelType w:val="hybridMultilevel"/>
    <w:lvl w:ilvl="0">
      <w:lvlJc w:val="left"/>
      <w:lvlText w:val="(%1)"/>
      <w:numFmt w:val="lowerLetter"/>
      <w:start w:val="2"/>
    </w:lvl>
  </w:abstractNum>
  <w:abstractNum w:abstractNumId="64">
    <w:nsid w:val="661E3F1E"/>
    <w:multiLevelType w:val="hybridMultilevel"/>
    <w:lvl w:ilvl="0">
      <w:lvlJc w:val="left"/>
      <w:lvlText w:val="(%1)"/>
      <w:numFmt w:val="lowerLetter"/>
      <w:start w:val="1"/>
    </w:lvl>
  </w:abstractNum>
  <w:abstractNum w:abstractNumId="65">
    <w:nsid w:val="5DC79EA8"/>
    <w:multiLevelType w:val="hybridMultilevel"/>
    <w:lvl w:ilvl="0">
      <w:lvlJc w:val="left"/>
      <w:lvlText w:val="(%1)"/>
      <w:numFmt w:val="lowerLetter"/>
      <w:start w:val="2"/>
    </w:lvl>
  </w:abstractNum>
  <w:abstractNum w:abstractNumId="66">
    <w:nsid w:val="540A471C"/>
    <w:multiLevelType w:val="hybridMultilevel"/>
    <w:lvl w:ilvl="0">
      <w:lvlJc w:val="left"/>
      <w:lvlText w:val="(%1)"/>
      <w:numFmt w:val="lowerLetter"/>
      <w:start w:val="1"/>
    </w:lvl>
  </w:abstractNum>
  <w:abstractNum w:abstractNumId="67">
    <w:nsid w:val="7BD3EE7B"/>
    <w:multiLevelType w:val="hybridMultilevel"/>
    <w:lvl w:ilvl="0">
      <w:lvlJc w:val="left"/>
      <w:lvlText w:val="(%1)"/>
      <w:numFmt w:val="lowerLetter"/>
      <w:start w:val="4"/>
    </w:lvl>
  </w:abstractNum>
  <w:abstractNum w:abstractNumId="68">
    <w:nsid w:val="51D9C564"/>
    <w:multiLevelType w:val="hybridMultilevel"/>
    <w:lvl w:ilvl="0">
      <w:lvlJc w:val="left"/>
      <w:lvlText w:val="(%1)"/>
      <w:numFmt w:val="lowerLetter"/>
      <w:start w:val="5"/>
    </w:lvl>
  </w:abstractNum>
  <w:abstractNum w:abstractNumId="69">
    <w:nsid w:val="613EFDC5"/>
    <w:multiLevelType w:val="hybridMultilevel"/>
    <w:lvl w:ilvl="0">
      <w:lvlJc w:val="left"/>
      <w:lvlText w:val="(%1)"/>
      <w:numFmt w:val="lowerLetter"/>
      <w:start w:val="1"/>
    </w:lvl>
  </w:abstractNum>
  <w:abstractNum w:abstractNumId="70">
    <w:nsid w:val="BF72B14"/>
    <w:multiLevelType w:val="hybridMultilevel"/>
    <w:lvl w:ilvl="0">
      <w:lvlJc w:val="left"/>
      <w:lvlText w:val="(%1)"/>
      <w:numFmt w:val="lowerLetter"/>
      <w:start w:val="1"/>
    </w:lvl>
  </w:abstractNum>
  <w:abstractNum w:abstractNumId="71">
    <w:nsid w:val="11447B73"/>
    <w:multiLevelType w:val="hybridMultilevel"/>
    <w:lvl w:ilvl="0">
      <w:lvlJc w:val="left"/>
      <w:lvlText w:val="%1"/>
      <w:numFmt w:val="lowerLetter"/>
      <w:start w:val="1"/>
    </w:lvl>
    <w:lvl w:ilvl="1">
      <w:lvlJc w:val="left"/>
      <w:lvlText w:val="(%2)"/>
      <w:numFmt w:val="lowerLetter"/>
      <w:start w:val="7"/>
    </w:lvl>
  </w:abstractNum>
  <w:abstractNum w:abstractNumId="72">
    <w:nsid w:val="42963E5A"/>
    <w:multiLevelType w:val="hybridMultilevel"/>
    <w:lvl w:ilvl="0">
      <w:lvlJc w:val="left"/>
      <w:lvlText w:val="(%1)"/>
      <w:numFmt w:val="lowerLetter"/>
      <w:start w:val="12"/>
    </w:lvl>
    <w:lvl w:ilvl="1">
      <w:lvlJc w:val="left"/>
      <w:lvlText w:val="%2"/>
      <w:numFmt w:val="lowerLetter"/>
      <w:start w:val="1"/>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lowerLetter"/>
      <w:start w:val="1"/>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lowerLetter"/>
      <w:start w:val="5"/>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lowerLetter"/>
      <w:start w:val="1"/>
    </w:lvl>
    <w:lvl w:ilvl="1">
      <w:lvlJc w:val="left"/>
      <w:lvlText w:val="%2."/>
      <w:numFmt w:val="decimal"/>
      <w:start w:val="3"/>
    </w:lvl>
  </w:abstractNum>
  <w:abstractNum w:abstractNumId="79">
    <w:nsid w:val="60B6DF70"/>
    <w:multiLevelType w:val="hybridMultilevel"/>
    <w:lvl w:ilvl="0">
      <w:lvlJc w:val="left"/>
      <w:lvlText w:val="(%1)"/>
      <w:numFmt w:val="lowerLetter"/>
      <w:start w:val="2"/>
    </w:lvl>
    <w:lvl w:ilvl="1">
      <w:lvlJc w:val="left"/>
      <w:lvlText w:val="%2."/>
      <w:numFmt w:val="decimal"/>
      <w:start w:val="5"/>
    </w:lvl>
  </w:abstractNum>
  <w:abstractNum w:abstractNumId="80">
    <w:nsid w:val="6A5EE64"/>
    <w:multiLevelType w:val="hybridMultilevel"/>
    <w:lvl w:ilvl="0">
      <w:lvlJc w:val="left"/>
      <w:lvlText w:val="%1."/>
      <w:numFmt w:val="decimal"/>
      <w:start w:val="7"/>
    </w:lvl>
  </w:abstractNum>
  <w:abstractNum w:abstractNumId="81">
    <w:nsid w:val="1433062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jpe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jpeg"/><Relationship Id="rId146" Type="http://schemas.openxmlformats.org/officeDocument/2006/relationships/image" Target="media/image124.png"/><Relationship Id="rId147" Type="http://schemas.openxmlformats.org/officeDocument/2006/relationships/image" Target="media/image125.jpeg"/><Relationship Id="rId148" Type="http://schemas.openxmlformats.org/officeDocument/2006/relationships/image" Target="media/image126.png"/><Relationship Id="rId149" Type="http://schemas.openxmlformats.org/officeDocument/2006/relationships/image" Target="media/image127.jpeg"/><Relationship Id="rId150" Type="http://schemas.openxmlformats.org/officeDocument/2006/relationships/image" Target="media/image128.png"/><Relationship Id="rId151" Type="http://schemas.openxmlformats.org/officeDocument/2006/relationships/image" Target="media/image129.jpeg"/><Relationship Id="rId51" Type="http://schemas.openxmlformats.org/officeDocument/2006/relationships/hyperlink" Target="http://www.sec.gov/Archives/edgar/data/0001620463/000156459021015495/atha-10k_20201231.htm" TargetMode="External"/><Relationship Id="rId52" Type="http://schemas.openxmlformats.org/officeDocument/2006/relationships/hyperlink" Target="https://www.sec.gov/ix?doc=/Archives/edgar/data/0001620463/000156459021027607/atha-10q_20210331.htm" TargetMode="External"/><Relationship Id="rId53" Type="http://schemas.openxmlformats.org/officeDocument/2006/relationships/hyperlink" Target="https://www.sec.gov/ix?doc=/Archives/edgar/data/0001620463/000156459021044641/atha-10q_20210630.htm" TargetMode="External"/><Relationship Id="rId54" Type="http://schemas.openxmlformats.org/officeDocument/2006/relationships/hyperlink" Target="https://www.sec.gov/ix?doc=/Archives/edgar/data/0001620463/000095017021004091/atha-20210930.htm" TargetMode="External"/><Relationship Id="rId55" Type="http://schemas.openxmlformats.org/officeDocument/2006/relationships/hyperlink" Target="http://www.sec.gov/Archives/edgar/data/0001620463/000156459021019074/atha-def14a_20201231.htm" TargetMode="External"/><Relationship Id="rId56" Type="http://schemas.openxmlformats.org/officeDocument/2006/relationships/hyperlink" Target="http://www.sec.gov/Archives/edgar/data/0001620463/000156459021000725/atha-8k_20210108.htm" TargetMode="External"/><Relationship Id="rId57" Type="http://schemas.openxmlformats.org/officeDocument/2006/relationships/hyperlink" Target="http://www.sec.gov/Archives/edgar/data/0001620463/000156459021011353/atha-8k_20210304.htm" TargetMode="External"/><Relationship Id="rId58" Type="http://schemas.openxmlformats.org/officeDocument/2006/relationships/hyperlink" Target="https://www.sec.gov/ix?doc=/Archives/edgar/data/0001620463/000156459021031155/atha-8k_20210527.htm" TargetMode="External"/><Relationship Id="rId59" Type="http://schemas.openxmlformats.org/officeDocument/2006/relationships/hyperlink" Target="https://www.sec.gov/ix?doc=/Archives/edgar/data/0001620463/000119312521193538/d140684d8k.htm" TargetMode="External"/><Relationship Id="rId60" Type="http://schemas.openxmlformats.org/officeDocument/2006/relationships/hyperlink" Target="https://www.sec.gov/ix?doc=/Archives/edgar/data/0001620463/000119312521239806/d174014d8k.htm" TargetMode="External"/><Relationship Id="rId61" Type="http://schemas.openxmlformats.org/officeDocument/2006/relationships/hyperlink" Target="https://www.sec.gov/ix?doc=/Archives/edgar/data/0001620463/000119312521304002/d179221d8k.htm" TargetMode="External"/><Relationship Id="rId62" Type="http://schemas.openxmlformats.org/officeDocument/2006/relationships/hyperlink" Target="http://www.sec.gov/Archives/edgar/data/0001620463/000095012320009608/atha-8a12b.htm" TargetMode="External"/><Relationship Id="rId67" Type="http://schemas.openxmlformats.org/officeDocument/2006/relationships/hyperlink" Target="http://www.sec.gov/Archives/edgar/data/0001620463/000156459020053574/atha-ex31_153.htm" TargetMode="External"/><Relationship Id="rId68" Type="http://schemas.openxmlformats.org/officeDocument/2006/relationships/hyperlink" Target="http://www.sec.gov/Archives/edgar/data/0001620463/000156459020053574/atha-ex32_154.htm" TargetMode="External"/><Relationship Id="rId69" Type="http://schemas.openxmlformats.org/officeDocument/2006/relationships/hyperlink" Target="http://www.sec.gov/Archives/edgar/data/0001620463/000156459020043324/atha-ex41_4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2021-11-15T15:22:06Z</dcterms:created>
  <dcterms:modified xsi:type="dcterms:W3CDTF">2021-11-15T15:22:06Z</dcterms:modified>
</cp:coreProperties>
</file>