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18, 2020</w:t>
      </w:r>
    </w:p>
    <w:p>
      <w:pPr>
        <w:spacing w:after="0" w:line="28" w:lineRule="exact"/>
        <w:rPr>
          <w:sz w:val="24"/>
          <w:szCs w:val="24"/>
          <w:color w:val="auto"/>
        </w:rPr>
      </w:pPr>
    </w:p>
    <w:p>
      <w:pPr>
        <w:ind w:left="940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55880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3" w:lineRule="exact"/>
        <w:rPr>
          <w:sz w:val="24"/>
          <w:szCs w:val="24"/>
          <w:color w:val="auto"/>
        </w:rPr>
      </w:pPr>
    </w:p>
    <w:tbl>
      <w:tblPr>
        <w:tblLayout w:type="fixed"/>
        <w:tblInd w:w="960" w:type="dxa"/>
        <w:tblCellMar>
          <w:top w:w="0" w:type="dxa"/>
          <w:left w:w="0" w:type="dxa"/>
          <w:bottom w:w="0" w:type="dxa"/>
          <w:right w:w="0" w:type="dxa"/>
        </w:tblCellMar>
      </w:tblPr>
      <w:tr>
        <w:trPr>
          <w:trHeight w:val="410"/>
        </w:trPr>
        <w:tc>
          <w:tcPr>
            <w:tcW w:w="2080" w:type="dxa"/>
            <w:vAlign w:val="bottom"/>
          </w:tcPr>
          <w:p>
            <w:pPr>
              <w:spacing w:after="0"/>
              <w:rPr>
                <w:sz w:val="24"/>
                <w:szCs w:val="24"/>
                <w:color w:val="auto"/>
              </w:rPr>
            </w:pPr>
          </w:p>
        </w:tc>
        <w:tc>
          <w:tcPr>
            <w:tcW w:w="6980" w:type="dxa"/>
            <w:vAlign w:val="bottom"/>
            <w:gridSpan w:val="5"/>
          </w:tcPr>
          <w:p>
            <w:pPr>
              <w:jc w:val="center"/>
              <w:ind w:right="1728"/>
              <w:spacing w:after="0" w:line="368" w:lineRule="exact"/>
              <w:rPr>
                <w:sz w:val="20"/>
                <w:szCs w:val="20"/>
                <w:color w:val="auto"/>
              </w:rPr>
            </w:pPr>
            <w:r>
              <w:rPr>
                <w:rFonts w:ascii="Times New Roman" w:cs="Times New Roman" w:eastAsia="Times New Roman" w:hAnsi="Times New Roman"/>
                <w:sz w:val="32"/>
                <w:szCs w:val="32"/>
                <w:b w:val="1"/>
                <w:bCs w:val="1"/>
                <w:color w:val="auto"/>
              </w:rPr>
              <w:t>FORM S</w:t>
            </w:r>
            <w:r>
              <w:rPr>
                <w:rFonts w:ascii="MS PGothic" w:cs="MS PGothic" w:eastAsia="MS PGothic" w:hAnsi="MS PGothic"/>
                <w:sz w:val="32"/>
                <w:szCs w:val="32"/>
                <w:color w:val="auto"/>
                <w:strike w:val="1"/>
              </w:rPr>
              <w:t>‑</w:t>
            </w:r>
            <w:r>
              <w:rPr>
                <w:rFonts w:ascii="Times New Roman" w:cs="Times New Roman" w:eastAsia="Times New Roman" w:hAnsi="Times New Roman"/>
                <w:sz w:val="32"/>
                <w:szCs w:val="32"/>
                <w:b w:val="1"/>
                <w:bCs w:val="1"/>
                <w:color w:val="auto"/>
              </w:rPr>
              <w:t>8</w:t>
            </w:r>
          </w:p>
        </w:tc>
      </w:tr>
      <w:tr>
        <w:trPr>
          <w:trHeight w:val="380"/>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32"/>
                <w:szCs w:val="32"/>
                <w:b w:val="1"/>
                <w:bCs w:val="1"/>
                <w:color w:val="auto"/>
                <w:w w:val="99"/>
              </w:rPr>
              <w:t>REGISTRATION STATEMENT</w:t>
            </w:r>
          </w:p>
        </w:tc>
      </w:tr>
      <w:tr>
        <w:trPr>
          <w:trHeight w:val="243"/>
        </w:trPr>
        <w:tc>
          <w:tcPr>
            <w:tcW w:w="20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2"/>
          </w:tcPr>
          <w:p>
            <w:pPr>
              <w:jc w:val="center"/>
              <w:ind w:right="3908"/>
              <w:spacing w:after="0" w:line="243" w:lineRule="exact"/>
              <w:rPr>
                <w:sz w:val="20"/>
                <w:szCs w:val="20"/>
                <w:color w:val="auto"/>
              </w:rPr>
            </w:pPr>
            <w:r>
              <w:rPr>
                <w:rFonts w:ascii="Times New Roman" w:cs="Times New Roman" w:eastAsia="Times New Roman" w:hAnsi="Times New Roman"/>
                <w:sz w:val="22"/>
                <w:szCs w:val="22"/>
                <w:b w:val="1"/>
                <w:bCs w:val="1"/>
                <w:color w:val="auto"/>
                <w:w w:val="96"/>
              </w:rPr>
              <w:t>Under</w:t>
            </w:r>
          </w:p>
        </w:tc>
      </w:tr>
      <w:tr>
        <w:trPr>
          <w:trHeight w:val="286"/>
        </w:trPr>
        <w:tc>
          <w:tcPr>
            <w:tcW w:w="2080" w:type="dxa"/>
            <w:vAlign w:val="bottom"/>
          </w:tcPr>
          <w:p>
            <w:pPr>
              <w:spacing w:after="0"/>
              <w:rPr>
                <w:sz w:val="24"/>
                <w:szCs w:val="24"/>
                <w:color w:val="auto"/>
              </w:rPr>
            </w:pPr>
          </w:p>
        </w:tc>
        <w:tc>
          <w:tcPr>
            <w:tcW w:w="6980" w:type="dxa"/>
            <w:vAlign w:val="bottom"/>
            <w:gridSpan w:val="5"/>
          </w:tcPr>
          <w:p>
            <w:pPr>
              <w:jc w:val="center"/>
              <w:ind w:right="1728"/>
              <w:spacing w:after="0"/>
              <w:rPr>
                <w:sz w:val="20"/>
                <w:szCs w:val="20"/>
                <w:color w:val="auto"/>
              </w:rPr>
            </w:pPr>
            <w:r>
              <w:rPr>
                <w:rFonts w:ascii="Times New Roman" w:cs="Times New Roman" w:eastAsia="Times New Roman" w:hAnsi="Times New Roman"/>
                <w:sz w:val="22"/>
                <w:szCs w:val="22"/>
                <w:b w:val="1"/>
                <w:bCs w:val="1"/>
                <w:color w:val="auto"/>
                <w:w w:val="98"/>
              </w:rPr>
              <w:t>The Securities Act of 1933</w:t>
            </w:r>
          </w:p>
        </w:tc>
      </w:tr>
      <w:tr>
        <w:trPr>
          <w:trHeight w:val="96"/>
        </w:trPr>
        <w:tc>
          <w:tcPr>
            <w:tcW w:w="20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r>
      <w:tr>
        <w:trPr>
          <w:trHeight w:val="549"/>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43"/>
                <w:szCs w:val="43"/>
                <w:b w:val="1"/>
                <w:bCs w:val="1"/>
                <w:color w:val="auto"/>
                <w:w w:val="98"/>
              </w:rPr>
              <w:t>ATHIRA PHARMA, INC.</w:t>
            </w:r>
          </w:p>
        </w:tc>
      </w:tr>
      <w:tr>
        <w:trPr>
          <w:trHeight w:val="190"/>
        </w:trPr>
        <w:tc>
          <w:tcPr>
            <w:tcW w:w="2080" w:type="dxa"/>
            <w:vAlign w:val="bottom"/>
          </w:tcPr>
          <w:p>
            <w:pPr>
              <w:spacing w:after="0"/>
              <w:rPr>
                <w:sz w:val="16"/>
                <w:szCs w:val="16"/>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r>
      <w:tr>
        <w:trPr>
          <w:trHeight w:val="77"/>
        </w:trPr>
        <w:tc>
          <w:tcPr>
            <w:tcW w:w="20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66"/>
        </w:trPr>
        <w:tc>
          <w:tcPr>
            <w:tcW w:w="208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980" w:type="dxa"/>
            <w:vAlign w:val="bottom"/>
            <w:gridSpan w:val="5"/>
          </w:tcPr>
          <w:p>
            <w:pPr>
              <w:jc w:val="center"/>
              <w:ind w:left="5490"/>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48"/>
        </w:trPr>
        <w:tc>
          <w:tcPr>
            <w:tcW w:w="208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960" w:type="dxa"/>
            <w:vAlign w:val="bottom"/>
          </w:tcPr>
          <w:p>
            <w:pPr>
              <w:jc w:val="center"/>
              <w:ind w:left="25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60" w:type="dxa"/>
            <w:vAlign w:val="bottom"/>
          </w:tcPr>
          <w:p>
            <w:pPr>
              <w:jc w:val="center"/>
              <w:ind w:left="2508"/>
              <w:spacing w:after="0"/>
              <w:rPr>
                <w:sz w:val="20"/>
                <w:szCs w:val="20"/>
                <w:color w:val="auto"/>
              </w:rPr>
            </w:pPr>
            <w:r>
              <w:rPr>
                <w:rFonts w:ascii="Times New Roman" w:cs="Times New Roman" w:eastAsia="Times New Roman" w:hAnsi="Times New Roman"/>
                <w:sz w:val="14"/>
                <w:szCs w:val="14"/>
                <w:b w:val="1"/>
                <w:bCs w:val="1"/>
                <w:color w:val="auto"/>
                <w:w w:val="99"/>
              </w:rPr>
              <w:t>Identification Number)</w:t>
            </w:r>
          </w:p>
        </w:tc>
      </w:tr>
      <w:tr>
        <w:trPr>
          <w:trHeight w:val="78"/>
        </w:trPr>
        <w:tc>
          <w:tcPr>
            <w:tcW w:w="20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86"/>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22"/>
                <w:szCs w:val="22"/>
                <w:b w:val="1"/>
                <w:bCs w:val="1"/>
                <w:color w:val="auto"/>
                <w:w w:val="97"/>
              </w:rPr>
              <w:t>4000 Mason Road, Suite 300</w:t>
            </w:r>
          </w:p>
        </w:tc>
      </w:tr>
      <w:tr>
        <w:trPr>
          <w:trHeight w:val="252"/>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51" w:lineRule="exact"/>
              <w:rPr>
                <w:sz w:val="20"/>
                <w:szCs w:val="20"/>
                <w:color w:val="auto"/>
              </w:rPr>
            </w:pPr>
            <w:r>
              <w:rPr>
                <w:rFonts w:ascii="Times New Roman" w:cs="Times New Roman" w:eastAsia="Times New Roman" w:hAnsi="Times New Roman"/>
                <w:sz w:val="22"/>
                <w:szCs w:val="22"/>
                <w:b w:val="1"/>
                <w:bCs w:val="1"/>
                <w:color w:val="auto"/>
                <w:w w:val="97"/>
              </w:rPr>
              <w:t>Seattle, WA 98195</w:t>
            </w:r>
          </w:p>
        </w:tc>
      </w:tr>
      <w:tr>
        <w:trPr>
          <w:trHeight w:val="188"/>
        </w:trPr>
        <w:tc>
          <w:tcPr>
            <w:tcW w:w="2080" w:type="dxa"/>
            <w:vAlign w:val="bottom"/>
          </w:tcPr>
          <w:p>
            <w:pPr>
              <w:spacing w:after="0"/>
              <w:rPr>
                <w:sz w:val="16"/>
                <w:szCs w:val="16"/>
                <w:color w:val="auto"/>
              </w:rPr>
            </w:pPr>
          </w:p>
        </w:tc>
        <w:tc>
          <w:tcPr>
            <w:tcW w:w="6980" w:type="dxa"/>
            <w:vAlign w:val="bottom"/>
            <w:gridSpan w:val="5"/>
          </w:tcPr>
          <w:p>
            <w:pPr>
              <w:jc w:val="center"/>
              <w:ind w:right="1728"/>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91"/>
        </w:trPr>
        <w:tc>
          <w:tcPr>
            <w:tcW w:w="20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0" w:type="dxa"/>
            <w:vAlign w:val="bottom"/>
            <w:tcBorders>
              <w:bottom w:val="single" w:sz="8" w:color="auto"/>
            </w:tcBorders>
            <w:gridSpan w:val="2"/>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r>
      <w:tr>
        <w:trPr>
          <w:trHeight w:val="286"/>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22"/>
                <w:szCs w:val="22"/>
                <w:b w:val="1"/>
                <w:bCs w:val="1"/>
                <w:color w:val="auto"/>
                <w:w w:val="97"/>
              </w:rPr>
              <w:t>2020 Equity Incentive Plan</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28"/>
              <w:spacing w:after="0" w:line="243" w:lineRule="exact"/>
              <w:rPr>
                <w:sz w:val="20"/>
                <w:szCs w:val="20"/>
                <w:color w:val="auto"/>
              </w:rPr>
            </w:pPr>
            <w:r>
              <w:rPr>
                <w:rFonts w:ascii="Times New Roman" w:cs="Times New Roman" w:eastAsia="Times New Roman" w:hAnsi="Times New Roman"/>
                <w:sz w:val="22"/>
                <w:szCs w:val="22"/>
                <w:b w:val="1"/>
                <w:bCs w:val="1"/>
                <w:color w:val="auto"/>
                <w:w w:val="97"/>
              </w:rPr>
              <w:t>2020 Employee Stock Purchase Plan</w:t>
            </w:r>
          </w:p>
        </w:tc>
      </w:tr>
      <w:tr>
        <w:trPr>
          <w:trHeight w:val="286"/>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22"/>
                <w:szCs w:val="22"/>
                <w:b w:val="1"/>
                <w:bCs w:val="1"/>
                <w:color w:val="auto"/>
                <w:w w:val="98"/>
              </w:rPr>
              <w:t>2014 Equity Incentive Plan, as amended</w:t>
            </w:r>
          </w:p>
        </w:tc>
      </w:tr>
      <w:tr>
        <w:trPr>
          <w:trHeight w:val="370"/>
        </w:trPr>
        <w:tc>
          <w:tcPr>
            <w:tcW w:w="2080" w:type="dxa"/>
            <w:vAlign w:val="bottom"/>
          </w:tcPr>
          <w:p>
            <w:pPr>
              <w:spacing w:after="0"/>
              <w:rPr>
                <w:sz w:val="24"/>
                <w:szCs w:val="24"/>
                <w:color w:val="auto"/>
              </w:rPr>
            </w:pPr>
          </w:p>
        </w:tc>
        <w:tc>
          <w:tcPr>
            <w:tcW w:w="6980" w:type="dxa"/>
            <w:vAlign w:val="bottom"/>
            <w:gridSpan w:val="5"/>
          </w:tcPr>
          <w:p>
            <w:pPr>
              <w:jc w:val="center"/>
              <w:ind w:right="1728"/>
              <w:spacing w:after="0"/>
              <w:rPr>
                <w:sz w:val="20"/>
                <w:szCs w:val="20"/>
                <w:color w:val="auto"/>
              </w:rPr>
            </w:pPr>
            <w:r>
              <w:rPr>
                <w:rFonts w:ascii="Times New Roman" w:cs="Times New Roman" w:eastAsia="Times New Roman" w:hAnsi="Times New Roman"/>
                <w:sz w:val="14"/>
                <w:szCs w:val="14"/>
                <w:color w:val="auto"/>
              </w:rPr>
              <w:t>(Full title of the plans)</w:t>
            </w:r>
          </w:p>
        </w:tc>
      </w:tr>
      <w:tr>
        <w:trPr>
          <w:trHeight w:val="78"/>
        </w:trPr>
        <w:tc>
          <w:tcPr>
            <w:tcW w:w="2080" w:type="dxa"/>
            <w:vAlign w:val="bottom"/>
          </w:tcPr>
          <w:p>
            <w:pPr>
              <w:spacing w:after="0"/>
              <w:rPr>
                <w:sz w:val="6"/>
                <w:szCs w:val="6"/>
                <w:color w:val="auto"/>
              </w:rPr>
            </w:pPr>
          </w:p>
        </w:tc>
        <w:tc>
          <w:tcPr>
            <w:tcW w:w="2180" w:type="dxa"/>
            <w:vAlign w:val="bottom"/>
            <w:gridSpan w:val="3"/>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86"/>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22"/>
                <w:szCs w:val="22"/>
                <w:b w:val="1"/>
                <w:bCs w:val="1"/>
                <w:color w:val="auto"/>
                <w:w w:val="98"/>
              </w:rPr>
              <w:t>Leen Kawas, Ph.D.</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28"/>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President and Chief Executive Officer</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43" w:lineRule="exact"/>
              <w:rPr>
                <w:sz w:val="20"/>
                <w:szCs w:val="20"/>
                <w:color w:val="auto"/>
              </w:rPr>
            </w:pPr>
            <w:r>
              <w:rPr>
                <w:rFonts w:ascii="Times New Roman" w:cs="Times New Roman" w:eastAsia="Times New Roman" w:hAnsi="Times New Roman"/>
                <w:sz w:val="22"/>
                <w:szCs w:val="22"/>
                <w:b w:val="1"/>
                <w:bCs w:val="1"/>
                <w:color w:val="auto"/>
                <w:w w:val="98"/>
              </w:rPr>
              <w:t>Athira Pharma, Inc.</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43" w:lineRule="exact"/>
              <w:rPr>
                <w:sz w:val="20"/>
                <w:szCs w:val="20"/>
                <w:color w:val="auto"/>
              </w:rPr>
            </w:pPr>
            <w:r>
              <w:rPr>
                <w:rFonts w:ascii="Times New Roman" w:cs="Times New Roman" w:eastAsia="Times New Roman" w:hAnsi="Times New Roman"/>
                <w:sz w:val="22"/>
                <w:szCs w:val="22"/>
                <w:b w:val="1"/>
                <w:bCs w:val="1"/>
                <w:color w:val="auto"/>
                <w:w w:val="97"/>
              </w:rPr>
              <w:t>4000 Mason Road, Suite 300</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Seattle, WA 98195</w:t>
            </w:r>
          </w:p>
        </w:tc>
      </w:tr>
      <w:tr>
        <w:trPr>
          <w:trHeight w:val="252"/>
        </w:trPr>
        <w:tc>
          <w:tcPr>
            <w:tcW w:w="2080" w:type="dxa"/>
            <w:vAlign w:val="bottom"/>
          </w:tcPr>
          <w:p>
            <w:pPr>
              <w:spacing w:after="0"/>
              <w:rPr>
                <w:sz w:val="21"/>
                <w:szCs w:val="21"/>
                <w:color w:val="auto"/>
              </w:rPr>
            </w:pPr>
          </w:p>
        </w:tc>
        <w:tc>
          <w:tcPr>
            <w:tcW w:w="6980" w:type="dxa"/>
            <w:vAlign w:val="bottom"/>
            <w:gridSpan w:val="5"/>
          </w:tcPr>
          <w:p>
            <w:pPr>
              <w:jc w:val="center"/>
              <w:ind w:right="1728"/>
              <w:spacing w:after="0" w:line="251" w:lineRule="exact"/>
              <w:rPr>
                <w:sz w:val="20"/>
                <w:szCs w:val="20"/>
                <w:color w:val="auto"/>
              </w:rPr>
            </w:pPr>
            <w:r>
              <w:rPr>
                <w:rFonts w:ascii="Times New Roman" w:cs="Times New Roman" w:eastAsia="Times New Roman" w:hAnsi="Times New Roman"/>
                <w:sz w:val="22"/>
                <w:szCs w:val="22"/>
                <w:b w:val="1"/>
                <w:bCs w:val="1"/>
                <w:color w:val="auto"/>
                <w:w w:val="97"/>
              </w:rPr>
              <w:t>(206) 221-8112</w:t>
            </w:r>
          </w:p>
        </w:tc>
      </w:tr>
      <w:tr>
        <w:trPr>
          <w:trHeight w:val="188"/>
        </w:trPr>
        <w:tc>
          <w:tcPr>
            <w:tcW w:w="2080" w:type="dxa"/>
            <w:vAlign w:val="bottom"/>
          </w:tcPr>
          <w:p>
            <w:pPr>
              <w:spacing w:after="0"/>
              <w:rPr>
                <w:sz w:val="16"/>
                <w:szCs w:val="16"/>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tc>
      </w:tr>
      <w:tr>
        <w:trPr>
          <w:trHeight w:val="78"/>
        </w:trPr>
        <w:tc>
          <w:tcPr>
            <w:tcW w:w="2080" w:type="dxa"/>
            <w:vAlign w:val="bottom"/>
          </w:tcPr>
          <w:p>
            <w:pPr>
              <w:spacing w:after="0"/>
              <w:rPr>
                <w:sz w:val="6"/>
                <w:szCs w:val="6"/>
                <w:color w:val="auto"/>
              </w:rPr>
            </w:pPr>
          </w:p>
        </w:tc>
        <w:tc>
          <w:tcPr>
            <w:tcW w:w="2160" w:type="dxa"/>
            <w:vAlign w:val="bottom"/>
            <w:gridSpan w:val="2"/>
          </w:tcPr>
          <w:p>
            <w:pPr>
              <w:spacing w:after="0"/>
              <w:rPr>
                <w:sz w:val="6"/>
                <w:szCs w:val="6"/>
                <w:color w:val="auto"/>
              </w:rPr>
            </w:pPr>
          </w:p>
        </w:tc>
        <w:tc>
          <w:tcPr>
            <w:tcW w:w="860" w:type="dxa"/>
            <w:vAlign w:val="bottom"/>
            <w:tcBorders>
              <w:bottom w:val="single" w:sz="8" w:color="auto"/>
            </w:tcBorders>
            <w:gridSpan w:val="2"/>
          </w:tcPr>
          <w:p>
            <w:pPr>
              <w:spacing w:after="0"/>
              <w:rPr>
                <w:sz w:val="6"/>
                <w:szCs w:val="6"/>
                <w:color w:val="auto"/>
              </w:rPr>
            </w:pPr>
          </w:p>
        </w:tc>
        <w:tc>
          <w:tcPr>
            <w:tcW w:w="3960" w:type="dxa"/>
            <w:vAlign w:val="bottom"/>
          </w:tcPr>
          <w:p>
            <w:pPr>
              <w:spacing w:after="0"/>
              <w:rPr>
                <w:sz w:val="6"/>
                <w:szCs w:val="6"/>
                <w:color w:val="auto"/>
              </w:rPr>
            </w:pPr>
          </w:p>
        </w:tc>
      </w:tr>
      <w:tr>
        <w:trPr>
          <w:trHeight w:val="329"/>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22"/>
                <w:szCs w:val="22"/>
                <w:b w:val="1"/>
                <w:bCs w:val="1"/>
                <w:color w:val="auto"/>
                <w:w w:val="97"/>
              </w:rPr>
              <w:t>Copies to:</w:t>
            </w:r>
          </w:p>
        </w:tc>
      </w:tr>
      <w:tr>
        <w:trPr>
          <w:trHeight w:val="281"/>
        </w:trPr>
        <w:tc>
          <w:tcPr>
            <w:tcW w:w="2080" w:type="dxa"/>
            <w:vAlign w:val="bottom"/>
          </w:tcPr>
          <w:p>
            <w:pPr>
              <w:spacing w:after="0"/>
              <w:rPr>
                <w:sz w:val="24"/>
                <w:szCs w:val="24"/>
                <w:color w:val="auto"/>
              </w:rPr>
            </w:pPr>
          </w:p>
        </w:tc>
        <w:tc>
          <w:tcPr>
            <w:tcW w:w="6980" w:type="dxa"/>
            <w:vAlign w:val="bottom"/>
            <w:gridSpan w:val="5"/>
          </w:tcPr>
          <w:p>
            <w:pPr>
              <w:jc w:val="center"/>
              <w:ind w:right="1728"/>
              <w:spacing w:after="0"/>
              <w:rPr>
                <w:sz w:val="20"/>
                <w:szCs w:val="20"/>
                <w:color w:val="auto"/>
              </w:rPr>
            </w:pPr>
            <w:r>
              <w:rPr>
                <w:rFonts w:ascii="Times New Roman" w:cs="Times New Roman" w:eastAsia="Times New Roman" w:hAnsi="Times New Roman"/>
                <w:sz w:val="22"/>
                <w:szCs w:val="22"/>
                <w:b w:val="1"/>
                <w:bCs w:val="1"/>
                <w:color w:val="auto"/>
                <w:w w:val="97"/>
              </w:rPr>
              <w:t>Michael Nordtvedt</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43" w:lineRule="exact"/>
              <w:rPr>
                <w:sz w:val="20"/>
                <w:szCs w:val="20"/>
                <w:color w:val="auto"/>
              </w:rPr>
            </w:pPr>
            <w:r>
              <w:rPr>
                <w:rFonts w:ascii="Times New Roman" w:cs="Times New Roman" w:eastAsia="Times New Roman" w:hAnsi="Times New Roman"/>
                <w:sz w:val="22"/>
                <w:szCs w:val="22"/>
                <w:b w:val="1"/>
                <w:bCs w:val="1"/>
                <w:color w:val="auto"/>
                <w:w w:val="98"/>
              </w:rPr>
              <w:t>Bryan D. King</w:t>
            </w:r>
          </w:p>
        </w:tc>
      </w:tr>
      <w:tr>
        <w:trPr>
          <w:trHeight w:val="247"/>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47" w:lineRule="exact"/>
              <w:rPr>
                <w:sz w:val="20"/>
                <w:szCs w:val="20"/>
                <w:color w:val="auto"/>
              </w:rPr>
            </w:pPr>
            <w:r>
              <w:rPr>
                <w:rFonts w:ascii="Times New Roman" w:cs="Times New Roman" w:eastAsia="Times New Roman" w:hAnsi="Times New Roman"/>
                <w:sz w:val="22"/>
                <w:szCs w:val="22"/>
                <w:b w:val="1"/>
                <w:bCs w:val="1"/>
                <w:color w:val="auto"/>
                <w:w w:val="98"/>
              </w:rPr>
              <w:t>Donna Petkanics</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43" w:lineRule="exact"/>
              <w:rPr>
                <w:sz w:val="20"/>
                <w:szCs w:val="20"/>
                <w:color w:val="auto"/>
              </w:rPr>
            </w:pPr>
            <w:r>
              <w:rPr>
                <w:rFonts w:ascii="Times New Roman" w:cs="Times New Roman" w:eastAsia="Times New Roman" w:hAnsi="Times New Roman"/>
                <w:sz w:val="22"/>
                <w:szCs w:val="22"/>
                <w:color w:val="auto"/>
                <w:w w:val="98"/>
              </w:rPr>
              <w:t>Wilson Sonsini Goodrich &amp; Rosati,</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48"/>
              <w:spacing w:after="0" w:line="243" w:lineRule="exact"/>
              <w:rPr>
                <w:sz w:val="20"/>
                <w:szCs w:val="20"/>
                <w:color w:val="auto"/>
              </w:rPr>
            </w:pPr>
            <w:r>
              <w:rPr>
                <w:rFonts w:ascii="Times New Roman" w:cs="Times New Roman" w:eastAsia="Times New Roman" w:hAnsi="Times New Roman"/>
                <w:sz w:val="22"/>
                <w:szCs w:val="22"/>
                <w:color w:val="auto"/>
                <w:w w:val="97"/>
              </w:rPr>
              <w:t>Professional Corporation</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28"/>
              <w:spacing w:after="0" w:line="243" w:lineRule="exact"/>
              <w:rPr>
                <w:sz w:val="20"/>
                <w:szCs w:val="20"/>
                <w:color w:val="auto"/>
              </w:rPr>
            </w:pPr>
            <w:r>
              <w:rPr>
                <w:rFonts w:ascii="Times New Roman" w:cs="Times New Roman" w:eastAsia="Times New Roman" w:hAnsi="Times New Roman"/>
                <w:sz w:val="22"/>
                <w:szCs w:val="22"/>
                <w:color w:val="auto"/>
                <w:w w:val="97"/>
              </w:rPr>
              <w:t>701 Fifth Avenue, Suite 5100</w:t>
            </w:r>
          </w:p>
        </w:tc>
      </w:tr>
      <w:tr>
        <w:trPr>
          <w:trHeight w:val="243"/>
        </w:trPr>
        <w:tc>
          <w:tcPr>
            <w:tcW w:w="2080" w:type="dxa"/>
            <w:vAlign w:val="bottom"/>
          </w:tcPr>
          <w:p>
            <w:pPr>
              <w:spacing w:after="0"/>
              <w:rPr>
                <w:sz w:val="21"/>
                <w:szCs w:val="21"/>
                <w:color w:val="auto"/>
              </w:rPr>
            </w:pPr>
          </w:p>
        </w:tc>
        <w:tc>
          <w:tcPr>
            <w:tcW w:w="6980" w:type="dxa"/>
            <w:vAlign w:val="bottom"/>
            <w:gridSpan w:val="5"/>
          </w:tcPr>
          <w:p>
            <w:pPr>
              <w:jc w:val="center"/>
              <w:ind w:right="1728"/>
              <w:spacing w:after="0" w:line="243" w:lineRule="exact"/>
              <w:rPr>
                <w:sz w:val="20"/>
                <w:szCs w:val="20"/>
                <w:color w:val="auto"/>
              </w:rPr>
            </w:pPr>
            <w:r>
              <w:rPr>
                <w:rFonts w:ascii="Times New Roman" w:cs="Times New Roman" w:eastAsia="Times New Roman" w:hAnsi="Times New Roman"/>
                <w:sz w:val="22"/>
                <w:szCs w:val="22"/>
                <w:color w:val="auto"/>
                <w:w w:val="96"/>
              </w:rPr>
              <w:t>Seattle, WA 98104</w:t>
            </w:r>
          </w:p>
        </w:tc>
      </w:tr>
      <w:tr>
        <w:trPr>
          <w:trHeight w:val="282"/>
        </w:trPr>
        <w:tc>
          <w:tcPr>
            <w:tcW w:w="2080" w:type="dxa"/>
            <w:vAlign w:val="bottom"/>
          </w:tcPr>
          <w:p>
            <w:pPr>
              <w:spacing w:after="0"/>
              <w:rPr>
                <w:sz w:val="24"/>
                <w:szCs w:val="24"/>
                <w:color w:val="auto"/>
              </w:rPr>
            </w:pPr>
          </w:p>
        </w:tc>
        <w:tc>
          <w:tcPr>
            <w:tcW w:w="6980" w:type="dxa"/>
            <w:vAlign w:val="bottom"/>
            <w:gridSpan w:val="5"/>
          </w:tcPr>
          <w:p>
            <w:pPr>
              <w:jc w:val="center"/>
              <w:ind w:right="1748"/>
              <w:spacing w:after="0"/>
              <w:rPr>
                <w:sz w:val="20"/>
                <w:szCs w:val="20"/>
                <w:color w:val="auto"/>
              </w:rPr>
            </w:pPr>
            <w:r>
              <w:rPr>
                <w:rFonts w:ascii="Times New Roman" w:cs="Times New Roman" w:eastAsia="Times New Roman" w:hAnsi="Times New Roman"/>
                <w:sz w:val="22"/>
                <w:szCs w:val="22"/>
                <w:color w:val="auto"/>
                <w:w w:val="98"/>
              </w:rPr>
              <w:t>(206) 883-2500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60960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40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5580" w:type="dxa"/>
            <w:vAlign w:val="bottom"/>
          </w:tcPr>
          <w:p>
            <w:pPr>
              <w:ind w:left="3880"/>
              <w:spacing w:after="0"/>
              <w:rPr>
                <w:sz w:val="20"/>
                <w:szCs w:val="20"/>
                <w:color w:val="auto"/>
              </w:rPr>
            </w:pPr>
            <w:r>
              <w:rPr>
                <w:rFonts w:ascii="Times New Roman" w:cs="Times New Roman" w:eastAsia="Times New Roman" w:hAnsi="Times New Roman"/>
                <w:sz w:val="15"/>
                <w:szCs w:val="15"/>
                <w:color w:val="auto"/>
              </w:rPr>
              <w:t>Accelerated filer</w:t>
            </w:r>
          </w:p>
        </w:tc>
        <w:tc>
          <w:tcPr>
            <w:tcW w:w="180" w:type="dxa"/>
            <w:vAlign w:val="bottom"/>
          </w:tcPr>
          <w:p>
            <w:pPr>
              <w:jc w:val="right"/>
              <w:spacing w:after="0" w:line="151" w:lineRule="exact"/>
              <w:rPr>
                <w:sz w:val="20"/>
                <w:szCs w:val="20"/>
                <w:color w:val="auto"/>
              </w:rPr>
            </w:pPr>
            <w:r>
              <w:rPr>
                <w:rFonts w:ascii="MS PGothic" w:cs="MS PGothic" w:eastAsia="MS PGothic" w:hAnsi="MS PGothic"/>
                <w:sz w:val="15"/>
                <w:szCs w:val="15"/>
                <w:color w:val="auto"/>
              </w:rPr>
              <w:t>☐</w:t>
            </w: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40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5580" w:type="dxa"/>
            <w:vAlign w:val="bottom"/>
          </w:tcPr>
          <w:p>
            <w:pPr>
              <w:ind w:left="38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80" w:type="dxa"/>
            <w:vAlign w:val="bottom"/>
          </w:tcPr>
          <w:p>
            <w:pPr>
              <w:jc w:val="right"/>
              <w:spacing w:after="0" w:line="151" w:lineRule="exact"/>
              <w:rPr>
                <w:sz w:val="20"/>
                <w:szCs w:val="20"/>
                <w:color w:val="auto"/>
              </w:rPr>
            </w:pPr>
            <w:r>
              <w:rPr>
                <w:rFonts w:ascii="MS PGothic" w:cs="MS PGothic" w:eastAsia="MS PGothic" w:hAnsi="MS PGothic"/>
                <w:sz w:val="15"/>
                <w:szCs w:val="15"/>
                <w:color w:val="auto"/>
              </w:rPr>
              <w:t>☒</w:t>
            </w:r>
          </w:p>
        </w:tc>
      </w:tr>
      <w:tr>
        <w:trPr>
          <w:trHeight w:val="240"/>
        </w:trPr>
        <w:tc>
          <w:tcPr>
            <w:tcW w:w="14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76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tc>
      </w:tr>
    </w:tbl>
    <w:p>
      <w:pPr>
        <w:spacing w:after="0" w:line="42" w:lineRule="exact"/>
        <w:rPr>
          <w:sz w:val="24"/>
          <w:szCs w:val="24"/>
          <w:color w:val="auto"/>
        </w:rPr>
      </w:pPr>
    </w:p>
    <w:p>
      <w:pPr>
        <w:ind w:right="60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1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8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7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2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40" w:type="dxa"/>
            <w:vAlign w:val="bottom"/>
            <w:tcBorders>
              <w:right w:val="single" w:sz="8" w:color="auto"/>
            </w:tcBorders>
          </w:tcPr>
          <w:p>
            <w:pPr>
              <w:ind w:left="1100"/>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 Securities</w:t>
            </w:r>
          </w:p>
        </w:tc>
        <w:tc>
          <w:tcPr>
            <w:tcW w:w="16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22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7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4140" w:type="dxa"/>
            <w:vAlign w:val="bottom"/>
            <w:tcBorders>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6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Reserved for issuance under the 2020 Equity Incentive</w:t>
            </w:r>
          </w:p>
        </w:tc>
        <w:tc>
          <w:tcPr>
            <w:tcW w:w="166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3,790,277 (2)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$17.00 (5)</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$64,434,709.00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$8,363.63</w:t>
            </w:r>
          </w:p>
        </w:tc>
        <w:tc>
          <w:tcPr>
            <w:tcW w:w="0" w:type="dxa"/>
            <w:vAlign w:val="bottom"/>
          </w:tcPr>
          <w:p>
            <w:pPr>
              <w:spacing w:after="0"/>
              <w:rPr>
                <w:sz w:val="1"/>
                <w:szCs w:val="1"/>
                <w:color w:val="auto"/>
              </w:rPr>
            </w:pPr>
          </w:p>
        </w:tc>
      </w:tr>
      <w:tr>
        <w:trPr>
          <w:trHeight w:val="191"/>
        </w:trPr>
        <w:tc>
          <w:tcPr>
            <w:tcW w:w="41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Outstanding awards under the 2020 Equity Incentive</w:t>
            </w:r>
          </w:p>
        </w:tc>
        <w:tc>
          <w:tcPr>
            <w:tcW w:w="166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Plan (Options)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943,223</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$17.00 (6)</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$16,034,791.00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$2,081.32</w:t>
            </w:r>
          </w:p>
        </w:tc>
        <w:tc>
          <w:tcPr>
            <w:tcW w:w="0" w:type="dxa"/>
            <w:vAlign w:val="bottom"/>
          </w:tcPr>
          <w:p>
            <w:pPr>
              <w:spacing w:after="0"/>
              <w:rPr>
                <w:sz w:val="1"/>
                <w:szCs w:val="1"/>
                <w:color w:val="auto"/>
              </w:rPr>
            </w:pPr>
          </w:p>
        </w:tc>
      </w:tr>
      <w:tr>
        <w:trPr>
          <w:trHeight w:val="191"/>
        </w:trPr>
        <w:tc>
          <w:tcPr>
            <w:tcW w:w="41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Reserved for issuance under the 2020 Employee Stock</w:t>
            </w:r>
          </w:p>
        </w:tc>
        <w:tc>
          <w:tcPr>
            <w:tcW w:w="166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Purchase Plan</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323,000 (3)</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$14.45 (7)</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$4,667,350.00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$605.83</w:t>
            </w:r>
          </w:p>
        </w:tc>
        <w:tc>
          <w:tcPr>
            <w:tcW w:w="0" w:type="dxa"/>
            <w:vAlign w:val="bottom"/>
          </w:tcPr>
          <w:p>
            <w:pPr>
              <w:spacing w:after="0"/>
              <w:rPr>
                <w:sz w:val="1"/>
                <w:szCs w:val="1"/>
                <w:color w:val="auto"/>
              </w:rPr>
            </w:pPr>
          </w:p>
        </w:tc>
      </w:tr>
      <w:tr>
        <w:trPr>
          <w:trHeight w:val="191"/>
        </w:trPr>
        <w:tc>
          <w:tcPr>
            <w:tcW w:w="41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Outstanding awards under the 2014 Equity Incentive</w:t>
            </w:r>
          </w:p>
        </w:tc>
        <w:tc>
          <w:tcPr>
            <w:tcW w:w="166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Plan (Options)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996,814 (4)</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 (8)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$1,036,686.56</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$134.57</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6,053,314</w:t>
            </w:r>
          </w:p>
        </w:tc>
        <w:tc>
          <w:tcPr>
            <w:tcW w:w="22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$86,173,536.56</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$11,185.35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60" w:right="20" w:hanging="442"/>
        <w:spacing w:after="0" w:line="255"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of the Securities Act of 1933, as amended (the “Securities Act”), this Registration Statement shall also cover any additional shares of the Registrant’s common stock that become issuable under the 2020 Equity Incentive Plan (the “2020 Plan”), the 2020 Employee Stock Purchase Plan (the “2020 ESPP”) and the 2014 Equity Incentive Plan (the “2014 Plan”) by reason of any stock dividend, stock split, recapitalization or other similar transaction effected without receipt of consideration that increases the number of the Registrant’s outstanding shares of common stock. In addition, pursuant to Rule 416(c) under the Securities Act, this Registration Statement also covers an indeterminate amount of interests to be offered or sold pursuant to the employee benefits plans described herein.</w:t>
      </w:r>
    </w:p>
    <w:p>
      <w:pPr>
        <w:spacing w:after="0" w:line="90" w:lineRule="exact"/>
        <w:rPr>
          <w:rFonts w:ascii="Times New Roman" w:cs="Times New Roman" w:eastAsia="Times New Roman" w:hAnsi="Times New Roman"/>
          <w:sz w:val="17"/>
          <w:szCs w:val="17"/>
          <w:color w:val="auto"/>
        </w:rPr>
      </w:pPr>
    </w:p>
    <w:p>
      <w:pPr>
        <w:jc w:val="both"/>
        <w:ind w:left="460" w:right="160" w:hanging="442"/>
        <w:spacing w:after="0" w:line="259"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4,733,500 shares of common stock initially available for grants under the 2020 Plan, less (b) options to purchase 943,223 shares of common stock granted pursuant to the 2020 Plan and outstanding as of the date of this Registration Statement. To the extent outstanding awards under the 2014 Plan are forfeited or lapse unexercised, the shares of common stock subject to such awards will be available for issuance under the 2020 Plan; provided, that the maximum number of shares that may be added to the 2020 Plan pursuant to the foregoing is 1,950,834 shares. See footnote 4 below.</w:t>
      </w:r>
    </w:p>
    <w:p>
      <w:pPr>
        <w:spacing w:after="0" w:line="87" w:lineRule="exact"/>
        <w:rPr>
          <w:rFonts w:ascii="Times New Roman" w:cs="Times New Roman" w:eastAsia="Times New Roman" w:hAnsi="Times New Roman"/>
          <w:sz w:val="17"/>
          <w:szCs w:val="17"/>
          <w:color w:val="auto"/>
        </w:rPr>
      </w:pPr>
    </w:p>
    <w:p>
      <w:pPr>
        <w:ind w:left="460" w:hanging="442"/>
        <w:spacing w:after="0"/>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reserved for future issuance under the 2020 ESPP.</w:t>
      </w:r>
    </w:p>
    <w:p>
      <w:pPr>
        <w:spacing w:after="0" w:line="128" w:lineRule="exact"/>
        <w:rPr>
          <w:rFonts w:ascii="Times New Roman" w:cs="Times New Roman" w:eastAsia="Times New Roman" w:hAnsi="Times New Roman"/>
          <w:sz w:val="17"/>
          <w:szCs w:val="17"/>
          <w:color w:val="auto"/>
        </w:rPr>
      </w:pPr>
    </w:p>
    <w:p>
      <w:pPr>
        <w:ind w:left="460" w:right="40" w:hanging="442"/>
        <w:spacing w:after="0" w:line="265"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options to purchase shares of our common stock outstanding as of the date of this Registration Statement. To the extent outstanding awards under the 2014 Plan are forfeited or lapse unexercised, the shares of common stock subject to such awards will be available for issuance under the 2014 Plan subject to certain limitations. See footnote 2 above.</w:t>
      </w:r>
    </w:p>
    <w:p>
      <w:pPr>
        <w:spacing w:after="0" w:line="81" w:lineRule="exact"/>
        <w:rPr>
          <w:rFonts w:ascii="Times New Roman" w:cs="Times New Roman" w:eastAsia="Times New Roman" w:hAnsi="Times New Roman"/>
          <w:sz w:val="17"/>
          <w:szCs w:val="17"/>
          <w:color w:val="auto"/>
        </w:rPr>
      </w:pPr>
    </w:p>
    <w:p>
      <w:pPr>
        <w:ind w:left="460" w:right="160" w:hanging="442"/>
        <w:spacing w:after="0" w:line="265"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Rules 457(c) and 457(h) of the Securities Act solely for purposes of calculating the registration fee on the basis of $17.00 per share, the initial public offering price set forth on the cover page of the Registrant’s Prospectus dated September 17, 2020 relating to its initial public offering.</w:t>
      </w:r>
    </w:p>
    <w:p>
      <w:pPr>
        <w:spacing w:after="0" w:line="81" w:lineRule="exact"/>
        <w:rPr>
          <w:rFonts w:ascii="Times New Roman" w:cs="Times New Roman" w:eastAsia="Times New Roman" w:hAnsi="Times New Roman"/>
          <w:sz w:val="17"/>
          <w:szCs w:val="17"/>
          <w:color w:val="auto"/>
        </w:rPr>
      </w:pPr>
    </w:p>
    <w:p>
      <w:pPr>
        <w:ind w:left="460" w:right="520" w:hanging="442"/>
        <w:spacing w:after="0" w:line="281"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 457(h) of the Securities Act solely for the purpose of calculating the registration fee. The price of $17.00 per share represents the exercise price per share.</w:t>
      </w:r>
    </w:p>
    <w:p>
      <w:pPr>
        <w:spacing w:after="0" w:line="68" w:lineRule="exact"/>
        <w:rPr>
          <w:rFonts w:ascii="Times New Roman" w:cs="Times New Roman" w:eastAsia="Times New Roman" w:hAnsi="Times New Roman"/>
          <w:sz w:val="17"/>
          <w:szCs w:val="17"/>
          <w:color w:val="auto"/>
        </w:rPr>
      </w:pPr>
    </w:p>
    <w:p>
      <w:pPr>
        <w:ind w:left="460" w:right="160" w:hanging="442"/>
        <w:spacing w:after="0" w:line="265"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Rules 457(c) and 457(h) of the Securities Act solely for purposes of calculating the registration fee on the basis of $17.00 per share, the initial public offering price set forth on the cover page of the Registrant’s Prospectus dated September 17, 2020 relating to its initial public offering, multiplied by 85%, which is the percentage of the price per share applicable to purchases under the 2020 ESPP.</w:t>
      </w:r>
    </w:p>
    <w:p>
      <w:pPr>
        <w:spacing w:after="0" w:line="81" w:lineRule="exact"/>
        <w:rPr>
          <w:rFonts w:ascii="Times New Roman" w:cs="Times New Roman" w:eastAsia="Times New Roman" w:hAnsi="Times New Roman"/>
          <w:sz w:val="17"/>
          <w:szCs w:val="17"/>
          <w:color w:val="auto"/>
        </w:rPr>
      </w:pPr>
    </w:p>
    <w:p>
      <w:pPr>
        <w:ind w:left="460" w:right="100" w:hanging="442"/>
        <w:spacing w:after="0" w:line="281"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 457(h) of the Securities Act solely for the purpose of calculating the registration fee on the basis of the weighted average exercise price of $1.04 per share.</w:t>
      </w:r>
    </w:p>
    <w:p>
      <w:pPr>
        <w:spacing w:after="0" w:line="1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Proposed sale to take place as soon after the effective date of the Registration Statement as awards under the plans are granted, exercised and/or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Athira Pharma, Inc. (the “Registrant”) hereby incorporates by reference into this Registration Statement the following documents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“Commission”):</w:t>
      </w:r>
    </w:p>
    <w:p>
      <w:pPr>
        <w:spacing w:after="0" w:line="207" w:lineRule="exact"/>
        <w:rPr>
          <w:sz w:val="20"/>
          <w:szCs w:val="20"/>
          <w:color w:val="auto"/>
        </w:rPr>
      </w:pPr>
    </w:p>
    <w:p>
      <w:pPr>
        <w:ind w:right="10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dated September 17, 2020, filed with the Commission on September 18, 2020 pursuant to Rule </w:t>
      </w:r>
      <w:hyperlink r:id="rId16">
        <w:r>
          <w:rPr>
            <w:rFonts w:ascii="Times New Roman" w:cs="Times New Roman" w:eastAsia="Times New Roman" w:hAnsi="Times New Roman"/>
            <w:sz w:val="18"/>
            <w:szCs w:val="18"/>
            <w:u w:val="single" w:color="auto"/>
            <w:color w:val="0000EE"/>
          </w:rPr>
          <w:t>424(b)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Act, relating to the Registration Statement on Form S-1, as amended (File No. 333-248428), which contains the Registrant’s audited financial statements for the latest fiscal year for which such statements have been filed; and</w:t>
      </w:r>
    </w:p>
    <w:p>
      <w:pPr>
        <w:spacing w:after="0" w:line="175"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1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001-39503) filed with the Commission on September 9, 2020, pursuant to Section 12(b) of the Securities Exchange Act of 1934, as amended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3" w:lineRule="exact"/>
        <w:rPr>
          <w:rFonts w:ascii="Times New Roman" w:cs="Times New Roman" w:eastAsia="Times New Roman" w:hAnsi="Times New Roman"/>
          <w:sz w:val="18"/>
          <w:szCs w:val="18"/>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rFonts w:ascii="Times New Roman" w:cs="Times New Roman" w:eastAsia="Times New Roman" w:hAnsi="Times New Roman"/>
          <w:sz w:val="18"/>
          <w:szCs w:val="18"/>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the Registrant by Wilson Sonsini Goodrich &amp; Rosati, Professional Corporation, Seattle, Washington. Investment funds associated with Wilson Sonsini Goodrich &amp; Rosati, Professional Corporation, hold an aggregate of 13,706 shares of the Registrant’s common stock, which represent less than 1.0% of the Registrant’s outstanding shares of common stock.</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90"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w:t>
      </w:r>
    </w:p>
    <w:p>
      <w:pPr>
        <w:spacing w:after="0" w:line="1" w:lineRule="exact"/>
        <w:rPr>
          <w:sz w:val="20"/>
          <w:szCs w:val="20"/>
          <w:color w:val="auto"/>
        </w:rPr>
      </w:pPr>
    </w:p>
    <w:p>
      <w:pPr>
        <w:ind w:right="12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the Registrant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7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Registrant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080" w:type="dxa"/>
            <w:vAlign w:val="bottom"/>
            <w:gridSpan w:val="18"/>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gridSpan w:val="1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100" w:type="dxa"/>
            <w:vAlign w:val="bottom"/>
            <w:gridSpan w:val="2"/>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40" w:type="dxa"/>
            <w:vAlign w:val="bottom"/>
            <w:gridSpan w:val="16"/>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100" w:type="dxa"/>
            <w:vAlign w:val="bottom"/>
            <w:gridSpan w:val="2"/>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Borders>
              <w:top w:val="single" w:sz="8" w:color="auto"/>
            </w:tcBorders>
            <w:gridSpan w:val="2"/>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080" w:type="dxa"/>
            <w:vAlign w:val="bottom"/>
            <w:gridSpan w:val="18"/>
          </w:tcPr>
          <w:p>
            <w:pPr>
              <w:spacing w:after="0"/>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Specimen common stock certificate of the Registrant</w:t>
              </w:r>
            </w:hyperlink>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S-1/A</w:t>
            </w:r>
          </w:p>
        </w:tc>
        <w:tc>
          <w:tcPr>
            <w:tcW w:w="1900" w:type="dxa"/>
            <w:vAlign w:val="bottom"/>
            <w:tcBorders>
              <w:top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24"/>
                <w:szCs w:val="24"/>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14, 2020</w:t>
            </w:r>
          </w:p>
        </w:tc>
        <w:tc>
          <w:tcPr>
            <w:tcW w:w="0" w:type="dxa"/>
            <w:vAlign w:val="bottom"/>
          </w:tcPr>
          <w:p>
            <w:pPr>
              <w:spacing w:after="0"/>
              <w:rPr>
                <w:sz w:val="1"/>
                <w:szCs w:val="1"/>
                <w:color w:val="auto"/>
              </w:rPr>
            </w:pPr>
          </w:p>
        </w:tc>
      </w:tr>
      <w:tr>
        <w:trPr>
          <w:trHeight w:val="29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4080" w:type="dxa"/>
            <w:vAlign w:val="bottom"/>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Opinion of Wilson Sonsini Goodrich &amp; Rosati,</w:t>
              </w:r>
            </w:hyperlink>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3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Professional Corporation</w:t>
              </w:r>
            </w:hyperlink>
          </w:p>
        </w:tc>
        <w:tc>
          <w:tcPr>
            <w:tcW w:w="70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Consent of Ernst &amp; Young LLP, Independent</w:t>
              </w:r>
            </w:hyperlink>
          </w:p>
        </w:tc>
        <w:tc>
          <w:tcPr>
            <w:tcW w:w="84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Registered Public Accounting Firm</w:t>
              </w:r>
            </w:hyperlink>
          </w:p>
        </w:tc>
        <w:tc>
          <w:tcPr>
            <w:tcW w:w="152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4080" w:type="dxa"/>
            <w:vAlign w:val="bottom"/>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Consent of Wilson Sonsini Goodrich &amp; Rosati,</w:t>
              </w:r>
            </w:hyperlink>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080" w:type="dxa"/>
            <w:vAlign w:val="bottom"/>
            <w:gridSpan w:val="18"/>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Professional Corporation (contained in Exhibit 5.1</w:t>
              </w:r>
            </w:hyperlink>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hereto)</w:t>
              </w:r>
            </w:hyperlink>
          </w:p>
        </w:tc>
        <w:tc>
          <w:tcPr>
            <w:tcW w:w="3120" w:type="dxa"/>
            <w:vAlign w:val="bottom"/>
            <w:tcBorders>
              <w:top w:val="single" w:sz="8" w:color="0000EE"/>
            </w:tcBorders>
            <w:gridSpan w:val="14"/>
          </w:tcPr>
          <w:p>
            <w:pPr>
              <w:spacing w:after="0"/>
              <w:rPr>
                <w:sz w:val="17"/>
                <w:szCs w:val="17"/>
                <w:color w:val="auto"/>
              </w:rPr>
            </w:pPr>
          </w:p>
        </w:tc>
        <w:tc>
          <w:tcPr>
            <w:tcW w:w="4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408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Power of Attorney (contained on signature page</w:t>
              </w:r>
            </w:hyperlink>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hereto)</w:t>
              </w:r>
            </w:hyperlink>
          </w:p>
        </w:tc>
        <w:tc>
          <w:tcPr>
            <w:tcW w:w="2940" w:type="dxa"/>
            <w:vAlign w:val="bottom"/>
            <w:tcBorders>
              <w:top w:val="single" w:sz="8" w:color="0000EE"/>
            </w:tcBorders>
            <w:gridSpan w:val="10"/>
          </w:tcPr>
          <w:p>
            <w:pPr>
              <w:spacing w:after="0"/>
              <w:rPr>
                <w:sz w:val="17"/>
                <w:szCs w:val="17"/>
                <w:color w:val="auto"/>
              </w:rPr>
            </w:pPr>
          </w:p>
        </w:tc>
        <w:tc>
          <w:tcPr>
            <w:tcW w:w="62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080" w:type="dxa"/>
            <w:vAlign w:val="bottom"/>
            <w:gridSpan w:val="18"/>
          </w:tcPr>
          <w:p>
            <w:pPr>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2020 Equity Incentive Plan.</w:t>
              </w:r>
            </w:hyperlink>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S-1/A</w:t>
            </w:r>
          </w:p>
        </w:tc>
        <w:tc>
          <w:tcPr>
            <w:tcW w:w="190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29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3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 of Stock Option Agreement under the 2020</w:t>
              </w:r>
            </w:hyperlink>
          </w:p>
        </w:tc>
        <w:tc>
          <w:tcPr>
            <w:tcW w:w="5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Equity Incentive Plan</w:t>
              </w:r>
            </w:hyperlink>
          </w:p>
        </w:tc>
        <w:tc>
          <w:tcPr>
            <w:tcW w:w="2500" w:type="dxa"/>
            <w:vAlign w:val="bottom"/>
            <w:gridSpan w:val="14"/>
          </w:tcPr>
          <w:p>
            <w:pPr>
              <w:spacing w:after="0"/>
              <w:rPr>
                <w:sz w:val="17"/>
                <w:szCs w:val="17"/>
                <w:color w:val="auto"/>
              </w:rPr>
            </w:pPr>
          </w:p>
        </w:tc>
        <w:tc>
          <w:tcPr>
            <w:tcW w:w="82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900" w:type="dxa"/>
            <w:vAlign w:val="bottom"/>
          </w:tcPr>
          <w:p>
            <w:pPr>
              <w:jc w:val="right"/>
              <w:ind w:right="895"/>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17"/>
                <w:szCs w:val="17"/>
                <w:color w:val="auto"/>
              </w:rPr>
            </w:pPr>
          </w:p>
        </w:tc>
        <w:tc>
          <w:tcPr>
            <w:tcW w:w="6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7"/>
                <w:szCs w:val="17"/>
                <w:color w:val="auto"/>
              </w:rPr>
            </w:pPr>
          </w:p>
        </w:tc>
        <w:tc>
          <w:tcPr>
            <w:tcW w:w="24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3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Restricted Stock Award Agreement under the</w:t>
              </w:r>
            </w:hyperlink>
          </w:p>
        </w:tc>
        <w:tc>
          <w:tcPr>
            <w:tcW w:w="1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080" w:type="dxa"/>
            <w:vAlign w:val="bottom"/>
            <w:gridSpan w:val="1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2020 Equity Incentive Plan</w:t>
              </w:r>
            </w:hyperlink>
          </w:p>
        </w:tc>
        <w:tc>
          <w:tcPr>
            <w:tcW w:w="82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900" w:type="dxa"/>
            <w:vAlign w:val="bottom"/>
          </w:tcPr>
          <w:p>
            <w:pPr>
              <w:jc w:val="right"/>
              <w:ind w:right="895"/>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17"/>
                <w:szCs w:val="17"/>
                <w:color w:val="auto"/>
              </w:rPr>
            </w:pPr>
          </w:p>
        </w:tc>
        <w:tc>
          <w:tcPr>
            <w:tcW w:w="6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7"/>
                <w:szCs w:val="17"/>
                <w:color w:val="auto"/>
              </w:rPr>
            </w:pPr>
          </w:p>
        </w:tc>
        <w:tc>
          <w:tcPr>
            <w:tcW w:w="24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w:t>
            </w:r>
          </w:p>
        </w:tc>
        <w:tc>
          <w:tcPr>
            <w:tcW w:w="3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of RSU Agreement under the 2020 Equity</w:t>
              </w:r>
            </w:hyperlink>
          </w:p>
        </w:tc>
        <w:tc>
          <w:tcPr>
            <w:tcW w:w="60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Incentive Plan</w:t>
              </w:r>
            </w:hyperlink>
          </w:p>
        </w:tc>
        <w:tc>
          <w:tcPr>
            <w:tcW w:w="3040" w:type="dxa"/>
            <w:vAlign w:val="bottom"/>
            <w:gridSpan w:val="16"/>
          </w:tcPr>
          <w:p>
            <w:pPr>
              <w:spacing w:after="0"/>
              <w:rPr>
                <w:sz w:val="17"/>
                <w:szCs w:val="17"/>
                <w:color w:val="auto"/>
              </w:rPr>
            </w:pPr>
          </w:p>
        </w:tc>
        <w:tc>
          <w:tcPr>
            <w:tcW w:w="82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900" w:type="dxa"/>
            <w:vAlign w:val="bottom"/>
          </w:tcPr>
          <w:p>
            <w:pPr>
              <w:jc w:val="right"/>
              <w:ind w:right="895"/>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17"/>
                <w:szCs w:val="17"/>
                <w:color w:val="auto"/>
              </w:rPr>
            </w:pPr>
          </w:p>
        </w:tc>
        <w:tc>
          <w:tcPr>
            <w:tcW w:w="6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7"/>
                <w:szCs w:val="17"/>
                <w:color w:val="auto"/>
              </w:rPr>
            </w:pPr>
          </w:p>
        </w:tc>
        <w:tc>
          <w:tcPr>
            <w:tcW w:w="24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31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99.5</w:t>
            </w:r>
          </w:p>
        </w:tc>
        <w:tc>
          <w:tcPr>
            <w:tcW w:w="4080" w:type="dxa"/>
            <w:vAlign w:val="bottom"/>
            <w:gridSpan w:val="18"/>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2020 Employee Stock Purchase Plan and Form of</w:t>
              </w:r>
            </w:hyperlink>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Subscription Agreement thereunder</w:t>
              </w:r>
            </w:hyperlink>
          </w:p>
        </w:tc>
        <w:tc>
          <w:tcPr>
            <w:tcW w:w="1000" w:type="dxa"/>
            <w:vAlign w:val="bottom"/>
            <w:tcBorders>
              <w:top w:val="single" w:sz="8" w:color="0000EE"/>
            </w:tcBorders>
            <w:gridSpan w:val="6"/>
          </w:tcPr>
          <w:p>
            <w:pPr>
              <w:spacing w:after="0"/>
              <w:rPr>
                <w:sz w:val="17"/>
                <w:szCs w:val="17"/>
                <w:color w:val="auto"/>
              </w:rPr>
            </w:pPr>
          </w:p>
        </w:tc>
        <w:tc>
          <w:tcPr>
            <w:tcW w:w="500" w:type="dxa"/>
            <w:vAlign w:val="bottom"/>
            <w:gridSpan w:val="4"/>
          </w:tcPr>
          <w:p>
            <w:pPr>
              <w:spacing w:after="0"/>
              <w:rPr>
                <w:sz w:val="17"/>
                <w:szCs w:val="17"/>
                <w:color w:val="auto"/>
              </w:rPr>
            </w:pPr>
          </w:p>
        </w:tc>
        <w:tc>
          <w:tcPr>
            <w:tcW w:w="82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900" w:type="dxa"/>
            <w:vAlign w:val="bottom"/>
          </w:tcPr>
          <w:p>
            <w:pPr>
              <w:jc w:val="right"/>
              <w:ind w:right="895"/>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17"/>
                <w:szCs w:val="17"/>
                <w:color w:val="auto"/>
              </w:rPr>
            </w:pPr>
          </w:p>
        </w:tc>
        <w:tc>
          <w:tcPr>
            <w:tcW w:w="6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7"/>
                <w:szCs w:val="17"/>
                <w:color w:val="auto"/>
              </w:rPr>
            </w:pPr>
          </w:p>
        </w:tc>
        <w:tc>
          <w:tcPr>
            <w:tcW w:w="24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35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99.6</w:t>
            </w:r>
          </w:p>
        </w:tc>
        <w:tc>
          <w:tcPr>
            <w:tcW w:w="4080" w:type="dxa"/>
            <w:vAlign w:val="bottom"/>
            <w:gridSpan w:val="18"/>
          </w:tcPr>
          <w:p>
            <w:pPr>
              <w:spacing w:after="0"/>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2014 Equity Incentive Plan, as amended</w:t>
              </w:r>
            </w:hyperlink>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S-1/A</w:t>
            </w:r>
          </w:p>
        </w:tc>
        <w:tc>
          <w:tcPr>
            <w:tcW w:w="190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29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99.7</w:t>
            </w:r>
          </w:p>
        </w:tc>
        <w:tc>
          <w:tcPr>
            <w:tcW w:w="3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of Stock Option Agreement under the 2014</w:t>
              </w:r>
            </w:hyperlink>
          </w:p>
        </w:tc>
        <w:tc>
          <w:tcPr>
            <w:tcW w:w="5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080" w:type="dxa"/>
            <w:vAlign w:val="bottom"/>
            <w:gridSpan w:val="18"/>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Equity Incentive Plan</w:t>
              </w:r>
            </w:hyperlink>
          </w:p>
        </w:tc>
        <w:tc>
          <w:tcPr>
            <w:tcW w:w="82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900" w:type="dxa"/>
            <w:vAlign w:val="bottom"/>
          </w:tcPr>
          <w:p>
            <w:pPr>
              <w:jc w:val="right"/>
              <w:ind w:right="895"/>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200" w:type="dxa"/>
            <w:vAlign w:val="bottom"/>
          </w:tcPr>
          <w:p>
            <w:pPr>
              <w:spacing w:after="0"/>
              <w:rPr>
                <w:sz w:val="17"/>
                <w:szCs w:val="17"/>
                <w:color w:val="auto"/>
              </w:rPr>
            </w:pPr>
          </w:p>
        </w:tc>
        <w:tc>
          <w:tcPr>
            <w:tcW w:w="6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24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64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560" w:type="dxa"/>
            <w:vAlign w:val="bottom"/>
            <w:tcBorders>
              <w:top w:val="single" w:sz="8" w:color="0000EE"/>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2520" w:type="dxa"/>
            <w:vAlign w:val="bottom"/>
            <w:gridSpan w:val="15"/>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 w:name="page6"/>
    <w:bookmarkEnd w:id="5"/>
    <w:p>
      <w:pPr>
        <w:ind w:right="40" w:firstLine="8"/>
        <w:spacing w:after="0" w:line="256"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right="460" w:firstLine="8"/>
        <w:spacing w:after="0" w:line="28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75" w:lineRule="exact"/>
        <w:rPr>
          <w:sz w:val="20"/>
          <w:szCs w:val="20"/>
          <w:color w:val="auto"/>
        </w:rPr>
      </w:pPr>
    </w:p>
    <w:p>
      <w:pPr>
        <w:jc w:val="both"/>
        <w:ind w:right="28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of 1933 may be permitted to directors, officers and controlling persons of the Registrant pursuant to the provisions described under “Item 6-Indemnification of Directors and Officers,”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September 18, 2020.</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Leen Kawas, Ph.D.</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Leen Kawas and Glenna Mileson, and each of them, as his or her true and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or necessary to be done in connection therewith, as fully for all intents and purposes as he might or could do in person, hereby ratifying and confirming all the said attorney-in-fact, proxy and agent, or his substitute, may lawfully do or cause to be done by virtue hereof.</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S-8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8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Leen Kawas</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Leen Kawas</w:t>
            </w:r>
          </w:p>
        </w:tc>
        <w:tc>
          <w:tcPr>
            <w:tcW w:w="10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19"/>
                <w:szCs w:val="19"/>
                <w:color w:val="auto"/>
              </w:rPr>
            </w:pPr>
          </w:p>
        </w:tc>
      </w:tr>
      <w:tr>
        <w:trPr>
          <w:trHeight w:val="427"/>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Glenna Mileson</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Glenna Mileson</w:t>
            </w:r>
          </w:p>
        </w:tc>
        <w:tc>
          <w:tcPr>
            <w:tcW w:w="10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1980" w:type="dxa"/>
            <w:vAlign w:val="bottom"/>
          </w:tcPr>
          <w:p>
            <w:pPr>
              <w:spacing w:after="0"/>
              <w:rPr>
                <w:sz w:val="19"/>
                <w:szCs w:val="19"/>
                <w:color w:val="auto"/>
              </w:rPr>
            </w:pPr>
          </w:p>
        </w:tc>
      </w:tr>
      <w:tr>
        <w:trPr>
          <w:trHeight w:val="427"/>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Tadataka Yamada</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Tadataka Yamada</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7"/>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Edelman</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Edelman</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7"/>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 Fluke, Jr.</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M. Fluke, Jr.</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7"/>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A. Johnson</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A. Johnson</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08839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88390" cy="402590"/>
                    </a:xfrm>
                    <a:prstGeom prst="rect">
                      <a:avLst/>
                    </a:prstGeom>
                    <a:noFill/>
                  </pic:spPr>
                </pic:pic>
              </a:graphicData>
            </a:graphic>
          </wp:anchor>
        </w:drawing>
      </w:r>
    </w:p>
    <w:p>
      <w:pPr>
        <w:spacing w:after="0" w:line="225"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Wilson Sonsini Goodrich &amp; Rosati</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Professional Corporation</w:t>
      </w:r>
    </w:p>
    <w:p>
      <w:pPr>
        <w:spacing w:after="0" w:line="70"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701 Fifth Avenue</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Suite 5100</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Seattle, Washington 98104-7036</w:t>
      </w:r>
    </w:p>
    <w:p>
      <w:pPr>
        <w:spacing w:after="0" w:line="84" w:lineRule="exact"/>
        <w:rPr>
          <w:sz w:val="20"/>
          <w:szCs w:val="20"/>
          <w:color w:val="auto"/>
        </w:rPr>
      </w:pPr>
    </w:p>
    <w:p>
      <w:pPr>
        <w:ind w:left="802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206.883.2500</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9"/>
          <w:szCs w:val="9"/>
          <w:color w:val="003D4C"/>
        </w:rPr>
        <w:t>F</w:t>
      </w:r>
      <w:r>
        <w:rPr>
          <w:rFonts w:ascii="Georgia" w:cs="Georgia" w:eastAsia="Georgia" w:hAnsi="Georgia"/>
          <w:sz w:val="14"/>
          <w:szCs w:val="14"/>
          <w:color w:val="003D4C"/>
        </w:rPr>
        <w:t>: 206.883.2699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September 18, 2020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4000 Mason Road, Suite 300</w:t>
      </w:r>
    </w:p>
    <w:p>
      <w:pPr>
        <w:spacing w:after="0"/>
        <w:rPr>
          <w:sz w:val="20"/>
          <w:szCs w:val="20"/>
          <w:color w:val="auto"/>
        </w:rPr>
      </w:pPr>
      <w:r>
        <w:rPr>
          <w:rFonts w:ascii="Times New Roman" w:cs="Times New Roman" w:eastAsia="Times New Roman" w:hAnsi="Times New Roman"/>
          <w:sz w:val="20"/>
          <w:szCs w:val="20"/>
          <w:color w:val="auto"/>
        </w:rPr>
        <w:t>Seattle, WA 98195</w:t>
      </w:r>
    </w:p>
    <w:p>
      <w:pPr>
        <w:spacing w:after="0" w:line="19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ind w:right="140" w:firstLine="864"/>
        <w:spacing w:after="0" w:line="243" w:lineRule="auto"/>
        <w:rPr>
          <w:sz w:val="20"/>
          <w:szCs w:val="20"/>
          <w:color w:val="auto"/>
        </w:rPr>
      </w:pPr>
      <w:r>
        <w:rPr>
          <w:rFonts w:ascii="Times New Roman" w:cs="Times New Roman" w:eastAsia="Times New Roman" w:hAnsi="Times New Roman"/>
          <w:sz w:val="20"/>
          <w:szCs w:val="20"/>
          <w:color w:val="auto"/>
        </w:rPr>
        <w:t>We have examined the Registration Statement on Form S-8 (the “Registration Statement”) to be filed by Athira Pharma, Inc., a Delaware corporation, with the Securities and Exchange Commission on or about the date hereof, in connection with the registration under the Securities Act of 1933, as amended, of an aggregate of 6,053,314 shares of your common stock, par value $0.0001 per share (the “Shares”), consisting of: (i) 3,790,277 shares of common stock to be issued under the 2020 Equity Incentive Plan (the “2020 Plan”); (ii) 943,223 shares of common stock which are subject to currently outstanding awards under the 2020 Plan; (iii) 323,000 shares of common stock to be issued under the 2020 Employee Stock Purchase Plan (the “2020 ESPP”) and (iv) 996,814 shares of common stock which are subject to currently outstanding awards under the 2014 Share Incentive Plan (the “2014 Plan,” and together with the 2020 Plan and the 2020 ESPP, the “Plans”). As your legal counsel, we have reviewed the actions proposed to be taken by you in connection with the issuance and sale of the Shares to be issued under the Plans.</w:t>
      </w:r>
    </w:p>
    <w:p>
      <w:pPr>
        <w:spacing w:after="0" w:line="186" w:lineRule="exact"/>
        <w:rPr>
          <w:sz w:val="20"/>
          <w:szCs w:val="20"/>
          <w:color w:val="auto"/>
        </w:rPr>
      </w:pPr>
    </w:p>
    <w:p>
      <w:pPr>
        <w:ind w:right="280" w:firstLine="864"/>
        <w:spacing w:after="0" w:line="269" w:lineRule="auto"/>
        <w:rPr>
          <w:sz w:val="20"/>
          <w:szCs w:val="20"/>
          <w:color w:val="auto"/>
        </w:rPr>
      </w:pPr>
      <w:r>
        <w:rPr>
          <w:rFonts w:ascii="Times New Roman" w:cs="Times New Roman" w:eastAsia="Times New Roman" w:hAnsi="Times New Roman"/>
          <w:sz w:val="20"/>
          <w:szCs w:val="20"/>
          <w:color w:val="auto"/>
        </w:rPr>
        <w:t>It is our opinion that the Shares, when issued and sold in the manner referred to in the Plans and pursuant to the agreements that accompany the Plans, will be legally and validly issued, fully paid and nonassessable.</w:t>
      </w:r>
    </w:p>
    <w:p>
      <w:pPr>
        <w:spacing w:after="0" w:line="159" w:lineRule="exact"/>
        <w:rPr>
          <w:sz w:val="20"/>
          <w:szCs w:val="20"/>
          <w:color w:val="auto"/>
        </w:rPr>
      </w:pPr>
    </w:p>
    <w:p>
      <w:pPr>
        <w:ind w:right="620" w:firstLine="864"/>
        <w:spacing w:after="0" w:line="250"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Times New Roman" w:cs="Times New Roman" w:eastAsia="Times New Roman" w:hAnsi="Times New Roman"/>
                <w:sz w:val="13"/>
                <w:szCs w:val="13"/>
                <w:color w:val="003D4C"/>
                <w:w w:val="97"/>
              </w:rPr>
              <w:t>AUSTINBEIJING</w:t>
            </w: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003D4C"/>
                <w:w w:val="96"/>
              </w:rPr>
              <w:t>BOSTONBRUSSELS</w:t>
            </w:r>
          </w:p>
        </w:tc>
        <w:tc>
          <w:tcPr>
            <w:tcW w:w="2960" w:type="dxa"/>
            <w:vAlign w:val="bottom"/>
          </w:tcPr>
          <w:p>
            <w:pPr>
              <w:ind w:left="260"/>
              <w:spacing w:after="0"/>
              <w:rPr>
                <w:sz w:val="20"/>
                <w:szCs w:val="20"/>
                <w:color w:val="auto"/>
              </w:rPr>
            </w:pPr>
            <w:r>
              <w:rPr>
                <w:rFonts w:ascii="Times New Roman" w:cs="Times New Roman" w:eastAsia="Times New Roman" w:hAnsi="Times New Roman"/>
                <w:sz w:val="13"/>
                <w:szCs w:val="13"/>
                <w:color w:val="003D4C"/>
                <w:w w:val="98"/>
              </w:rPr>
              <w:t>HONG KONGLONDONLOS ANGELES</w:t>
            </w:r>
          </w:p>
        </w:tc>
        <w:tc>
          <w:tcPr>
            <w:tcW w:w="3640" w:type="dxa"/>
            <w:vAlign w:val="bottom"/>
          </w:tcPr>
          <w:p>
            <w:pPr>
              <w:ind w:left="180"/>
              <w:spacing w:after="0"/>
              <w:rPr>
                <w:sz w:val="20"/>
                <w:szCs w:val="20"/>
                <w:color w:val="auto"/>
              </w:rPr>
            </w:pPr>
            <w:r>
              <w:rPr>
                <w:rFonts w:ascii="Times New Roman" w:cs="Times New Roman" w:eastAsia="Times New Roman" w:hAnsi="Times New Roman"/>
                <w:sz w:val="13"/>
                <w:szCs w:val="13"/>
                <w:color w:val="003D4C"/>
                <w:w w:val="91"/>
              </w:rPr>
              <w:t>NEW YORKPALO ALTO</w:t>
            </w:r>
          </w:p>
        </w:tc>
      </w:tr>
      <w:tr>
        <w:trPr>
          <w:trHeight w:val="164"/>
        </w:trPr>
        <w:tc>
          <w:tcPr>
            <w:tcW w:w="3240" w:type="dxa"/>
            <w:vAlign w:val="bottom"/>
          </w:tcPr>
          <w:p>
            <w:pPr>
              <w:ind w:left="2500"/>
              <w:spacing w:after="0"/>
              <w:rPr>
                <w:sz w:val="20"/>
                <w:szCs w:val="20"/>
                <w:color w:val="auto"/>
              </w:rPr>
            </w:pPr>
            <w:r>
              <w:rPr>
                <w:rFonts w:ascii="Times New Roman" w:cs="Times New Roman" w:eastAsia="Times New Roman" w:hAnsi="Times New Roman"/>
                <w:sz w:val="13"/>
                <w:szCs w:val="13"/>
                <w:color w:val="003D4C"/>
              </w:rPr>
              <w:t>SAN DIEGO</w:t>
            </w:r>
          </w:p>
        </w:tc>
        <w:tc>
          <w:tcPr>
            <w:tcW w:w="142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SAN FRANCISCO</w:t>
            </w: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003D4C"/>
                <w:w w:val="95"/>
              </w:rPr>
              <w:t>SEATTLESHANGHAIWASHINGTON, DC</w:t>
            </w:r>
          </w:p>
        </w:tc>
        <w:tc>
          <w:tcPr>
            <w:tcW w:w="3640" w:type="dxa"/>
            <w:vAlign w:val="bottom"/>
          </w:tcPr>
          <w:p>
            <w:pPr>
              <w:ind w:left="6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104"/>
        </w:trPr>
        <w:tc>
          <w:tcPr>
            <w:tcW w:w="3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 w:name="page9"/>
    <w:bookmarkEnd w:id="8"/>
    <w:p>
      <w:pPr>
        <w:spacing w:after="0"/>
        <w:rPr>
          <w:sz w:val="20"/>
          <w:szCs w:val="20"/>
          <w:color w:val="auto"/>
        </w:rPr>
      </w:pPr>
      <w:r>
        <w:rPr>
          <w:rFonts w:ascii="Georgia" w:cs="Georgia" w:eastAsia="Georgia" w:hAnsi="Georgia"/>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September 18, 2020</w:t>
      </w:r>
    </w:p>
    <w:p>
      <w:pPr>
        <w:spacing w:after="0" w:line="236" w:lineRule="auto"/>
        <w:rPr>
          <w:sz w:val="20"/>
          <w:szCs w:val="20"/>
          <w:color w:val="auto"/>
        </w:rPr>
      </w:pPr>
      <w:r>
        <w:rPr>
          <w:rFonts w:ascii="Georgia" w:cs="Georgia" w:eastAsia="Georgia" w:hAnsi="Georgia"/>
          <w:sz w:val="20"/>
          <w:szCs w:val="20"/>
          <w:color w:val="auto"/>
        </w:rPr>
        <w:t>Page 2</w:t>
      </w:r>
    </w:p>
    <w:p>
      <w:pPr>
        <w:spacing w:after="0" w:line="1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pacing w:after="0" w:line="216" w:lineRule="exact"/>
        <w:rPr>
          <w:sz w:val="20"/>
          <w:szCs w:val="20"/>
          <w:color w:val="auto"/>
        </w:rPr>
      </w:pPr>
    </w:p>
    <w:p>
      <w:pPr>
        <w:jc w:val="right"/>
        <w:ind w:right="839"/>
        <w:spacing w:after="0"/>
        <w:rPr>
          <w:sz w:val="20"/>
          <w:szCs w:val="20"/>
          <w:color w:val="auto"/>
        </w:rPr>
      </w:pPr>
      <w:r>
        <w:rPr>
          <w:rFonts w:ascii="Georgia" w:cs="Georgia" w:eastAsia="Georgia" w:hAnsi="Georgia"/>
          <w:sz w:val="20"/>
          <w:szCs w:val="20"/>
          <w:color w:val="auto"/>
        </w:rPr>
        <w:t xml:space="preserve">WILSON </w:t>
      </w:r>
      <w:r>
        <w:rPr>
          <w:rFonts w:ascii="Times New Roman" w:cs="Times New Roman" w:eastAsia="Times New Roman" w:hAnsi="Times New Roman"/>
          <w:sz w:val="20"/>
          <w:szCs w:val="20"/>
          <w:color w:val="auto"/>
        </w:rPr>
        <w:t>SONSINI GOODRICH &amp; ROSATI</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Professional Corporation</w:t>
      </w:r>
    </w:p>
    <w:p>
      <w:pPr>
        <w:sectPr>
          <w:pgSz w:w="11900" w:h="16838" w:orient="portrait"/>
          <w:cols w:equalWidth="0" w:num="1">
            <w:col w:w="10139"/>
          </w:cols>
          <w:pgMar w:left="320" w:top="64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14" w:lineRule="exact"/>
        <w:rPr>
          <w:sz w:val="20"/>
          <w:szCs w:val="20"/>
          <w:color w:val="auto"/>
        </w:rPr>
      </w:pPr>
    </w:p>
    <w:p>
      <w:pPr>
        <w:ind w:right="60" w:firstLine="589"/>
        <w:spacing w:after="0" w:line="245" w:lineRule="auto"/>
        <w:rPr>
          <w:sz w:val="20"/>
          <w:szCs w:val="20"/>
          <w:color w:val="auto"/>
        </w:rPr>
      </w:pPr>
      <w:r>
        <w:rPr>
          <w:rFonts w:ascii="Arial" w:cs="Arial" w:eastAsia="Arial" w:hAnsi="Arial"/>
          <w:sz w:val="18"/>
          <w:szCs w:val="18"/>
          <w:color w:val="auto"/>
        </w:rPr>
        <w:t>We consent to the incorporation by reference in this Registration Statement (Form S-8) pertaining to the Athira Pharma, Inc. 2020 Equity Incentive Plan, 2020 Employee Stock Purchase Plan, and 2014 Equity Incentive Plan, as amended, of our report dated July 24, 2020, except for note 17(a), 17(g), 17(h) and 17(i), as to which the date is September 14, 2020, with respect to the financial statements of Athira Pharma, Inc. included in its Registration Statement on Form S-1 (No. 333-248428) and related Prospectus filed with the Securities and Exchange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2020</w:t>
      </w:r>
    </w:p>
    <w:sectPr>
      <w:pgSz w:w="11900" w:h="16838" w:orient="portrait"/>
      <w:cols w:equalWidth="0" w:num="1">
        <w:col w:w="11240"/>
      </w:cols>
      <w:pgMar w:left="320" w:top="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jpe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jpeg"/><Relationship Id="rId16" Type="http://schemas.openxmlformats.org/officeDocument/2006/relationships/hyperlink" Target="http://www.sec.gov/Archives/edgar/data/1620463/000156459020043998/atha-424b4.htm" TargetMode="External"/><Relationship Id="rId17" Type="http://schemas.openxmlformats.org/officeDocument/2006/relationships/hyperlink" Target="http://www.sec.gov/Archives/edgar/data/1620463/000095012320009608/atha-8a12b.htm" TargetMode="External"/><Relationship Id="rId20" Type="http://schemas.openxmlformats.org/officeDocument/2006/relationships/hyperlink" Target="http://www.sec.gov/Archives/edgar/data/1620463/000156459020043324/atha-ex41_478.htm" TargetMode="External"/><Relationship Id="rId21" Type="http://schemas.openxmlformats.org/officeDocument/2006/relationships/hyperlink" Target="http://www.sec.gov/Archives/edgar/data/1620463/000156459020042848/atha-ex105_89.htm" TargetMode="External"/><Relationship Id="rId22" Type="http://schemas.openxmlformats.org/officeDocument/2006/relationships/hyperlink" Target="http://www.sec.gov/Archives/edgar/data/1620463/000156459020042848/atha-ex106_88.htm" TargetMode="External"/><Relationship Id="rId23" Type="http://schemas.openxmlformats.org/officeDocument/2006/relationships/hyperlink" Target="http://www.sec.gov/Archives/edgar/data/1620463/000156459020042848/atha-ex107_87.htm" TargetMode="External"/><Relationship Id="rId24" Type="http://schemas.openxmlformats.org/officeDocument/2006/relationships/hyperlink" Target="http://www.sec.gov/Archives/edgar/data/1620463/000156459020042848/atha-ex108_86.htm" TargetMode="External"/><Relationship Id="rId25" Type="http://schemas.openxmlformats.org/officeDocument/2006/relationships/hyperlink" Target="http://www.sec.gov/Archives/edgar/data/1620463/000156459020042848/atha-ex1010_85.htm" TargetMode="External"/><Relationship Id="rId26" Type="http://schemas.openxmlformats.org/officeDocument/2006/relationships/hyperlink" Target="http://www.sec.gov/Archives/edgar/data/1620463/000156459020042848/atha-ex102_90.htm" TargetMode="External"/><Relationship Id="rId27" Type="http://schemas.openxmlformats.org/officeDocument/2006/relationships/hyperlink" Target="http://www.sec.gov/Archives/edgar/data/1620463/000156459020042848/atha-ex103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2020-09-18T15:54:28Z</dcterms:created>
  <dcterms:modified xsi:type="dcterms:W3CDTF">2020-09-18T15:54:28Z</dcterms:modified>
</cp:coreProperties>
</file>